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EF" w:rsidRPr="0085073C" w:rsidRDefault="00F847F0" w:rsidP="003F1C3D">
      <w:pPr>
        <w:jc w:val="center"/>
        <w:rPr>
          <w:rFonts w:ascii="Times New Roman" w:hAnsi="Times New Roman"/>
          <w:b/>
          <w:sz w:val="24"/>
          <w:szCs w:val="24"/>
          <w:u w:val="single"/>
        </w:rPr>
      </w:pPr>
      <w:r w:rsidRPr="0085073C">
        <w:rPr>
          <w:rFonts w:ascii="Times New Roman" w:hAnsi="Times New Roman"/>
          <w:b/>
          <w:sz w:val="24"/>
          <w:szCs w:val="24"/>
          <w:u w:val="single"/>
        </w:rPr>
        <w:t>EXPLANATORY STATEMENT</w:t>
      </w:r>
    </w:p>
    <w:p w:rsidR="00915BEF" w:rsidRPr="0085073C" w:rsidRDefault="00F847F0" w:rsidP="003F1C3D">
      <w:pPr>
        <w:jc w:val="center"/>
        <w:rPr>
          <w:rFonts w:ascii="Times New Roman" w:hAnsi="Times New Roman"/>
          <w:sz w:val="24"/>
          <w:szCs w:val="24"/>
          <w:u w:val="single"/>
        </w:rPr>
      </w:pPr>
      <w:r w:rsidRPr="0085073C">
        <w:rPr>
          <w:rFonts w:ascii="Times New Roman" w:hAnsi="Times New Roman"/>
          <w:sz w:val="24"/>
          <w:szCs w:val="24"/>
          <w:u w:val="single"/>
        </w:rPr>
        <w:t>Issued by the Authority of the Minister for the Environment</w:t>
      </w:r>
    </w:p>
    <w:p w:rsidR="00915BEF" w:rsidRPr="0085073C" w:rsidRDefault="00F847F0" w:rsidP="003F1C3D">
      <w:pPr>
        <w:pStyle w:val="Heading1"/>
        <w:spacing w:after="120"/>
        <w:jc w:val="center"/>
        <w:rPr>
          <w:b w:val="0"/>
          <w:i/>
          <w:color w:val="auto"/>
          <w:sz w:val="24"/>
          <w:szCs w:val="24"/>
        </w:rPr>
      </w:pPr>
      <w:r w:rsidRPr="0085073C">
        <w:rPr>
          <w:b w:val="0"/>
          <w:i/>
          <w:color w:val="auto"/>
          <w:sz w:val="24"/>
          <w:szCs w:val="24"/>
        </w:rPr>
        <w:t>Carbon Credits (Carbon Farming Initiative) Act 2011</w:t>
      </w:r>
    </w:p>
    <w:p w:rsidR="00915BEF" w:rsidRPr="0085073C" w:rsidRDefault="00F847F0" w:rsidP="003F1C3D">
      <w:pPr>
        <w:spacing w:before="240" w:after="120"/>
        <w:jc w:val="center"/>
        <w:rPr>
          <w:rFonts w:ascii="Times New Roman" w:hAnsi="Times New Roman"/>
          <w:i/>
          <w:sz w:val="24"/>
          <w:szCs w:val="24"/>
        </w:rPr>
      </w:pPr>
      <w:r w:rsidRPr="0085073C">
        <w:rPr>
          <w:rFonts w:ascii="Times New Roman" w:hAnsi="Times New Roman"/>
          <w:i/>
          <w:sz w:val="24"/>
          <w:szCs w:val="24"/>
        </w:rPr>
        <w:t xml:space="preserve">Carbon Credits (Carbon Farming Initiative—Designated Verified Carbon Standard Projects) Methodology Determination 2015 </w:t>
      </w:r>
    </w:p>
    <w:p w:rsidR="00915BEF" w:rsidRPr="0085073C" w:rsidRDefault="00F847F0" w:rsidP="003F1C3D">
      <w:pPr>
        <w:spacing w:before="240" w:after="120"/>
        <w:rPr>
          <w:rFonts w:ascii="Times New Roman" w:hAnsi="Times New Roman"/>
          <w:sz w:val="24"/>
          <w:szCs w:val="24"/>
        </w:rPr>
      </w:pPr>
      <w:r w:rsidRPr="0085073C">
        <w:rPr>
          <w:rFonts w:ascii="Times New Roman" w:hAnsi="Times New Roman"/>
          <w:b/>
          <w:sz w:val="24"/>
          <w:szCs w:val="24"/>
        </w:rPr>
        <w:t>Background</w:t>
      </w:r>
    </w:p>
    <w:p w:rsidR="00253DD7" w:rsidRPr="0085073C" w:rsidRDefault="00F847F0" w:rsidP="00253DD7">
      <w:pPr>
        <w:spacing w:after="120" w:line="240" w:lineRule="auto"/>
        <w:rPr>
          <w:rFonts w:ascii="Times New Roman" w:hAnsi="Times New Roman"/>
          <w:sz w:val="24"/>
          <w:szCs w:val="24"/>
        </w:rPr>
      </w:pPr>
      <w:r w:rsidRPr="0085073C">
        <w:rPr>
          <w:rFonts w:ascii="Times New Roman" w:hAnsi="Times New Roman"/>
          <w:sz w:val="24"/>
          <w:szCs w:val="24"/>
        </w:rPr>
        <w:t xml:space="preserve">The </w:t>
      </w:r>
      <w:r w:rsidRPr="0085073C">
        <w:rPr>
          <w:rFonts w:ascii="Times New Roman" w:hAnsi="Times New Roman"/>
          <w:i/>
          <w:sz w:val="24"/>
          <w:szCs w:val="24"/>
        </w:rPr>
        <w:t xml:space="preserve">Carbon Credits (Carbon </w:t>
      </w:r>
      <w:r w:rsidRPr="0085073C">
        <w:rPr>
          <w:rFonts w:ascii="Times New Roman" w:hAnsi="Times New Roman"/>
          <w:sz w:val="24"/>
          <w:szCs w:val="24"/>
        </w:rPr>
        <w:t>Farming</w:t>
      </w:r>
      <w:r w:rsidRPr="0085073C">
        <w:rPr>
          <w:rFonts w:ascii="Times New Roman" w:hAnsi="Times New Roman"/>
          <w:i/>
          <w:sz w:val="24"/>
          <w:szCs w:val="24"/>
        </w:rPr>
        <w:t xml:space="preserve"> Initiative) Act 2011</w:t>
      </w:r>
      <w:r w:rsidRPr="0085073C">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 </w:t>
      </w:r>
    </w:p>
    <w:p w:rsidR="00253DD7" w:rsidRPr="0085073C" w:rsidRDefault="00F847F0" w:rsidP="00253DD7">
      <w:pPr>
        <w:pStyle w:val="base-text-paragraphnonumbers"/>
        <w:spacing w:before="0"/>
        <w:ind w:left="0"/>
        <w:rPr>
          <w:sz w:val="24"/>
          <w:szCs w:val="24"/>
        </w:rPr>
      </w:pPr>
      <w:r w:rsidRPr="0085073C">
        <w:rPr>
          <w:sz w:val="24"/>
          <w:szCs w:val="24"/>
        </w:rPr>
        <w:t xml:space="preserve">In 2014, the Australian Parliament passed the </w:t>
      </w:r>
      <w:r w:rsidRPr="0085073C">
        <w:rPr>
          <w:i/>
          <w:iCs/>
          <w:sz w:val="24"/>
          <w:szCs w:val="24"/>
        </w:rPr>
        <w:t>Carbon Farming Initiative Amendment Act 2014</w:t>
      </w:r>
      <w:r w:rsidRPr="0085073C">
        <w:rPr>
          <w:sz w:val="24"/>
          <w:szCs w:val="24"/>
        </w:rPr>
        <w:t>, which establishes the Emissions Reduction Fund (ERF). The ERF has three elements: crediting emissions reductions, purchasing emissions reductions, and safeguarding emissions reductions.</w:t>
      </w:r>
    </w:p>
    <w:p w:rsidR="00253DD7" w:rsidRPr="0085073C" w:rsidRDefault="00F847F0" w:rsidP="00253DD7">
      <w:pPr>
        <w:spacing w:after="120" w:line="240" w:lineRule="auto"/>
        <w:rPr>
          <w:rFonts w:ascii="Times New Roman" w:hAnsi="Times New Roman"/>
          <w:sz w:val="24"/>
          <w:szCs w:val="24"/>
        </w:rPr>
      </w:pPr>
      <w:r w:rsidRPr="0085073C">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253DD7" w:rsidRPr="0085073C" w:rsidRDefault="00F847F0" w:rsidP="00253DD7">
      <w:pPr>
        <w:spacing w:after="120" w:line="240" w:lineRule="auto"/>
        <w:rPr>
          <w:rFonts w:ascii="Times New Roman" w:hAnsi="Times New Roman"/>
          <w:sz w:val="24"/>
          <w:szCs w:val="24"/>
        </w:rPr>
      </w:pPr>
      <w:r w:rsidRPr="0085073C">
        <w:rPr>
          <w:rFonts w:ascii="Times New Roman" w:hAnsi="Times New Roman"/>
          <w:sz w:val="24"/>
          <w:szCs w:val="24"/>
        </w:rPr>
        <w:t>Subsection 106(1) of the</w:t>
      </w:r>
      <w:r w:rsidRPr="0085073C">
        <w:rPr>
          <w:rFonts w:ascii="Times New Roman" w:hAnsi="Times New Roman"/>
          <w:i/>
          <w:iCs/>
          <w:sz w:val="24"/>
          <w:szCs w:val="24"/>
        </w:rPr>
        <w:t xml:space="preserve"> </w:t>
      </w:r>
      <w:r w:rsidRPr="0085073C">
        <w:rPr>
          <w:rFonts w:ascii="Times New Roman" w:hAnsi="Times New Roman"/>
          <w:iCs/>
          <w:sz w:val="24"/>
          <w:szCs w:val="24"/>
        </w:rPr>
        <w:t>Act</w:t>
      </w:r>
      <w:r w:rsidRPr="0085073C">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ensure that emissions reductions are genuine—that they are both real and additional to business as usual.</w:t>
      </w:r>
    </w:p>
    <w:p w:rsidR="00253DD7" w:rsidRPr="0085073C" w:rsidRDefault="00F847F0" w:rsidP="00253DD7">
      <w:pPr>
        <w:spacing w:after="120" w:line="240" w:lineRule="auto"/>
        <w:rPr>
          <w:rFonts w:ascii="Times New Roman" w:hAnsi="Times New Roman"/>
          <w:sz w:val="24"/>
          <w:szCs w:val="24"/>
        </w:rPr>
      </w:pPr>
      <w:r w:rsidRPr="0085073C">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must also consider any adverse environmental, economic or social impacts likely to arise as a result of projects to which the methodology determination applies. </w:t>
      </w:r>
    </w:p>
    <w:p w:rsidR="00253DD7" w:rsidRPr="0085073C" w:rsidRDefault="00F847F0" w:rsidP="00253DD7">
      <w:pPr>
        <w:spacing w:after="120" w:line="240" w:lineRule="auto"/>
        <w:rPr>
          <w:rFonts w:ascii="Times New Roman" w:hAnsi="Times New Roman"/>
          <w:sz w:val="24"/>
          <w:szCs w:val="24"/>
        </w:rPr>
      </w:pPr>
      <w:r w:rsidRPr="0085073C">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253DD7" w:rsidRPr="0085073C" w:rsidRDefault="00F847F0" w:rsidP="00253DD7">
      <w:pPr>
        <w:pStyle w:val="base-text-paragraphnonumbers"/>
        <w:spacing w:before="0"/>
        <w:ind w:left="0"/>
        <w:rPr>
          <w:sz w:val="24"/>
          <w:szCs w:val="24"/>
          <w:lang w:val="en-US"/>
        </w:rPr>
      </w:pPr>
      <w:r w:rsidRPr="0085073C">
        <w:rPr>
          <w:sz w:val="24"/>
          <w:szCs w:val="24"/>
          <w:lang w:val="en-US"/>
        </w:rPr>
        <w:t xml:space="preserve">Project proponents can receive funding from the ERF by submitting their projects into a competitive auction run by the </w:t>
      </w:r>
      <w:r w:rsidRPr="0085073C">
        <w:rPr>
          <w:sz w:val="24"/>
          <w:szCs w:val="24"/>
        </w:rPr>
        <w:t>Regulator</w:t>
      </w:r>
      <w:r w:rsidRPr="0085073C">
        <w:rPr>
          <w:sz w:val="24"/>
          <w:szCs w:val="24"/>
          <w:lang w:val="en-US"/>
        </w:rPr>
        <w:t>.</w:t>
      </w:r>
      <w:r w:rsidRPr="0085073C">
        <w:rPr>
          <w:sz w:val="24"/>
          <w:szCs w:val="24"/>
        </w:rPr>
        <w:t xml:space="preserve"> </w:t>
      </w:r>
      <w:r w:rsidRPr="0085073C">
        <w:rPr>
          <w:sz w:val="24"/>
          <w:szCs w:val="24"/>
          <w:lang w:val="en-US"/>
        </w:rPr>
        <w:t>The Government will enter into contracts with successful proponents, which will guarantee the price and payment for the future delivery of emissions reductions.</w:t>
      </w:r>
    </w:p>
    <w:p w:rsidR="00253DD7" w:rsidRPr="0085073C" w:rsidRDefault="00F847F0" w:rsidP="00253DD7">
      <w:pPr>
        <w:pStyle w:val="base-text-paragraphnonumbers"/>
        <w:spacing w:before="0"/>
        <w:ind w:left="0"/>
        <w:rPr>
          <w:sz w:val="24"/>
          <w:lang w:val="en-US"/>
        </w:rPr>
      </w:pPr>
      <w:r w:rsidRPr="0085073C">
        <w:rPr>
          <w:sz w:val="24"/>
          <w:lang w:val="en-US"/>
        </w:rPr>
        <w:t>Further information on the ERF is available on the Department of the Environment website at:</w:t>
      </w:r>
    </w:p>
    <w:p w:rsidR="00253DD7" w:rsidRPr="0085073C" w:rsidRDefault="005A5513" w:rsidP="00253DD7">
      <w:pPr>
        <w:pStyle w:val="base-text-paragraphnonumbers"/>
        <w:spacing w:before="0"/>
        <w:ind w:left="0"/>
        <w:rPr>
          <w:sz w:val="28"/>
          <w:szCs w:val="24"/>
        </w:rPr>
      </w:pPr>
      <w:hyperlink r:id="rId12" w:history="1">
        <w:r w:rsidR="00F847F0" w:rsidRPr="0085073C">
          <w:rPr>
            <w:rStyle w:val="Hyperlink"/>
            <w:rFonts w:cs="Arial"/>
            <w:sz w:val="24"/>
            <w:szCs w:val="24"/>
          </w:rPr>
          <w:t>www.environment.gov.au/emissions-reduction-fund</w:t>
        </w:r>
      </w:hyperlink>
      <w:r w:rsidR="00F847F0" w:rsidRPr="0085073C">
        <w:rPr>
          <w:sz w:val="24"/>
          <w:szCs w:val="24"/>
        </w:rPr>
        <w:t xml:space="preserve">. </w:t>
      </w:r>
    </w:p>
    <w:p w:rsidR="00915BEF" w:rsidRPr="0070759C" w:rsidRDefault="00F847F0" w:rsidP="00253DD7">
      <w:pPr>
        <w:spacing w:after="0" w:line="240" w:lineRule="auto"/>
        <w:rPr>
          <w:rFonts w:ascii="Times New Roman" w:hAnsi="Times New Roman"/>
          <w:b/>
          <w:sz w:val="24"/>
          <w:szCs w:val="24"/>
        </w:rPr>
      </w:pPr>
      <w:r w:rsidRPr="0085073C">
        <w:rPr>
          <w:sz w:val="28"/>
          <w:szCs w:val="24"/>
        </w:rPr>
        <w:br w:type="page"/>
      </w:r>
      <w:r w:rsidRPr="0070759C">
        <w:rPr>
          <w:rFonts w:ascii="Times New Roman" w:hAnsi="Times New Roman"/>
          <w:b/>
          <w:sz w:val="24"/>
          <w:szCs w:val="24"/>
        </w:rPr>
        <w:lastRenderedPageBreak/>
        <w:t>Application of the Determination</w:t>
      </w:r>
    </w:p>
    <w:p w:rsidR="00253DD7" w:rsidRPr="0085073C" w:rsidRDefault="000B1607" w:rsidP="00253DD7">
      <w:pPr>
        <w:spacing w:after="0" w:line="240" w:lineRule="auto"/>
        <w:rPr>
          <w:rFonts w:ascii="Times New Roman" w:eastAsia="Times New Roman" w:hAnsi="Times New Roman"/>
          <w:sz w:val="28"/>
          <w:szCs w:val="24"/>
          <w:lang w:eastAsia="en-AU"/>
        </w:rPr>
      </w:pPr>
    </w:p>
    <w:p w:rsidR="007C55D9" w:rsidRPr="007C55D9" w:rsidRDefault="00F847F0" w:rsidP="007C55D9">
      <w:pPr>
        <w:spacing w:after="120" w:line="240" w:lineRule="auto"/>
        <w:rPr>
          <w:rFonts w:ascii="Times New Roman" w:hAnsi="Times New Roman"/>
          <w:sz w:val="24"/>
          <w:szCs w:val="24"/>
        </w:rPr>
      </w:pPr>
      <w:r w:rsidRPr="007C55D9">
        <w:rPr>
          <w:rFonts w:ascii="Times New Roman" w:hAnsi="Times New Roman"/>
          <w:sz w:val="24"/>
          <w:szCs w:val="24"/>
        </w:rPr>
        <w:t xml:space="preserve">The </w:t>
      </w:r>
      <w:r w:rsidRPr="007C55D9">
        <w:rPr>
          <w:rFonts w:ascii="Times New Roman" w:hAnsi="Times New Roman"/>
          <w:i/>
          <w:sz w:val="24"/>
          <w:szCs w:val="24"/>
        </w:rPr>
        <w:t>Carbon Credits (Carbon Farming Initiative—Designated Verified Carbon Standard Projects) Methodology Determination 2015</w:t>
      </w:r>
      <w:r w:rsidRPr="007C55D9">
        <w:rPr>
          <w:rFonts w:ascii="Times New Roman" w:hAnsi="Times New Roman"/>
          <w:sz w:val="24"/>
          <w:szCs w:val="24"/>
        </w:rPr>
        <w:t xml:space="preserve"> (the Determination) sets out the detailed rules for implementing and monitoring offsets projects that were previously validated under the Verified Carbon Standard (the VCS) and which implemented the </w:t>
      </w:r>
      <w:r w:rsidRPr="00DD5162">
        <w:rPr>
          <w:rFonts w:ascii="Times New Roman" w:hAnsi="Times New Roman"/>
          <w:i/>
          <w:sz w:val="24"/>
          <w:szCs w:val="24"/>
        </w:rPr>
        <w:t>Approved VCS Methodology VM0010—Methodology for Improved Forest Management: Conversion from Logged to Protected Forest</w:t>
      </w:r>
      <w:r w:rsidRPr="00DD5162">
        <w:rPr>
          <w:rFonts w:ascii="Times New Roman" w:hAnsi="Times New Roman"/>
          <w:sz w:val="24"/>
          <w:szCs w:val="24"/>
        </w:rPr>
        <w:t xml:space="preserve"> (the</w:t>
      </w:r>
      <w:r w:rsidRPr="007C55D9">
        <w:rPr>
          <w:rFonts w:ascii="Times New Roman" w:hAnsi="Times New Roman"/>
          <w:sz w:val="24"/>
          <w:szCs w:val="24"/>
        </w:rPr>
        <w:t xml:space="preserve"> VCS methodology). These projects protect native forests on private land by not harvesting. Other projects, including projects that protect native forests, that were not validated under the VCS are not eligible under the Determination.</w:t>
      </w:r>
    </w:p>
    <w:p w:rsidR="00257032" w:rsidRPr="0085073C" w:rsidRDefault="00F847F0" w:rsidP="0033169F">
      <w:pPr>
        <w:spacing w:after="120" w:line="240" w:lineRule="auto"/>
        <w:rPr>
          <w:rFonts w:ascii="Times New Roman" w:hAnsi="Times New Roman"/>
          <w:sz w:val="24"/>
          <w:szCs w:val="24"/>
        </w:rPr>
      </w:pPr>
      <w:r w:rsidRPr="007C55D9">
        <w:rPr>
          <w:rFonts w:ascii="Times New Roman" w:hAnsi="Times New Roman"/>
          <w:sz w:val="24"/>
          <w:szCs w:val="24"/>
        </w:rPr>
        <w:t>The projects produce abatement by avoiding emissions from harvesting that would have occurred in the project area in the absence of the project, and by sequestering carbon that would not have been sequestered in the absence of the project. The project activity or ‘project mechanism’ is best described as protecting native forests by not harvesting them.</w:t>
      </w:r>
    </w:p>
    <w:p w:rsidR="0033169F" w:rsidRDefault="00F847F0" w:rsidP="0033169F">
      <w:pPr>
        <w:spacing w:after="120" w:line="240" w:lineRule="auto"/>
        <w:rPr>
          <w:rFonts w:ascii="Times New Roman" w:hAnsi="Times New Roman"/>
          <w:sz w:val="24"/>
          <w:szCs w:val="24"/>
        </w:rPr>
      </w:pPr>
      <w:r w:rsidRPr="00DD5162">
        <w:rPr>
          <w:rFonts w:ascii="Times New Roman" w:hAnsi="Times New Roman"/>
          <w:sz w:val="24"/>
          <w:szCs w:val="24"/>
        </w:rPr>
        <w:t>The VCS, which commenced in 2005, is the world’s largest voluntary greenhouse gas program. It is regarded by voluntary market players as a credible and robust international offsets program. In Australia, four forest management projects were approved under the VCS.</w:t>
      </w:r>
      <w:r w:rsidRPr="0085073C">
        <w:rPr>
          <w:rFonts w:ascii="Times New Roman" w:hAnsi="Times New Roman"/>
          <w:sz w:val="24"/>
          <w:szCs w:val="24"/>
        </w:rPr>
        <w:t xml:space="preserve"> No other types of projects have been approved under the VCS in Australia. Following Australia’s decision to count forest management towards its emissions reduction target under the Kyoto Protocol from 1 January 2013, these projects can no longer generate credits under the VCS.</w:t>
      </w:r>
    </w:p>
    <w:p w:rsidR="0033169F" w:rsidRPr="0085073C" w:rsidRDefault="00F847F0" w:rsidP="0033169F">
      <w:pPr>
        <w:spacing w:after="120" w:line="240" w:lineRule="auto"/>
        <w:rPr>
          <w:rFonts w:ascii="Times New Roman" w:hAnsi="Times New Roman"/>
          <w:sz w:val="24"/>
          <w:szCs w:val="24"/>
        </w:rPr>
      </w:pPr>
      <w:r w:rsidRPr="0085073C">
        <w:rPr>
          <w:rFonts w:ascii="Times New Roman" w:hAnsi="Times New Roman"/>
          <w:sz w:val="24"/>
          <w:szCs w:val="24"/>
        </w:rPr>
        <w:t xml:space="preserve">The Act, as amended by the </w:t>
      </w:r>
      <w:r w:rsidRPr="0085073C">
        <w:rPr>
          <w:rFonts w:ascii="Times New Roman" w:hAnsi="Times New Roman"/>
          <w:i/>
          <w:sz w:val="24"/>
          <w:szCs w:val="24"/>
        </w:rPr>
        <w:t>Carbon Farming Initiative Amendment Act 2014</w:t>
      </w:r>
      <w:r w:rsidRPr="0085073C">
        <w:rPr>
          <w:rFonts w:ascii="Times New Roman" w:hAnsi="Times New Roman"/>
          <w:sz w:val="24"/>
          <w:szCs w:val="24"/>
        </w:rPr>
        <w:t xml:space="preserve">, enables Australian projects approved under the VCS to transition to the Emissions Reduction Fund. This will enable these specific projects to continue to generate credits as they would have prior to Australia accounting for emissions from forest management against its Kyoto target.  </w:t>
      </w:r>
    </w:p>
    <w:p w:rsidR="0033169F" w:rsidRPr="0085073C" w:rsidRDefault="00F847F0" w:rsidP="0033169F">
      <w:pPr>
        <w:spacing w:after="120" w:line="240" w:lineRule="auto"/>
        <w:rPr>
          <w:rFonts w:ascii="Times New Roman" w:hAnsi="Times New Roman"/>
          <w:sz w:val="24"/>
          <w:szCs w:val="24"/>
        </w:rPr>
      </w:pPr>
      <w:r>
        <w:rPr>
          <w:rFonts w:ascii="Times New Roman" w:hAnsi="Times New Roman"/>
          <w:sz w:val="24"/>
          <w:szCs w:val="24"/>
        </w:rPr>
        <w:t xml:space="preserve">Under subitem 388A(3) of the Schedule to the </w:t>
      </w:r>
      <w:r w:rsidRPr="00D0584B">
        <w:rPr>
          <w:rFonts w:ascii="Times New Roman" w:hAnsi="Times New Roman"/>
          <w:i/>
          <w:sz w:val="24"/>
          <w:szCs w:val="24"/>
        </w:rPr>
        <w:t>Carbon Farming Initiative Amendment Act 2014</w:t>
      </w:r>
      <w:r>
        <w:rPr>
          <w:rFonts w:ascii="Times New Roman" w:hAnsi="Times New Roman"/>
          <w:i/>
          <w:sz w:val="24"/>
          <w:szCs w:val="24"/>
        </w:rPr>
        <w:t xml:space="preserve"> </w:t>
      </w:r>
      <w:r>
        <w:rPr>
          <w:rFonts w:ascii="Times New Roman" w:hAnsi="Times New Roman"/>
          <w:sz w:val="24"/>
          <w:szCs w:val="24"/>
        </w:rPr>
        <w:t>p</w:t>
      </w:r>
      <w:r w:rsidRPr="0085073C">
        <w:rPr>
          <w:rFonts w:ascii="Times New Roman" w:hAnsi="Times New Roman"/>
          <w:sz w:val="24"/>
          <w:szCs w:val="24"/>
        </w:rPr>
        <w:t>roponents of Australian projects that were registered under the VCS before the commencement of the Bill can submit a transitional application for registration under the Emissions Reduction Fund</w:t>
      </w:r>
      <w:r>
        <w:rPr>
          <w:rFonts w:ascii="Times New Roman" w:hAnsi="Times New Roman"/>
          <w:sz w:val="24"/>
          <w:szCs w:val="24"/>
        </w:rPr>
        <w:t xml:space="preserve"> before 30 June 2015</w:t>
      </w:r>
      <w:r w:rsidRPr="0085073C">
        <w:rPr>
          <w:rFonts w:ascii="Times New Roman" w:hAnsi="Times New Roman"/>
          <w:sz w:val="24"/>
          <w:szCs w:val="24"/>
        </w:rPr>
        <w:t xml:space="preserve">. Like projects </w:t>
      </w:r>
      <w:r>
        <w:rPr>
          <w:rFonts w:ascii="Times New Roman" w:hAnsi="Times New Roman"/>
          <w:sz w:val="24"/>
          <w:szCs w:val="24"/>
        </w:rPr>
        <w:t>seeking to apply</w:t>
      </w:r>
      <w:r w:rsidRPr="0085073C">
        <w:rPr>
          <w:rFonts w:ascii="Times New Roman" w:hAnsi="Times New Roman"/>
          <w:sz w:val="24"/>
          <w:szCs w:val="24"/>
        </w:rPr>
        <w:t xml:space="preserve"> </w:t>
      </w:r>
      <w:r>
        <w:rPr>
          <w:rFonts w:ascii="Times New Roman" w:hAnsi="Times New Roman"/>
          <w:sz w:val="24"/>
          <w:szCs w:val="24"/>
        </w:rPr>
        <w:t xml:space="preserve">existing </w:t>
      </w:r>
      <w:r w:rsidRPr="0085073C">
        <w:rPr>
          <w:rFonts w:ascii="Times New Roman" w:hAnsi="Times New Roman"/>
          <w:sz w:val="24"/>
          <w:szCs w:val="24"/>
        </w:rPr>
        <w:t xml:space="preserve">Carbon Farming Initiative </w:t>
      </w:r>
      <w:r>
        <w:rPr>
          <w:rFonts w:ascii="Times New Roman" w:hAnsi="Times New Roman"/>
          <w:sz w:val="24"/>
          <w:szCs w:val="24"/>
        </w:rPr>
        <w:t xml:space="preserve">methodology determinations </w:t>
      </w:r>
      <w:r w:rsidRPr="0085073C">
        <w:rPr>
          <w:rFonts w:ascii="Times New Roman" w:hAnsi="Times New Roman"/>
          <w:sz w:val="24"/>
          <w:szCs w:val="24"/>
        </w:rPr>
        <w:t xml:space="preserve">before the Act’s amendment, these projects will not be subject to the requirement that projects must be new. </w:t>
      </w:r>
    </w:p>
    <w:p w:rsidR="006667B9"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A project proponent wishing to implement the Determination must make an application to the Regulator under section 22 of the Act and meet the general eligibility requirements for an offsets project set out in subsection 27(4). However, paragraph 27(4)(d) and subsection 27(4A) of the Act (the additionality requirements) do not apply to projects implementing the Determination.</w:t>
      </w:r>
    </w:p>
    <w:p w:rsidR="00FF3918"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Projects implementing the Determination are sequestration offsets projects under section 16 of the Act.</w:t>
      </w:r>
    </w:p>
    <w:p w:rsidR="007C61A3"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Once declared, the permanence period is fixed and it will not be possible for projects to ‘move between’ permanence periods.</w:t>
      </w:r>
    </w:p>
    <w:p w:rsidR="008C1E82"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lastRenderedPageBreak/>
        <w:t>If the project proponent elects a 25-year permanence period, the permanence discount applies in accordance with section 16 of the Act. The permanence discount is 20% of the net abatement number unless another percentage is specified in accordance with the Regulations.</w:t>
      </w:r>
    </w:p>
    <w:p w:rsidR="008C1E82"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As they are sequestration offsets projects under section 54 of the Act, projects undertaken in accordance with the Determination are subject to a risk of reversal buffer, as provided by section 16 of the Act.</w:t>
      </w:r>
    </w:p>
    <w:p w:rsidR="00292220" w:rsidRPr="00DD5162" w:rsidRDefault="00F847F0" w:rsidP="003F1C3D">
      <w:pPr>
        <w:spacing w:after="120" w:line="240" w:lineRule="auto"/>
        <w:rPr>
          <w:rFonts w:ascii="Times New Roman" w:hAnsi="Times New Roman"/>
          <w:b/>
          <w:sz w:val="24"/>
          <w:szCs w:val="24"/>
        </w:rPr>
      </w:pPr>
      <w:r w:rsidRPr="00DD5162">
        <w:rPr>
          <w:rFonts w:ascii="Times New Roman" w:hAnsi="Times New Roman"/>
          <w:b/>
          <w:sz w:val="24"/>
          <w:szCs w:val="24"/>
        </w:rPr>
        <w:t xml:space="preserve">The Integrity of the VCS Methodology </w:t>
      </w:r>
    </w:p>
    <w:p w:rsidR="00292220" w:rsidRPr="00DD5162" w:rsidRDefault="00F847F0" w:rsidP="00A33AE5">
      <w:pPr>
        <w:spacing w:after="120" w:line="240" w:lineRule="auto"/>
        <w:rPr>
          <w:rFonts w:ascii="Times New Roman" w:hAnsi="Times New Roman"/>
          <w:sz w:val="24"/>
          <w:szCs w:val="24"/>
        </w:rPr>
      </w:pPr>
      <w:r w:rsidRPr="00DD5162">
        <w:rPr>
          <w:rFonts w:ascii="Times New Roman" w:hAnsi="Times New Roman"/>
          <w:sz w:val="24"/>
          <w:szCs w:val="24"/>
        </w:rPr>
        <w:t>The Determination allows four VCS projects to transition into the ERF. The four projects implemented the VCS methodology, which comprised a set of high-level requirements including key requirements for additionality, the projected baseline and the avoided emissions estimate. Proponents were required to adopt approaches that met these requirements in ways that could be validated and verified. The requirements of the VCS methodology in combination with the VCS validation and verification process outlined below met the offsets integrity standards.</w:t>
      </w:r>
    </w:p>
    <w:p w:rsidR="0071454F" w:rsidRPr="00DD5162" w:rsidRDefault="00F847F0" w:rsidP="00A33AE5">
      <w:pPr>
        <w:spacing w:after="120" w:line="240" w:lineRule="auto"/>
        <w:rPr>
          <w:rFonts w:ascii="Times New Roman" w:hAnsi="Times New Roman"/>
          <w:i/>
          <w:sz w:val="24"/>
          <w:szCs w:val="24"/>
        </w:rPr>
      </w:pPr>
      <w:r w:rsidRPr="00DD5162">
        <w:rPr>
          <w:rFonts w:ascii="Times New Roman" w:hAnsi="Times New Roman"/>
          <w:i/>
          <w:sz w:val="24"/>
          <w:szCs w:val="24"/>
        </w:rPr>
        <w:t>The VCS Validation and Verification Process</w:t>
      </w:r>
    </w:p>
    <w:p w:rsidR="0071454F" w:rsidRPr="00DD5162" w:rsidRDefault="00F847F0" w:rsidP="00A33AE5">
      <w:pPr>
        <w:spacing w:after="120" w:line="240" w:lineRule="auto"/>
        <w:rPr>
          <w:rFonts w:ascii="Times New Roman" w:hAnsi="Times New Roman"/>
          <w:sz w:val="24"/>
          <w:szCs w:val="24"/>
        </w:rPr>
      </w:pPr>
      <w:r w:rsidRPr="00DD5162">
        <w:rPr>
          <w:rFonts w:ascii="Times New Roman" w:hAnsi="Times New Roman"/>
          <w:sz w:val="24"/>
          <w:szCs w:val="24"/>
        </w:rPr>
        <w:t>Each VCS project was validated at the beginning of the crediting period. The validations addressed all of the requirements of the VCS methodology, including additionality, the projected baseline and the avoided emissions estimate. Validations were conducted by VCS validation/verification bodies that had received international certification through the UN Clean Development Mechanism or the US International Standards (ISO 14065). To validate a project, the verification body had to be satisfied that all data, rationales, assumptions, justifications and documentation provided by the project proponent to support the selection of the baseline and to demonstrate additionality were credible. Each validation was conducted to a reasonable level of assurance and involved document reviews, interviews and site visits.</w:t>
      </w:r>
    </w:p>
    <w:p w:rsidR="0071454F" w:rsidRPr="00DD5162" w:rsidRDefault="00F847F0" w:rsidP="00A33AE5">
      <w:pPr>
        <w:spacing w:after="120" w:line="240" w:lineRule="auto"/>
        <w:rPr>
          <w:rFonts w:ascii="Times New Roman" w:hAnsi="Times New Roman"/>
          <w:sz w:val="24"/>
          <w:szCs w:val="24"/>
        </w:rPr>
      </w:pPr>
      <w:r w:rsidRPr="00DD5162">
        <w:rPr>
          <w:rFonts w:ascii="Times New Roman" w:hAnsi="Times New Roman"/>
          <w:sz w:val="24"/>
          <w:szCs w:val="24"/>
        </w:rPr>
        <w:t>Verification reports were conducted for each project prior to the VCS issuing credits for abatement claimed. Like validation reports, the reports were conducted by verification bodies. The purpose of the reports was to ensure that the abatement claimed was genuine.</w:t>
      </w:r>
    </w:p>
    <w:p w:rsidR="00922C39" w:rsidRPr="00DD5162" w:rsidRDefault="00F847F0" w:rsidP="00A33AE5">
      <w:pPr>
        <w:spacing w:after="120" w:line="240" w:lineRule="auto"/>
        <w:rPr>
          <w:rFonts w:ascii="Times New Roman" w:hAnsi="Times New Roman"/>
          <w:i/>
          <w:sz w:val="24"/>
          <w:szCs w:val="24"/>
        </w:rPr>
      </w:pPr>
      <w:r w:rsidRPr="00DD5162">
        <w:rPr>
          <w:rFonts w:ascii="Times New Roman" w:hAnsi="Times New Roman"/>
          <w:i/>
          <w:sz w:val="24"/>
          <w:szCs w:val="24"/>
        </w:rPr>
        <w:t>Additionality</w:t>
      </w:r>
    </w:p>
    <w:p w:rsidR="00292220" w:rsidRPr="00DD5162" w:rsidRDefault="00F847F0" w:rsidP="00A33AE5">
      <w:pPr>
        <w:spacing w:after="120" w:line="240" w:lineRule="auto"/>
        <w:rPr>
          <w:rFonts w:ascii="Times New Roman" w:hAnsi="Times New Roman"/>
          <w:sz w:val="24"/>
          <w:szCs w:val="24"/>
        </w:rPr>
      </w:pPr>
      <w:r w:rsidRPr="00DD5162">
        <w:rPr>
          <w:rFonts w:ascii="Times New Roman" w:hAnsi="Times New Roman"/>
          <w:sz w:val="24"/>
          <w:szCs w:val="24"/>
        </w:rPr>
        <w:t xml:space="preserve">The VCS methodology required proponents to set the baseline for their projects using the </w:t>
      </w:r>
      <w:r w:rsidRPr="00DD5162">
        <w:rPr>
          <w:rFonts w:ascii="Times New Roman" w:hAnsi="Times New Roman"/>
          <w:i/>
          <w:sz w:val="24"/>
          <w:szCs w:val="24"/>
        </w:rPr>
        <w:t>VCS Tool for the Demonstration and Assessment of Additionality in VCS Agriculture, Forestry and Other Land Use Project Activities</w:t>
      </w:r>
      <w:r w:rsidRPr="00DD5162">
        <w:rPr>
          <w:rFonts w:ascii="Times New Roman" w:hAnsi="Times New Roman"/>
          <w:sz w:val="24"/>
          <w:szCs w:val="24"/>
        </w:rPr>
        <w:t>. The tool required proponents to conduct a four-step analysis:</w:t>
      </w:r>
    </w:p>
    <w:p w:rsidR="00292220" w:rsidRPr="00DD5162" w:rsidRDefault="00F847F0" w:rsidP="00BC2780">
      <w:pPr>
        <w:pStyle w:val="ListParagraph"/>
        <w:numPr>
          <w:ilvl w:val="0"/>
          <w:numId w:val="41"/>
        </w:numPr>
        <w:spacing w:after="120" w:line="240" w:lineRule="auto"/>
        <w:rPr>
          <w:rFonts w:ascii="Times New Roman" w:hAnsi="Times New Roman"/>
          <w:sz w:val="24"/>
          <w:szCs w:val="24"/>
        </w:rPr>
      </w:pPr>
      <w:r w:rsidRPr="00DD5162">
        <w:rPr>
          <w:rFonts w:ascii="Times New Roman" w:hAnsi="Times New Roman"/>
          <w:sz w:val="24"/>
          <w:szCs w:val="24"/>
        </w:rPr>
        <w:t xml:space="preserve">identification of alternative land use scenarios to the project activity; </w:t>
      </w:r>
    </w:p>
    <w:p w:rsidR="00292220" w:rsidRPr="00DD5162" w:rsidRDefault="00F847F0" w:rsidP="00BC2780">
      <w:pPr>
        <w:pStyle w:val="ListParagraph"/>
        <w:numPr>
          <w:ilvl w:val="0"/>
          <w:numId w:val="41"/>
        </w:numPr>
        <w:spacing w:after="120" w:line="240" w:lineRule="auto"/>
        <w:rPr>
          <w:rFonts w:ascii="Times New Roman" w:hAnsi="Times New Roman"/>
          <w:sz w:val="24"/>
          <w:szCs w:val="24"/>
        </w:rPr>
      </w:pPr>
      <w:r w:rsidRPr="00DD5162">
        <w:rPr>
          <w:rFonts w:ascii="Times New Roman" w:hAnsi="Times New Roman"/>
          <w:sz w:val="24"/>
          <w:szCs w:val="24"/>
        </w:rPr>
        <w:t xml:space="preserve">investment analysis to determine that the proposed project activity is not the most economically or financially attractive of the identified land use scenarios; or </w:t>
      </w:r>
    </w:p>
    <w:p w:rsidR="00292220" w:rsidRPr="00DD5162" w:rsidRDefault="00F847F0" w:rsidP="00BC2780">
      <w:pPr>
        <w:pStyle w:val="ListParagraph"/>
        <w:numPr>
          <w:ilvl w:val="0"/>
          <w:numId w:val="41"/>
        </w:numPr>
        <w:spacing w:after="120" w:line="240" w:lineRule="auto"/>
        <w:rPr>
          <w:rFonts w:ascii="Times New Roman" w:hAnsi="Times New Roman"/>
          <w:sz w:val="24"/>
          <w:szCs w:val="24"/>
        </w:rPr>
      </w:pPr>
      <w:r w:rsidRPr="00DD5162">
        <w:rPr>
          <w:rFonts w:ascii="Times New Roman" w:hAnsi="Times New Roman"/>
          <w:sz w:val="24"/>
          <w:szCs w:val="24"/>
        </w:rPr>
        <w:t xml:space="preserve">barriers analysis to determine whether there were barriers preventing the project activity in the absence of revenue from carbon credits; and </w:t>
      </w:r>
    </w:p>
    <w:p w:rsidR="00292220" w:rsidRPr="00DD5162" w:rsidRDefault="00F847F0" w:rsidP="00BC2780">
      <w:pPr>
        <w:pStyle w:val="ListParagraph"/>
        <w:numPr>
          <w:ilvl w:val="0"/>
          <w:numId w:val="41"/>
        </w:numPr>
        <w:spacing w:after="120" w:line="240" w:lineRule="auto"/>
        <w:rPr>
          <w:rFonts w:ascii="Times New Roman" w:hAnsi="Times New Roman"/>
          <w:sz w:val="24"/>
          <w:szCs w:val="24"/>
        </w:rPr>
      </w:pPr>
      <w:r w:rsidRPr="00DD5162">
        <w:rPr>
          <w:rFonts w:ascii="Times New Roman" w:hAnsi="Times New Roman"/>
          <w:sz w:val="24"/>
          <w:szCs w:val="24"/>
        </w:rPr>
        <w:t xml:space="preserve">common practice analysis to determine whether the project activity was common practice. </w:t>
      </w:r>
    </w:p>
    <w:p w:rsidR="00BC2780" w:rsidRPr="00DD5162" w:rsidRDefault="00F847F0" w:rsidP="00A33AE5">
      <w:pPr>
        <w:spacing w:after="120" w:line="240" w:lineRule="auto"/>
        <w:rPr>
          <w:rFonts w:ascii="Times New Roman" w:hAnsi="Times New Roman"/>
          <w:i/>
          <w:sz w:val="24"/>
          <w:szCs w:val="24"/>
        </w:rPr>
      </w:pPr>
      <w:r w:rsidRPr="00DD5162">
        <w:rPr>
          <w:rFonts w:ascii="Times New Roman" w:hAnsi="Times New Roman"/>
          <w:i/>
          <w:sz w:val="24"/>
          <w:szCs w:val="24"/>
        </w:rPr>
        <w:t>The projected baseline and the avoided emissions estimate</w:t>
      </w:r>
    </w:p>
    <w:p w:rsidR="00292220" w:rsidRDefault="00F847F0" w:rsidP="003F1C3D">
      <w:pPr>
        <w:spacing w:after="120" w:line="240" w:lineRule="auto"/>
        <w:rPr>
          <w:rFonts w:ascii="Times New Roman" w:hAnsi="Times New Roman"/>
          <w:sz w:val="24"/>
          <w:szCs w:val="24"/>
        </w:rPr>
      </w:pPr>
      <w:r w:rsidRPr="00DD5162">
        <w:rPr>
          <w:rFonts w:ascii="Times New Roman" w:hAnsi="Times New Roman"/>
          <w:sz w:val="24"/>
          <w:szCs w:val="24"/>
        </w:rPr>
        <w:t xml:space="preserve">The VCS methodology required proponents to develop a timber harvest plan, which set out planned harvest events in the project area. The timber harvest plan was required to be consistent with the relevant state legislation. Proponents derived their timber harvest plans from historical logging records. The timber harvest plan is a projected baseline similar to </w:t>
      </w:r>
      <w:r w:rsidRPr="00DD5162">
        <w:rPr>
          <w:rFonts w:ascii="Times New Roman" w:hAnsi="Times New Roman"/>
          <w:sz w:val="24"/>
          <w:szCs w:val="24"/>
        </w:rPr>
        <w:lastRenderedPageBreak/>
        <w:t xml:space="preserve">baselines in approved ERF methods such as </w:t>
      </w:r>
      <w:r w:rsidRPr="00DD5162">
        <w:rPr>
          <w:rFonts w:ascii="Times New Roman" w:hAnsi="Times New Roman"/>
          <w:i/>
          <w:sz w:val="24"/>
          <w:szCs w:val="24"/>
        </w:rPr>
        <w:t>Avoided Deforestation</w:t>
      </w:r>
      <w:r w:rsidRPr="00DD5162">
        <w:rPr>
          <w:rFonts w:ascii="Times New Roman" w:hAnsi="Times New Roman"/>
          <w:sz w:val="24"/>
          <w:szCs w:val="24"/>
        </w:rPr>
        <w:t xml:space="preserve"> and </w:t>
      </w:r>
      <w:r w:rsidRPr="00DD5162">
        <w:rPr>
          <w:rFonts w:ascii="Times New Roman" w:hAnsi="Times New Roman"/>
          <w:i/>
          <w:sz w:val="24"/>
          <w:szCs w:val="24"/>
        </w:rPr>
        <w:t>Avoided Clearing of Native</w:t>
      </w:r>
      <w:r w:rsidRPr="00DD5162">
        <w:rPr>
          <w:rFonts w:ascii="Times New Roman" w:hAnsi="Times New Roman"/>
          <w:sz w:val="24"/>
          <w:szCs w:val="24"/>
        </w:rPr>
        <w:t xml:space="preserve"> </w:t>
      </w:r>
      <w:r w:rsidRPr="00DD5162">
        <w:rPr>
          <w:rFonts w:ascii="Times New Roman" w:hAnsi="Times New Roman"/>
          <w:i/>
          <w:sz w:val="24"/>
          <w:szCs w:val="24"/>
        </w:rPr>
        <w:t>Regrowth</w:t>
      </w:r>
      <w:r w:rsidRPr="00DD5162">
        <w:rPr>
          <w:rFonts w:ascii="Times New Roman" w:hAnsi="Times New Roman"/>
          <w:sz w:val="24"/>
          <w:szCs w:val="24"/>
        </w:rPr>
        <w:t>. Proponents then estimated emissions from the planned harvest events by working out how much carbon was in the trees that would have been harvested in the absence of the project. The estimates were made using either existing forest inventory data held by the proponents or by undertaking field surveys.</w:t>
      </w:r>
    </w:p>
    <w:p w:rsidR="00BC2780" w:rsidRPr="00292220" w:rsidRDefault="000B1607" w:rsidP="003F1C3D">
      <w:pPr>
        <w:spacing w:after="120" w:line="240" w:lineRule="auto"/>
        <w:rPr>
          <w:rFonts w:ascii="Times New Roman" w:hAnsi="Times New Roman"/>
          <w:b/>
          <w:sz w:val="24"/>
          <w:szCs w:val="24"/>
        </w:rPr>
      </w:pPr>
    </w:p>
    <w:p w:rsidR="00915BEF" w:rsidRPr="0085073C" w:rsidRDefault="00F847F0" w:rsidP="003F1C3D">
      <w:pPr>
        <w:spacing w:after="120" w:line="240" w:lineRule="auto"/>
        <w:rPr>
          <w:rFonts w:ascii="Times New Roman" w:hAnsi="Times New Roman"/>
          <w:b/>
          <w:sz w:val="24"/>
          <w:szCs w:val="24"/>
        </w:rPr>
      </w:pPr>
      <w:r w:rsidRPr="0085073C">
        <w:rPr>
          <w:rFonts w:ascii="Times New Roman" w:hAnsi="Times New Roman"/>
          <w:b/>
          <w:sz w:val="24"/>
          <w:szCs w:val="24"/>
        </w:rPr>
        <w:t>Public Consultation</w:t>
      </w:r>
    </w:p>
    <w:p w:rsidR="008829D7" w:rsidRPr="0085073C" w:rsidRDefault="00F847F0" w:rsidP="008829D7">
      <w:pPr>
        <w:spacing w:after="120" w:line="240" w:lineRule="auto"/>
        <w:rPr>
          <w:rFonts w:ascii="Times New Roman" w:hAnsi="Times New Roman"/>
          <w:sz w:val="24"/>
          <w:szCs w:val="24"/>
        </w:rPr>
      </w:pPr>
      <w:r w:rsidRPr="0085073C">
        <w:rPr>
          <w:rFonts w:ascii="Times New Roman" w:hAnsi="Times New Roman"/>
          <w:sz w:val="24"/>
          <w:szCs w:val="24"/>
        </w:rPr>
        <w:t>An exposure draft of the Determination was published on the Department’s website for public consultation from 10 December 2014 to 9 January</w:t>
      </w:r>
      <w:r>
        <w:rPr>
          <w:rFonts w:ascii="Times New Roman" w:hAnsi="Times New Roman"/>
          <w:sz w:val="24"/>
          <w:szCs w:val="24"/>
        </w:rPr>
        <w:t xml:space="preserve"> 2015</w:t>
      </w:r>
      <w:r w:rsidRPr="0085073C">
        <w:rPr>
          <w:rFonts w:ascii="Times New Roman" w:hAnsi="Times New Roman"/>
          <w:sz w:val="24"/>
          <w:szCs w:val="24"/>
        </w:rPr>
        <w:t xml:space="preserve">. Three submissions were received. Details of the non-confidential submissions are provided on the Department of the Environment website, </w:t>
      </w:r>
      <w:hyperlink r:id="rId13" w:history="1">
        <w:r w:rsidRPr="0085073C">
          <w:rPr>
            <w:rStyle w:val="Hyperlink"/>
            <w:rFonts w:ascii="Times New Roman" w:hAnsi="Times New Roman"/>
            <w:sz w:val="24"/>
            <w:szCs w:val="24"/>
          </w:rPr>
          <w:t>www.environment.gov.au</w:t>
        </w:r>
      </w:hyperlink>
      <w:r w:rsidRPr="0085073C">
        <w:rPr>
          <w:rFonts w:ascii="Times New Roman" w:hAnsi="Times New Roman"/>
        </w:rPr>
        <w:t>.</w:t>
      </w:r>
    </w:p>
    <w:p w:rsidR="008829D7" w:rsidRPr="0085073C" w:rsidRDefault="000B1607" w:rsidP="003F1C3D">
      <w:pPr>
        <w:spacing w:after="120" w:line="240" w:lineRule="auto"/>
        <w:rPr>
          <w:rFonts w:ascii="Times New Roman" w:hAnsi="Times New Roman"/>
          <w:b/>
          <w:sz w:val="24"/>
          <w:szCs w:val="24"/>
        </w:rPr>
      </w:pPr>
    </w:p>
    <w:p w:rsidR="00915BEF" w:rsidRPr="0085073C" w:rsidRDefault="00F847F0" w:rsidP="003F1C3D">
      <w:pPr>
        <w:spacing w:after="120" w:line="240" w:lineRule="auto"/>
        <w:rPr>
          <w:rFonts w:ascii="Times New Roman" w:hAnsi="Times New Roman"/>
          <w:b/>
          <w:sz w:val="24"/>
          <w:szCs w:val="24"/>
        </w:rPr>
      </w:pPr>
      <w:r w:rsidRPr="0085073C">
        <w:rPr>
          <w:rFonts w:ascii="Times New Roman" w:hAnsi="Times New Roman"/>
          <w:b/>
          <w:sz w:val="24"/>
          <w:szCs w:val="24"/>
        </w:rPr>
        <w:t>Determination Details</w:t>
      </w:r>
    </w:p>
    <w:p w:rsidR="00915BEF"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The Determination</w:t>
      </w:r>
      <w:r w:rsidRPr="00592C5B">
        <w:rPr>
          <w:rFonts w:ascii="Times New Roman" w:hAnsi="Times New Roman"/>
          <w:sz w:val="24"/>
          <w:szCs w:val="24"/>
        </w:rPr>
        <w:t xml:space="preserve"> </w:t>
      </w:r>
      <w:r w:rsidRPr="0085073C">
        <w:rPr>
          <w:rFonts w:ascii="Times New Roman" w:hAnsi="Times New Roman"/>
          <w:sz w:val="24"/>
          <w:szCs w:val="24"/>
        </w:rPr>
        <w:t xml:space="preserve">is a legislative instrument within the meaning of the </w:t>
      </w:r>
      <w:r w:rsidRPr="00A05A44">
        <w:rPr>
          <w:rFonts w:ascii="Times New Roman" w:hAnsi="Times New Roman"/>
          <w:i/>
          <w:sz w:val="24"/>
          <w:szCs w:val="24"/>
        </w:rPr>
        <w:t>Legislative Instruments Act 2003</w:t>
      </w:r>
      <w:r w:rsidRPr="0085073C">
        <w:rPr>
          <w:rFonts w:ascii="Times New Roman" w:hAnsi="Times New Roman"/>
          <w:sz w:val="24"/>
          <w:szCs w:val="24"/>
        </w:rPr>
        <w:t>.</w:t>
      </w:r>
    </w:p>
    <w:p w:rsidR="0055229E"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The Determination ends when it is either revoked under section 123 of the Act, or on the day before it would otherwise be repealed under the</w:t>
      </w:r>
      <w:r w:rsidRPr="00592C5B">
        <w:rPr>
          <w:rFonts w:ascii="Times New Roman" w:hAnsi="Times New Roman"/>
          <w:sz w:val="24"/>
          <w:szCs w:val="24"/>
        </w:rPr>
        <w:t xml:space="preserve"> </w:t>
      </w:r>
      <w:r w:rsidRPr="00A05A44">
        <w:rPr>
          <w:rFonts w:ascii="Times New Roman" w:hAnsi="Times New Roman"/>
          <w:i/>
          <w:sz w:val="24"/>
          <w:szCs w:val="24"/>
        </w:rPr>
        <w:t>Legislative Instruments Act 2003</w:t>
      </w:r>
      <w:r w:rsidRPr="0085073C">
        <w:rPr>
          <w:rFonts w:ascii="Times New Roman" w:hAnsi="Times New Roman"/>
          <w:sz w:val="24"/>
          <w:szCs w:val="24"/>
        </w:rPr>
        <w:t>, whichever happens first. Under subsection 50(1) of that Act, a legislative instrument such as the Determination is repealed on the first 1 April or 1 October falling on or after the tenth anniversary of registration of the instrument on the Federal Register of Legislative Instruments. For example, if the Determination is registered before 1 April 2015, it would expire on 31 March 2025.</w:t>
      </w:r>
    </w:p>
    <w:p w:rsidR="00915BEF"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 xml:space="preserve">Details of the Determination are at </w:t>
      </w:r>
      <w:r w:rsidRPr="00592C5B">
        <w:rPr>
          <w:rFonts w:ascii="Times New Roman" w:hAnsi="Times New Roman"/>
          <w:sz w:val="24"/>
          <w:szCs w:val="24"/>
        </w:rPr>
        <w:t>Attachment A</w:t>
      </w:r>
      <w:r w:rsidRPr="0085073C">
        <w:rPr>
          <w:rFonts w:ascii="Times New Roman" w:hAnsi="Times New Roman"/>
          <w:sz w:val="24"/>
          <w:szCs w:val="24"/>
        </w:rPr>
        <w:t>.</w:t>
      </w:r>
    </w:p>
    <w:p w:rsidR="00A05A44" w:rsidRDefault="00F847F0" w:rsidP="003465CF">
      <w:pPr>
        <w:spacing w:after="120" w:line="240" w:lineRule="auto"/>
        <w:rPr>
          <w:rFonts w:ascii="Times New Roman" w:hAnsi="Times New Roman"/>
          <w:sz w:val="24"/>
          <w:szCs w:val="24"/>
        </w:rPr>
      </w:pPr>
      <w:r w:rsidRPr="00592C5B">
        <w:rPr>
          <w:rFonts w:ascii="Times New Roman" w:hAnsi="Times New Roman"/>
          <w:sz w:val="24"/>
          <w:szCs w:val="24"/>
        </w:rPr>
        <w:t xml:space="preserve">For the purpose of subsections 106(4), (4A) and (4B) of the Act, in making this Determination the Minister has had regard to, and agrees with, the advice of the Emissions Reduction Assurance Committee that the determination complies with the offsets integrity standards and that the proposed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 and other relevant considerations. </w:t>
      </w:r>
    </w:p>
    <w:p w:rsidR="003465CF" w:rsidRPr="0085073C" w:rsidRDefault="00F847F0" w:rsidP="003465CF">
      <w:pPr>
        <w:spacing w:after="120" w:line="240" w:lineRule="auto"/>
        <w:rPr>
          <w:rFonts w:ascii="Times New Roman" w:hAnsi="Times New Roman"/>
          <w:sz w:val="24"/>
          <w:szCs w:val="24"/>
        </w:rPr>
      </w:pPr>
      <w:r w:rsidRPr="00592C5B">
        <w:rPr>
          <w:rFonts w:ascii="Times New Roman" w:hAnsi="Times New Roman"/>
          <w:sz w:val="24"/>
          <w:szCs w:val="24"/>
        </w:rPr>
        <w:t xml:space="preserve">Subitem 393A(2) of Schedule 1 of the </w:t>
      </w:r>
      <w:r w:rsidRPr="00A05A44">
        <w:rPr>
          <w:rFonts w:ascii="Times New Roman" w:hAnsi="Times New Roman"/>
          <w:i/>
          <w:sz w:val="24"/>
          <w:szCs w:val="24"/>
        </w:rPr>
        <w:t>Carbon Farming Initiative Amendment Act 2014</w:t>
      </w:r>
      <w:r w:rsidRPr="00592C5B">
        <w:rPr>
          <w:rFonts w:ascii="Times New Roman" w:hAnsi="Times New Roman"/>
          <w:sz w:val="24"/>
          <w:szCs w:val="24"/>
        </w:rPr>
        <w:t xml:space="preserve"> operated in relation to this Determination to deem the request to the Interim ERAC to be the relevant request to the statutory ERAC under subsection 106(10) of the Act. Subitem 393A(3) then allowed the ERAC to consider the consultation on the exposure draft which started before 13 December 2014 and not re-open consultation under section 123D of the Act.</w:t>
      </w:r>
    </w:p>
    <w:p w:rsidR="00C347BC" w:rsidRPr="0085073C" w:rsidRDefault="00F847F0" w:rsidP="00C347BC">
      <w:pPr>
        <w:spacing w:after="120" w:line="240" w:lineRule="auto"/>
        <w:rPr>
          <w:rFonts w:ascii="Times New Roman" w:hAnsi="Times New Roman"/>
          <w:sz w:val="24"/>
          <w:szCs w:val="24"/>
        </w:rPr>
      </w:pPr>
      <w:r w:rsidRPr="0085073C">
        <w:rPr>
          <w:rFonts w:ascii="Times New Roman" w:hAnsi="Times New Roman"/>
          <w:sz w:val="24"/>
          <w:szCs w:val="24"/>
        </w:rPr>
        <w:t xml:space="preserve">A Statement of Compatibility prepared in accordance with the </w:t>
      </w:r>
      <w:r w:rsidRPr="00A05A44">
        <w:rPr>
          <w:rFonts w:ascii="Times New Roman" w:hAnsi="Times New Roman"/>
          <w:i/>
          <w:sz w:val="24"/>
          <w:szCs w:val="24"/>
        </w:rPr>
        <w:t>Human Rights (Parliamentary Scrutiny) Act 2011</w:t>
      </w:r>
      <w:r w:rsidRPr="0085073C">
        <w:rPr>
          <w:rFonts w:ascii="Times New Roman" w:hAnsi="Times New Roman"/>
          <w:sz w:val="24"/>
          <w:szCs w:val="24"/>
        </w:rPr>
        <w:t xml:space="preserve"> is at </w:t>
      </w:r>
      <w:r w:rsidRPr="00592C5B">
        <w:rPr>
          <w:rFonts w:ascii="Times New Roman" w:hAnsi="Times New Roman"/>
          <w:sz w:val="24"/>
          <w:szCs w:val="24"/>
        </w:rPr>
        <w:t>Attachment D</w:t>
      </w:r>
      <w:r w:rsidRPr="0085073C">
        <w:rPr>
          <w:rFonts w:ascii="Times New Roman" w:hAnsi="Times New Roman"/>
          <w:sz w:val="24"/>
          <w:szCs w:val="24"/>
        </w:rPr>
        <w:t>.</w:t>
      </w:r>
    </w:p>
    <w:p w:rsidR="0055229E" w:rsidRPr="0085073C" w:rsidRDefault="00F847F0" w:rsidP="003F1C3D">
      <w:pPr>
        <w:spacing w:after="120" w:line="240" w:lineRule="auto"/>
        <w:rPr>
          <w:rFonts w:ascii="Times New Roman" w:hAnsi="Times New Roman"/>
          <w:color w:val="808080" w:themeColor="background1" w:themeShade="80"/>
          <w:sz w:val="24"/>
          <w:szCs w:val="24"/>
        </w:rPr>
      </w:pPr>
      <w:r w:rsidRPr="0085073C">
        <w:rPr>
          <w:rFonts w:ascii="Times New Roman" w:hAnsi="Times New Roman"/>
          <w:color w:val="808080" w:themeColor="background1" w:themeShade="80"/>
          <w:sz w:val="24"/>
          <w:szCs w:val="24"/>
        </w:rPr>
        <w:br w:type="page"/>
      </w:r>
    </w:p>
    <w:p w:rsidR="00915BEF" w:rsidRPr="0085073C" w:rsidRDefault="00F847F0" w:rsidP="003F1C3D">
      <w:pPr>
        <w:pStyle w:val="Footer"/>
        <w:pageBreakBefore/>
        <w:spacing w:after="120"/>
        <w:jc w:val="right"/>
        <w:rPr>
          <w:rFonts w:ascii="Times New Roman" w:hAnsi="Times New Roman"/>
          <w:sz w:val="24"/>
          <w:szCs w:val="24"/>
          <w:u w:val="single"/>
        </w:rPr>
      </w:pPr>
      <w:r w:rsidRPr="0085073C">
        <w:rPr>
          <w:rFonts w:ascii="Times New Roman" w:hAnsi="Times New Roman"/>
          <w:sz w:val="24"/>
          <w:szCs w:val="24"/>
          <w:u w:val="single"/>
        </w:rPr>
        <w:lastRenderedPageBreak/>
        <w:t>Attachment A</w:t>
      </w:r>
    </w:p>
    <w:p w:rsidR="00915BEF" w:rsidRPr="0085073C" w:rsidRDefault="000B1607" w:rsidP="003F1C3D">
      <w:pPr>
        <w:pStyle w:val="Footer"/>
        <w:spacing w:after="120"/>
        <w:jc w:val="right"/>
        <w:rPr>
          <w:rFonts w:ascii="Times New Roman" w:hAnsi="Times New Roman"/>
          <w:sz w:val="24"/>
          <w:szCs w:val="24"/>
        </w:rPr>
      </w:pPr>
    </w:p>
    <w:p w:rsidR="00915BEF" w:rsidRPr="0085073C" w:rsidRDefault="00F847F0" w:rsidP="003F1C3D">
      <w:pPr>
        <w:pStyle w:val="Footer"/>
        <w:spacing w:after="120"/>
        <w:jc w:val="center"/>
        <w:rPr>
          <w:rFonts w:ascii="Times New Roman" w:hAnsi="Times New Roman"/>
          <w:b/>
          <w:sz w:val="24"/>
          <w:szCs w:val="24"/>
        </w:rPr>
      </w:pPr>
      <w:r w:rsidRPr="0085073C">
        <w:rPr>
          <w:rFonts w:ascii="Times New Roman" w:hAnsi="Times New Roman"/>
          <w:b/>
          <w:sz w:val="24"/>
          <w:szCs w:val="24"/>
        </w:rPr>
        <w:t>Details of the Methodology Determination</w:t>
      </w:r>
    </w:p>
    <w:p w:rsidR="00915BEF" w:rsidRPr="0085073C" w:rsidRDefault="000B1607" w:rsidP="003F1C3D">
      <w:pPr>
        <w:spacing w:after="120" w:line="240" w:lineRule="auto"/>
        <w:rPr>
          <w:rFonts w:ascii="Times New Roman" w:hAnsi="Times New Roman"/>
          <w:sz w:val="24"/>
          <w:szCs w:val="24"/>
        </w:rPr>
      </w:pPr>
    </w:p>
    <w:p w:rsidR="00915BEF" w:rsidRPr="0085073C" w:rsidRDefault="00F847F0" w:rsidP="003F1C3D">
      <w:pPr>
        <w:spacing w:after="120" w:line="240" w:lineRule="auto"/>
        <w:rPr>
          <w:rFonts w:ascii="Times New Roman" w:hAnsi="Times New Roman"/>
          <w:b/>
          <w:sz w:val="24"/>
          <w:szCs w:val="24"/>
        </w:rPr>
      </w:pPr>
      <w:r w:rsidRPr="0085073C">
        <w:rPr>
          <w:rFonts w:ascii="Times New Roman" w:hAnsi="Times New Roman"/>
          <w:b/>
          <w:sz w:val="24"/>
          <w:szCs w:val="24"/>
        </w:rPr>
        <w:t xml:space="preserve">Part 1 </w:t>
      </w:r>
      <w:r w:rsidRPr="0085073C">
        <w:rPr>
          <w:rFonts w:ascii="Times New Roman" w:hAnsi="Times New Roman"/>
          <w:b/>
          <w:sz w:val="24"/>
          <w:szCs w:val="24"/>
        </w:rPr>
        <w:tab/>
      </w:r>
      <w:r w:rsidRPr="0085073C">
        <w:rPr>
          <w:rFonts w:ascii="Times New Roman" w:hAnsi="Times New Roman"/>
          <w:b/>
          <w:sz w:val="24"/>
          <w:szCs w:val="24"/>
        </w:rPr>
        <w:tab/>
        <w:t>Preliminary</w:t>
      </w:r>
    </w:p>
    <w:p w:rsidR="00915BEF"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u w:val="single"/>
        </w:rPr>
        <w:t>1</w:t>
      </w:r>
      <w:r w:rsidRPr="0085073C">
        <w:rPr>
          <w:rFonts w:ascii="Times New Roman" w:hAnsi="Times New Roman"/>
          <w:sz w:val="24"/>
          <w:szCs w:val="24"/>
          <w:u w:val="single"/>
        </w:rPr>
        <w:tab/>
        <w:t>Name</w:t>
      </w:r>
    </w:p>
    <w:p w:rsidR="00915BEF"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 xml:space="preserve">Section 1 sets out the full name of the Determination, which is the </w:t>
      </w:r>
      <w:r w:rsidRPr="0085073C">
        <w:rPr>
          <w:rFonts w:ascii="Times New Roman" w:hAnsi="Times New Roman"/>
          <w:i/>
          <w:sz w:val="24"/>
          <w:szCs w:val="24"/>
        </w:rPr>
        <w:t>Carbon Credits (Carbon Farming Initiative—Designated Verified Carbon Standard Projects) Methodology Determination 2015</w:t>
      </w:r>
      <w:r w:rsidRPr="0085073C">
        <w:rPr>
          <w:rFonts w:ascii="Times New Roman" w:hAnsi="Times New Roman"/>
          <w:sz w:val="24"/>
          <w:szCs w:val="24"/>
        </w:rPr>
        <w:t>.</w:t>
      </w:r>
    </w:p>
    <w:p w:rsidR="00A74C60" w:rsidRPr="0085073C" w:rsidRDefault="000B1607" w:rsidP="003F1C3D">
      <w:pPr>
        <w:spacing w:after="120" w:line="240" w:lineRule="auto"/>
        <w:rPr>
          <w:rFonts w:ascii="Times New Roman" w:hAnsi="Times New Roman"/>
          <w:sz w:val="24"/>
          <w:szCs w:val="24"/>
        </w:rPr>
      </w:pPr>
    </w:p>
    <w:p w:rsidR="00915BEF" w:rsidRPr="0085073C" w:rsidRDefault="00F847F0" w:rsidP="003F1C3D">
      <w:pPr>
        <w:spacing w:after="120" w:line="240" w:lineRule="auto"/>
        <w:rPr>
          <w:rFonts w:ascii="Times New Roman" w:hAnsi="Times New Roman"/>
          <w:sz w:val="24"/>
          <w:szCs w:val="24"/>
          <w:u w:val="single"/>
        </w:rPr>
      </w:pPr>
      <w:r w:rsidRPr="0085073C">
        <w:rPr>
          <w:rFonts w:ascii="Times New Roman" w:hAnsi="Times New Roman"/>
          <w:sz w:val="24"/>
          <w:szCs w:val="24"/>
          <w:u w:val="single"/>
        </w:rPr>
        <w:t>2</w:t>
      </w:r>
      <w:r w:rsidRPr="0085073C">
        <w:rPr>
          <w:rFonts w:ascii="Times New Roman" w:hAnsi="Times New Roman"/>
          <w:sz w:val="24"/>
          <w:szCs w:val="24"/>
          <w:u w:val="single"/>
        </w:rPr>
        <w:tab/>
        <w:t>Commencement</w:t>
      </w:r>
    </w:p>
    <w:p w:rsidR="003F361D"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Section 2 provides that the Determination is taken to have come into force on 1 January 2013.</w:t>
      </w:r>
      <w:r>
        <w:rPr>
          <w:rFonts w:ascii="Times New Roman" w:hAnsi="Times New Roman"/>
          <w:sz w:val="24"/>
          <w:szCs w:val="24"/>
        </w:rPr>
        <w:t xml:space="preserve"> This retrospective commencement is provided for under subitem 388A(2) of the Schedule to the </w:t>
      </w:r>
      <w:r w:rsidRPr="00D0584B">
        <w:rPr>
          <w:rFonts w:ascii="Times New Roman" w:hAnsi="Times New Roman"/>
          <w:i/>
          <w:sz w:val="24"/>
          <w:szCs w:val="24"/>
        </w:rPr>
        <w:t>Carbon Farming Initiative Amendment Act 2014</w:t>
      </w:r>
      <w:r>
        <w:rPr>
          <w:rFonts w:ascii="Times New Roman" w:hAnsi="Times New Roman"/>
          <w:sz w:val="24"/>
          <w:szCs w:val="24"/>
        </w:rPr>
        <w:t>. It is of a beneficial nature and does not raise any issues for proponents.</w:t>
      </w:r>
    </w:p>
    <w:p w:rsidR="00A74C60" w:rsidRPr="0085073C" w:rsidRDefault="000B1607" w:rsidP="003F1C3D">
      <w:pPr>
        <w:spacing w:after="120" w:line="240" w:lineRule="auto"/>
        <w:rPr>
          <w:rFonts w:ascii="Times New Roman" w:hAnsi="Times New Roman"/>
          <w:sz w:val="24"/>
          <w:szCs w:val="24"/>
        </w:rPr>
      </w:pPr>
    </w:p>
    <w:p w:rsidR="003F361D" w:rsidRPr="0085073C" w:rsidRDefault="00F847F0" w:rsidP="003F1C3D">
      <w:pPr>
        <w:spacing w:after="120" w:line="240" w:lineRule="auto"/>
        <w:rPr>
          <w:rFonts w:ascii="Times New Roman" w:hAnsi="Times New Roman"/>
          <w:sz w:val="24"/>
          <w:szCs w:val="24"/>
          <w:u w:val="single"/>
        </w:rPr>
      </w:pPr>
      <w:r w:rsidRPr="0085073C">
        <w:rPr>
          <w:rFonts w:ascii="Times New Roman" w:hAnsi="Times New Roman"/>
          <w:sz w:val="24"/>
          <w:szCs w:val="24"/>
          <w:u w:val="single"/>
        </w:rPr>
        <w:t>3</w:t>
      </w:r>
      <w:r w:rsidRPr="0085073C">
        <w:rPr>
          <w:rFonts w:ascii="Times New Roman" w:hAnsi="Times New Roman"/>
          <w:sz w:val="24"/>
          <w:szCs w:val="24"/>
          <w:u w:val="single"/>
        </w:rPr>
        <w:tab/>
        <w:t>Authority</w:t>
      </w:r>
    </w:p>
    <w:p w:rsidR="003F361D"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Section 3 provides that the Determination is made under subsection 106(1) of the Act.</w:t>
      </w:r>
    </w:p>
    <w:p w:rsidR="00A74C60" w:rsidRPr="0085073C" w:rsidRDefault="000B1607" w:rsidP="003F1C3D">
      <w:pPr>
        <w:spacing w:after="120" w:line="240" w:lineRule="auto"/>
        <w:rPr>
          <w:rFonts w:ascii="Times New Roman" w:hAnsi="Times New Roman"/>
          <w:sz w:val="24"/>
          <w:szCs w:val="24"/>
        </w:rPr>
      </w:pPr>
    </w:p>
    <w:p w:rsidR="003F361D" w:rsidRPr="0085073C" w:rsidRDefault="00F847F0" w:rsidP="003F1C3D">
      <w:pPr>
        <w:spacing w:after="120" w:line="240" w:lineRule="auto"/>
        <w:rPr>
          <w:rFonts w:ascii="Times New Roman" w:hAnsi="Times New Roman"/>
          <w:sz w:val="24"/>
          <w:szCs w:val="24"/>
          <w:u w:val="single"/>
        </w:rPr>
      </w:pPr>
      <w:r w:rsidRPr="0085073C">
        <w:rPr>
          <w:rFonts w:ascii="Times New Roman" w:hAnsi="Times New Roman"/>
          <w:sz w:val="24"/>
          <w:szCs w:val="24"/>
          <w:u w:val="single"/>
        </w:rPr>
        <w:t>4</w:t>
      </w:r>
      <w:r w:rsidRPr="0085073C">
        <w:rPr>
          <w:rFonts w:ascii="Times New Roman" w:hAnsi="Times New Roman"/>
          <w:sz w:val="24"/>
          <w:szCs w:val="24"/>
          <w:u w:val="single"/>
        </w:rPr>
        <w:tab/>
        <w:t>Duration</w:t>
      </w:r>
    </w:p>
    <w:p w:rsidR="003F361D"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Paragraph 4(a) provides that the Determination begins on 1 January 2013.</w:t>
      </w:r>
    </w:p>
    <w:p w:rsidR="00BF4D7A"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 xml:space="preserve">Under subparagraph 122(1)(b)(i) of the Act, a methodology determination remains in force for the period specified in the Determination.  </w:t>
      </w:r>
    </w:p>
    <w:p w:rsidR="003F361D"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 xml:space="preserve">Paragraph 4(b) provides that the Determination ends on the day before it would otherwise be repealed under subsection 50(1) of the </w:t>
      </w:r>
      <w:r w:rsidRPr="0085073C">
        <w:rPr>
          <w:rFonts w:ascii="Times New Roman" w:hAnsi="Times New Roman"/>
          <w:i/>
          <w:sz w:val="24"/>
          <w:szCs w:val="24"/>
        </w:rPr>
        <w:t>Legislative Instruments Act 2003</w:t>
      </w:r>
      <w:r w:rsidRPr="0085073C">
        <w:rPr>
          <w:rFonts w:ascii="Times New Roman" w:hAnsi="Times New Roman"/>
          <w:sz w:val="24"/>
          <w:szCs w:val="24"/>
        </w:rPr>
        <w:t>.</w:t>
      </w:r>
    </w:p>
    <w:p w:rsidR="00DE4FEB"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Instruments are repealed under that provision on the first 1 April or 1 October following the tenth anniversary of registration on the Federal Register of Legislative Instruments. Paragraph</w:t>
      </w:r>
      <w:r>
        <w:rPr>
          <w:rFonts w:ascii="Times New Roman" w:hAnsi="Times New Roman"/>
          <w:sz w:val="24"/>
          <w:szCs w:val="24"/>
        </w:rPr>
        <w:t> </w:t>
      </w:r>
      <w:r w:rsidRPr="0085073C">
        <w:rPr>
          <w:rFonts w:ascii="Times New Roman" w:hAnsi="Times New Roman"/>
          <w:sz w:val="24"/>
          <w:szCs w:val="24"/>
        </w:rPr>
        <w:t>4(b) ensures that the Determination will expire in accordance with subparagraph</w:t>
      </w:r>
      <w:r>
        <w:rPr>
          <w:rFonts w:ascii="Times New Roman" w:hAnsi="Times New Roman"/>
          <w:sz w:val="24"/>
          <w:szCs w:val="24"/>
        </w:rPr>
        <w:t> </w:t>
      </w:r>
      <w:r w:rsidRPr="0085073C">
        <w:rPr>
          <w:rFonts w:ascii="Times New Roman" w:hAnsi="Times New Roman"/>
          <w:sz w:val="24"/>
          <w:szCs w:val="24"/>
        </w:rPr>
        <w:t>122(1)(b)(i) of the Act.</w:t>
      </w:r>
    </w:p>
    <w:p w:rsidR="004D7A17"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If the Determination expires or is revoked during a crediting period for a project to which the Determination applies, the 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w:t>
      </w:r>
      <w:r>
        <w:rPr>
          <w:rFonts w:ascii="Times New Roman" w:hAnsi="Times New Roman"/>
          <w:sz w:val="24"/>
          <w:szCs w:val="24"/>
        </w:rPr>
        <w:t> </w:t>
      </w:r>
      <w:r w:rsidRPr="0085073C">
        <w:rPr>
          <w:rFonts w:ascii="Times New Roman" w:hAnsi="Times New Roman"/>
          <w:sz w:val="24"/>
          <w:szCs w:val="24"/>
        </w:rPr>
        <w:t>subsection 128(1) of the Act).</w:t>
      </w:r>
    </w:p>
    <w:p w:rsidR="00A74C60" w:rsidRPr="0085073C" w:rsidRDefault="000B1607" w:rsidP="003F1C3D">
      <w:pPr>
        <w:spacing w:after="120" w:line="240" w:lineRule="auto"/>
        <w:rPr>
          <w:rFonts w:ascii="Times New Roman" w:hAnsi="Times New Roman"/>
          <w:sz w:val="24"/>
          <w:szCs w:val="24"/>
        </w:rPr>
      </w:pPr>
    </w:p>
    <w:p w:rsidR="00915BEF" w:rsidRPr="0085073C" w:rsidRDefault="00F847F0" w:rsidP="003F1C3D">
      <w:pPr>
        <w:spacing w:after="120" w:line="240" w:lineRule="auto"/>
        <w:rPr>
          <w:rFonts w:ascii="Times New Roman" w:hAnsi="Times New Roman"/>
          <w:sz w:val="24"/>
          <w:szCs w:val="24"/>
          <w:u w:val="single"/>
        </w:rPr>
      </w:pPr>
      <w:r w:rsidRPr="0085073C">
        <w:rPr>
          <w:rFonts w:ascii="Times New Roman" w:hAnsi="Times New Roman"/>
          <w:sz w:val="24"/>
          <w:szCs w:val="24"/>
          <w:u w:val="single"/>
        </w:rPr>
        <w:t>5</w:t>
      </w:r>
      <w:r w:rsidRPr="0085073C">
        <w:rPr>
          <w:rFonts w:ascii="Times New Roman" w:hAnsi="Times New Roman"/>
          <w:sz w:val="24"/>
          <w:szCs w:val="24"/>
          <w:u w:val="single"/>
        </w:rPr>
        <w:tab/>
        <w:t>Definitions</w:t>
      </w:r>
    </w:p>
    <w:p w:rsidR="00915BEF"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Section 5 defines a number of terms used in the Determination.</w:t>
      </w:r>
    </w:p>
    <w:p w:rsidR="00E55582"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 xml:space="preserve">The note at the bottom of section 5 lists terms that are not defined in the Determination but instead have the meaning given to them by section 5 of the Act.  </w:t>
      </w:r>
    </w:p>
    <w:p w:rsidR="00E55582"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lastRenderedPageBreak/>
        <w:t xml:space="preserve">Under section 23 of the </w:t>
      </w:r>
      <w:r w:rsidRPr="0085073C">
        <w:rPr>
          <w:rFonts w:ascii="Times New Roman" w:hAnsi="Times New Roman"/>
          <w:i/>
          <w:sz w:val="24"/>
          <w:szCs w:val="24"/>
        </w:rPr>
        <w:t>Acts Interpretation Act 1901</w:t>
      </w:r>
      <w:r w:rsidRPr="0085073C">
        <w:rPr>
          <w:rFonts w:ascii="Times New Roman" w:hAnsi="Times New Roman"/>
          <w:sz w:val="24"/>
          <w:szCs w:val="24"/>
        </w:rPr>
        <w:t>, words in the Determination in the singular number include the plural and words in the plural number include the singular.</w:t>
      </w:r>
    </w:p>
    <w:p w:rsidR="000952B6" w:rsidRPr="0085073C" w:rsidRDefault="00F847F0" w:rsidP="002640CF">
      <w:pPr>
        <w:pageBreakBefore/>
        <w:spacing w:after="120" w:line="240" w:lineRule="auto"/>
        <w:rPr>
          <w:rFonts w:ascii="Times New Roman" w:hAnsi="Times New Roman"/>
          <w:b/>
          <w:sz w:val="24"/>
          <w:szCs w:val="24"/>
        </w:rPr>
      </w:pPr>
      <w:r w:rsidRPr="0085073C">
        <w:rPr>
          <w:rFonts w:ascii="Times New Roman" w:hAnsi="Times New Roman"/>
          <w:b/>
          <w:sz w:val="24"/>
          <w:szCs w:val="24"/>
        </w:rPr>
        <w:lastRenderedPageBreak/>
        <w:t>Part 2</w:t>
      </w:r>
      <w:r w:rsidRPr="0085073C">
        <w:rPr>
          <w:rFonts w:ascii="Times New Roman" w:hAnsi="Times New Roman"/>
          <w:b/>
          <w:sz w:val="24"/>
          <w:szCs w:val="24"/>
        </w:rPr>
        <w:tab/>
      </w:r>
      <w:r w:rsidRPr="0085073C">
        <w:rPr>
          <w:rFonts w:ascii="Times New Roman" w:hAnsi="Times New Roman"/>
          <w:b/>
          <w:sz w:val="24"/>
          <w:szCs w:val="24"/>
        </w:rPr>
        <w:tab/>
        <w:t>Designated Verified Carbon Standard projects</w:t>
      </w:r>
    </w:p>
    <w:p w:rsidR="00915BEF" w:rsidRPr="0085073C" w:rsidRDefault="00F847F0" w:rsidP="003F1C3D">
      <w:pPr>
        <w:spacing w:after="120" w:line="240" w:lineRule="auto"/>
        <w:rPr>
          <w:rFonts w:ascii="Times New Roman" w:hAnsi="Times New Roman"/>
          <w:sz w:val="24"/>
          <w:szCs w:val="24"/>
          <w:u w:val="single"/>
        </w:rPr>
      </w:pPr>
      <w:r w:rsidRPr="0085073C">
        <w:rPr>
          <w:rFonts w:ascii="Times New Roman" w:hAnsi="Times New Roman"/>
          <w:sz w:val="24"/>
          <w:szCs w:val="24"/>
          <w:u w:val="single"/>
        </w:rPr>
        <w:t>6</w:t>
      </w:r>
      <w:r w:rsidRPr="0085073C">
        <w:rPr>
          <w:rFonts w:ascii="Times New Roman" w:hAnsi="Times New Roman"/>
          <w:sz w:val="24"/>
          <w:szCs w:val="24"/>
          <w:u w:val="single"/>
        </w:rPr>
        <w:tab/>
        <w:t>Designated Verified Carbon Standard projects</w:t>
      </w:r>
    </w:p>
    <w:p w:rsidR="00A90287"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 xml:space="preserve">The effect of paragraphs 27(4)(b) and 106(1)(a) of the Act is that a project must be covered by a methodology determination, and that the methodology determination must specify the kind of offsets project to which it applies.  </w:t>
      </w:r>
    </w:p>
    <w:p w:rsidR="00161CDC"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 xml:space="preserve">Paragraph </w:t>
      </w:r>
      <w:r>
        <w:rPr>
          <w:rFonts w:ascii="Times New Roman" w:hAnsi="Times New Roman"/>
          <w:sz w:val="24"/>
          <w:szCs w:val="24"/>
        </w:rPr>
        <w:t>6</w:t>
      </w:r>
      <w:r w:rsidRPr="0085073C">
        <w:rPr>
          <w:rFonts w:ascii="Times New Roman" w:hAnsi="Times New Roman"/>
          <w:sz w:val="24"/>
          <w:szCs w:val="24"/>
        </w:rPr>
        <w:t xml:space="preserve">(1)(a) provides that the Determination applies to sequestration offsets projects that are designated Verified Carbon Standard projects. ‘Designated Verified Carbon Standard project’ is defined in section 388A of the </w:t>
      </w:r>
      <w:r w:rsidRPr="0085073C">
        <w:rPr>
          <w:rFonts w:ascii="Times New Roman" w:hAnsi="Times New Roman"/>
          <w:i/>
          <w:sz w:val="24"/>
          <w:szCs w:val="24"/>
        </w:rPr>
        <w:t>Carbon Farming Initiative Amendment Act 2014</w:t>
      </w:r>
      <w:r w:rsidRPr="0085073C">
        <w:rPr>
          <w:rFonts w:ascii="Times New Roman" w:hAnsi="Times New Roman"/>
          <w:sz w:val="24"/>
          <w:szCs w:val="24"/>
        </w:rPr>
        <w:t xml:space="preserve"> as a project that was registered under the VCS at any time before the commencement of section 388A and is, or is to be, carried on in Australia.</w:t>
      </w:r>
    </w:p>
    <w:p w:rsidR="005E2D8E"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 xml:space="preserve">Paragraph </w:t>
      </w:r>
      <w:r>
        <w:rPr>
          <w:rFonts w:ascii="Times New Roman" w:hAnsi="Times New Roman"/>
          <w:sz w:val="24"/>
          <w:szCs w:val="24"/>
        </w:rPr>
        <w:t>6</w:t>
      </w:r>
      <w:r w:rsidRPr="0085073C">
        <w:rPr>
          <w:rFonts w:ascii="Times New Roman" w:hAnsi="Times New Roman"/>
          <w:sz w:val="24"/>
          <w:szCs w:val="24"/>
        </w:rPr>
        <w:t>(1)(b) provides that the project must result in ‘eligible carbon abatement’, which is defined in section 5 of the Act.</w:t>
      </w:r>
    </w:p>
    <w:p w:rsidR="00AA7BB6"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 xml:space="preserve">Paragraph </w:t>
      </w:r>
      <w:r>
        <w:rPr>
          <w:rFonts w:ascii="Times New Roman" w:hAnsi="Times New Roman"/>
          <w:sz w:val="24"/>
          <w:szCs w:val="24"/>
        </w:rPr>
        <w:t>6</w:t>
      </w:r>
      <w:r w:rsidRPr="0085073C">
        <w:rPr>
          <w:rFonts w:ascii="Times New Roman" w:hAnsi="Times New Roman"/>
          <w:sz w:val="24"/>
          <w:szCs w:val="24"/>
        </w:rPr>
        <w:t xml:space="preserve">(1)(c) provides that the Determination applies only to VCS projects that were registered before 18 July 2014. This is the date that item 388A of the Carbon Farming Initiative Amendment Bill 2014 was introduced to Parliament. </w:t>
      </w:r>
    </w:p>
    <w:p w:rsidR="006F12F2" w:rsidRPr="0085073C" w:rsidRDefault="000B1607" w:rsidP="002640CF">
      <w:pPr>
        <w:spacing w:after="120" w:line="240" w:lineRule="auto"/>
        <w:rPr>
          <w:rFonts w:ascii="Times New Roman" w:hAnsi="Times New Roman"/>
          <w:sz w:val="24"/>
          <w:szCs w:val="24"/>
        </w:rPr>
      </w:pPr>
    </w:p>
    <w:p w:rsidR="004E67CA" w:rsidRPr="0085073C" w:rsidRDefault="000B1607" w:rsidP="003F1C3D">
      <w:pPr>
        <w:spacing w:after="120" w:line="240" w:lineRule="auto"/>
        <w:rPr>
          <w:rFonts w:ascii="Times New Roman" w:hAnsi="Times New Roman"/>
          <w:sz w:val="24"/>
          <w:szCs w:val="24"/>
        </w:rPr>
      </w:pPr>
    </w:p>
    <w:p w:rsidR="00AA4B6D" w:rsidRPr="0085073C" w:rsidRDefault="00F847F0" w:rsidP="003F1C3D">
      <w:pPr>
        <w:spacing w:after="120" w:line="240" w:lineRule="auto"/>
        <w:rPr>
          <w:rFonts w:ascii="Times New Roman" w:hAnsi="Times New Roman"/>
          <w:b/>
          <w:color w:val="808080" w:themeColor="background1" w:themeShade="80"/>
          <w:sz w:val="24"/>
          <w:szCs w:val="24"/>
        </w:rPr>
      </w:pPr>
      <w:r w:rsidRPr="0085073C">
        <w:rPr>
          <w:rFonts w:ascii="Times New Roman" w:hAnsi="Times New Roman"/>
          <w:b/>
          <w:color w:val="808080" w:themeColor="background1" w:themeShade="80"/>
          <w:sz w:val="24"/>
          <w:szCs w:val="24"/>
        </w:rPr>
        <w:br w:type="page"/>
      </w:r>
    </w:p>
    <w:p w:rsidR="00281DD1" w:rsidRPr="0085073C" w:rsidRDefault="00F847F0" w:rsidP="003F1C3D">
      <w:pPr>
        <w:pageBreakBefore/>
        <w:spacing w:after="120" w:line="240" w:lineRule="auto"/>
        <w:rPr>
          <w:rFonts w:ascii="Times New Roman" w:hAnsi="Times New Roman"/>
          <w:b/>
          <w:sz w:val="24"/>
          <w:szCs w:val="24"/>
        </w:rPr>
      </w:pPr>
      <w:r w:rsidRPr="0085073C">
        <w:rPr>
          <w:rFonts w:ascii="Times New Roman" w:hAnsi="Times New Roman"/>
          <w:b/>
          <w:sz w:val="24"/>
          <w:szCs w:val="24"/>
        </w:rPr>
        <w:lastRenderedPageBreak/>
        <w:t>Part 3</w:t>
      </w:r>
      <w:r w:rsidRPr="0085073C">
        <w:rPr>
          <w:rFonts w:ascii="Times New Roman" w:hAnsi="Times New Roman"/>
          <w:b/>
          <w:sz w:val="24"/>
          <w:szCs w:val="24"/>
        </w:rPr>
        <w:tab/>
      </w:r>
      <w:r w:rsidRPr="0085073C">
        <w:rPr>
          <w:rFonts w:ascii="Times New Roman" w:hAnsi="Times New Roman"/>
          <w:b/>
          <w:sz w:val="24"/>
          <w:szCs w:val="24"/>
        </w:rPr>
        <w:tab/>
        <w:t>Project requirements</w:t>
      </w:r>
    </w:p>
    <w:p w:rsidR="00281DD1" w:rsidRPr="0085073C" w:rsidRDefault="00F847F0" w:rsidP="00281DD1">
      <w:pPr>
        <w:spacing w:after="120" w:line="240" w:lineRule="auto"/>
        <w:rPr>
          <w:rFonts w:ascii="Times New Roman" w:hAnsi="Times New Roman"/>
          <w:b/>
          <w:sz w:val="24"/>
          <w:szCs w:val="24"/>
        </w:rPr>
      </w:pPr>
      <w:r w:rsidRPr="0085073C">
        <w:rPr>
          <w:rFonts w:ascii="Times New Roman" w:hAnsi="Times New Roman"/>
          <w:b/>
          <w:sz w:val="24"/>
          <w:szCs w:val="24"/>
        </w:rPr>
        <w:t>Division 1</w:t>
      </w:r>
      <w:r w:rsidRPr="0085073C">
        <w:rPr>
          <w:rFonts w:ascii="Times New Roman" w:hAnsi="Times New Roman"/>
          <w:b/>
          <w:sz w:val="24"/>
          <w:szCs w:val="24"/>
        </w:rPr>
        <w:tab/>
        <w:t>General requirements</w:t>
      </w:r>
    </w:p>
    <w:p w:rsidR="004D0187" w:rsidRPr="0085073C" w:rsidRDefault="00F847F0" w:rsidP="003F1C3D">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 xml:space="preserve">7 </w:t>
      </w:r>
      <w:r w:rsidRPr="0085073C">
        <w:rPr>
          <w:rFonts w:ascii="Times New Roman" w:hAnsi="Times New Roman"/>
          <w:color w:val="000000" w:themeColor="text1"/>
          <w:sz w:val="24"/>
          <w:szCs w:val="24"/>
          <w:u w:val="single"/>
        </w:rPr>
        <w:tab/>
        <w:t>Operation of this part</w:t>
      </w:r>
    </w:p>
    <w:p w:rsidR="008A0B0C" w:rsidRPr="0085073C" w:rsidRDefault="00F847F0" w:rsidP="003F1C3D">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7 provides that, for paragraph 106(1)(b) of the Act, Part 3 sets out requirements that must be met for a designated Verified Carbon Standard project to be an eligible offsets project.</w:t>
      </w:r>
    </w:p>
    <w:p w:rsidR="00A67DE3"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The effect of paragraph 106(1)(b) of the Act is that a methodology determination must set out requirements that must be met for a project to be an eligible offsets project. Under paragraph 27(4)(c) of the Act, the Regulator must not declare that an offsets project is an eligible offsets project unless the Regulator is satisfied that the project meets these requirements.</w:t>
      </w:r>
    </w:p>
    <w:p w:rsidR="007A5586" w:rsidRPr="0085073C" w:rsidRDefault="00F847F0" w:rsidP="003F1C3D">
      <w:pPr>
        <w:spacing w:after="120" w:line="240" w:lineRule="auto"/>
        <w:rPr>
          <w:rFonts w:ascii="Times New Roman" w:hAnsi="Times New Roman"/>
          <w:sz w:val="24"/>
          <w:szCs w:val="24"/>
        </w:rPr>
      </w:pPr>
      <w:r w:rsidRPr="0085073C">
        <w:rPr>
          <w:rFonts w:ascii="Times New Roman" w:hAnsi="Times New Roman"/>
          <w:sz w:val="24"/>
          <w:szCs w:val="24"/>
        </w:rPr>
        <w:t>The effect of section 35 of the Act is that the Regulator may, if an appropriate regulation or legislative rule is made, revoke the declaration that a project is an eligible offsets project if eligibility requirements have not been met.</w:t>
      </w:r>
    </w:p>
    <w:p w:rsidR="00282D81"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 xml:space="preserve">Part 3 of the Determination specifies a number of requirements that must be met in order for a project to which the Determination applies to be declared and remain an eligible offsets project. </w:t>
      </w:r>
    </w:p>
    <w:p w:rsidR="001E2378" w:rsidRPr="0085073C" w:rsidRDefault="000B1607" w:rsidP="00161CDC">
      <w:pPr>
        <w:spacing w:after="120" w:line="240" w:lineRule="auto"/>
        <w:rPr>
          <w:rFonts w:ascii="Times New Roman" w:hAnsi="Times New Roman"/>
          <w:sz w:val="24"/>
          <w:szCs w:val="24"/>
        </w:rPr>
      </w:pPr>
    </w:p>
    <w:p w:rsidR="00281DD1" w:rsidRPr="0085073C" w:rsidRDefault="00F847F0" w:rsidP="00161CDC">
      <w:pPr>
        <w:spacing w:after="120" w:line="240" w:lineRule="auto"/>
        <w:rPr>
          <w:rFonts w:ascii="Times New Roman" w:hAnsi="Times New Roman"/>
          <w:b/>
          <w:sz w:val="24"/>
          <w:szCs w:val="24"/>
        </w:rPr>
      </w:pPr>
      <w:r w:rsidRPr="0085073C">
        <w:rPr>
          <w:rFonts w:ascii="Times New Roman" w:hAnsi="Times New Roman"/>
          <w:b/>
          <w:sz w:val="24"/>
          <w:szCs w:val="24"/>
        </w:rPr>
        <w:t>Division 2</w:t>
      </w:r>
      <w:r w:rsidRPr="0085073C">
        <w:rPr>
          <w:rFonts w:ascii="Times New Roman" w:hAnsi="Times New Roman"/>
          <w:b/>
          <w:sz w:val="24"/>
          <w:szCs w:val="24"/>
        </w:rPr>
        <w:tab/>
        <w:t>Information provided to Regulator</w:t>
      </w:r>
    </w:p>
    <w:p w:rsidR="00CB45D9"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 xml:space="preserve">Division 2 provides that project proponents must provide certain information to the Regulator before the Regulator can declare a project to be an eligible offsets project. The information ‘feeds into’ the baseline calculation in Part 4. All of the information has previously been gathered and verified in accordance with the VCS methodology. </w:t>
      </w:r>
    </w:p>
    <w:p w:rsidR="001E2378" w:rsidRPr="0085073C" w:rsidRDefault="000B1607" w:rsidP="00161CDC">
      <w:pPr>
        <w:spacing w:after="120" w:line="240" w:lineRule="auto"/>
        <w:rPr>
          <w:rFonts w:ascii="Times New Roman" w:hAnsi="Times New Roman"/>
          <w:sz w:val="24"/>
          <w:szCs w:val="24"/>
        </w:rPr>
      </w:pPr>
    </w:p>
    <w:p w:rsidR="00CB45D9" w:rsidRPr="0085073C" w:rsidRDefault="00F847F0" w:rsidP="00161CDC">
      <w:pPr>
        <w:spacing w:after="120" w:line="240" w:lineRule="auto"/>
        <w:rPr>
          <w:rFonts w:ascii="Times New Roman" w:hAnsi="Times New Roman"/>
          <w:sz w:val="24"/>
          <w:szCs w:val="24"/>
          <w:u w:val="single"/>
        </w:rPr>
      </w:pPr>
      <w:r w:rsidRPr="0085073C">
        <w:rPr>
          <w:rFonts w:ascii="Times New Roman" w:hAnsi="Times New Roman"/>
          <w:sz w:val="24"/>
          <w:szCs w:val="24"/>
          <w:u w:val="single"/>
        </w:rPr>
        <w:t>8</w:t>
      </w:r>
      <w:r w:rsidRPr="0085073C">
        <w:rPr>
          <w:rFonts w:ascii="Times New Roman" w:hAnsi="Times New Roman"/>
          <w:sz w:val="24"/>
          <w:szCs w:val="24"/>
          <w:u w:val="single"/>
        </w:rPr>
        <w:tab/>
        <w:t>Information supported by evidence</w:t>
      </w:r>
    </w:p>
    <w:p w:rsidR="00CB45D9"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Subsection 8(1) provides that the information provided to the Regulator in accordance with Division 2 must be supported by evidence.</w:t>
      </w:r>
    </w:p>
    <w:p w:rsidR="00CB45D9"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Subsection 8(2) provides that the evidence may comprise maps, spreadsheets or other documents. Such evidence will have been prepared for the project while it was operating under the VCS. Other forms of evidence may be provided so long the requirement in subsection 8(3) is met.</w:t>
      </w:r>
    </w:p>
    <w:p w:rsidR="00CB45D9" w:rsidRPr="0085073C"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Subsection 8(3) provides that the evidence provided to the Regulator in accordance with Division 2 must be contained or referenced in a Validation Report or Verification Report for the project. Validation and Verification Reports are independent and publically available audit reports prepared for the VCS. The reports will either contain the evidence directly, or reference other sources for the evidence, showing that these other sources have been audited.</w:t>
      </w:r>
      <w:r>
        <w:rPr>
          <w:rFonts w:ascii="Times New Roman" w:hAnsi="Times New Roman"/>
          <w:sz w:val="24"/>
          <w:szCs w:val="24"/>
        </w:rPr>
        <w:t xml:space="preserve"> The reports do not need to be submitted with offsets reports for the projects.</w:t>
      </w:r>
    </w:p>
    <w:p w:rsidR="002B3AE0" w:rsidRDefault="00F847F0" w:rsidP="00161CDC">
      <w:pPr>
        <w:spacing w:after="120" w:line="240" w:lineRule="auto"/>
        <w:rPr>
          <w:rFonts w:ascii="Times New Roman" w:hAnsi="Times New Roman"/>
          <w:sz w:val="24"/>
          <w:szCs w:val="24"/>
        </w:rPr>
      </w:pPr>
      <w:r w:rsidRPr="0085073C">
        <w:rPr>
          <w:rFonts w:ascii="Times New Roman" w:hAnsi="Times New Roman"/>
          <w:sz w:val="24"/>
          <w:szCs w:val="24"/>
        </w:rPr>
        <w:t xml:space="preserve">One effect of section 8 is that the baseline for projects is ‘fixed’, that is, it is not possible for proponents to add new harvest events to the baseline because these events could not meet the requirement in subsection 8(3). </w:t>
      </w:r>
    </w:p>
    <w:p w:rsidR="00856021" w:rsidRDefault="00F847F0" w:rsidP="00856021">
      <w:pPr>
        <w:spacing w:after="120" w:line="240" w:lineRule="auto"/>
        <w:rPr>
          <w:rFonts w:ascii="Times New Roman" w:hAnsi="Times New Roman"/>
          <w:color w:val="0070C0"/>
          <w:sz w:val="24"/>
          <w:szCs w:val="24"/>
        </w:rPr>
      </w:pPr>
      <w:r w:rsidRPr="00856021">
        <w:rPr>
          <w:rFonts w:ascii="Times New Roman" w:hAnsi="Times New Roman"/>
          <w:sz w:val="24"/>
          <w:szCs w:val="24"/>
        </w:rPr>
        <w:t xml:space="preserve">The geographic boundaries of strata cannot be changed or varied. In addition, strata and land parcels cannot be added to or removed from the project. This is because project proponents </w:t>
      </w:r>
      <w:r w:rsidRPr="00856021">
        <w:rPr>
          <w:rFonts w:ascii="Times New Roman" w:hAnsi="Times New Roman"/>
          <w:sz w:val="24"/>
          <w:szCs w:val="24"/>
        </w:rPr>
        <w:lastRenderedPageBreak/>
        <w:t>could not meet the requirement in subsection 8(3) if they wanted to vary or add strata or land parcels to the project.</w:t>
      </w:r>
    </w:p>
    <w:p w:rsidR="005D0ADD" w:rsidRPr="0085073C" w:rsidRDefault="000B1607" w:rsidP="00161CDC">
      <w:pPr>
        <w:spacing w:after="120" w:line="240" w:lineRule="auto"/>
        <w:rPr>
          <w:rFonts w:ascii="Times New Roman" w:hAnsi="Times New Roman"/>
          <w:sz w:val="24"/>
          <w:szCs w:val="24"/>
        </w:rPr>
      </w:pPr>
    </w:p>
    <w:p w:rsidR="00C22C65" w:rsidRPr="0085073C" w:rsidRDefault="00F847F0" w:rsidP="00E51BBF">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t>9</w:t>
      </w:r>
      <w:r w:rsidRPr="0085073C">
        <w:rPr>
          <w:rFonts w:ascii="Times New Roman" w:hAnsi="Times New Roman"/>
          <w:sz w:val="24"/>
          <w:szCs w:val="24"/>
          <w:u w:val="single"/>
        </w:rPr>
        <w:tab/>
        <w:t>Spatial information</w:t>
      </w:r>
    </w:p>
    <w:p w:rsidR="00C22C65" w:rsidRPr="0085073C" w:rsidRDefault="00F847F0" w:rsidP="00E51BBF">
      <w:pPr>
        <w:keepNext/>
        <w:keepLines/>
        <w:spacing w:after="120" w:line="240" w:lineRule="auto"/>
        <w:rPr>
          <w:rFonts w:ascii="Times New Roman" w:hAnsi="Times New Roman"/>
          <w:sz w:val="24"/>
          <w:szCs w:val="24"/>
        </w:rPr>
      </w:pPr>
      <w:r w:rsidRPr="0085073C">
        <w:rPr>
          <w:rFonts w:ascii="Times New Roman" w:hAnsi="Times New Roman"/>
          <w:sz w:val="24"/>
          <w:szCs w:val="24"/>
        </w:rPr>
        <w:t>Section 9 lists the spatial information that the project proponent must provide to the Regulator. The spatial information is needed in Part 4 to calculate the baseline and to calculate emissions from natural disturbances including fires in the project scenario. It is expected that much of the spatial information, such as the location of each stratum in the project area, will be provided in the form of maps.</w:t>
      </w:r>
    </w:p>
    <w:p w:rsidR="004B1358" w:rsidRPr="0085073C" w:rsidRDefault="00F847F0" w:rsidP="00680BCA">
      <w:pPr>
        <w:spacing w:after="120" w:line="240" w:lineRule="auto"/>
        <w:rPr>
          <w:rFonts w:ascii="Times New Roman" w:hAnsi="Times New Roman"/>
          <w:sz w:val="24"/>
          <w:szCs w:val="24"/>
        </w:rPr>
      </w:pPr>
      <w:r w:rsidRPr="0085073C">
        <w:rPr>
          <w:rFonts w:ascii="Times New Roman" w:hAnsi="Times New Roman"/>
          <w:sz w:val="24"/>
          <w:szCs w:val="24"/>
        </w:rPr>
        <w:t>In the baseline, harvest events would have occurred in land parcels. Land parcels are areas of land in the project area that would have been harvested in the absence of the project. Each land parcel is inside, or is ‘tied to’ a specific stratum. A land parcel is defined spatially (it has a certain area) and temporally (it is scheduled for harvested in a certain year). However, a land parcel does not have a specific location. For example, a land parcel of 50 hectares in a 200-hectare stratum may represent any 50 hectares that are scheduled for harvested in, say, 2022. The concept of ‘land parcel’ has been adopted from projects previously implementing the VCS methodology.</w:t>
      </w:r>
    </w:p>
    <w:p w:rsidR="005D0ADD" w:rsidRPr="0085073C" w:rsidRDefault="000B1607" w:rsidP="00680BCA">
      <w:pPr>
        <w:spacing w:after="120" w:line="240" w:lineRule="auto"/>
        <w:rPr>
          <w:rFonts w:ascii="Times New Roman" w:hAnsi="Times New Roman"/>
          <w:sz w:val="24"/>
          <w:szCs w:val="24"/>
        </w:rPr>
      </w:pPr>
    </w:p>
    <w:p w:rsidR="00C11580" w:rsidRPr="0085073C" w:rsidRDefault="00F847F0" w:rsidP="00701A68">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t>10</w:t>
      </w:r>
      <w:r w:rsidRPr="0085073C">
        <w:rPr>
          <w:rFonts w:ascii="Times New Roman" w:hAnsi="Times New Roman"/>
          <w:sz w:val="24"/>
          <w:szCs w:val="24"/>
          <w:u w:val="single"/>
        </w:rPr>
        <w:tab/>
        <w:t>Tree species information</w:t>
      </w:r>
    </w:p>
    <w:p w:rsidR="00C11580" w:rsidRPr="0085073C" w:rsidRDefault="00F847F0" w:rsidP="00701A68">
      <w:pPr>
        <w:keepNext/>
        <w:keepLines/>
        <w:spacing w:after="120" w:line="240" w:lineRule="auto"/>
        <w:rPr>
          <w:rFonts w:ascii="Times New Roman" w:hAnsi="Times New Roman"/>
          <w:sz w:val="24"/>
          <w:szCs w:val="24"/>
        </w:rPr>
      </w:pPr>
      <w:r w:rsidRPr="0085073C">
        <w:rPr>
          <w:rFonts w:ascii="Times New Roman" w:hAnsi="Times New Roman"/>
          <w:sz w:val="24"/>
          <w:szCs w:val="24"/>
        </w:rPr>
        <w:t>Section 10 lists the tree species information that the project proponent must provide to the Regulator. The information relates to species that would have been harvested in the baseline. In the project scenario the species are not harvested. The tree species information is needed in Part 4 to calculate the baseline.</w:t>
      </w:r>
    </w:p>
    <w:p w:rsidR="00867BEB" w:rsidRPr="0085073C" w:rsidRDefault="000B1607" w:rsidP="00701A68">
      <w:pPr>
        <w:keepNext/>
        <w:keepLines/>
        <w:spacing w:after="120" w:line="240" w:lineRule="auto"/>
        <w:rPr>
          <w:rFonts w:ascii="Times New Roman" w:hAnsi="Times New Roman"/>
          <w:sz w:val="24"/>
          <w:szCs w:val="24"/>
        </w:rPr>
      </w:pPr>
    </w:p>
    <w:p w:rsidR="00857E12" w:rsidRPr="0085073C" w:rsidRDefault="00F847F0" w:rsidP="00C11580">
      <w:pPr>
        <w:spacing w:after="120" w:line="240" w:lineRule="auto"/>
        <w:rPr>
          <w:rFonts w:ascii="Times New Roman" w:hAnsi="Times New Roman"/>
          <w:sz w:val="24"/>
          <w:szCs w:val="24"/>
          <w:u w:val="single"/>
        </w:rPr>
      </w:pPr>
      <w:r w:rsidRPr="0085073C">
        <w:rPr>
          <w:rFonts w:ascii="Times New Roman" w:hAnsi="Times New Roman"/>
          <w:sz w:val="24"/>
          <w:szCs w:val="24"/>
          <w:u w:val="single"/>
        </w:rPr>
        <w:t>11</w:t>
      </w:r>
      <w:r w:rsidRPr="0085073C">
        <w:rPr>
          <w:rFonts w:ascii="Times New Roman" w:hAnsi="Times New Roman"/>
          <w:sz w:val="24"/>
          <w:szCs w:val="24"/>
          <w:u w:val="single"/>
        </w:rPr>
        <w:tab/>
        <w:t>Baseline harvest information</w:t>
      </w:r>
    </w:p>
    <w:p w:rsidR="00857E12" w:rsidRPr="0085073C" w:rsidRDefault="00F847F0" w:rsidP="00C11580">
      <w:pPr>
        <w:spacing w:after="120" w:line="240" w:lineRule="auto"/>
        <w:rPr>
          <w:rFonts w:ascii="Times New Roman" w:hAnsi="Times New Roman"/>
          <w:sz w:val="24"/>
          <w:szCs w:val="24"/>
        </w:rPr>
      </w:pPr>
      <w:r w:rsidRPr="0085073C">
        <w:rPr>
          <w:rFonts w:ascii="Times New Roman" w:hAnsi="Times New Roman"/>
          <w:sz w:val="24"/>
          <w:szCs w:val="24"/>
        </w:rPr>
        <w:t>Section 11 lists the baseline harvest information that the project proponent must provide to the Regulator. The information is needed in Part 4 to calculate the baseline.</w:t>
      </w:r>
    </w:p>
    <w:p w:rsidR="00857E12" w:rsidRPr="0085073C" w:rsidRDefault="00F847F0" w:rsidP="00C11580">
      <w:pPr>
        <w:spacing w:after="120" w:line="240" w:lineRule="auto"/>
        <w:rPr>
          <w:rFonts w:ascii="Times New Roman" w:hAnsi="Times New Roman"/>
          <w:sz w:val="24"/>
          <w:szCs w:val="24"/>
        </w:rPr>
      </w:pPr>
      <w:r w:rsidRPr="0085073C">
        <w:rPr>
          <w:rFonts w:ascii="Times New Roman" w:hAnsi="Times New Roman"/>
          <w:sz w:val="24"/>
          <w:szCs w:val="24"/>
        </w:rPr>
        <w:t>The information relates to the harvest events that would occur in the project area in the baseline, i.e. if the project were not carried out. The project ‘avoids’ these events.</w:t>
      </w:r>
    </w:p>
    <w:p w:rsidR="004E147D" w:rsidRPr="0085073C" w:rsidRDefault="00F847F0" w:rsidP="00C11580">
      <w:pPr>
        <w:spacing w:after="120" w:line="240" w:lineRule="auto"/>
        <w:rPr>
          <w:rFonts w:ascii="Times New Roman" w:hAnsi="Times New Roman"/>
          <w:sz w:val="24"/>
          <w:szCs w:val="24"/>
        </w:rPr>
      </w:pPr>
      <w:r w:rsidRPr="0085073C">
        <w:rPr>
          <w:rFonts w:ascii="Times New Roman" w:hAnsi="Times New Roman"/>
          <w:sz w:val="24"/>
          <w:szCs w:val="24"/>
        </w:rPr>
        <w:t xml:space="preserve">The baseline is a ‘projected’ baseline, which means that it describes what would happen in the project area if the project were not carried out. The baseline does not describe events that have actually occurred. </w:t>
      </w:r>
    </w:p>
    <w:p w:rsidR="001109CF" w:rsidRPr="0085073C" w:rsidRDefault="00F847F0" w:rsidP="00C11580">
      <w:pPr>
        <w:spacing w:after="120" w:line="240" w:lineRule="auto"/>
        <w:rPr>
          <w:rFonts w:ascii="Times New Roman" w:hAnsi="Times New Roman"/>
          <w:sz w:val="24"/>
          <w:szCs w:val="24"/>
        </w:rPr>
      </w:pPr>
      <w:r w:rsidRPr="0085073C">
        <w:rPr>
          <w:rFonts w:ascii="Times New Roman" w:hAnsi="Times New Roman"/>
          <w:sz w:val="24"/>
          <w:szCs w:val="24"/>
        </w:rPr>
        <w:t>Note that the proportion of each harvested wood product, i.e. pulpwood or sawlog extracted from each land parcel is a proportion based on volume.</w:t>
      </w:r>
    </w:p>
    <w:p w:rsidR="004A6FF0" w:rsidRPr="0085073C" w:rsidRDefault="000B1607" w:rsidP="00C11580">
      <w:pPr>
        <w:spacing w:after="120" w:line="240" w:lineRule="auto"/>
        <w:rPr>
          <w:rFonts w:ascii="Times New Roman" w:hAnsi="Times New Roman"/>
          <w:sz w:val="24"/>
          <w:szCs w:val="24"/>
        </w:rPr>
      </w:pPr>
    </w:p>
    <w:p w:rsidR="00D759DB" w:rsidRPr="0085073C" w:rsidRDefault="00F847F0" w:rsidP="00C11580">
      <w:pPr>
        <w:spacing w:after="120" w:line="240" w:lineRule="auto"/>
        <w:rPr>
          <w:rFonts w:ascii="Times New Roman" w:hAnsi="Times New Roman"/>
          <w:sz w:val="24"/>
          <w:szCs w:val="24"/>
          <w:u w:val="single"/>
        </w:rPr>
      </w:pPr>
      <w:r w:rsidRPr="0085073C">
        <w:rPr>
          <w:rFonts w:ascii="Times New Roman" w:hAnsi="Times New Roman"/>
          <w:sz w:val="24"/>
          <w:szCs w:val="24"/>
          <w:u w:val="single"/>
        </w:rPr>
        <w:t>12</w:t>
      </w:r>
      <w:r w:rsidRPr="0085073C">
        <w:rPr>
          <w:rFonts w:ascii="Times New Roman" w:hAnsi="Times New Roman"/>
          <w:sz w:val="24"/>
          <w:szCs w:val="24"/>
          <w:u w:val="single"/>
        </w:rPr>
        <w:tab/>
        <w:t>Project scenario information</w:t>
      </w:r>
    </w:p>
    <w:p w:rsidR="00D759DB" w:rsidRDefault="00F847F0" w:rsidP="00C11580">
      <w:pPr>
        <w:spacing w:after="120" w:line="240" w:lineRule="auto"/>
        <w:rPr>
          <w:rFonts w:ascii="Times New Roman" w:hAnsi="Times New Roman"/>
          <w:sz w:val="24"/>
          <w:szCs w:val="24"/>
        </w:rPr>
      </w:pPr>
      <w:r w:rsidRPr="0085073C">
        <w:rPr>
          <w:rFonts w:ascii="Times New Roman" w:hAnsi="Times New Roman"/>
          <w:sz w:val="24"/>
          <w:szCs w:val="24"/>
        </w:rPr>
        <w:t>Section 12 lists the project scenario information that the project proponent must provide to the Regulator. This information is used to calculate sequestration and emissions from natural disturbances in the project scenario.</w:t>
      </w:r>
    </w:p>
    <w:p w:rsidR="00856021" w:rsidRDefault="000B1607" w:rsidP="00C11580">
      <w:pPr>
        <w:spacing w:after="120" w:line="240" w:lineRule="auto"/>
        <w:rPr>
          <w:rFonts w:ascii="Times New Roman" w:hAnsi="Times New Roman"/>
          <w:sz w:val="24"/>
          <w:szCs w:val="24"/>
        </w:rPr>
      </w:pPr>
    </w:p>
    <w:p w:rsidR="00856021" w:rsidRPr="0085073C" w:rsidRDefault="000B1607" w:rsidP="00C11580">
      <w:pPr>
        <w:spacing w:after="120" w:line="240" w:lineRule="auto"/>
        <w:rPr>
          <w:rFonts w:ascii="Times New Roman" w:hAnsi="Times New Roman"/>
          <w:sz w:val="24"/>
          <w:szCs w:val="24"/>
        </w:rPr>
      </w:pPr>
    </w:p>
    <w:p w:rsidR="004A6FF0" w:rsidRPr="0085073C" w:rsidRDefault="000B1607" w:rsidP="00C11580">
      <w:pPr>
        <w:spacing w:after="120" w:line="240" w:lineRule="auto"/>
        <w:rPr>
          <w:rFonts w:ascii="Times New Roman" w:hAnsi="Times New Roman"/>
          <w:sz w:val="24"/>
          <w:szCs w:val="24"/>
        </w:rPr>
      </w:pPr>
    </w:p>
    <w:p w:rsidR="00FB76F8" w:rsidRPr="0085073C" w:rsidRDefault="00F847F0" w:rsidP="00C11580">
      <w:pPr>
        <w:spacing w:after="120" w:line="240" w:lineRule="auto"/>
        <w:rPr>
          <w:rFonts w:ascii="Times New Roman" w:hAnsi="Times New Roman"/>
          <w:b/>
          <w:sz w:val="24"/>
          <w:szCs w:val="24"/>
        </w:rPr>
      </w:pPr>
      <w:r w:rsidRPr="0085073C">
        <w:rPr>
          <w:rFonts w:ascii="Times New Roman" w:hAnsi="Times New Roman"/>
          <w:b/>
          <w:sz w:val="24"/>
          <w:szCs w:val="24"/>
        </w:rPr>
        <w:lastRenderedPageBreak/>
        <w:t>Division 3</w:t>
      </w:r>
      <w:r w:rsidRPr="0085073C">
        <w:rPr>
          <w:rFonts w:ascii="Times New Roman" w:hAnsi="Times New Roman"/>
          <w:b/>
          <w:sz w:val="24"/>
          <w:szCs w:val="24"/>
        </w:rPr>
        <w:tab/>
        <w:t>Other requirements</w:t>
      </w:r>
    </w:p>
    <w:p w:rsidR="000E51EE" w:rsidRPr="0085073C" w:rsidRDefault="00F847F0" w:rsidP="000E51EE">
      <w:pPr>
        <w:spacing w:after="120" w:line="240" w:lineRule="auto"/>
        <w:rPr>
          <w:rFonts w:ascii="Times New Roman" w:hAnsi="Times New Roman"/>
          <w:sz w:val="24"/>
          <w:szCs w:val="24"/>
          <w:u w:val="single"/>
        </w:rPr>
      </w:pPr>
      <w:r w:rsidRPr="0085073C">
        <w:rPr>
          <w:rFonts w:ascii="Times New Roman" w:hAnsi="Times New Roman"/>
          <w:sz w:val="24"/>
          <w:szCs w:val="24"/>
          <w:u w:val="single"/>
        </w:rPr>
        <w:t>13</w:t>
      </w:r>
      <w:r w:rsidRPr="0085073C">
        <w:rPr>
          <w:rFonts w:ascii="Times New Roman" w:hAnsi="Times New Roman"/>
          <w:sz w:val="24"/>
          <w:szCs w:val="24"/>
          <w:u w:val="single"/>
        </w:rPr>
        <w:tab/>
        <w:t>Verified Carbon Units</w:t>
      </w:r>
    </w:p>
    <w:p w:rsidR="000E51EE" w:rsidRPr="0085073C" w:rsidRDefault="00F847F0" w:rsidP="000E51EE">
      <w:pPr>
        <w:spacing w:after="120" w:line="240" w:lineRule="auto"/>
        <w:rPr>
          <w:rFonts w:ascii="Times New Roman" w:hAnsi="Times New Roman"/>
          <w:sz w:val="24"/>
          <w:szCs w:val="24"/>
        </w:rPr>
      </w:pPr>
      <w:r w:rsidRPr="0085073C">
        <w:rPr>
          <w:rFonts w:ascii="Times New Roman" w:hAnsi="Times New Roman"/>
          <w:sz w:val="24"/>
          <w:szCs w:val="24"/>
        </w:rPr>
        <w:t>Paragraph 13(a) provides that the project proponent must provide the Regulator with evidence of the most recent day in respect of which Verified Carbon Units (VCUs) were issued for the project. VCUs are the units issued by the VCS to validated projects. All designated VCS projects have previously received VCUs. The note at the bottom of paragraph 13(a) provides an example:</w:t>
      </w:r>
    </w:p>
    <w:p w:rsidR="000E51EE" w:rsidRPr="0085073C" w:rsidRDefault="00F847F0" w:rsidP="000E51EE">
      <w:pPr>
        <w:spacing w:after="120" w:line="240" w:lineRule="auto"/>
        <w:ind w:left="720"/>
        <w:rPr>
          <w:rFonts w:ascii="Times New Roman" w:hAnsi="Times New Roman"/>
          <w:sz w:val="24"/>
          <w:szCs w:val="24"/>
        </w:rPr>
      </w:pPr>
      <w:r w:rsidRPr="0085073C">
        <w:rPr>
          <w:rFonts w:ascii="Times New Roman" w:hAnsi="Times New Roman"/>
          <w:sz w:val="24"/>
          <w:szCs w:val="24"/>
        </w:rPr>
        <w:t>For example, if VCUs were issued for the project for abatement occurring between 1 July 2011 and 30 June 2012, the most recent day in respect of which VCUs were issued for the project is 30 June 2012.</w:t>
      </w:r>
    </w:p>
    <w:p w:rsidR="00E12594" w:rsidRPr="0085073C" w:rsidRDefault="00F847F0" w:rsidP="000E51EE">
      <w:pPr>
        <w:spacing w:after="120" w:line="240" w:lineRule="auto"/>
        <w:rPr>
          <w:rFonts w:ascii="Times New Roman" w:hAnsi="Times New Roman"/>
          <w:sz w:val="24"/>
          <w:szCs w:val="24"/>
        </w:rPr>
      </w:pPr>
      <w:r w:rsidRPr="0085073C">
        <w:rPr>
          <w:rFonts w:ascii="Times New Roman" w:hAnsi="Times New Roman"/>
          <w:sz w:val="24"/>
          <w:szCs w:val="24"/>
        </w:rPr>
        <w:t xml:space="preserve">Paragraph 13(b) provides that the project proponent must provide the Regulator with evidence of the number of VCUs issued for the project. Paragraphs 13(c) and (d) provide that the project proponent must provide the Regulator with evidence of the VCS project start date and the VCS modelling period. These values are used in Equation 17 when calculating net baseline emissions. </w:t>
      </w:r>
    </w:p>
    <w:p w:rsidR="00E12594" w:rsidRPr="0085073C" w:rsidRDefault="00F847F0" w:rsidP="000E51EE">
      <w:pPr>
        <w:spacing w:after="120" w:line="240" w:lineRule="auto"/>
        <w:rPr>
          <w:rFonts w:ascii="Times New Roman" w:hAnsi="Times New Roman"/>
          <w:sz w:val="24"/>
          <w:szCs w:val="24"/>
        </w:rPr>
      </w:pPr>
      <w:r w:rsidRPr="0085073C">
        <w:rPr>
          <w:rFonts w:ascii="Times New Roman" w:hAnsi="Times New Roman"/>
          <w:sz w:val="24"/>
          <w:szCs w:val="24"/>
        </w:rPr>
        <w:t>The rules in section 13 help avoid double counting, ensuring that abatement that has already been credited is not credited again under the Determination.</w:t>
      </w:r>
    </w:p>
    <w:p w:rsidR="004A6FF0" w:rsidRPr="0085073C" w:rsidRDefault="000B1607" w:rsidP="000E51EE">
      <w:pPr>
        <w:spacing w:after="120" w:line="240" w:lineRule="auto"/>
        <w:rPr>
          <w:rFonts w:ascii="Times New Roman" w:hAnsi="Times New Roman"/>
          <w:sz w:val="24"/>
          <w:szCs w:val="24"/>
        </w:rPr>
      </w:pPr>
    </w:p>
    <w:p w:rsidR="00FB76F8" w:rsidRPr="0085073C" w:rsidRDefault="00F847F0" w:rsidP="000E51EE">
      <w:pPr>
        <w:spacing w:after="120" w:line="240" w:lineRule="auto"/>
        <w:rPr>
          <w:rFonts w:ascii="Times New Roman" w:hAnsi="Times New Roman"/>
          <w:sz w:val="24"/>
          <w:szCs w:val="24"/>
          <w:u w:val="single"/>
        </w:rPr>
      </w:pPr>
      <w:r w:rsidRPr="0085073C">
        <w:rPr>
          <w:rFonts w:ascii="Times New Roman" w:hAnsi="Times New Roman"/>
          <w:sz w:val="24"/>
          <w:szCs w:val="24"/>
          <w:u w:val="single"/>
        </w:rPr>
        <w:t>14</w:t>
      </w:r>
      <w:r w:rsidRPr="0085073C">
        <w:rPr>
          <w:rFonts w:ascii="Times New Roman" w:hAnsi="Times New Roman"/>
          <w:sz w:val="24"/>
          <w:szCs w:val="24"/>
          <w:u w:val="single"/>
        </w:rPr>
        <w:tab/>
        <w:t>No re-harvest events</w:t>
      </w:r>
    </w:p>
    <w:p w:rsidR="00FB76F8" w:rsidRPr="0085073C" w:rsidRDefault="00F847F0" w:rsidP="00FB76F8">
      <w:pPr>
        <w:spacing w:after="120" w:line="240" w:lineRule="auto"/>
        <w:rPr>
          <w:rFonts w:ascii="Times New Roman" w:hAnsi="Times New Roman"/>
          <w:sz w:val="24"/>
          <w:szCs w:val="24"/>
        </w:rPr>
      </w:pPr>
      <w:r w:rsidRPr="0085073C">
        <w:rPr>
          <w:rFonts w:ascii="Times New Roman" w:hAnsi="Times New Roman"/>
          <w:sz w:val="24"/>
          <w:szCs w:val="24"/>
        </w:rPr>
        <w:t>Section 14 provides that in the baseline, a land parcel may be scheduled for harvest in only one year in the crediting period.</w:t>
      </w:r>
    </w:p>
    <w:p w:rsidR="004A6FF0" w:rsidRPr="0085073C" w:rsidRDefault="000B1607" w:rsidP="00FB76F8">
      <w:pPr>
        <w:spacing w:after="120" w:line="240" w:lineRule="auto"/>
        <w:rPr>
          <w:rFonts w:ascii="Times New Roman" w:hAnsi="Times New Roman"/>
          <w:sz w:val="24"/>
          <w:szCs w:val="24"/>
        </w:rPr>
      </w:pPr>
    </w:p>
    <w:p w:rsidR="00FB76F8" w:rsidRPr="0085073C" w:rsidRDefault="00F847F0" w:rsidP="00FB76F8">
      <w:pPr>
        <w:spacing w:after="120" w:line="240" w:lineRule="auto"/>
        <w:rPr>
          <w:rFonts w:ascii="Times New Roman" w:hAnsi="Times New Roman"/>
          <w:sz w:val="24"/>
          <w:szCs w:val="24"/>
          <w:u w:val="single"/>
        </w:rPr>
      </w:pPr>
      <w:r w:rsidRPr="0085073C">
        <w:rPr>
          <w:rFonts w:ascii="Times New Roman" w:hAnsi="Times New Roman"/>
          <w:sz w:val="24"/>
          <w:szCs w:val="24"/>
          <w:u w:val="single"/>
        </w:rPr>
        <w:t>15</w:t>
      </w:r>
      <w:r w:rsidRPr="0085073C">
        <w:rPr>
          <w:rFonts w:ascii="Times New Roman" w:hAnsi="Times New Roman"/>
          <w:sz w:val="24"/>
          <w:szCs w:val="24"/>
          <w:u w:val="single"/>
        </w:rPr>
        <w:tab/>
        <w:t>No land conversion events</w:t>
      </w:r>
    </w:p>
    <w:p w:rsidR="000B3B74" w:rsidRPr="0085073C" w:rsidRDefault="00F847F0" w:rsidP="000B3B74">
      <w:pPr>
        <w:spacing w:after="120" w:line="240" w:lineRule="auto"/>
        <w:rPr>
          <w:rFonts w:ascii="Times New Roman" w:hAnsi="Times New Roman"/>
          <w:sz w:val="24"/>
          <w:szCs w:val="24"/>
        </w:rPr>
      </w:pPr>
      <w:r w:rsidRPr="0085073C">
        <w:rPr>
          <w:rFonts w:ascii="Times New Roman" w:hAnsi="Times New Roman"/>
          <w:sz w:val="24"/>
          <w:szCs w:val="24"/>
        </w:rPr>
        <w:t>Section 15 provides that in the baseline, a land parcel must not be scheduled for harvest with the result that the land parcel is converted to a non-forest land use. The avoidance of conversion of forest to a non-forest land use is covered by other methodology determinations.</w:t>
      </w:r>
    </w:p>
    <w:p w:rsidR="004A6FF0" w:rsidRPr="0085073C" w:rsidRDefault="000B1607" w:rsidP="000B3B74">
      <w:pPr>
        <w:spacing w:after="120" w:line="240" w:lineRule="auto"/>
        <w:rPr>
          <w:rFonts w:ascii="Times New Roman" w:hAnsi="Times New Roman"/>
          <w:sz w:val="24"/>
          <w:szCs w:val="24"/>
        </w:rPr>
      </w:pPr>
    </w:p>
    <w:p w:rsidR="000C5A6E" w:rsidRPr="0085073C" w:rsidRDefault="00F847F0" w:rsidP="000B3B74">
      <w:pPr>
        <w:spacing w:after="120" w:line="240" w:lineRule="auto"/>
        <w:rPr>
          <w:rFonts w:ascii="Times New Roman" w:hAnsi="Times New Roman"/>
          <w:sz w:val="24"/>
          <w:szCs w:val="24"/>
          <w:u w:val="single"/>
        </w:rPr>
      </w:pPr>
      <w:r w:rsidRPr="0085073C">
        <w:rPr>
          <w:rFonts w:ascii="Times New Roman" w:hAnsi="Times New Roman"/>
          <w:sz w:val="24"/>
          <w:szCs w:val="24"/>
          <w:u w:val="single"/>
        </w:rPr>
        <w:t>16</w:t>
      </w:r>
      <w:r w:rsidRPr="0085073C">
        <w:rPr>
          <w:rFonts w:ascii="Times New Roman" w:hAnsi="Times New Roman"/>
          <w:sz w:val="24"/>
          <w:szCs w:val="24"/>
          <w:u w:val="single"/>
        </w:rPr>
        <w:tab/>
        <w:t>No harvest events after 2028</w:t>
      </w:r>
    </w:p>
    <w:p w:rsidR="000C5A6E" w:rsidRPr="0085073C" w:rsidRDefault="00F847F0" w:rsidP="000B3B74">
      <w:pPr>
        <w:spacing w:after="120" w:line="240" w:lineRule="auto"/>
        <w:rPr>
          <w:rFonts w:ascii="Times New Roman" w:hAnsi="Times New Roman"/>
          <w:sz w:val="24"/>
          <w:szCs w:val="24"/>
        </w:rPr>
      </w:pPr>
      <w:r w:rsidRPr="0085073C">
        <w:rPr>
          <w:rFonts w:ascii="Times New Roman" w:hAnsi="Times New Roman"/>
          <w:sz w:val="24"/>
          <w:szCs w:val="24"/>
        </w:rPr>
        <w:t>Section 16 provides that in the baseline, a land parcel must not be scheduled for harvest after 31 December 2028.</w:t>
      </w:r>
    </w:p>
    <w:p w:rsidR="004A6FF0" w:rsidRPr="0085073C" w:rsidRDefault="000B1607" w:rsidP="000B3B74">
      <w:pPr>
        <w:spacing w:after="120" w:line="240" w:lineRule="auto"/>
        <w:rPr>
          <w:rFonts w:ascii="Times New Roman" w:hAnsi="Times New Roman"/>
          <w:sz w:val="24"/>
          <w:szCs w:val="24"/>
        </w:rPr>
      </w:pPr>
    </w:p>
    <w:p w:rsidR="000B3B74" w:rsidRPr="0085073C" w:rsidRDefault="00F847F0" w:rsidP="00022D00">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t>17</w:t>
      </w:r>
      <w:r w:rsidRPr="0085073C">
        <w:rPr>
          <w:rFonts w:ascii="Times New Roman" w:hAnsi="Times New Roman"/>
          <w:sz w:val="24"/>
          <w:szCs w:val="24"/>
          <w:u w:val="single"/>
        </w:rPr>
        <w:tab/>
        <w:t>No removal of live biomass</w:t>
      </w:r>
    </w:p>
    <w:p w:rsidR="000B3B74" w:rsidRPr="0085073C" w:rsidRDefault="00F847F0" w:rsidP="00022D00">
      <w:pPr>
        <w:keepNext/>
        <w:keepLines/>
        <w:spacing w:after="120" w:line="240" w:lineRule="auto"/>
        <w:rPr>
          <w:rFonts w:ascii="Times New Roman" w:hAnsi="Times New Roman"/>
          <w:sz w:val="24"/>
          <w:szCs w:val="24"/>
        </w:rPr>
      </w:pPr>
      <w:r w:rsidRPr="0085073C">
        <w:rPr>
          <w:rFonts w:ascii="Times New Roman" w:hAnsi="Times New Roman"/>
          <w:sz w:val="24"/>
          <w:szCs w:val="24"/>
        </w:rPr>
        <w:t>Subsection 17(1) provides that the project proponent must not remove living trees or other living biomass from the project area. This is because projects are credited for carbon stored in live trees.</w:t>
      </w:r>
    </w:p>
    <w:p w:rsidR="0085073C" w:rsidRPr="0085073C" w:rsidRDefault="00F847F0" w:rsidP="00022D00">
      <w:pPr>
        <w:keepNext/>
        <w:keepLines/>
        <w:spacing w:after="120" w:line="240" w:lineRule="auto"/>
        <w:rPr>
          <w:rFonts w:ascii="Times New Roman" w:hAnsi="Times New Roman"/>
          <w:sz w:val="24"/>
          <w:szCs w:val="24"/>
        </w:rPr>
      </w:pPr>
      <w:r w:rsidRPr="0085073C">
        <w:rPr>
          <w:rFonts w:ascii="Times New Roman" w:hAnsi="Times New Roman"/>
          <w:sz w:val="24"/>
          <w:szCs w:val="24"/>
        </w:rPr>
        <w:t>Subsection 17(2) provides that dead wood may be removed from the project area. For example, dead wood may be removed from the project area and sold as firewood.</w:t>
      </w:r>
    </w:p>
    <w:p w:rsidR="0085073C" w:rsidRPr="0085073C" w:rsidRDefault="00F847F0" w:rsidP="00022D00">
      <w:pPr>
        <w:keepNext/>
        <w:keepLines/>
        <w:spacing w:after="120" w:line="240" w:lineRule="auto"/>
        <w:rPr>
          <w:rFonts w:ascii="Times New Roman" w:hAnsi="Times New Roman"/>
          <w:sz w:val="24"/>
          <w:szCs w:val="24"/>
        </w:rPr>
      </w:pPr>
      <w:r w:rsidRPr="0085073C">
        <w:rPr>
          <w:rFonts w:ascii="Times New Roman" w:hAnsi="Times New Roman"/>
          <w:sz w:val="24"/>
          <w:szCs w:val="24"/>
        </w:rPr>
        <w:t>Subsection 17(3) provides that thinning is not permitted in the project area. This is because projects are credited for carbon stored in live trees.</w:t>
      </w:r>
    </w:p>
    <w:p w:rsidR="0085073C" w:rsidRPr="0085073C" w:rsidRDefault="000B1607" w:rsidP="00022D00">
      <w:pPr>
        <w:keepNext/>
        <w:keepLines/>
        <w:spacing w:after="120" w:line="240" w:lineRule="auto"/>
        <w:rPr>
          <w:rFonts w:ascii="Times New Roman" w:hAnsi="Times New Roman"/>
          <w:sz w:val="24"/>
          <w:szCs w:val="24"/>
        </w:rPr>
      </w:pPr>
    </w:p>
    <w:p w:rsidR="0096442D" w:rsidRPr="0085073C" w:rsidRDefault="00F847F0" w:rsidP="0096442D">
      <w:pPr>
        <w:pageBreakBefore/>
        <w:spacing w:after="120" w:line="240" w:lineRule="auto"/>
        <w:rPr>
          <w:rFonts w:ascii="Times New Roman" w:hAnsi="Times New Roman"/>
          <w:b/>
          <w:sz w:val="24"/>
          <w:szCs w:val="24"/>
        </w:rPr>
      </w:pPr>
      <w:r w:rsidRPr="0085073C">
        <w:rPr>
          <w:rFonts w:ascii="Times New Roman" w:hAnsi="Times New Roman"/>
          <w:b/>
          <w:sz w:val="24"/>
          <w:szCs w:val="24"/>
        </w:rPr>
        <w:lastRenderedPageBreak/>
        <w:t>Part 4</w:t>
      </w:r>
      <w:r w:rsidRPr="0085073C">
        <w:rPr>
          <w:rFonts w:ascii="Times New Roman" w:hAnsi="Times New Roman"/>
          <w:b/>
          <w:sz w:val="24"/>
          <w:szCs w:val="24"/>
        </w:rPr>
        <w:tab/>
      </w:r>
      <w:r w:rsidRPr="0085073C">
        <w:rPr>
          <w:rFonts w:ascii="Times New Roman" w:hAnsi="Times New Roman"/>
          <w:b/>
          <w:sz w:val="24"/>
          <w:szCs w:val="24"/>
        </w:rPr>
        <w:tab/>
        <w:t>Net abatement amount</w:t>
      </w:r>
    </w:p>
    <w:p w:rsidR="0096442D" w:rsidRPr="0085073C" w:rsidRDefault="00F847F0" w:rsidP="0096442D">
      <w:pPr>
        <w:spacing w:after="120" w:line="240" w:lineRule="auto"/>
        <w:rPr>
          <w:rFonts w:ascii="Times New Roman" w:hAnsi="Times New Roman"/>
          <w:b/>
          <w:sz w:val="24"/>
          <w:szCs w:val="24"/>
        </w:rPr>
      </w:pPr>
      <w:r w:rsidRPr="0085073C">
        <w:rPr>
          <w:rFonts w:ascii="Times New Roman" w:hAnsi="Times New Roman"/>
          <w:b/>
          <w:sz w:val="24"/>
          <w:szCs w:val="24"/>
        </w:rPr>
        <w:t>Division 1</w:t>
      </w:r>
      <w:r w:rsidRPr="0085073C">
        <w:rPr>
          <w:rFonts w:ascii="Times New Roman" w:hAnsi="Times New Roman"/>
          <w:b/>
          <w:sz w:val="24"/>
          <w:szCs w:val="24"/>
        </w:rPr>
        <w:tab/>
        <w:t>Operation of this Part</w:t>
      </w:r>
    </w:p>
    <w:p w:rsidR="008A6702" w:rsidRPr="0085073C" w:rsidRDefault="00F847F0" w:rsidP="0096442D">
      <w:pPr>
        <w:spacing w:after="120" w:line="240" w:lineRule="auto"/>
        <w:rPr>
          <w:rFonts w:ascii="Times New Roman" w:hAnsi="Times New Roman"/>
          <w:sz w:val="24"/>
          <w:szCs w:val="24"/>
          <w:u w:val="single"/>
        </w:rPr>
      </w:pPr>
      <w:r w:rsidRPr="0085073C">
        <w:rPr>
          <w:rFonts w:ascii="Times New Roman" w:hAnsi="Times New Roman"/>
          <w:sz w:val="24"/>
          <w:szCs w:val="24"/>
          <w:u w:val="single"/>
        </w:rPr>
        <w:t>18</w:t>
      </w:r>
      <w:r w:rsidRPr="0085073C">
        <w:rPr>
          <w:rFonts w:ascii="Times New Roman" w:hAnsi="Times New Roman"/>
          <w:sz w:val="24"/>
          <w:szCs w:val="24"/>
          <w:u w:val="single"/>
        </w:rPr>
        <w:tab/>
        <w:t>Operation of this Part</w:t>
      </w:r>
    </w:p>
    <w:p w:rsidR="00540478" w:rsidRPr="0085073C" w:rsidRDefault="00F847F0" w:rsidP="00540478">
      <w:pPr>
        <w:spacing w:after="120" w:line="240" w:lineRule="auto"/>
        <w:rPr>
          <w:rFonts w:ascii="Times New Roman" w:hAnsi="Times New Roman"/>
          <w:sz w:val="24"/>
          <w:szCs w:val="24"/>
        </w:rPr>
      </w:pPr>
      <w:r w:rsidRPr="0085073C">
        <w:rPr>
          <w:rFonts w:ascii="Times New Roman" w:hAnsi="Times New Roman"/>
          <w:sz w:val="24"/>
          <w:szCs w:val="24"/>
        </w:rPr>
        <w:t>Section 18 provides that, for paragraph 106(1)(c) of the Act, Part 4 specifies a method for working out the carbon dioxide equivalent net abatement amount for a reporting period for a designated Verified Carbon Standard project that is an eligible offsets project.</w:t>
      </w:r>
    </w:p>
    <w:p w:rsidR="00540478" w:rsidRPr="0085073C" w:rsidRDefault="00F847F0" w:rsidP="00540478">
      <w:pPr>
        <w:pStyle w:val="paragraph"/>
      </w:pPr>
      <w:r w:rsidRPr="0085073C">
        <w:t>Paragraph 106(1)(c) of the Act provides that the carbon dioxide equivalent net abatement amount for a project in relation to a reporting period for the project is taken, for the purposes of the Act, to be equal to the amount ascertained using a method specified in, or ascertained in accordance with, the Determination.</w:t>
      </w:r>
    </w:p>
    <w:p w:rsidR="00C05978" w:rsidRPr="0085073C" w:rsidRDefault="00F847F0" w:rsidP="00540478">
      <w:pPr>
        <w:pStyle w:val="paragraph"/>
      </w:pPr>
      <w:r w:rsidRPr="0085073C">
        <w:t xml:space="preserve">A flow diagram of the method used in the Determination to ascertain the net abatement amount is at </w:t>
      </w:r>
      <w:r w:rsidRPr="0085073C">
        <w:rPr>
          <w:u w:val="single"/>
        </w:rPr>
        <w:t>Attachment B</w:t>
      </w:r>
      <w:r w:rsidRPr="0085073C">
        <w:t>.</w:t>
      </w:r>
    </w:p>
    <w:p w:rsidR="00670E21" w:rsidRPr="0085073C" w:rsidRDefault="000B1607" w:rsidP="0096442D">
      <w:pPr>
        <w:spacing w:after="120" w:line="240" w:lineRule="auto"/>
        <w:rPr>
          <w:rFonts w:ascii="Times New Roman" w:hAnsi="Times New Roman"/>
          <w:sz w:val="24"/>
          <w:szCs w:val="24"/>
          <w:u w:val="single"/>
        </w:rPr>
      </w:pPr>
    </w:p>
    <w:p w:rsidR="008967AE" w:rsidRPr="0085073C" w:rsidRDefault="00F847F0" w:rsidP="0096442D">
      <w:pPr>
        <w:spacing w:after="120" w:line="240" w:lineRule="auto"/>
        <w:rPr>
          <w:rFonts w:ascii="Times New Roman" w:hAnsi="Times New Roman"/>
          <w:sz w:val="24"/>
          <w:szCs w:val="24"/>
          <w:u w:val="single"/>
        </w:rPr>
      </w:pPr>
      <w:r w:rsidRPr="0085073C">
        <w:rPr>
          <w:rFonts w:ascii="Times New Roman" w:hAnsi="Times New Roman"/>
          <w:sz w:val="24"/>
          <w:szCs w:val="24"/>
          <w:u w:val="single"/>
        </w:rPr>
        <w:t>19</w:t>
      </w:r>
      <w:r w:rsidRPr="0085073C">
        <w:rPr>
          <w:rFonts w:ascii="Times New Roman" w:hAnsi="Times New Roman"/>
          <w:sz w:val="24"/>
          <w:szCs w:val="24"/>
          <w:u w:val="single"/>
        </w:rPr>
        <w:tab/>
        <w:t>References to factors and parameters from external sources</w:t>
      </w:r>
    </w:p>
    <w:p w:rsidR="00670E21" w:rsidRPr="0085073C" w:rsidRDefault="00F847F0" w:rsidP="00F670AD">
      <w:pPr>
        <w:spacing w:after="120" w:line="240" w:lineRule="auto"/>
        <w:rPr>
          <w:rFonts w:ascii="Times New Roman" w:hAnsi="Times New Roman"/>
          <w:sz w:val="24"/>
          <w:szCs w:val="24"/>
        </w:rPr>
      </w:pPr>
      <w:r w:rsidRPr="0085073C">
        <w:rPr>
          <w:rFonts w:ascii="Times New Roman" w:hAnsi="Times New Roman"/>
          <w:sz w:val="24"/>
          <w:szCs w:val="24"/>
        </w:rPr>
        <w:t>Section 19 is a standard provision common to several methodology determinations.</w:t>
      </w:r>
    </w:p>
    <w:p w:rsidR="00F670AD" w:rsidRPr="0085073C" w:rsidRDefault="00F847F0" w:rsidP="00F670AD">
      <w:pPr>
        <w:spacing w:after="120" w:line="240" w:lineRule="auto"/>
        <w:rPr>
          <w:rFonts w:ascii="Times New Roman" w:hAnsi="Times New Roman"/>
          <w:sz w:val="24"/>
          <w:szCs w:val="24"/>
        </w:rPr>
      </w:pPr>
      <w:r w:rsidRPr="0085073C">
        <w:rPr>
          <w:rFonts w:ascii="Times New Roman" w:hAnsi="Times New Roman"/>
          <w:sz w:val="24"/>
          <w:szCs w:val="24"/>
        </w:rPr>
        <w:t>Subsection 19(1) provide</w:t>
      </w:r>
      <w:r>
        <w:rPr>
          <w:rFonts w:ascii="Times New Roman" w:hAnsi="Times New Roman"/>
          <w:sz w:val="24"/>
          <w:szCs w:val="24"/>
        </w:rPr>
        <w:t>s that if a calculation in the D</w:t>
      </w:r>
      <w:r w:rsidRPr="0085073C">
        <w:rPr>
          <w:rFonts w:ascii="Times New Roman" w:hAnsi="Times New Roman"/>
          <w:sz w:val="24"/>
          <w:szCs w:val="24"/>
        </w:rPr>
        <w:t>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 For example, if a calculation requires a parameter from the NGER Measurement Determination, the parameter used must be from the version of the NGER Measurement Determination at the end of the reporting period.</w:t>
      </w:r>
    </w:p>
    <w:p w:rsidR="008967AE" w:rsidRPr="0085073C" w:rsidRDefault="00F847F0" w:rsidP="0096442D">
      <w:pPr>
        <w:spacing w:after="120" w:line="240" w:lineRule="auto"/>
        <w:rPr>
          <w:rFonts w:ascii="Times New Roman" w:hAnsi="Times New Roman"/>
          <w:sz w:val="24"/>
          <w:szCs w:val="24"/>
        </w:rPr>
      </w:pPr>
      <w:r w:rsidRPr="0085073C">
        <w:rPr>
          <w:rFonts w:ascii="Times New Roman" w:hAnsi="Times New Roman"/>
          <w:sz w:val="24"/>
          <w:szCs w:val="24"/>
        </w:rPr>
        <w:t>Subsection 19(2) provides that the rule in subsecti</w:t>
      </w:r>
      <w:r>
        <w:rPr>
          <w:rFonts w:ascii="Times New Roman" w:hAnsi="Times New Roman"/>
          <w:sz w:val="24"/>
          <w:szCs w:val="24"/>
        </w:rPr>
        <w:t>on 19(1) does not apply if the D</w:t>
      </w:r>
      <w:r w:rsidRPr="0085073C">
        <w:rPr>
          <w:rFonts w:ascii="Times New Roman" w:hAnsi="Times New Roman"/>
          <w:sz w:val="24"/>
          <w:szCs w:val="24"/>
        </w:rPr>
        <w:t>etermination specifies otherwise or it is not possible to define or calculate the factor or parameter to the instrument or writing as in force at the end of the crediting period.</w:t>
      </w:r>
    </w:p>
    <w:p w:rsidR="00FA0A4D" w:rsidRPr="0085073C" w:rsidRDefault="000B1607" w:rsidP="0096442D">
      <w:pPr>
        <w:spacing w:after="120" w:line="240" w:lineRule="auto"/>
        <w:rPr>
          <w:rFonts w:ascii="Times New Roman" w:hAnsi="Times New Roman"/>
          <w:sz w:val="24"/>
          <w:szCs w:val="24"/>
        </w:rPr>
      </w:pPr>
    </w:p>
    <w:p w:rsidR="005603DE" w:rsidRPr="0085073C" w:rsidRDefault="00F847F0" w:rsidP="0096442D">
      <w:pPr>
        <w:spacing w:after="120" w:line="240" w:lineRule="auto"/>
        <w:rPr>
          <w:rFonts w:ascii="Times New Roman" w:hAnsi="Times New Roman"/>
          <w:b/>
          <w:sz w:val="24"/>
          <w:szCs w:val="24"/>
        </w:rPr>
      </w:pPr>
      <w:r w:rsidRPr="0085073C">
        <w:rPr>
          <w:rFonts w:ascii="Times New Roman" w:hAnsi="Times New Roman"/>
          <w:b/>
          <w:sz w:val="24"/>
          <w:szCs w:val="24"/>
        </w:rPr>
        <w:t>Division 2</w:t>
      </w:r>
      <w:r w:rsidRPr="0085073C">
        <w:rPr>
          <w:rFonts w:ascii="Times New Roman" w:hAnsi="Times New Roman"/>
          <w:b/>
          <w:sz w:val="24"/>
          <w:szCs w:val="24"/>
        </w:rPr>
        <w:tab/>
        <w:t>Project commencement</w:t>
      </w:r>
    </w:p>
    <w:p w:rsidR="008A6702" w:rsidRPr="0085073C" w:rsidRDefault="00F847F0" w:rsidP="0096442D">
      <w:pPr>
        <w:spacing w:after="120" w:line="240" w:lineRule="auto"/>
        <w:rPr>
          <w:rFonts w:ascii="Times New Roman" w:hAnsi="Times New Roman"/>
          <w:sz w:val="24"/>
          <w:szCs w:val="24"/>
          <w:u w:val="single"/>
        </w:rPr>
      </w:pPr>
      <w:r w:rsidRPr="0085073C">
        <w:rPr>
          <w:rFonts w:ascii="Times New Roman" w:hAnsi="Times New Roman"/>
          <w:sz w:val="24"/>
          <w:szCs w:val="24"/>
          <w:u w:val="single"/>
        </w:rPr>
        <w:t>20</w:t>
      </w:r>
      <w:r w:rsidRPr="0085073C">
        <w:rPr>
          <w:rFonts w:ascii="Times New Roman" w:hAnsi="Times New Roman"/>
          <w:sz w:val="24"/>
          <w:szCs w:val="24"/>
          <w:u w:val="single"/>
        </w:rPr>
        <w:tab/>
        <w:t>Project commencement</w:t>
      </w:r>
    </w:p>
    <w:p w:rsidR="00AF054D" w:rsidRPr="0085073C" w:rsidRDefault="00F847F0" w:rsidP="00AF054D">
      <w:pPr>
        <w:spacing w:after="120" w:line="240" w:lineRule="auto"/>
        <w:rPr>
          <w:rFonts w:ascii="Times New Roman" w:hAnsi="Times New Roman"/>
          <w:sz w:val="24"/>
          <w:szCs w:val="24"/>
        </w:rPr>
      </w:pPr>
      <w:r w:rsidRPr="0085073C">
        <w:rPr>
          <w:rFonts w:ascii="Times New Roman" w:hAnsi="Times New Roman"/>
          <w:sz w:val="24"/>
          <w:szCs w:val="24"/>
        </w:rPr>
        <w:t>Section 20 provides that projects implementing the Determination commence on the later of 1 January 2013, or the day after the most recent day in respect of which VCUs were issued for the project.</w:t>
      </w:r>
    </w:p>
    <w:p w:rsidR="00AF054D" w:rsidRPr="0085073C" w:rsidRDefault="00F847F0" w:rsidP="0096442D">
      <w:pPr>
        <w:spacing w:after="120" w:line="240" w:lineRule="auto"/>
        <w:rPr>
          <w:rFonts w:ascii="Times New Roman" w:hAnsi="Times New Roman"/>
          <w:sz w:val="24"/>
          <w:szCs w:val="24"/>
        </w:rPr>
      </w:pPr>
      <w:r w:rsidRPr="0085073C">
        <w:rPr>
          <w:rFonts w:ascii="Times New Roman" w:hAnsi="Times New Roman"/>
          <w:sz w:val="24"/>
          <w:szCs w:val="24"/>
        </w:rPr>
        <w:t xml:space="preserve">This provision is consistent with section 388A of the </w:t>
      </w:r>
      <w:r w:rsidRPr="0085073C">
        <w:rPr>
          <w:rFonts w:ascii="Times New Roman" w:hAnsi="Times New Roman"/>
          <w:i/>
          <w:sz w:val="24"/>
          <w:szCs w:val="24"/>
        </w:rPr>
        <w:t xml:space="preserve">Carbon Farming Initiative Amendment Act 2014 </w:t>
      </w:r>
      <w:r w:rsidRPr="0085073C">
        <w:rPr>
          <w:rFonts w:ascii="Times New Roman" w:hAnsi="Times New Roman"/>
          <w:sz w:val="24"/>
          <w:szCs w:val="24"/>
        </w:rPr>
        <w:t>(Transitional Rules for designated Verified Carbon Standard projects). Its effect is that projects can be ‘back-dated’ to as early as 1 January 2013, when Australia began accounting for emissions from forest management against its Kyoto target. However, where the VCS credited abatement generated by projects after 1 January 2013, the project may only be ‘back-dated’ to the day after that day. This avoids the double-crediting of abatement.</w:t>
      </w:r>
    </w:p>
    <w:p w:rsidR="00AF054D" w:rsidRPr="0085073C" w:rsidRDefault="00F847F0" w:rsidP="0096442D">
      <w:pPr>
        <w:spacing w:after="120" w:line="240" w:lineRule="auto"/>
        <w:rPr>
          <w:rFonts w:ascii="Times New Roman" w:hAnsi="Times New Roman"/>
          <w:sz w:val="24"/>
          <w:szCs w:val="24"/>
        </w:rPr>
      </w:pPr>
      <w:r w:rsidRPr="0085073C">
        <w:rPr>
          <w:rFonts w:ascii="Times New Roman" w:hAnsi="Times New Roman"/>
          <w:sz w:val="24"/>
          <w:szCs w:val="24"/>
        </w:rPr>
        <w:t>The note at the bottom of the section provides an example:</w:t>
      </w:r>
    </w:p>
    <w:p w:rsidR="008A6702" w:rsidRPr="0085073C" w:rsidRDefault="00F847F0" w:rsidP="00AF054D">
      <w:pPr>
        <w:spacing w:after="120" w:line="240" w:lineRule="auto"/>
        <w:ind w:left="720"/>
        <w:rPr>
          <w:rFonts w:ascii="Times New Roman" w:hAnsi="Times New Roman"/>
          <w:sz w:val="24"/>
          <w:szCs w:val="24"/>
        </w:rPr>
      </w:pPr>
      <w:r w:rsidRPr="0085073C">
        <w:rPr>
          <w:rFonts w:ascii="Times New Roman" w:hAnsi="Times New Roman"/>
          <w:sz w:val="24"/>
          <w:szCs w:val="24"/>
        </w:rPr>
        <w:t>For example, if VCUs were issued for the project in respect of abatement occurring until 30 March 2013, the project commences on 1 April 2013.</w:t>
      </w:r>
    </w:p>
    <w:p w:rsidR="00AF054D" w:rsidRPr="0085073C" w:rsidRDefault="00F847F0" w:rsidP="00AF054D">
      <w:pPr>
        <w:spacing w:after="120" w:line="240" w:lineRule="auto"/>
        <w:rPr>
          <w:rFonts w:ascii="Times New Roman" w:hAnsi="Times New Roman"/>
          <w:sz w:val="24"/>
          <w:szCs w:val="24"/>
        </w:rPr>
      </w:pPr>
      <w:r w:rsidRPr="0085073C">
        <w:rPr>
          <w:rFonts w:ascii="Times New Roman" w:hAnsi="Times New Roman"/>
          <w:sz w:val="24"/>
          <w:szCs w:val="24"/>
        </w:rPr>
        <w:lastRenderedPageBreak/>
        <w:t>Under section 388A of the Amendment Act, the crediting period begins at the same time as project commencement.</w:t>
      </w:r>
    </w:p>
    <w:p w:rsidR="00FA0A4D" w:rsidRPr="0085073C" w:rsidRDefault="000B1607" w:rsidP="00AF054D">
      <w:pPr>
        <w:spacing w:after="120" w:line="240" w:lineRule="auto"/>
        <w:rPr>
          <w:rFonts w:ascii="Times New Roman" w:hAnsi="Times New Roman"/>
          <w:b/>
          <w:sz w:val="24"/>
          <w:szCs w:val="24"/>
        </w:rPr>
      </w:pPr>
    </w:p>
    <w:p w:rsidR="004F0627" w:rsidRPr="0085073C" w:rsidRDefault="00F847F0" w:rsidP="00AF054D">
      <w:pPr>
        <w:spacing w:after="120" w:line="240" w:lineRule="auto"/>
        <w:rPr>
          <w:rFonts w:ascii="Times New Roman" w:hAnsi="Times New Roman"/>
          <w:b/>
          <w:sz w:val="24"/>
          <w:szCs w:val="24"/>
        </w:rPr>
      </w:pPr>
      <w:r w:rsidRPr="0085073C">
        <w:rPr>
          <w:rFonts w:ascii="Times New Roman" w:hAnsi="Times New Roman"/>
          <w:b/>
          <w:sz w:val="24"/>
          <w:szCs w:val="24"/>
        </w:rPr>
        <w:t>Division 3</w:t>
      </w:r>
      <w:r w:rsidRPr="0085073C">
        <w:rPr>
          <w:rFonts w:ascii="Times New Roman" w:hAnsi="Times New Roman"/>
          <w:b/>
          <w:sz w:val="24"/>
          <w:szCs w:val="24"/>
        </w:rPr>
        <w:tab/>
        <w:t>Calculating net baseline emissions</w:t>
      </w:r>
    </w:p>
    <w:p w:rsidR="009564B8" w:rsidRPr="0085073C" w:rsidRDefault="00F847F0" w:rsidP="00AF054D">
      <w:pPr>
        <w:spacing w:after="120" w:line="240" w:lineRule="auto"/>
        <w:rPr>
          <w:rFonts w:ascii="Times New Roman" w:hAnsi="Times New Roman"/>
          <w:b/>
          <w:sz w:val="24"/>
          <w:szCs w:val="24"/>
        </w:rPr>
      </w:pPr>
      <w:r w:rsidRPr="0085073C">
        <w:rPr>
          <w:rFonts w:ascii="Times New Roman" w:hAnsi="Times New Roman"/>
          <w:b/>
          <w:sz w:val="24"/>
          <w:szCs w:val="24"/>
        </w:rPr>
        <w:t>Subdivision 1</w:t>
      </w:r>
      <w:r w:rsidRPr="0085073C">
        <w:rPr>
          <w:rFonts w:ascii="Times New Roman" w:hAnsi="Times New Roman"/>
          <w:b/>
          <w:sz w:val="24"/>
          <w:szCs w:val="24"/>
        </w:rPr>
        <w:tab/>
      </w:r>
      <w:r w:rsidRPr="0085073C">
        <w:rPr>
          <w:rFonts w:ascii="Times New Roman" w:hAnsi="Times New Roman"/>
          <w:b/>
          <w:sz w:val="24"/>
          <w:szCs w:val="24"/>
        </w:rPr>
        <w:tab/>
        <w:t>General</w:t>
      </w:r>
    </w:p>
    <w:p w:rsidR="004F0627" w:rsidRPr="0085073C" w:rsidRDefault="00F847F0" w:rsidP="00AF054D">
      <w:pPr>
        <w:spacing w:after="120" w:line="240" w:lineRule="auto"/>
        <w:rPr>
          <w:rFonts w:ascii="Times New Roman" w:hAnsi="Times New Roman"/>
          <w:sz w:val="24"/>
          <w:szCs w:val="24"/>
          <w:u w:val="single"/>
        </w:rPr>
      </w:pPr>
      <w:r w:rsidRPr="0085073C">
        <w:rPr>
          <w:rFonts w:ascii="Times New Roman" w:hAnsi="Times New Roman"/>
          <w:sz w:val="24"/>
          <w:szCs w:val="24"/>
          <w:u w:val="single"/>
        </w:rPr>
        <w:t>21</w:t>
      </w:r>
      <w:r w:rsidRPr="0085073C">
        <w:rPr>
          <w:rFonts w:ascii="Times New Roman" w:hAnsi="Times New Roman"/>
          <w:sz w:val="24"/>
          <w:szCs w:val="24"/>
          <w:u w:val="single"/>
        </w:rPr>
        <w:tab/>
        <w:t>General</w:t>
      </w:r>
    </w:p>
    <w:p w:rsidR="004F0627" w:rsidRPr="0085073C" w:rsidRDefault="00F847F0" w:rsidP="00AF054D">
      <w:pPr>
        <w:spacing w:after="120" w:line="240" w:lineRule="auto"/>
        <w:rPr>
          <w:rFonts w:ascii="Times New Roman" w:hAnsi="Times New Roman"/>
          <w:sz w:val="24"/>
          <w:szCs w:val="24"/>
        </w:rPr>
      </w:pPr>
      <w:r w:rsidRPr="0085073C">
        <w:rPr>
          <w:rFonts w:ascii="Times New Roman" w:hAnsi="Times New Roman"/>
          <w:sz w:val="24"/>
          <w:szCs w:val="24"/>
        </w:rPr>
        <w:t xml:space="preserve">Subsection 21(1) provides that the project proponent must calculate the project’s baseline emissions by completing the equations in Division 3. A flow diagram of the equations used to calculate the baseline is at </w:t>
      </w:r>
      <w:r w:rsidRPr="0085073C">
        <w:rPr>
          <w:rFonts w:ascii="Times New Roman" w:hAnsi="Times New Roman"/>
          <w:sz w:val="24"/>
          <w:szCs w:val="24"/>
          <w:u w:val="single"/>
        </w:rPr>
        <w:t>Attachment C</w:t>
      </w:r>
      <w:r w:rsidRPr="0085073C">
        <w:rPr>
          <w:rFonts w:ascii="Times New Roman" w:hAnsi="Times New Roman"/>
          <w:sz w:val="24"/>
          <w:szCs w:val="24"/>
        </w:rPr>
        <w:t>.</w:t>
      </w:r>
    </w:p>
    <w:p w:rsidR="00576D4B" w:rsidRPr="0085073C" w:rsidRDefault="00F847F0" w:rsidP="00AF054D">
      <w:pPr>
        <w:spacing w:after="120" w:line="240" w:lineRule="auto"/>
        <w:rPr>
          <w:rFonts w:ascii="Times New Roman" w:hAnsi="Times New Roman"/>
          <w:sz w:val="24"/>
          <w:szCs w:val="24"/>
        </w:rPr>
      </w:pPr>
      <w:r w:rsidRPr="0085073C">
        <w:rPr>
          <w:rFonts w:ascii="Times New Roman" w:hAnsi="Times New Roman"/>
          <w:sz w:val="24"/>
          <w:szCs w:val="24"/>
        </w:rPr>
        <w:t>The project’s baseline emissions are the emissions that would have occurred in the project area if the baseline harvest events had occurred. In the project scenario, neither the baseline harvest events nor the emissions associated with them occur.</w:t>
      </w:r>
    </w:p>
    <w:p w:rsidR="004F0627" w:rsidRPr="0085073C" w:rsidRDefault="00F847F0" w:rsidP="00AF054D">
      <w:pPr>
        <w:spacing w:after="120" w:line="240" w:lineRule="auto"/>
        <w:rPr>
          <w:rFonts w:ascii="Times New Roman" w:hAnsi="Times New Roman"/>
          <w:sz w:val="24"/>
          <w:szCs w:val="24"/>
        </w:rPr>
      </w:pPr>
      <w:r w:rsidRPr="0085073C">
        <w:rPr>
          <w:rFonts w:ascii="Times New Roman" w:hAnsi="Times New Roman"/>
          <w:sz w:val="24"/>
          <w:szCs w:val="24"/>
        </w:rPr>
        <w:t>Subsection 21(2) contains a table that shows where the information provided to the Regulator in accordance with Part 3 ‘feeds into’ calculating the net abatement amount.</w:t>
      </w:r>
    </w:p>
    <w:p w:rsidR="008B248D" w:rsidRPr="0085073C" w:rsidRDefault="000B1607" w:rsidP="00AF054D">
      <w:pPr>
        <w:spacing w:after="120" w:line="240" w:lineRule="auto"/>
        <w:rPr>
          <w:rFonts w:ascii="Times New Roman" w:hAnsi="Times New Roman"/>
          <w:sz w:val="24"/>
          <w:szCs w:val="24"/>
        </w:rPr>
      </w:pPr>
    </w:p>
    <w:p w:rsidR="00D12682" w:rsidRPr="0085073C" w:rsidRDefault="00F847F0" w:rsidP="00AF054D">
      <w:pPr>
        <w:spacing w:after="120" w:line="240" w:lineRule="auto"/>
        <w:rPr>
          <w:rFonts w:ascii="Times New Roman" w:hAnsi="Times New Roman"/>
          <w:b/>
          <w:sz w:val="24"/>
          <w:szCs w:val="24"/>
        </w:rPr>
      </w:pPr>
      <w:r w:rsidRPr="0085073C">
        <w:rPr>
          <w:rFonts w:ascii="Times New Roman" w:hAnsi="Times New Roman"/>
          <w:b/>
          <w:sz w:val="24"/>
          <w:szCs w:val="24"/>
        </w:rPr>
        <w:t>Subdivision 2</w:t>
      </w:r>
      <w:r w:rsidRPr="0085073C">
        <w:rPr>
          <w:rFonts w:ascii="Times New Roman" w:hAnsi="Times New Roman"/>
          <w:b/>
          <w:sz w:val="24"/>
          <w:szCs w:val="24"/>
        </w:rPr>
        <w:tab/>
        <w:t>Carbon stock extracted from project area</w:t>
      </w:r>
    </w:p>
    <w:p w:rsidR="00D12682" w:rsidRPr="0085073C" w:rsidRDefault="00F847F0" w:rsidP="00AF054D">
      <w:pPr>
        <w:spacing w:after="120" w:line="240" w:lineRule="auto"/>
        <w:rPr>
          <w:rFonts w:ascii="Times New Roman" w:hAnsi="Times New Roman"/>
          <w:sz w:val="24"/>
          <w:szCs w:val="24"/>
          <w:u w:val="single"/>
        </w:rPr>
      </w:pPr>
      <w:r w:rsidRPr="0085073C">
        <w:rPr>
          <w:rFonts w:ascii="Times New Roman" w:hAnsi="Times New Roman"/>
          <w:sz w:val="24"/>
          <w:szCs w:val="24"/>
          <w:u w:val="single"/>
        </w:rPr>
        <w:t>22</w:t>
      </w:r>
      <w:r w:rsidRPr="0085073C">
        <w:rPr>
          <w:rFonts w:ascii="Times New Roman" w:hAnsi="Times New Roman"/>
          <w:sz w:val="24"/>
          <w:szCs w:val="24"/>
          <w:u w:val="single"/>
        </w:rPr>
        <w:tab/>
        <w:t>General</w:t>
      </w:r>
    </w:p>
    <w:p w:rsidR="006F5D2D" w:rsidRPr="0085073C" w:rsidRDefault="00F847F0" w:rsidP="00AF054D">
      <w:pPr>
        <w:spacing w:after="120" w:line="240" w:lineRule="auto"/>
        <w:rPr>
          <w:rFonts w:ascii="Times New Roman" w:hAnsi="Times New Roman"/>
          <w:sz w:val="24"/>
          <w:szCs w:val="24"/>
        </w:rPr>
      </w:pPr>
      <w:r w:rsidRPr="0085073C">
        <w:rPr>
          <w:rFonts w:ascii="Times New Roman" w:hAnsi="Times New Roman"/>
          <w:sz w:val="24"/>
          <w:szCs w:val="24"/>
        </w:rPr>
        <w:t>Subsection 22(1) provides that the carbon stock scheduled to be extracted from the project area in the baseline is calculated in accordance with Subdivision 2. This is the carbon stock that would have been taken from the project area in the baseline in the form of timber.</w:t>
      </w:r>
    </w:p>
    <w:p w:rsidR="00D07C14" w:rsidRPr="00CF21AA" w:rsidRDefault="00F847F0" w:rsidP="00A81088">
      <w:pPr>
        <w:spacing w:after="120" w:line="240" w:lineRule="auto"/>
        <w:rPr>
          <w:rFonts w:ascii="Times New Roman" w:hAnsi="Times New Roman"/>
          <w:sz w:val="24"/>
          <w:szCs w:val="24"/>
        </w:rPr>
      </w:pPr>
      <w:r w:rsidRPr="0085073C">
        <w:rPr>
          <w:rFonts w:ascii="Times New Roman" w:hAnsi="Times New Roman"/>
          <w:sz w:val="24"/>
          <w:szCs w:val="24"/>
        </w:rPr>
        <w:t>Subsection 22(2) provides that for the purposes of the calculations in Part 4, projected growth (of all species) in a land parcel before harvest is take</w:t>
      </w:r>
      <w:r>
        <w:rPr>
          <w:rFonts w:ascii="Times New Roman" w:hAnsi="Times New Roman"/>
          <w:sz w:val="24"/>
          <w:szCs w:val="24"/>
        </w:rPr>
        <w:t>n to be a separate species. ‘Projected growth’ is a measure of trees’ growth since the start of the VCS projects. It was calculated by proponents implementing the VCS methodology. For example, there might have been 40m</w:t>
      </w:r>
      <w:r>
        <w:rPr>
          <w:rFonts w:ascii="Times New Roman" w:hAnsi="Times New Roman"/>
          <w:sz w:val="24"/>
          <w:szCs w:val="24"/>
          <w:vertAlign w:val="superscript"/>
        </w:rPr>
        <w:t>3</w:t>
      </w:r>
      <w:r>
        <w:rPr>
          <w:rFonts w:ascii="Times New Roman" w:hAnsi="Times New Roman"/>
          <w:sz w:val="24"/>
          <w:szCs w:val="24"/>
        </w:rPr>
        <w:t>/ha of biomass in a land parcel at the start of a VCS project and (according to the project’s projections) 50m</w:t>
      </w:r>
      <w:r>
        <w:rPr>
          <w:rFonts w:ascii="Times New Roman" w:hAnsi="Times New Roman"/>
          <w:sz w:val="24"/>
          <w:szCs w:val="24"/>
          <w:vertAlign w:val="superscript"/>
        </w:rPr>
        <w:t>3</w:t>
      </w:r>
      <w:r>
        <w:rPr>
          <w:rFonts w:ascii="Times New Roman" w:hAnsi="Times New Roman"/>
          <w:sz w:val="24"/>
          <w:szCs w:val="24"/>
        </w:rPr>
        <w:t>/ha at the time of harvest. The additional 10m</w:t>
      </w:r>
      <w:r>
        <w:rPr>
          <w:rFonts w:ascii="Times New Roman" w:hAnsi="Times New Roman"/>
          <w:sz w:val="24"/>
          <w:szCs w:val="24"/>
          <w:vertAlign w:val="superscript"/>
        </w:rPr>
        <w:t>3</w:t>
      </w:r>
      <w:r>
        <w:rPr>
          <w:rFonts w:ascii="Times New Roman" w:hAnsi="Times New Roman"/>
          <w:sz w:val="24"/>
          <w:szCs w:val="24"/>
        </w:rPr>
        <w:t>/ha is ‘projected growth’.</w:t>
      </w:r>
    </w:p>
    <w:p w:rsidR="00A81088" w:rsidRPr="0085073C" w:rsidRDefault="00F847F0" w:rsidP="00A81088">
      <w:pPr>
        <w:spacing w:after="120" w:line="240" w:lineRule="auto"/>
        <w:rPr>
          <w:rFonts w:ascii="Times New Roman" w:hAnsi="Times New Roman"/>
          <w:sz w:val="24"/>
          <w:szCs w:val="24"/>
        </w:rPr>
      </w:pPr>
      <w:r>
        <w:rPr>
          <w:rFonts w:ascii="Times New Roman" w:hAnsi="Times New Roman"/>
          <w:sz w:val="24"/>
          <w:szCs w:val="24"/>
        </w:rPr>
        <w:t>The approach to projected growth</w:t>
      </w:r>
      <w:r w:rsidRPr="0085073C">
        <w:rPr>
          <w:rFonts w:ascii="Times New Roman" w:hAnsi="Times New Roman"/>
          <w:sz w:val="24"/>
          <w:szCs w:val="24"/>
        </w:rPr>
        <w:t xml:space="preserve"> is illustrated by the example presented in Table 1 below. ‘Species D’ in the right-hand column represents the growth of Species A to C in the 10 years since project commencement.  </w:t>
      </w:r>
    </w:p>
    <w:p w:rsidR="00A81088" w:rsidRPr="0085073C" w:rsidRDefault="00F847F0" w:rsidP="00A81088">
      <w:pPr>
        <w:spacing w:after="120" w:line="240" w:lineRule="auto"/>
        <w:rPr>
          <w:rFonts w:ascii="Times New Roman" w:hAnsi="Times New Roman"/>
          <w:sz w:val="24"/>
          <w:szCs w:val="24"/>
        </w:rPr>
      </w:pPr>
      <w:r w:rsidRPr="0085073C">
        <w:rPr>
          <w:rFonts w:ascii="Times New Roman" w:hAnsi="Times New Roman"/>
          <w:sz w:val="24"/>
          <w:szCs w:val="24"/>
        </w:rPr>
        <w:t>Table 1—Example 1</w:t>
      </w:r>
    </w:p>
    <w:tbl>
      <w:tblPr>
        <w:tblStyle w:val="TableGrid"/>
        <w:tblW w:w="0" w:type="auto"/>
        <w:tblLook w:val="04A0"/>
      </w:tblPr>
      <w:tblGrid>
        <w:gridCol w:w="1544"/>
        <w:gridCol w:w="1544"/>
        <w:gridCol w:w="1544"/>
        <w:gridCol w:w="1544"/>
        <w:gridCol w:w="1544"/>
        <w:gridCol w:w="1544"/>
      </w:tblGrid>
      <w:tr w:rsidR="00883324" w:rsidTr="00FD6EEC">
        <w:tc>
          <w:tcPr>
            <w:tcW w:w="3088" w:type="dxa"/>
            <w:gridSpan w:val="2"/>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Biomass at project commencement (m</w:t>
            </w:r>
            <w:r w:rsidRPr="0085073C">
              <w:rPr>
                <w:rFonts w:ascii="Times New Roman" w:hAnsi="Times New Roman"/>
                <w:sz w:val="24"/>
                <w:szCs w:val="24"/>
                <w:vertAlign w:val="superscript"/>
              </w:rPr>
              <w:t>3</w:t>
            </w:r>
            <w:r w:rsidRPr="0085073C">
              <w:rPr>
                <w:rFonts w:ascii="Times New Roman" w:hAnsi="Times New Roman"/>
                <w:sz w:val="24"/>
                <w:szCs w:val="24"/>
              </w:rPr>
              <w:t>/ha)</w:t>
            </w:r>
          </w:p>
        </w:tc>
        <w:tc>
          <w:tcPr>
            <w:tcW w:w="3088" w:type="dxa"/>
            <w:gridSpan w:val="2"/>
            <w:tcBorders>
              <w:right w:val="single" w:sz="1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Projected growth in biomass at 10 years (m</w:t>
            </w:r>
            <w:r w:rsidRPr="0085073C">
              <w:rPr>
                <w:rFonts w:ascii="Times New Roman" w:hAnsi="Times New Roman"/>
                <w:sz w:val="24"/>
                <w:szCs w:val="24"/>
                <w:vertAlign w:val="superscript"/>
              </w:rPr>
              <w:t>3</w:t>
            </w:r>
            <w:r w:rsidRPr="0085073C">
              <w:rPr>
                <w:rFonts w:ascii="Times New Roman" w:hAnsi="Times New Roman"/>
                <w:sz w:val="24"/>
                <w:szCs w:val="24"/>
              </w:rPr>
              <w:t>/ha)</w:t>
            </w:r>
          </w:p>
        </w:tc>
        <w:tc>
          <w:tcPr>
            <w:tcW w:w="3088" w:type="dxa"/>
            <w:gridSpan w:val="2"/>
            <w:tcBorders>
              <w:left w:val="single" w:sz="1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Biomass at 10 years for Part 4 (m</w:t>
            </w:r>
            <w:r w:rsidRPr="0085073C">
              <w:rPr>
                <w:rFonts w:ascii="Times New Roman" w:hAnsi="Times New Roman"/>
                <w:sz w:val="24"/>
                <w:szCs w:val="24"/>
                <w:vertAlign w:val="superscript"/>
              </w:rPr>
              <w:t>3</w:t>
            </w:r>
            <w:r w:rsidRPr="0085073C">
              <w:rPr>
                <w:rFonts w:ascii="Times New Roman" w:hAnsi="Times New Roman"/>
                <w:sz w:val="24"/>
                <w:szCs w:val="24"/>
              </w:rPr>
              <w:t>/ha)</w:t>
            </w:r>
          </w:p>
        </w:tc>
      </w:tr>
      <w:tr w:rsidR="00883324" w:rsidTr="00FD6EEC">
        <w:tc>
          <w:tcPr>
            <w:tcW w:w="1544" w:type="dxa"/>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Species A</w:t>
            </w:r>
          </w:p>
        </w:tc>
        <w:tc>
          <w:tcPr>
            <w:tcW w:w="1544" w:type="dxa"/>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10</w:t>
            </w:r>
          </w:p>
        </w:tc>
        <w:tc>
          <w:tcPr>
            <w:tcW w:w="1544" w:type="dxa"/>
            <w:vMerge w:val="restart"/>
            <w:vAlign w:val="center"/>
          </w:tcPr>
          <w:p w:rsidR="00A81088" w:rsidRPr="0085073C" w:rsidRDefault="00F847F0" w:rsidP="00FD6EEC">
            <w:pPr>
              <w:spacing w:after="120"/>
              <w:jc w:val="center"/>
              <w:rPr>
                <w:rFonts w:ascii="Times New Roman" w:hAnsi="Times New Roman"/>
                <w:sz w:val="24"/>
                <w:szCs w:val="24"/>
              </w:rPr>
            </w:pPr>
            <w:r w:rsidRPr="0085073C">
              <w:rPr>
                <w:rFonts w:ascii="Times New Roman" w:hAnsi="Times New Roman"/>
                <w:sz w:val="24"/>
                <w:szCs w:val="24"/>
              </w:rPr>
              <w:t>All species combined</w:t>
            </w:r>
          </w:p>
        </w:tc>
        <w:tc>
          <w:tcPr>
            <w:tcW w:w="1544" w:type="dxa"/>
            <w:vMerge w:val="restart"/>
            <w:tcBorders>
              <w:right w:val="single" w:sz="18" w:space="0" w:color="auto"/>
            </w:tcBorders>
            <w:vAlign w:val="center"/>
          </w:tcPr>
          <w:p w:rsidR="00A81088" w:rsidRPr="0085073C" w:rsidRDefault="00F847F0" w:rsidP="00FD6EEC">
            <w:pPr>
              <w:spacing w:after="120"/>
              <w:jc w:val="center"/>
              <w:rPr>
                <w:rFonts w:ascii="Times New Roman" w:hAnsi="Times New Roman"/>
                <w:sz w:val="24"/>
                <w:szCs w:val="24"/>
              </w:rPr>
            </w:pPr>
            <w:r w:rsidRPr="0085073C">
              <w:rPr>
                <w:rFonts w:ascii="Times New Roman" w:hAnsi="Times New Roman"/>
                <w:sz w:val="24"/>
                <w:szCs w:val="24"/>
              </w:rPr>
              <w:t>6</w:t>
            </w:r>
          </w:p>
        </w:tc>
        <w:tc>
          <w:tcPr>
            <w:tcW w:w="1544" w:type="dxa"/>
            <w:tcBorders>
              <w:left w:val="single" w:sz="1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Species A</w:t>
            </w:r>
          </w:p>
        </w:tc>
        <w:tc>
          <w:tcPr>
            <w:tcW w:w="1544" w:type="dxa"/>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10</w:t>
            </w:r>
          </w:p>
        </w:tc>
      </w:tr>
      <w:tr w:rsidR="00883324" w:rsidTr="00FD6EEC">
        <w:tc>
          <w:tcPr>
            <w:tcW w:w="1544" w:type="dxa"/>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Species B</w:t>
            </w:r>
          </w:p>
        </w:tc>
        <w:tc>
          <w:tcPr>
            <w:tcW w:w="1544" w:type="dxa"/>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10</w:t>
            </w:r>
          </w:p>
        </w:tc>
        <w:tc>
          <w:tcPr>
            <w:tcW w:w="1544" w:type="dxa"/>
            <w:vMerge/>
          </w:tcPr>
          <w:p w:rsidR="00A81088" w:rsidRPr="0085073C" w:rsidRDefault="000B1607" w:rsidP="00FD6EEC">
            <w:pPr>
              <w:spacing w:after="120"/>
              <w:rPr>
                <w:rFonts w:ascii="Times New Roman" w:hAnsi="Times New Roman"/>
                <w:sz w:val="24"/>
                <w:szCs w:val="24"/>
              </w:rPr>
            </w:pPr>
          </w:p>
        </w:tc>
        <w:tc>
          <w:tcPr>
            <w:tcW w:w="1544" w:type="dxa"/>
            <w:vMerge/>
            <w:tcBorders>
              <w:right w:val="single" w:sz="18" w:space="0" w:color="auto"/>
            </w:tcBorders>
          </w:tcPr>
          <w:p w:rsidR="00A81088" w:rsidRPr="0085073C" w:rsidRDefault="000B1607" w:rsidP="00FD6EEC">
            <w:pPr>
              <w:spacing w:after="120"/>
              <w:rPr>
                <w:rFonts w:ascii="Times New Roman" w:hAnsi="Times New Roman"/>
                <w:sz w:val="24"/>
                <w:szCs w:val="24"/>
              </w:rPr>
            </w:pPr>
          </w:p>
        </w:tc>
        <w:tc>
          <w:tcPr>
            <w:tcW w:w="1544" w:type="dxa"/>
            <w:tcBorders>
              <w:left w:val="single" w:sz="1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Species B</w:t>
            </w:r>
          </w:p>
        </w:tc>
        <w:tc>
          <w:tcPr>
            <w:tcW w:w="1544" w:type="dxa"/>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10</w:t>
            </w:r>
          </w:p>
        </w:tc>
      </w:tr>
      <w:tr w:rsidR="00883324" w:rsidTr="00FD6EEC">
        <w:tc>
          <w:tcPr>
            <w:tcW w:w="1544" w:type="dxa"/>
            <w:tcBorders>
              <w:bottom w:val="single" w:sz="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Species C</w:t>
            </w:r>
          </w:p>
        </w:tc>
        <w:tc>
          <w:tcPr>
            <w:tcW w:w="1544" w:type="dxa"/>
            <w:tcBorders>
              <w:bottom w:val="single" w:sz="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10</w:t>
            </w:r>
          </w:p>
        </w:tc>
        <w:tc>
          <w:tcPr>
            <w:tcW w:w="1544" w:type="dxa"/>
            <w:vMerge/>
            <w:tcBorders>
              <w:bottom w:val="single" w:sz="8" w:space="0" w:color="auto"/>
            </w:tcBorders>
          </w:tcPr>
          <w:p w:rsidR="00A81088" w:rsidRPr="0085073C" w:rsidRDefault="000B1607" w:rsidP="00FD6EEC">
            <w:pPr>
              <w:spacing w:after="120" w:line="240" w:lineRule="auto"/>
              <w:rPr>
                <w:rFonts w:ascii="Times New Roman" w:hAnsi="Times New Roman"/>
                <w:sz w:val="24"/>
                <w:szCs w:val="24"/>
              </w:rPr>
            </w:pPr>
          </w:p>
        </w:tc>
        <w:tc>
          <w:tcPr>
            <w:tcW w:w="1544" w:type="dxa"/>
            <w:vMerge/>
            <w:tcBorders>
              <w:bottom w:val="single" w:sz="8" w:space="0" w:color="auto"/>
              <w:right w:val="single" w:sz="18" w:space="0" w:color="auto"/>
            </w:tcBorders>
          </w:tcPr>
          <w:p w:rsidR="00A81088" w:rsidRPr="0085073C" w:rsidRDefault="000B1607" w:rsidP="00FD6EEC">
            <w:pPr>
              <w:spacing w:after="120" w:line="240" w:lineRule="auto"/>
              <w:rPr>
                <w:rFonts w:ascii="Times New Roman" w:hAnsi="Times New Roman"/>
                <w:sz w:val="24"/>
                <w:szCs w:val="24"/>
              </w:rPr>
            </w:pPr>
          </w:p>
        </w:tc>
        <w:tc>
          <w:tcPr>
            <w:tcW w:w="1544" w:type="dxa"/>
            <w:tcBorders>
              <w:left w:val="single" w:sz="1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Species C</w:t>
            </w:r>
          </w:p>
        </w:tc>
        <w:tc>
          <w:tcPr>
            <w:tcW w:w="1544" w:type="dxa"/>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10</w:t>
            </w:r>
          </w:p>
        </w:tc>
      </w:tr>
      <w:tr w:rsidR="00883324" w:rsidTr="00FD6EEC">
        <w:tc>
          <w:tcPr>
            <w:tcW w:w="1544" w:type="dxa"/>
            <w:tcBorders>
              <w:top w:val="single" w:sz="8" w:space="0" w:color="auto"/>
              <w:left w:val="nil"/>
              <w:bottom w:val="nil"/>
              <w:right w:val="nil"/>
            </w:tcBorders>
          </w:tcPr>
          <w:p w:rsidR="00A81088" w:rsidRPr="0085073C" w:rsidRDefault="000B1607" w:rsidP="00FD6EEC">
            <w:pPr>
              <w:spacing w:after="120" w:line="240" w:lineRule="auto"/>
              <w:rPr>
                <w:rFonts w:ascii="Times New Roman" w:hAnsi="Times New Roman"/>
                <w:sz w:val="24"/>
                <w:szCs w:val="24"/>
              </w:rPr>
            </w:pPr>
          </w:p>
        </w:tc>
        <w:tc>
          <w:tcPr>
            <w:tcW w:w="1544" w:type="dxa"/>
            <w:tcBorders>
              <w:top w:val="single" w:sz="8" w:space="0" w:color="auto"/>
              <w:left w:val="nil"/>
              <w:bottom w:val="nil"/>
              <w:right w:val="nil"/>
            </w:tcBorders>
          </w:tcPr>
          <w:p w:rsidR="00A81088" w:rsidRPr="0085073C" w:rsidRDefault="000B1607" w:rsidP="00FD6EEC">
            <w:pPr>
              <w:spacing w:after="120" w:line="240" w:lineRule="auto"/>
              <w:rPr>
                <w:rFonts w:ascii="Times New Roman" w:hAnsi="Times New Roman"/>
                <w:sz w:val="24"/>
                <w:szCs w:val="24"/>
              </w:rPr>
            </w:pPr>
          </w:p>
        </w:tc>
        <w:tc>
          <w:tcPr>
            <w:tcW w:w="1544" w:type="dxa"/>
            <w:tcBorders>
              <w:top w:val="single" w:sz="8" w:space="0" w:color="auto"/>
              <w:left w:val="nil"/>
              <w:bottom w:val="nil"/>
              <w:right w:val="nil"/>
            </w:tcBorders>
          </w:tcPr>
          <w:p w:rsidR="00A81088" w:rsidRPr="0085073C" w:rsidRDefault="000B1607" w:rsidP="00FD6EEC">
            <w:pPr>
              <w:spacing w:after="120" w:line="240" w:lineRule="auto"/>
              <w:rPr>
                <w:rFonts w:ascii="Times New Roman" w:hAnsi="Times New Roman"/>
                <w:sz w:val="24"/>
                <w:szCs w:val="24"/>
              </w:rPr>
            </w:pPr>
          </w:p>
        </w:tc>
        <w:tc>
          <w:tcPr>
            <w:tcW w:w="1544" w:type="dxa"/>
            <w:tcBorders>
              <w:top w:val="single" w:sz="8" w:space="0" w:color="auto"/>
              <w:left w:val="nil"/>
              <w:bottom w:val="nil"/>
              <w:right w:val="single" w:sz="18" w:space="0" w:color="auto"/>
            </w:tcBorders>
          </w:tcPr>
          <w:p w:rsidR="00A81088" w:rsidRPr="0085073C" w:rsidRDefault="000B1607" w:rsidP="00FD6EEC">
            <w:pPr>
              <w:spacing w:after="120" w:line="240" w:lineRule="auto"/>
              <w:rPr>
                <w:rFonts w:ascii="Times New Roman" w:hAnsi="Times New Roman"/>
                <w:sz w:val="24"/>
                <w:szCs w:val="24"/>
              </w:rPr>
            </w:pPr>
          </w:p>
        </w:tc>
        <w:tc>
          <w:tcPr>
            <w:tcW w:w="1544" w:type="dxa"/>
            <w:tcBorders>
              <w:left w:val="single" w:sz="18" w:space="0" w:color="auto"/>
              <w:bottom w:val="single" w:sz="1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Species D (growth)</w:t>
            </w:r>
          </w:p>
        </w:tc>
        <w:tc>
          <w:tcPr>
            <w:tcW w:w="1544" w:type="dxa"/>
            <w:tcBorders>
              <w:bottom w:val="single" w:sz="18" w:space="0" w:color="auto"/>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6</w:t>
            </w:r>
          </w:p>
        </w:tc>
      </w:tr>
      <w:tr w:rsidR="00883324" w:rsidTr="00FD6EEC">
        <w:tc>
          <w:tcPr>
            <w:tcW w:w="1544" w:type="dxa"/>
            <w:tcBorders>
              <w:top w:val="nil"/>
              <w:left w:val="nil"/>
              <w:bottom w:val="nil"/>
              <w:right w:val="nil"/>
            </w:tcBorders>
          </w:tcPr>
          <w:p w:rsidR="00A81088" w:rsidRPr="0085073C" w:rsidRDefault="000B1607" w:rsidP="00FD6EEC">
            <w:pPr>
              <w:spacing w:after="120" w:line="240" w:lineRule="auto"/>
              <w:rPr>
                <w:rFonts w:ascii="Times New Roman" w:hAnsi="Times New Roman"/>
                <w:sz w:val="24"/>
                <w:szCs w:val="24"/>
              </w:rPr>
            </w:pPr>
          </w:p>
        </w:tc>
        <w:tc>
          <w:tcPr>
            <w:tcW w:w="1544" w:type="dxa"/>
            <w:tcBorders>
              <w:top w:val="nil"/>
              <w:left w:val="nil"/>
              <w:bottom w:val="nil"/>
              <w:right w:val="nil"/>
            </w:tcBorders>
          </w:tcPr>
          <w:p w:rsidR="00A81088" w:rsidRPr="0085073C" w:rsidRDefault="000B1607" w:rsidP="00FD6EEC">
            <w:pPr>
              <w:spacing w:after="120" w:line="240" w:lineRule="auto"/>
              <w:rPr>
                <w:rFonts w:ascii="Times New Roman" w:hAnsi="Times New Roman"/>
                <w:sz w:val="24"/>
                <w:szCs w:val="24"/>
              </w:rPr>
            </w:pPr>
          </w:p>
        </w:tc>
        <w:tc>
          <w:tcPr>
            <w:tcW w:w="1544" w:type="dxa"/>
            <w:tcBorders>
              <w:top w:val="nil"/>
              <w:left w:val="nil"/>
              <w:bottom w:val="nil"/>
              <w:right w:val="nil"/>
            </w:tcBorders>
          </w:tcPr>
          <w:p w:rsidR="00A81088" w:rsidRPr="0085073C" w:rsidRDefault="000B1607" w:rsidP="00FD6EEC">
            <w:pPr>
              <w:spacing w:after="120" w:line="240" w:lineRule="auto"/>
              <w:rPr>
                <w:rFonts w:ascii="Times New Roman" w:hAnsi="Times New Roman"/>
                <w:sz w:val="24"/>
                <w:szCs w:val="24"/>
              </w:rPr>
            </w:pPr>
          </w:p>
        </w:tc>
        <w:tc>
          <w:tcPr>
            <w:tcW w:w="1544" w:type="dxa"/>
            <w:tcBorders>
              <w:top w:val="nil"/>
              <w:left w:val="nil"/>
              <w:bottom w:val="nil"/>
              <w:right w:val="single" w:sz="18" w:space="0" w:color="auto"/>
            </w:tcBorders>
          </w:tcPr>
          <w:p w:rsidR="00A81088" w:rsidRPr="0085073C" w:rsidRDefault="000B1607" w:rsidP="00FD6EEC">
            <w:pPr>
              <w:spacing w:after="120" w:line="240" w:lineRule="auto"/>
              <w:rPr>
                <w:rFonts w:ascii="Times New Roman" w:hAnsi="Times New Roman"/>
                <w:sz w:val="24"/>
                <w:szCs w:val="24"/>
              </w:rPr>
            </w:pPr>
          </w:p>
        </w:tc>
        <w:tc>
          <w:tcPr>
            <w:tcW w:w="1544" w:type="dxa"/>
            <w:tcBorders>
              <w:top w:val="single" w:sz="18" w:space="0" w:color="auto"/>
              <w:left w:val="single" w:sz="18" w:space="0" w:color="auto"/>
              <w:bottom w:val="single" w:sz="8" w:space="0" w:color="000000"/>
              <w:right w:val="single" w:sz="8" w:space="0" w:color="000000"/>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Total</w:t>
            </w:r>
          </w:p>
        </w:tc>
        <w:tc>
          <w:tcPr>
            <w:tcW w:w="1544" w:type="dxa"/>
            <w:tcBorders>
              <w:top w:val="single" w:sz="18" w:space="0" w:color="auto"/>
              <w:left w:val="single" w:sz="8" w:space="0" w:color="000000"/>
              <w:bottom w:val="single" w:sz="8" w:space="0" w:color="000000"/>
              <w:right w:val="single" w:sz="8" w:space="0" w:color="000000"/>
            </w:tcBorders>
          </w:tcPr>
          <w:p w:rsidR="00A81088" w:rsidRPr="0085073C" w:rsidRDefault="00F847F0" w:rsidP="00FD6EEC">
            <w:pPr>
              <w:spacing w:after="120" w:line="240" w:lineRule="auto"/>
              <w:rPr>
                <w:rFonts w:ascii="Times New Roman" w:hAnsi="Times New Roman"/>
                <w:sz w:val="24"/>
                <w:szCs w:val="24"/>
              </w:rPr>
            </w:pPr>
            <w:r w:rsidRPr="0085073C">
              <w:rPr>
                <w:rFonts w:ascii="Times New Roman" w:hAnsi="Times New Roman"/>
                <w:sz w:val="24"/>
                <w:szCs w:val="24"/>
              </w:rPr>
              <w:t>36</w:t>
            </w:r>
          </w:p>
        </w:tc>
      </w:tr>
    </w:tbl>
    <w:p w:rsidR="00A81088" w:rsidRPr="0085073C" w:rsidRDefault="00F847F0" w:rsidP="00A81088">
      <w:pPr>
        <w:spacing w:after="120" w:line="240" w:lineRule="auto"/>
        <w:rPr>
          <w:rFonts w:ascii="Times New Roman" w:hAnsi="Times New Roman"/>
          <w:sz w:val="24"/>
          <w:szCs w:val="24"/>
        </w:rPr>
      </w:pPr>
      <w:r w:rsidRPr="0085073C">
        <w:rPr>
          <w:rFonts w:ascii="Times New Roman" w:hAnsi="Times New Roman"/>
          <w:sz w:val="24"/>
          <w:szCs w:val="24"/>
        </w:rPr>
        <w:t xml:space="preserve">  </w:t>
      </w:r>
    </w:p>
    <w:p w:rsidR="00A81088" w:rsidRPr="0085073C" w:rsidRDefault="00F847F0" w:rsidP="00A81088">
      <w:pPr>
        <w:spacing w:after="120" w:line="240" w:lineRule="auto"/>
        <w:rPr>
          <w:rFonts w:ascii="Times New Roman" w:hAnsi="Times New Roman"/>
          <w:sz w:val="24"/>
          <w:szCs w:val="24"/>
        </w:rPr>
      </w:pPr>
      <w:r w:rsidRPr="0085073C">
        <w:rPr>
          <w:rFonts w:ascii="Times New Roman" w:hAnsi="Times New Roman"/>
          <w:sz w:val="24"/>
          <w:szCs w:val="24"/>
        </w:rPr>
        <w:lastRenderedPageBreak/>
        <w:t>The approach taken to projected growth in subsection 22(2) is consistent with the approach taken by projects implementing the VCS methodology. Projected growth was calculated by projects implementing the VCS methodology and is provided to the Regulator under Part 3. Projected growth is expressed as a volume and not as a rate, because the relevant value is the amount of biomass in a land parcel at the time of harvest.</w:t>
      </w:r>
    </w:p>
    <w:p w:rsidR="00394130" w:rsidRPr="0085073C" w:rsidRDefault="000B1607" w:rsidP="00A81088">
      <w:pPr>
        <w:spacing w:after="120" w:line="240" w:lineRule="auto"/>
        <w:rPr>
          <w:rFonts w:ascii="Times New Roman" w:hAnsi="Times New Roman"/>
          <w:sz w:val="24"/>
          <w:szCs w:val="24"/>
        </w:rPr>
      </w:pPr>
    </w:p>
    <w:p w:rsidR="0096442D" w:rsidRPr="0085073C" w:rsidRDefault="00F847F0" w:rsidP="0096442D">
      <w:pPr>
        <w:spacing w:after="120" w:line="240" w:lineRule="auto"/>
        <w:rPr>
          <w:rFonts w:ascii="Times New Roman" w:hAnsi="Times New Roman"/>
          <w:sz w:val="24"/>
          <w:szCs w:val="24"/>
          <w:u w:val="single"/>
        </w:rPr>
      </w:pPr>
      <w:r w:rsidRPr="0085073C">
        <w:rPr>
          <w:rFonts w:ascii="Times New Roman" w:hAnsi="Times New Roman"/>
          <w:sz w:val="24"/>
          <w:szCs w:val="24"/>
          <w:u w:val="single"/>
        </w:rPr>
        <w:t>23</w:t>
      </w:r>
      <w:r w:rsidRPr="0085073C">
        <w:rPr>
          <w:rFonts w:ascii="Times New Roman" w:hAnsi="Times New Roman"/>
          <w:sz w:val="24"/>
          <w:szCs w:val="24"/>
          <w:u w:val="single"/>
        </w:rPr>
        <w:tab/>
        <w:t>Mean merchantable volume of each species in each stratum</w:t>
      </w:r>
    </w:p>
    <w:p w:rsidR="00705E1F" w:rsidRPr="0085073C" w:rsidRDefault="00F847F0" w:rsidP="000B3B74">
      <w:pPr>
        <w:spacing w:after="120" w:line="240" w:lineRule="auto"/>
        <w:rPr>
          <w:rFonts w:ascii="Times New Roman" w:hAnsi="Times New Roman"/>
          <w:sz w:val="24"/>
          <w:szCs w:val="24"/>
        </w:rPr>
      </w:pPr>
      <w:r w:rsidRPr="0085073C">
        <w:rPr>
          <w:rFonts w:ascii="Times New Roman" w:hAnsi="Times New Roman"/>
          <w:sz w:val="24"/>
          <w:szCs w:val="24"/>
        </w:rPr>
        <w:t>Section 23 provides that the mean merchantable volume of each species in each stratum must be calculated using Equation 1. The merchantable volume of each species in each sample plot (</w:t>
      </w:r>
      <w:r w:rsidRPr="0085073C">
        <w:rPr>
          <w:rFonts w:ascii="Times New Roman" w:hAnsi="Times New Roman"/>
          <w:i/>
          <w:sz w:val="24"/>
          <w:szCs w:val="24"/>
        </w:rPr>
        <w:t>V</w:t>
      </w:r>
      <w:r w:rsidRPr="0085073C">
        <w:rPr>
          <w:rFonts w:ascii="Times New Roman" w:hAnsi="Times New Roman"/>
          <w:i/>
          <w:sz w:val="24"/>
          <w:szCs w:val="24"/>
          <w:vertAlign w:val="subscript"/>
        </w:rPr>
        <w:t>i,j,sp</w:t>
      </w:r>
      <w:r w:rsidRPr="0085073C">
        <w:rPr>
          <w:rFonts w:ascii="Times New Roman" w:hAnsi="Times New Roman"/>
          <w:sz w:val="24"/>
          <w:szCs w:val="24"/>
        </w:rPr>
        <w:t>) was calculated by projects implementing the VCS methodology and is provided to the Regulator under Part 3.</w:t>
      </w:r>
    </w:p>
    <w:p w:rsidR="00FD6EEC" w:rsidRPr="0085073C" w:rsidRDefault="00F847F0" w:rsidP="000B3B74">
      <w:pPr>
        <w:spacing w:after="120" w:line="240" w:lineRule="auto"/>
        <w:rPr>
          <w:rFonts w:ascii="Times New Roman" w:hAnsi="Times New Roman"/>
          <w:sz w:val="24"/>
          <w:szCs w:val="24"/>
        </w:rPr>
      </w:pPr>
      <w:r w:rsidRPr="0085073C">
        <w:rPr>
          <w:rFonts w:ascii="Times New Roman" w:hAnsi="Times New Roman"/>
          <w:sz w:val="24"/>
          <w:szCs w:val="24"/>
        </w:rPr>
        <w:t>The mean merchantable volume of each species in each stratum represents the merchantable volume in the project area at the start of the Verified Carbon Standard modelling period. Because there has not yet been growth at the start of the modelling period, subsection 23(2) provides that projected growth, which is elsewhere treated as a species, is not calculated using Equation 1.</w:t>
      </w:r>
    </w:p>
    <w:p w:rsidR="00394130" w:rsidRPr="0085073C" w:rsidRDefault="000B1607" w:rsidP="000B3B74">
      <w:pPr>
        <w:spacing w:after="120" w:line="240" w:lineRule="auto"/>
        <w:rPr>
          <w:rFonts w:ascii="Times New Roman" w:hAnsi="Times New Roman"/>
          <w:sz w:val="24"/>
          <w:szCs w:val="24"/>
        </w:rPr>
      </w:pPr>
    </w:p>
    <w:p w:rsidR="00705E1F" w:rsidRPr="0085073C" w:rsidRDefault="00F847F0" w:rsidP="000B3B74">
      <w:pPr>
        <w:spacing w:after="120" w:line="240" w:lineRule="auto"/>
        <w:rPr>
          <w:rFonts w:ascii="Times New Roman" w:hAnsi="Times New Roman"/>
          <w:sz w:val="24"/>
          <w:szCs w:val="24"/>
          <w:u w:val="single"/>
        </w:rPr>
      </w:pPr>
      <w:r w:rsidRPr="0085073C">
        <w:rPr>
          <w:rFonts w:ascii="Times New Roman" w:hAnsi="Times New Roman"/>
          <w:sz w:val="24"/>
          <w:szCs w:val="24"/>
          <w:u w:val="single"/>
        </w:rPr>
        <w:t>24</w:t>
      </w:r>
      <w:r w:rsidRPr="0085073C">
        <w:rPr>
          <w:rFonts w:ascii="Times New Roman" w:hAnsi="Times New Roman"/>
          <w:sz w:val="24"/>
          <w:szCs w:val="24"/>
          <w:u w:val="single"/>
        </w:rPr>
        <w:tab/>
        <w:t>Mean merchantable volume in each land parcel</w:t>
      </w:r>
    </w:p>
    <w:p w:rsidR="00997D4C" w:rsidRPr="0085073C" w:rsidRDefault="00F847F0" w:rsidP="00FB76F8">
      <w:pPr>
        <w:spacing w:after="120" w:line="240" w:lineRule="auto"/>
        <w:rPr>
          <w:rFonts w:ascii="Times New Roman" w:hAnsi="Times New Roman"/>
          <w:sz w:val="24"/>
          <w:szCs w:val="24"/>
        </w:rPr>
      </w:pPr>
      <w:r w:rsidRPr="0085073C">
        <w:rPr>
          <w:rFonts w:ascii="Times New Roman" w:hAnsi="Times New Roman"/>
          <w:sz w:val="24"/>
          <w:szCs w:val="24"/>
        </w:rPr>
        <w:t>Subsection 24(1) provides that the mean merchantable volume of each species in each land parcel must be calculated using either:</w:t>
      </w:r>
    </w:p>
    <w:p w:rsidR="000B3B74" w:rsidRPr="0085073C" w:rsidRDefault="00F847F0" w:rsidP="00997D4C">
      <w:pPr>
        <w:pStyle w:val="ListParagraph"/>
        <w:numPr>
          <w:ilvl w:val="0"/>
          <w:numId w:val="35"/>
        </w:numPr>
        <w:spacing w:after="120" w:line="240" w:lineRule="auto"/>
        <w:rPr>
          <w:rFonts w:ascii="Times New Roman" w:hAnsi="Times New Roman"/>
          <w:sz w:val="24"/>
          <w:szCs w:val="24"/>
        </w:rPr>
      </w:pPr>
      <w:r w:rsidRPr="0085073C">
        <w:rPr>
          <w:rFonts w:ascii="Times New Roman" w:hAnsi="Times New Roman"/>
          <w:sz w:val="24"/>
          <w:szCs w:val="24"/>
        </w:rPr>
        <w:t>Equation 2A if the mean merchantable volume of the species in the stratum was calculated using Equation 1; or</w:t>
      </w:r>
    </w:p>
    <w:p w:rsidR="00997D4C" w:rsidRPr="0085073C" w:rsidRDefault="00F847F0" w:rsidP="00997D4C">
      <w:pPr>
        <w:pStyle w:val="ListParagraph"/>
        <w:numPr>
          <w:ilvl w:val="0"/>
          <w:numId w:val="35"/>
        </w:numPr>
        <w:spacing w:after="120" w:line="240" w:lineRule="auto"/>
        <w:rPr>
          <w:rFonts w:ascii="Times New Roman" w:hAnsi="Times New Roman"/>
          <w:sz w:val="24"/>
          <w:szCs w:val="24"/>
        </w:rPr>
      </w:pPr>
      <w:r w:rsidRPr="0085073C">
        <w:rPr>
          <w:rFonts w:ascii="Times New Roman" w:hAnsi="Times New Roman"/>
          <w:sz w:val="24"/>
          <w:szCs w:val="24"/>
        </w:rPr>
        <w:t>Equation 2B if the ‘species’ is the additional growth of all species in the stratum.</w:t>
      </w:r>
    </w:p>
    <w:p w:rsidR="00B5356D" w:rsidRPr="0085073C" w:rsidRDefault="00F847F0" w:rsidP="00B5356D">
      <w:pPr>
        <w:spacing w:after="120" w:line="240" w:lineRule="auto"/>
        <w:rPr>
          <w:rFonts w:ascii="Times New Roman" w:hAnsi="Times New Roman"/>
          <w:sz w:val="24"/>
          <w:szCs w:val="24"/>
        </w:rPr>
      </w:pPr>
      <w:r w:rsidRPr="0085073C">
        <w:rPr>
          <w:rFonts w:ascii="Times New Roman" w:hAnsi="Times New Roman"/>
          <w:sz w:val="24"/>
          <w:szCs w:val="24"/>
        </w:rPr>
        <w:t>Subsection 24(2) provides that the mean merchantable volume of all species in each land parcel must be calculated using Equation 2C, which sums the results of Equations 2A and 2B. Equation 2C calculates the merchantable volume in a land parcel at the time when the land parcel would have been harvested. This value is used to determine the relevant biomass conversion and expansion factor using Table B.</w:t>
      </w:r>
    </w:p>
    <w:p w:rsidR="00394130" w:rsidRPr="0085073C" w:rsidRDefault="000B1607" w:rsidP="00B5356D">
      <w:pPr>
        <w:spacing w:after="120" w:line="240" w:lineRule="auto"/>
        <w:rPr>
          <w:rFonts w:ascii="Times New Roman" w:hAnsi="Times New Roman"/>
          <w:sz w:val="24"/>
          <w:szCs w:val="24"/>
        </w:rPr>
      </w:pPr>
    </w:p>
    <w:p w:rsidR="00FB76F8" w:rsidRPr="0085073C" w:rsidRDefault="00F847F0" w:rsidP="000E51EE">
      <w:pPr>
        <w:spacing w:after="120" w:line="240" w:lineRule="auto"/>
        <w:rPr>
          <w:rFonts w:ascii="Times New Roman" w:hAnsi="Times New Roman"/>
          <w:sz w:val="24"/>
          <w:szCs w:val="24"/>
          <w:u w:val="single"/>
        </w:rPr>
      </w:pPr>
      <w:r w:rsidRPr="0085073C">
        <w:rPr>
          <w:rFonts w:ascii="Times New Roman" w:hAnsi="Times New Roman"/>
          <w:sz w:val="24"/>
          <w:szCs w:val="24"/>
          <w:u w:val="single"/>
        </w:rPr>
        <w:t>25</w:t>
      </w:r>
      <w:r w:rsidRPr="0085073C">
        <w:rPr>
          <w:rFonts w:ascii="Times New Roman" w:hAnsi="Times New Roman"/>
          <w:sz w:val="24"/>
          <w:szCs w:val="24"/>
          <w:u w:val="single"/>
        </w:rPr>
        <w:tab/>
        <w:t>Mean volume of extracted timber for each species in each land parcel</w:t>
      </w:r>
    </w:p>
    <w:p w:rsidR="00FE5F05" w:rsidRPr="0085073C" w:rsidRDefault="00F847F0" w:rsidP="00FE5F05">
      <w:pPr>
        <w:spacing w:after="120" w:line="240" w:lineRule="auto"/>
        <w:rPr>
          <w:rFonts w:ascii="Times New Roman" w:hAnsi="Times New Roman"/>
          <w:sz w:val="24"/>
          <w:szCs w:val="24"/>
        </w:rPr>
      </w:pPr>
      <w:r w:rsidRPr="0085073C">
        <w:rPr>
          <w:rFonts w:ascii="Times New Roman" w:hAnsi="Times New Roman"/>
          <w:sz w:val="24"/>
          <w:szCs w:val="24"/>
        </w:rPr>
        <w:t>Section 25 provides that the mean volume of extracted timber for each species in each land parcel must be calculated using Equation 3. This value represents how much timber from the relevant species would have been taken out the land parcel in the baseline harvest event, which is avoided in the project scenario. The percentage of biomass extracted from a land parcel (</w:t>
      </w:r>
      <w:r w:rsidRPr="0085073C">
        <w:rPr>
          <w:rFonts w:ascii="Times New Roman" w:hAnsi="Times New Roman"/>
          <w:i/>
          <w:sz w:val="24"/>
          <w:szCs w:val="24"/>
        </w:rPr>
        <w:t>EX</w:t>
      </w:r>
      <w:r w:rsidRPr="0085073C">
        <w:rPr>
          <w:rFonts w:ascii="Times New Roman" w:hAnsi="Times New Roman"/>
          <w:i/>
          <w:sz w:val="24"/>
          <w:szCs w:val="24"/>
          <w:vertAlign w:val="subscript"/>
        </w:rPr>
        <w:t>p</w:t>
      </w:r>
      <w:r w:rsidRPr="0085073C">
        <w:rPr>
          <w:rFonts w:ascii="Times New Roman" w:hAnsi="Times New Roman"/>
          <w:sz w:val="24"/>
          <w:szCs w:val="24"/>
        </w:rPr>
        <w:t>) was calculated by projects implementing the VCS methodology and is provided to the Regulator under Part 3.</w:t>
      </w:r>
    </w:p>
    <w:p w:rsidR="00394130" w:rsidRPr="0085073C" w:rsidRDefault="000B1607" w:rsidP="00FE5F05">
      <w:pPr>
        <w:spacing w:after="120" w:line="240" w:lineRule="auto"/>
        <w:rPr>
          <w:rFonts w:ascii="Times New Roman" w:hAnsi="Times New Roman"/>
          <w:sz w:val="24"/>
          <w:szCs w:val="24"/>
        </w:rPr>
      </w:pPr>
    </w:p>
    <w:p w:rsidR="00997D4C" w:rsidRPr="0085073C" w:rsidRDefault="00F847F0" w:rsidP="00022D00">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lastRenderedPageBreak/>
        <w:t>26</w:t>
      </w:r>
      <w:r w:rsidRPr="0085073C">
        <w:rPr>
          <w:rFonts w:ascii="Times New Roman" w:hAnsi="Times New Roman"/>
          <w:sz w:val="24"/>
          <w:szCs w:val="24"/>
          <w:u w:val="single"/>
        </w:rPr>
        <w:tab/>
        <w:t>Mean carbon stock of harvested biomass for each species in each land parcel</w:t>
      </w:r>
    </w:p>
    <w:p w:rsidR="00FE5F05" w:rsidRPr="0085073C" w:rsidRDefault="00F847F0" w:rsidP="00022D00">
      <w:pPr>
        <w:keepNext/>
        <w:keepLines/>
        <w:spacing w:after="120" w:line="240" w:lineRule="auto"/>
        <w:rPr>
          <w:rFonts w:ascii="Times New Roman" w:hAnsi="Times New Roman"/>
          <w:sz w:val="24"/>
          <w:szCs w:val="24"/>
        </w:rPr>
      </w:pPr>
      <w:r w:rsidRPr="0085073C">
        <w:rPr>
          <w:rFonts w:ascii="Times New Roman" w:hAnsi="Times New Roman"/>
          <w:sz w:val="24"/>
          <w:szCs w:val="24"/>
        </w:rPr>
        <w:t>Section 26 provides that the mean carbon stock of harvested biomass for each species in each land parcel must be calculated using Equation 4. This value represents how much carbon, in the form of biomass, would have been harvested in the land parcel from the relevant species in the baseline harvest event, which is avoided in the project scenario. The biomass conversion and expansion factor (</w:t>
      </w:r>
      <w:r w:rsidRPr="0085073C">
        <w:rPr>
          <w:rFonts w:ascii="Times New Roman" w:hAnsi="Times New Roman"/>
          <w:i/>
          <w:sz w:val="24"/>
          <w:szCs w:val="24"/>
        </w:rPr>
        <w:t>BCEF</w:t>
      </w:r>
      <w:r w:rsidRPr="0085073C">
        <w:rPr>
          <w:rFonts w:ascii="Times New Roman" w:hAnsi="Times New Roman"/>
          <w:sz w:val="24"/>
          <w:szCs w:val="24"/>
        </w:rPr>
        <w:t>) is set out in Table B in section 27.</w:t>
      </w:r>
    </w:p>
    <w:p w:rsidR="00394130" w:rsidRPr="0085073C" w:rsidRDefault="000B1607" w:rsidP="00022D00">
      <w:pPr>
        <w:keepNext/>
        <w:keepLines/>
        <w:spacing w:after="120" w:line="240" w:lineRule="auto"/>
        <w:rPr>
          <w:rFonts w:ascii="Times New Roman" w:hAnsi="Times New Roman"/>
          <w:sz w:val="24"/>
          <w:szCs w:val="24"/>
        </w:rPr>
      </w:pPr>
    </w:p>
    <w:p w:rsidR="00517D49" w:rsidRPr="0085073C" w:rsidRDefault="00F847F0" w:rsidP="00701A68">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t>27</w:t>
      </w:r>
      <w:r w:rsidRPr="0085073C">
        <w:rPr>
          <w:rFonts w:ascii="Times New Roman" w:hAnsi="Times New Roman"/>
          <w:sz w:val="24"/>
          <w:szCs w:val="24"/>
          <w:u w:val="single"/>
        </w:rPr>
        <w:tab/>
        <w:t>Biomass conversion factor</w:t>
      </w:r>
    </w:p>
    <w:p w:rsidR="008B21B7" w:rsidRPr="0085073C" w:rsidRDefault="00F847F0" w:rsidP="00701A68">
      <w:pPr>
        <w:keepNext/>
        <w:keepLines/>
        <w:spacing w:after="120" w:line="240" w:lineRule="auto"/>
        <w:rPr>
          <w:rFonts w:ascii="Times New Roman" w:hAnsi="Times New Roman"/>
          <w:sz w:val="24"/>
          <w:szCs w:val="24"/>
        </w:rPr>
      </w:pPr>
      <w:r w:rsidRPr="0085073C">
        <w:rPr>
          <w:rFonts w:ascii="Times New Roman" w:hAnsi="Times New Roman"/>
          <w:sz w:val="24"/>
          <w:szCs w:val="24"/>
        </w:rPr>
        <w:t>Section 27 provides that the biomass conversion and expansion factor for each species in each land parcel must be determined using Table B.</w:t>
      </w:r>
    </w:p>
    <w:p w:rsidR="00913415" w:rsidRPr="0085073C" w:rsidRDefault="00F847F0" w:rsidP="000E51EE">
      <w:pPr>
        <w:spacing w:after="120" w:line="240" w:lineRule="auto"/>
        <w:rPr>
          <w:rFonts w:ascii="Times New Roman" w:hAnsi="Times New Roman"/>
          <w:sz w:val="24"/>
          <w:szCs w:val="24"/>
        </w:rPr>
      </w:pPr>
      <w:r w:rsidRPr="0085073C">
        <w:rPr>
          <w:rFonts w:ascii="Times New Roman" w:hAnsi="Times New Roman"/>
          <w:sz w:val="24"/>
          <w:szCs w:val="24"/>
        </w:rPr>
        <w:t>The left-hand column in Table B lists a range of growing stock levels, which are calculated as mean merchantable volume (</w:t>
      </w:r>
      <w:r w:rsidRPr="0085073C">
        <w:rPr>
          <w:rFonts w:ascii="Times New Roman" w:hAnsi="Times New Roman"/>
          <w:i/>
          <w:sz w:val="24"/>
          <w:szCs w:val="24"/>
        </w:rPr>
        <w:t>V</w:t>
      </w:r>
      <w:r w:rsidRPr="0085073C">
        <w:rPr>
          <w:rFonts w:ascii="Times New Roman" w:hAnsi="Times New Roman"/>
          <w:i/>
          <w:sz w:val="24"/>
          <w:szCs w:val="24"/>
          <w:vertAlign w:val="subscript"/>
        </w:rPr>
        <w:t>p|BSL</w:t>
      </w:r>
      <w:r w:rsidRPr="0085073C">
        <w:rPr>
          <w:rFonts w:ascii="Times New Roman" w:hAnsi="Times New Roman"/>
          <w:sz w:val="24"/>
          <w:szCs w:val="24"/>
        </w:rPr>
        <w:t xml:space="preserve">) in Equation 2C, and the right-hand column lists the relevant biomass conversion and expansion factor. Table B is derived from Table 4.5 at page 4.51 in Volume 4 of the </w:t>
      </w:r>
      <w:r w:rsidRPr="0085073C">
        <w:rPr>
          <w:rFonts w:ascii="Times New Roman" w:hAnsi="Times New Roman"/>
          <w:i/>
          <w:sz w:val="24"/>
          <w:szCs w:val="24"/>
        </w:rPr>
        <w:t>IPCC 2006 Guidelines for National Greenhouse Gas Inventories</w:t>
      </w:r>
      <w:r w:rsidRPr="0085073C">
        <w:rPr>
          <w:rFonts w:ascii="Times New Roman" w:hAnsi="Times New Roman"/>
          <w:sz w:val="24"/>
          <w:szCs w:val="24"/>
        </w:rPr>
        <w:t xml:space="preserve">. The factors used in the </w:t>
      </w:r>
      <w:r w:rsidRPr="0085073C">
        <w:rPr>
          <w:rFonts w:ascii="Times New Roman" w:hAnsi="Times New Roman"/>
          <w:i/>
          <w:sz w:val="24"/>
          <w:szCs w:val="24"/>
        </w:rPr>
        <w:t xml:space="preserve">IPCC Guidelines </w:t>
      </w:r>
      <w:r w:rsidRPr="0085073C">
        <w:rPr>
          <w:rFonts w:ascii="Times New Roman" w:hAnsi="Times New Roman"/>
          <w:sz w:val="24"/>
          <w:szCs w:val="24"/>
        </w:rPr>
        <w:t>have been adopted to maintain consistency with the VCS methodology.</w:t>
      </w:r>
    </w:p>
    <w:p w:rsidR="00FA1E7B" w:rsidRPr="0085073C" w:rsidRDefault="000B1607" w:rsidP="000E51EE">
      <w:pPr>
        <w:spacing w:after="120" w:line="240" w:lineRule="auto"/>
        <w:rPr>
          <w:rFonts w:ascii="Times New Roman" w:hAnsi="Times New Roman"/>
          <w:sz w:val="24"/>
          <w:szCs w:val="24"/>
        </w:rPr>
      </w:pPr>
    </w:p>
    <w:p w:rsidR="00517D49" w:rsidRPr="0085073C" w:rsidRDefault="00F847F0" w:rsidP="000E51EE">
      <w:pPr>
        <w:spacing w:after="120" w:line="240" w:lineRule="auto"/>
        <w:rPr>
          <w:rFonts w:ascii="Times New Roman" w:hAnsi="Times New Roman"/>
          <w:sz w:val="24"/>
          <w:szCs w:val="24"/>
          <w:u w:val="single"/>
        </w:rPr>
      </w:pPr>
      <w:r w:rsidRPr="0085073C">
        <w:rPr>
          <w:rFonts w:ascii="Times New Roman" w:hAnsi="Times New Roman"/>
          <w:sz w:val="24"/>
          <w:szCs w:val="24"/>
          <w:u w:val="single"/>
        </w:rPr>
        <w:t>28</w:t>
      </w:r>
      <w:r w:rsidRPr="0085073C">
        <w:rPr>
          <w:rFonts w:ascii="Times New Roman" w:hAnsi="Times New Roman"/>
          <w:sz w:val="24"/>
          <w:szCs w:val="24"/>
          <w:u w:val="single"/>
        </w:rPr>
        <w:tab/>
        <w:t>Mean carbon stock of extracted timber for each species in each land parcel</w:t>
      </w:r>
    </w:p>
    <w:p w:rsidR="004450A9" w:rsidRPr="0085073C" w:rsidRDefault="00F847F0" w:rsidP="004450A9">
      <w:pPr>
        <w:spacing w:after="120" w:line="240" w:lineRule="auto"/>
        <w:rPr>
          <w:rFonts w:ascii="Times New Roman" w:hAnsi="Times New Roman"/>
          <w:sz w:val="24"/>
          <w:szCs w:val="24"/>
        </w:rPr>
      </w:pPr>
      <w:r w:rsidRPr="0085073C">
        <w:rPr>
          <w:rFonts w:ascii="Times New Roman" w:hAnsi="Times New Roman"/>
          <w:sz w:val="24"/>
          <w:szCs w:val="24"/>
        </w:rPr>
        <w:t>Section 28 provides that the mean carbon stock of extracted timber for each species in each land parcel must be calculated using Equation 5. This value represents how much carbon would have been taken out the land parcel in the form of timber from that species in the baseline harvest event, which is avoided in the project scenario. The basic wood density of each species (</w:t>
      </w:r>
      <w:r w:rsidRPr="0085073C">
        <w:rPr>
          <w:rFonts w:ascii="Times New Roman" w:hAnsi="Times New Roman"/>
          <w:i/>
          <w:sz w:val="24"/>
          <w:szCs w:val="24"/>
        </w:rPr>
        <w:t>D</w:t>
      </w:r>
      <w:r w:rsidRPr="0085073C">
        <w:rPr>
          <w:rFonts w:ascii="Times New Roman" w:hAnsi="Times New Roman"/>
          <w:i/>
          <w:sz w:val="24"/>
          <w:szCs w:val="24"/>
          <w:vertAlign w:val="subscript"/>
        </w:rPr>
        <w:t>i</w:t>
      </w:r>
      <w:r w:rsidRPr="0085073C">
        <w:rPr>
          <w:rFonts w:ascii="Times New Roman" w:hAnsi="Times New Roman"/>
          <w:sz w:val="24"/>
          <w:szCs w:val="24"/>
        </w:rPr>
        <w:t>) was calculated by projects implementing the VCS methodology and is provided to the Regulator under Part 3.</w:t>
      </w:r>
    </w:p>
    <w:p w:rsidR="004450A9" w:rsidRPr="0085073C" w:rsidRDefault="00F847F0" w:rsidP="004450A9">
      <w:pPr>
        <w:spacing w:after="120" w:line="240" w:lineRule="auto"/>
        <w:rPr>
          <w:rFonts w:ascii="Times New Roman" w:hAnsi="Times New Roman"/>
          <w:sz w:val="24"/>
          <w:szCs w:val="24"/>
        </w:rPr>
      </w:pPr>
      <w:r w:rsidRPr="0085073C">
        <w:rPr>
          <w:rFonts w:ascii="Times New Roman" w:hAnsi="Times New Roman"/>
          <w:sz w:val="24"/>
          <w:szCs w:val="24"/>
        </w:rPr>
        <w:t>The basic wood density of projected growth in each land parcel is 0.63 tonnes of dry matter per cubic metre. This value has been used to maintain consistency with the VCS methodology. Note that, for the purposes of the calculations in Part 4, projected growth (of all species) in a land parcel is treated as a species (see subsection 22(2)).</w:t>
      </w:r>
    </w:p>
    <w:p w:rsidR="00775CC7" w:rsidRPr="0085073C" w:rsidRDefault="000B1607" w:rsidP="004450A9">
      <w:pPr>
        <w:spacing w:after="120" w:line="240" w:lineRule="auto"/>
        <w:rPr>
          <w:rFonts w:ascii="Times New Roman" w:hAnsi="Times New Roman"/>
          <w:sz w:val="24"/>
          <w:szCs w:val="24"/>
        </w:rPr>
      </w:pPr>
    </w:p>
    <w:p w:rsidR="0057131E" w:rsidRPr="0085073C" w:rsidRDefault="00F847F0" w:rsidP="0057131E">
      <w:pPr>
        <w:spacing w:after="120" w:line="240" w:lineRule="auto"/>
        <w:rPr>
          <w:rFonts w:ascii="Times New Roman" w:hAnsi="Times New Roman"/>
          <w:sz w:val="24"/>
          <w:szCs w:val="24"/>
          <w:u w:val="single"/>
        </w:rPr>
      </w:pPr>
      <w:r w:rsidRPr="0085073C">
        <w:rPr>
          <w:rFonts w:ascii="Times New Roman" w:hAnsi="Times New Roman"/>
          <w:sz w:val="24"/>
          <w:szCs w:val="24"/>
          <w:u w:val="single"/>
        </w:rPr>
        <w:t>29</w:t>
      </w:r>
      <w:r w:rsidRPr="0085073C">
        <w:rPr>
          <w:rFonts w:ascii="Times New Roman" w:hAnsi="Times New Roman"/>
          <w:sz w:val="24"/>
          <w:szCs w:val="24"/>
          <w:u w:val="single"/>
        </w:rPr>
        <w:tab/>
        <w:t>Carbon stock of logging slash in each land parcel</w:t>
      </w:r>
    </w:p>
    <w:p w:rsidR="0057131E" w:rsidRPr="0085073C" w:rsidRDefault="00F847F0" w:rsidP="0057131E">
      <w:pPr>
        <w:spacing w:after="120" w:line="240" w:lineRule="auto"/>
        <w:rPr>
          <w:rFonts w:ascii="Times New Roman" w:hAnsi="Times New Roman"/>
          <w:sz w:val="24"/>
          <w:szCs w:val="24"/>
        </w:rPr>
      </w:pPr>
      <w:r w:rsidRPr="0085073C">
        <w:rPr>
          <w:rFonts w:ascii="Times New Roman" w:hAnsi="Times New Roman"/>
          <w:sz w:val="24"/>
          <w:szCs w:val="24"/>
        </w:rPr>
        <w:t xml:space="preserve">Section 29 provides that the carbon stock of logging </w:t>
      </w:r>
      <w:r>
        <w:rPr>
          <w:rFonts w:ascii="Times New Roman" w:hAnsi="Times New Roman"/>
          <w:sz w:val="24"/>
          <w:szCs w:val="24"/>
        </w:rPr>
        <w:t>slash remaining as debris</w:t>
      </w:r>
      <w:r w:rsidRPr="0085073C">
        <w:rPr>
          <w:rFonts w:ascii="Times New Roman" w:hAnsi="Times New Roman"/>
          <w:sz w:val="24"/>
          <w:szCs w:val="24"/>
        </w:rPr>
        <w:t xml:space="preserve"> at the end of the crediting period must be calculated using Equation 6. This value represents how much carbon would have remained onsite as logging debris in the project area after the (avoided) baseline harvest event and after accounting for the decay that would take place until the end of the crediting period. The decay factor for debris is 0.1 per year, representing the slowest (conservative) decay rate for a debris pool published in the National Inventory Report.</w:t>
      </w:r>
    </w:p>
    <w:p w:rsidR="00775CC7" w:rsidRPr="0085073C" w:rsidRDefault="000B1607" w:rsidP="0057131E">
      <w:pPr>
        <w:spacing w:after="120" w:line="240" w:lineRule="auto"/>
        <w:rPr>
          <w:rFonts w:ascii="Times New Roman" w:hAnsi="Times New Roman"/>
          <w:sz w:val="24"/>
          <w:szCs w:val="24"/>
        </w:rPr>
      </w:pPr>
    </w:p>
    <w:p w:rsidR="0057131E" w:rsidRPr="0085073C" w:rsidRDefault="00F847F0" w:rsidP="0057131E">
      <w:pPr>
        <w:spacing w:after="120" w:line="240" w:lineRule="auto"/>
        <w:rPr>
          <w:rFonts w:ascii="Times New Roman" w:hAnsi="Times New Roman"/>
          <w:sz w:val="24"/>
          <w:szCs w:val="24"/>
          <w:u w:val="single"/>
        </w:rPr>
      </w:pPr>
      <w:r w:rsidRPr="0085073C">
        <w:rPr>
          <w:rFonts w:ascii="Times New Roman" w:hAnsi="Times New Roman"/>
          <w:sz w:val="24"/>
          <w:szCs w:val="24"/>
          <w:u w:val="single"/>
        </w:rPr>
        <w:t>30</w:t>
      </w:r>
      <w:r w:rsidRPr="0085073C">
        <w:rPr>
          <w:rFonts w:ascii="Times New Roman" w:hAnsi="Times New Roman"/>
          <w:sz w:val="24"/>
          <w:szCs w:val="24"/>
          <w:u w:val="single"/>
        </w:rPr>
        <w:tab/>
        <w:t>Carbon stock of extracted timber from each land parcel</w:t>
      </w:r>
    </w:p>
    <w:p w:rsidR="0057131E" w:rsidRPr="0085073C" w:rsidRDefault="00F847F0" w:rsidP="0057131E">
      <w:pPr>
        <w:spacing w:after="120" w:line="240" w:lineRule="auto"/>
        <w:rPr>
          <w:rFonts w:ascii="Times New Roman" w:hAnsi="Times New Roman"/>
          <w:sz w:val="24"/>
          <w:szCs w:val="24"/>
        </w:rPr>
      </w:pPr>
      <w:r w:rsidRPr="0085073C">
        <w:rPr>
          <w:rFonts w:ascii="Times New Roman" w:hAnsi="Times New Roman"/>
          <w:sz w:val="24"/>
          <w:szCs w:val="24"/>
        </w:rPr>
        <w:t>Section 30 provides that the carbon stock of all wood products extracted from each land parcel must be calculated using Equation 7. This value represents how much carbon would have been taken in the form of timber from all species within the land parcel as a result of the baseline harvest event, which is avoided in the project scenario. This value also represents how much carbon would have been stored in wood products immediately after the (avoided) baseline harvest event.</w:t>
      </w:r>
    </w:p>
    <w:p w:rsidR="00EB597C" w:rsidRPr="0085073C" w:rsidRDefault="00F847F0" w:rsidP="00C17A81">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lastRenderedPageBreak/>
        <w:t>31</w:t>
      </w:r>
      <w:r w:rsidRPr="0085073C">
        <w:rPr>
          <w:rFonts w:ascii="Times New Roman" w:hAnsi="Times New Roman"/>
          <w:sz w:val="24"/>
          <w:szCs w:val="24"/>
          <w:u w:val="single"/>
        </w:rPr>
        <w:tab/>
        <w:t>Carbon stock for each harvested wood product in each land parcel</w:t>
      </w:r>
    </w:p>
    <w:p w:rsidR="00EB597C" w:rsidRPr="0085073C" w:rsidRDefault="00F847F0" w:rsidP="00C17A81">
      <w:pPr>
        <w:keepNext/>
        <w:keepLines/>
        <w:spacing w:after="120" w:line="240" w:lineRule="auto"/>
        <w:rPr>
          <w:rFonts w:ascii="Times New Roman" w:hAnsi="Times New Roman"/>
          <w:sz w:val="24"/>
          <w:szCs w:val="24"/>
        </w:rPr>
      </w:pPr>
      <w:r w:rsidRPr="0085073C">
        <w:rPr>
          <w:rFonts w:ascii="Times New Roman" w:hAnsi="Times New Roman"/>
          <w:sz w:val="24"/>
          <w:szCs w:val="24"/>
        </w:rPr>
        <w:t>Section 31 provides that the carbon stock for each harvested wood product from each land parcel must be calculated using Equation 8. This value represents how much carbon would have been stored in each harvested wood product immediately after the (avoided) baseline harvest event. Consistently with the VCS Methodology, only two harvested wood products are taken into account: sawlog and pulpwood. The percentage of each wood product extracted from a land parcel is provided to the Regulator under Part 3.</w:t>
      </w:r>
    </w:p>
    <w:p w:rsidR="00775CC7" w:rsidRPr="0085073C" w:rsidRDefault="000B1607" w:rsidP="00C17A81">
      <w:pPr>
        <w:keepNext/>
        <w:keepLines/>
        <w:spacing w:after="120" w:line="240" w:lineRule="auto"/>
        <w:rPr>
          <w:rFonts w:ascii="Times New Roman" w:hAnsi="Times New Roman"/>
          <w:sz w:val="24"/>
          <w:szCs w:val="24"/>
        </w:rPr>
      </w:pPr>
    </w:p>
    <w:p w:rsidR="000D4BD8" w:rsidRPr="0085073C" w:rsidRDefault="00F847F0" w:rsidP="00701A68">
      <w:pPr>
        <w:keepNext/>
        <w:keepLines/>
        <w:spacing w:after="120" w:line="240" w:lineRule="auto"/>
        <w:ind w:left="2160" w:hanging="2160"/>
        <w:rPr>
          <w:rFonts w:ascii="Times New Roman" w:hAnsi="Times New Roman"/>
          <w:b/>
          <w:sz w:val="24"/>
          <w:szCs w:val="24"/>
        </w:rPr>
      </w:pPr>
      <w:r w:rsidRPr="0085073C">
        <w:rPr>
          <w:rFonts w:ascii="Times New Roman" w:hAnsi="Times New Roman"/>
          <w:b/>
          <w:sz w:val="24"/>
          <w:szCs w:val="24"/>
        </w:rPr>
        <w:t>Subdivision 3</w:t>
      </w:r>
      <w:r w:rsidRPr="0085073C">
        <w:rPr>
          <w:rFonts w:ascii="Times New Roman" w:hAnsi="Times New Roman"/>
          <w:b/>
          <w:sz w:val="24"/>
          <w:szCs w:val="24"/>
        </w:rPr>
        <w:tab/>
        <w:t>Carbon stock in existence in harvested wood products at end of crediting period</w:t>
      </w:r>
    </w:p>
    <w:p w:rsidR="00EB597C" w:rsidRPr="0085073C" w:rsidRDefault="00F847F0" w:rsidP="00701A68">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t>32</w:t>
      </w:r>
      <w:r w:rsidRPr="0085073C">
        <w:rPr>
          <w:rFonts w:ascii="Times New Roman" w:hAnsi="Times New Roman"/>
          <w:sz w:val="24"/>
          <w:szCs w:val="24"/>
          <w:u w:val="single"/>
        </w:rPr>
        <w:tab/>
        <w:t xml:space="preserve"> General</w:t>
      </w:r>
    </w:p>
    <w:p w:rsidR="0009434F" w:rsidRPr="0085073C" w:rsidRDefault="00F847F0" w:rsidP="00701A68">
      <w:pPr>
        <w:keepNext/>
        <w:keepLines/>
        <w:spacing w:after="120" w:line="240" w:lineRule="auto"/>
        <w:rPr>
          <w:rFonts w:ascii="Times New Roman" w:hAnsi="Times New Roman"/>
          <w:sz w:val="24"/>
          <w:szCs w:val="24"/>
        </w:rPr>
      </w:pPr>
      <w:r w:rsidRPr="0085073C">
        <w:rPr>
          <w:rFonts w:ascii="Times New Roman" w:hAnsi="Times New Roman"/>
          <w:sz w:val="24"/>
          <w:szCs w:val="24"/>
        </w:rPr>
        <w:t>Subsection 32(1) provides that the carbon stock in existence in harvested wood products at the end of the crediting period is calculated in accordance with Subdivision 3.</w:t>
      </w:r>
    </w:p>
    <w:p w:rsidR="00E51BBF" w:rsidRPr="0085073C" w:rsidRDefault="00F847F0" w:rsidP="007268A4">
      <w:pPr>
        <w:spacing w:after="120" w:line="240" w:lineRule="auto"/>
        <w:rPr>
          <w:rFonts w:ascii="Times New Roman" w:hAnsi="Times New Roman"/>
          <w:color w:val="000000" w:themeColor="text1"/>
          <w:sz w:val="24"/>
          <w:szCs w:val="24"/>
        </w:rPr>
      </w:pPr>
      <w:r w:rsidRPr="0085073C">
        <w:rPr>
          <w:rFonts w:ascii="Times New Roman" w:hAnsi="Times New Roman"/>
          <w:sz w:val="24"/>
          <w:szCs w:val="24"/>
        </w:rPr>
        <w:t>Subsection 32(2) provides that</w:t>
      </w:r>
      <w:r w:rsidRPr="0085073C">
        <w:rPr>
          <w:rFonts w:ascii="Times New Roman" w:hAnsi="Times New Roman"/>
          <w:color w:val="000000" w:themeColor="text1"/>
          <w:sz w:val="24"/>
          <w:szCs w:val="24"/>
        </w:rPr>
        <w:t xml:space="preserve"> the values in Table C must be used in Equations 9 and 10.</w:t>
      </w:r>
    </w:p>
    <w:p w:rsidR="00E51BBF" w:rsidRPr="0085073C" w:rsidRDefault="000B1607" w:rsidP="00701A68">
      <w:pPr>
        <w:keepNext/>
        <w:keepLines/>
        <w:spacing w:after="120" w:line="240" w:lineRule="auto"/>
        <w:rPr>
          <w:rFonts w:ascii="Times New Roman" w:hAnsi="Times New Roman"/>
          <w:color w:val="000000" w:themeColor="text1"/>
          <w:sz w:val="24"/>
          <w:szCs w:val="24"/>
        </w:rPr>
      </w:pPr>
    </w:p>
    <w:p w:rsidR="0009434F" w:rsidRPr="0085073C" w:rsidRDefault="00F847F0" w:rsidP="007268A4">
      <w:pPr>
        <w:pStyle w:val="tMain"/>
        <w:keepNext/>
        <w:jc w:val="right"/>
        <w:rPr>
          <w:b/>
        </w:rPr>
      </w:pPr>
      <w:r w:rsidRPr="0085073C">
        <w:rPr>
          <w:b/>
        </w:rPr>
        <w:t>Table C</w:t>
      </w:r>
    </w:p>
    <w:tbl>
      <w:tblPr>
        <w:tblStyle w:val="TableGrid"/>
        <w:tblW w:w="9072" w:type="dxa"/>
        <w:tblInd w:w="108" w:type="dxa"/>
        <w:tblLook w:val="04A0"/>
      </w:tblPr>
      <w:tblGrid>
        <w:gridCol w:w="1890"/>
        <w:gridCol w:w="1890"/>
        <w:gridCol w:w="1890"/>
        <w:gridCol w:w="3402"/>
      </w:tblGrid>
      <w:tr w:rsidR="00883324" w:rsidTr="0009434F">
        <w:tc>
          <w:tcPr>
            <w:tcW w:w="1890" w:type="dxa"/>
          </w:tcPr>
          <w:p w:rsidR="0009434F" w:rsidRPr="0085073C" w:rsidRDefault="00F847F0" w:rsidP="007268A4">
            <w:pPr>
              <w:pStyle w:val="tMain"/>
              <w:keepNext/>
              <w:ind w:left="0" w:firstLine="0"/>
              <w:jc w:val="left"/>
            </w:pPr>
            <w:r w:rsidRPr="0085073C">
              <w:t>Wood product (</w:t>
            </w:r>
            <m:oMath>
              <m:r>
                <w:rPr>
                  <w:rFonts w:ascii="Cambria Math" w:hAnsi="Cambria Math"/>
                </w:rPr>
                <m:t>k</m:t>
              </m:r>
            </m:oMath>
            <w:r w:rsidRPr="0085073C">
              <w:t>)</w:t>
            </w:r>
          </w:p>
        </w:tc>
        <w:tc>
          <w:tcPr>
            <w:tcW w:w="1890" w:type="dxa"/>
          </w:tcPr>
          <w:p w:rsidR="0009434F" w:rsidRPr="0085073C" w:rsidRDefault="00F847F0" w:rsidP="007268A4">
            <w:pPr>
              <w:pStyle w:val="tMain"/>
              <w:keepNext/>
              <w:ind w:left="0" w:firstLine="0"/>
              <w:jc w:val="left"/>
            </w:pPr>
            <w:r w:rsidRPr="0085073C">
              <w:t>Wood waste  (</w:t>
            </w:r>
            <m:oMath>
              <m:r>
                <w:rPr>
                  <w:rFonts w:ascii="Cambria Math" w:hAnsi="Cambria Math"/>
                </w:rPr>
                <m:t>WW</m:t>
              </m:r>
            </m:oMath>
            <w:r w:rsidRPr="0085073C">
              <w:t>)</w:t>
            </w:r>
          </w:p>
        </w:tc>
        <w:tc>
          <w:tcPr>
            <w:tcW w:w="1890" w:type="dxa"/>
          </w:tcPr>
          <w:p w:rsidR="0009434F" w:rsidRPr="0085073C" w:rsidRDefault="00F847F0" w:rsidP="007268A4">
            <w:pPr>
              <w:pStyle w:val="tMain"/>
              <w:keepNext/>
              <w:ind w:left="0" w:firstLine="0"/>
              <w:jc w:val="left"/>
            </w:pPr>
            <w:r w:rsidRPr="0085073C">
              <w:t>Decay factor</w:t>
            </w:r>
          </w:p>
          <w:p w:rsidR="0009434F" w:rsidRPr="0085073C" w:rsidRDefault="00F847F0" w:rsidP="007268A4">
            <w:pPr>
              <w:pStyle w:val="tMain"/>
              <w:keepNext/>
              <w:ind w:left="0" w:firstLine="0"/>
              <w:jc w:val="left"/>
              <w:rPr>
                <w:rFonts w:ascii="Arial" w:hAnsi="Arial" w:cs="Arial"/>
              </w:rPr>
            </w:pPr>
            <w:r w:rsidRPr="0085073C">
              <w:t>(</w:t>
            </w:r>
            <m:oMath>
              <m:r>
                <w:rPr>
                  <w:rFonts w:ascii="Cambria Math" w:hAnsi="Cambria Math"/>
                </w:rPr>
                <m:t>DF</m:t>
              </m:r>
            </m:oMath>
            <w:r w:rsidRPr="0085073C">
              <w:t>)</w:t>
            </w:r>
          </w:p>
        </w:tc>
        <w:tc>
          <w:tcPr>
            <w:tcW w:w="3402" w:type="dxa"/>
          </w:tcPr>
          <w:p w:rsidR="0009434F" w:rsidRPr="0085073C" w:rsidRDefault="00F847F0" w:rsidP="007268A4">
            <w:pPr>
              <w:pStyle w:val="tMain"/>
              <w:keepNext/>
              <w:ind w:left="0" w:firstLine="0"/>
              <w:jc w:val="left"/>
            </w:pPr>
            <w:r w:rsidRPr="0085073C">
              <w:t>Minimum carbon stock in existence at end of crediting period (</w:t>
            </w:r>
            <m:oMath>
              <m:r>
                <w:rPr>
                  <w:rFonts w:ascii="Cambria Math" w:hAnsi="Cambria Math"/>
                </w:rPr>
                <m:t>MD</m:t>
              </m:r>
            </m:oMath>
            <w:r w:rsidRPr="0085073C">
              <w:t>)</w:t>
            </w:r>
          </w:p>
        </w:tc>
      </w:tr>
      <w:tr w:rsidR="00883324" w:rsidTr="0009434F">
        <w:tc>
          <w:tcPr>
            <w:tcW w:w="1890" w:type="dxa"/>
          </w:tcPr>
          <w:p w:rsidR="0009434F" w:rsidRPr="0085073C" w:rsidRDefault="00F847F0" w:rsidP="007268A4">
            <w:pPr>
              <w:pStyle w:val="tMain"/>
              <w:keepNext/>
              <w:ind w:left="0" w:firstLine="0"/>
              <w:jc w:val="left"/>
            </w:pPr>
            <w:r w:rsidRPr="0085073C">
              <w:t>Sawlog</w:t>
            </w:r>
          </w:p>
        </w:tc>
        <w:tc>
          <w:tcPr>
            <w:tcW w:w="1890" w:type="dxa"/>
          </w:tcPr>
          <w:p w:rsidR="0009434F" w:rsidRPr="0085073C" w:rsidRDefault="00F847F0" w:rsidP="007268A4">
            <w:pPr>
              <w:pStyle w:val="tMain"/>
              <w:keepNext/>
              <w:ind w:left="0" w:firstLine="0"/>
              <w:jc w:val="left"/>
            </w:pPr>
            <w:r w:rsidRPr="0085073C">
              <w:t>0.19</w:t>
            </w:r>
          </w:p>
        </w:tc>
        <w:tc>
          <w:tcPr>
            <w:tcW w:w="1890" w:type="dxa"/>
          </w:tcPr>
          <w:p w:rsidR="0009434F" w:rsidRPr="0085073C" w:rsidRDefault="00F847F0" w:rsidP="007268A4">
            <w:pPr>
              <w:pStyle w:val="tMain"/>
              <w:keepNext/>
              <w:ind w:left="0" w:firstLine="0"/>
            </w:pPr>
            <w:r w:rsidRPr="0085073C">
              <w:rPr>
                <w:rFonts w:cs="Calibri"/>
              </w:rPr>
              <w:t>0.033yr</w:t>
            </w:r>
            <w:r w:rsidRPr="0085073C">
              <w:rPr>
                <w:rFonts w:cs="Calibri"/>
                <w:vertAlign w:val="superscript"/>
              </w:rPr>
              <w:t>-1</w:t>
            </w:r>
          </w:p>
        </w:tc>
        <w:tc>
          <w:tcPr>
            <w:tcW w:w="3402" w:type="dxa"/>
          </w:tcPr>
          <w:p w:rsidR="0009434F" w:rsidRPr="0085073C" w:rsidRDefault="00F847F0" w:rsidP="007268A4">
            <w:pPr>
              <w:pStyle w:val="tMain"/>
              <w:keepNext/>
              <w:ind w:left="0" w:firstLine="0"/>
              <w:jc w:val="left"/>
            </w:pPr>
            <w:r w:rsidRPr="0085073C">
              <w:t>0.8</w:t>
            </w:r>
          </w:p>
        </w:tc>
      </w:tr>
      <w:tr w:rsidR="00883324" w:rsidTr="0009434F">
        <w:tc>
          <w:tcPr>
            <w:tcW w:w="1890" w:type="dxa"/>
          </w:tcPr>
          <w:p w:rsidR="0009434F" w:rsidRPr="0085073C" w:rsidRDefault="00F847F0" w:rsidP="007268A4">
            <w:pPr>
              <w:pStyle w:val="tMain"/>
              <w:keepNext/>
              <w:ind w:left="0" w:firstLine="0"/>
              <w:jc w:val="left"/>
            </w:pPr>
            <w:r w:rsidRPr="0085073C">
              <w:t>Pulpwood</w:t>
            </w:r>
          </w:p>
        </w:tc>
        <w:tc>
          <w:tcPr>
            <w:tcW w:w="1890" w:type="dxa"/>
          </w:tcPr>
          <w:p w:rsidR="0009434F" w:rsidRPr="0085073C" w:rsidRDefault="00F847F0" w:rsidP="007268A4">
            <w:pPr>
              <w:pStyle w:val="tMain"/>
              <w:keepNext/>
              <w:ind w:left="0" w:firstLine="0"/>
              <w:jc w:val="left"/>
            </w:pPr>
            <w:r w:rsidRPr="0085073C">
              <w:t>0.19</w:t>
            </w:r>
          </w:p>
        </w:tc>
        <w:tc>
          <w:tcPr>
            <w:tcW w:w="1890" w:type="dxa"/>
          </w:tcPr>
          <w:p w:rsidR="0009434F" w:rsidRPr="0085073C" w:rsidRDefault="00F847F0" w:rsidP="007268A4">
            <w:pPr>
              <w:pStyle w:val="tMain"/>
              <w:keepNext/>
              <w:ind w:left="0" w:firstLine="0"/>
              <w:jc w:val="left"/>
            </w:pPr>
            <w:r w:rsidRPr="0085073C">
              <w:rPr>
                <w:rFonts w:cs="Calibri"/>
              </w:rPr>
              <w:t>0.333yr</w:t>
            </w:r>
            <w:r w:rsidRPr="0085073C">
              <w:rPr>
                <w:rFonts w:cs="Calibri"/>
                <w:vertAlign w:val="superscript"/>
              </w:rPr>
              <w:t>-1</w:t>
            </w:r>
          </w:p>
        </w:tc>
        <w:tc>
          <w:tcPr>
            <w:tcW w:w="3402" w:type="dxa"/>
          </w:tcPr>
          <w:p w:rsidR="0009434F" w:rsidRPr="0085073C" w:rsidRDefault="00F847F0" w:rsidP="007268A4">
            <w:pPr>
              <w:pStyle w:val="tMain"/>
              <w:keepNext/>
              <w:ind w:left="0" w:firstLine="0"/>
              <w:jc w:val="left"/>
            </w:pPr>
            <w:r w:rsidRPr="0085073C">
              <w:t>0.1</w:t>
            </w:r>
          </w:p>
        </w:tc>
      </w:tr>
    </w:tbl>
    <w:p w:rsidR="0009434F" w:rsidRPr="0085073C" w:rsidRDefault="000B1607" w:rsidP="00EB597C">
      <w:pPr>
        <w:spacing w:after="120" w:line="240" w:lineRule="auto"/>
        <w:rPr>
          <w:rFonts w:ascii="Times New Roman" w:hAnsi="Times New Roman"/>
          <w:sz w:val="24"/>
          <w:szCs w:val="24"/>
        </w:rPr>
      </w:pPr>
    </w:p>
    <w:p w:rsidR="003E49DF" w:rsidRPr="0085073C" w:rsidRDefault="00F847F0" w:rsidP="00EB597C">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The wood waste factor, which reflects the proportion of the extracted timber lost when wood products are created, is carried over from the VCS methodology. The decay factors and the minimum carbon stock in existence at the end of the crediting period are taken from Table 7.4.2 at page 92 of the </w:t>
      </w:r>
      <w:r w:rsidRPr="0085073C">
        <w:rPr>
          <w:rFonts w:ascii="Times New Roman" w:hAnsi="Times New Roman"/>
          <w:i/>
          <w:color w:val="000000" w:themeColor="text1"/>
          <w:sz w:val="24"/>
          <w:szCs w:val="24"/>
        </w:rPr>
        <w:t>National Inventory Report 2012 Volume 2</w:t>
      </w:r>
      <w:r w:rsidRPr="0085073C">
        <w:rPr>
          <w:rFonts w:ascii="Times New Roman" w:hAnsi="Times New Roman"/>
          <w:color w:val="000000" w:themeColor="text1"/>
          <w:sz w:val="24"/>
          <w:szCs w:val="24"/>
        </w:rPr>
        <w:t>. Sawlog is taken to correspond to ‘Very long-term products’ and pulpwood to ‘Very short-term products’ in the National Inventory Report. The minimum carbon stock in existence at the end of the crediting period is taken to be the inverse of the ‘maximum possible loss’ included in the National Inventory Report.</w:t>
      </w:r>
    </w:p>
    <w:p w:rsidR="00A41CA5" w:rsidRPr="0085073C" w:rsidRDefault="000B1607" w:rsidP="00EB597C">
      <w:pPr>
        <w:spacing w:after="120" w:line="240" w:lineRule="auto"/>
        <w:rPr>
          <w:rFonts w:ascii="Times New Roman" w:hAnsi="Times New Roman"/>
          <w:sz w:val="24"/>
          <w:szCs w:val="24"/>
        </w:rPr>
      </w:pPr>
    </w:p>
    <w:p w:rsidR="00636FA6" w:rsidRPr="0085073C" w:rsidRDefault="00F847F0" w:rsidP="006B458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33</w:t>
      </w:r>
      <w:r w:rsidRPr="0085073C">
        <w:rPr>
          <w:rFonts w:ascii="Times New Roman" w:hAnsi="Times New Roman"/>
          <w:color w:val="000000" w:themeColor="text1"/>
          <w:sz w:val="24"/>
          <w:szCs w:val="24"/>
          <w:u w:val="single"/>
        </w:rPr>
        <w:tab/>
        <w:t>Carbon stock in harvested wood products in existence at end of crediting period—decay factor method</w:t>
      </w:r>
    </w:p>
    <w:p w:rsidR="0057131E" w:rsidRDefault="00F847F0" w:rsidP="0057131E">
      <w:pPr>
        <w:spacing w:after="120" w:line="240" w:lineRule="auto"/>
        <w:rPr>
          <w:rFonts w:ascii="Times New Roman" w:hAnsi="Times New Roman"/>
          <w:sz w:val="24"/>
          <w:szCs w:val="24"/>
        </w:rPr>
      </w:pPr>
      <w:r w:rsidRPr="0085073C">
        <w:rPr>
          <w:rFonts w:ascii="Times New Roman" w:hAnsi="Times New Roman"/>
          <w:color w:val="000000" w:themeColor="text1"/>
          <w:sz w:val="24"/>
          <w:szCs w:val="24"/>
        </w:rPr>
        <w:t xml:space="preserve">Section 33 provides that, for each harvested wood product (sawlog and pulpwood), the carbon stock in the harvested wood product in existence at the end of the crediting period must be calculated using Equation 9, which uses the decay factor method. </w:t>
      </w:r>
      <w:r w:rsidRPr="0085073C">
        <w:rPr>
          <w:rFonts w:ascii="Times New Roman" w:hAnsi="Times New Roman"/>
          <w:sz w:val="24"/>
          <w:szCs w:val="24"/>
        </w:rPr>
        <w:t>The decay factor method applies a decay factor to the carbon stock in wood products extracted from the project area and calculates how much carbon stock remains at the end of the crediting period, assuming that the wood product decays at a constant rate.</w:t>
      </w:r>
    </w:p>
    <w:p w:rsidR="0089078F" w:rsidRPr="0085073C" w:rsidRDefault="000B1607" w:rsidP="0057131E">
      <w:pPr>
        <w:spacing w:after="120" w:line="240" w:lineRule="auto"/>
        <w:rPr>
          <w:rFonts w:ascii="Times New Roman" w:hAnsi="Times New Roman"/>
          <w:sz w:val="24"/>
          <w:szCs w:val="24"/>
        </w:rPr>
      </w:pPr>
    </w:p>
    <w:p w:rsidR="00A41CA5" w:rsidRPr="0085073C" w:rsidRDefault="000B1607" w:rsidP="0057131E">
      <w:pPr>
        <w:spacing w:after="120" w:line="240" w:lineRule="auto"/>
        <w:rPr>
          <w:rFonts w:ascii="Times New Roman" w:hAnsi="Times New Roman"/>
          <w:color w:val="000000" w:themeColor="text1"/>
          <w:sz w:val="24"/>
          <w:szCs w:val="24"/>
        </w:rPr>
      </w:pPr>
    </w:p>
    <w:p w:rsidR="00E44936" w:rsidRPr="0085073C" w:rsidRDefault="00F847F0" w:rsidP="006B458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lastRenderedPageBreak/>
        <w:t>34</w:t>
      </w:r>
      <w:r w:rsidRPr="0085073C">
        <w:rPr>
          <w:rFonts w:ascii="Times New Roman" w:hAnsi="Times New Roman"/>
          <w:color w:val="000000" w:themeColor="text1"/>
          <w:sz w:val="24"/>
          <w:szCs w:val="24"/>
          <w:u w:val="single"/>
        </w:rPr>
        <w:tab/>
        <w:t>Carbon stock in harvested wood products in existence at end of crediting period—maximum loss method</w:t>
      </w:r>
    </w:p>
    <w:p w:rsidR="003E49DF" w:rsidRPr="0085073C" w:rsidRDefault="00F847F0" w:rsidP="00E44936">
      <w:pPr>
        <w:spacing w:after="120" w:line="240" w:lineRule="auto"/>
        <w:rPr>
          <w:rFonts w:ascii="Times New Roman" w:hAnsi="Times New Roman"/>
          <w:sz w:val="24"/>
          <w:szCs w:val="24"/>
        </w:rPr>
      </w:pPr>
      <w:r w:rsidRPr="0085073C">
        <w:rPr>
          <w:rFonts w:ascii="Times New Roman" w:hAnsi="Times New Roman"/>
          <w:color w:val="000000" w:themeColor="text1"/>
          <w:sz w:val="24"/>
          <w:szCs w:val="24"/>
        </w:rPr>
        <w:t>Section 34 provides that, for each harvested wood product (sawlog and pulpwood), the carbon stock in the harvested wood product in existence at the end of the crediting period must be calculated using Equation 10, which uses the maximum loss method.</w:t>
      </w:r>
      <w:r w:rsidRPr="0085073C">
        <w:rPr>
          <w:rFonts w:ascii="Times New Roman" w:hAnsi="Times New Roman"/>
          <w:sz w:val="24"/>
          <w:szCs w:val="24"/>
        </w:rPr>
        <w:t xml:space="preserve"> The maximum loss method calculates the minimum amount of carbon that, had the baseline harvest event occurred, would have appeared in the National Inventory as being stored in harvested wood products. Accordingly, the maximum loss method calculates the greatest amount of carbon that could be recorded as an emission from harvested wood products from the project area using decay factors from the National Inventory Report.</w:t>
      </w:r>
    </w:p>
    <w:p w:rsidR="00C619E4" w:rsidRPr="0085073C" w:rsidRDefault="000B1607" w:rsidP="00E44936">
      <w:pPr>
        <w:spacing w:after="120" w:line="240" w:lineRule="auto"/>
        <w:rPr>
          <w:rFonts w:ascii="Times New Roman" w:hAnsi="Times New Roman"/>
          <w:color w:val="000000" w:themeColor="text1"/>
          <w:sz w:val="24"/>
          <w:szCs w:val="24"/>
        </w:rPr>
      </w:pPr>
    </w:p>
    <w:p w:rsidR="00E44936"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35</w:t>
      </w:r>
      <w:r w:rsidRPr="0085073C">
        <w:rPr>
          <w:rFonts w:ascii="Times New Roman" w:hAnsi="Times New Roman"/>
          <w:color w:val="000000" w:themeColor="text1"/>
          <w:sz w:val="24"/>
          <w:szCs w:val="24"/>
          <w:u w:val="single"/>
        </w:rPr>
        <w:tab/>
        <w:t>Calculating carbon stock in harvested wood products in existence at end of crediting period—conservative estimate</w:t>
      </w:r>
    </w:p>
    <w:p w:rsidR="003E49DF" w:rsidRPr="0085073C" w:rsidRDefault="00F847F0" w:rsidP="003E49DF">
      <w:pPr>
        <w:spacing w:after="120" w:line="240" w:lineRule="auto"/>
        <w:rPr>
          <w:rFonts w:ascii="Times New Roman" w:hAnsi="Times New Roman"/>
          <w:sz w:val="24"/>
          <w:szCs w:val="24"/>
        </w:rPr>
      </w:pPr>
      <w:r w:rsidRPr="0085073C">
        <w:rPr>
          <w:rFonts w:ascii="Times New Roman" w:hAnsi="Times New Roman"/>
          <w:color w:val="000000" w:themeColor="text1"/>
          <w:sz w:val="24"/>
          <w:szCs w:val="24"/>
        </w:rPr>
        <w:t>Section 35 provides that a conservative estimate must be made of the carbon stock in each harvested wood product at the end of the crediting period by taking the higher value of the values calculated using Equations 9 and 10.</w:t>
      </w:r>
      <w:r w:rsidRPr="0085073C">
        <w:rPr>
          <w:rFonts w:ascii="Times New Roman" w:hAnsi="Times New Roman"/>
          <w:sz w:val="24"/>
          <w:szCs w:val="24"/>
        </w:rPr>
        <w:t xml:space="preserve"> It is conservative to select the higher of the two values calculated in accordance with the decay factor method and the maximum loss method because the more carbon remains in harvested wood products at the end of the crediting period, the lower the net baseline carbon stock losses and, therefore, the net avoided emission in respect of which the project is credited. This approach ensures that the amount of carbon stored in harvested wood products is not lower than what would have been recorded in the inventory.</w:t>
      </w:r>
    </w:p>
    <w:p w:rsidR="003E49DF"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Conservative estimates must be made because paragraph 133(1)(g) of the Act provides that any estimate, projection or assumption used to ascertain the net abatement amount in accordance with a methodology determination must be conservative.</w:t>
      </w:r>
    </w:p>
    <w:p w:rsidR="00C619E4" w:rsidRPr="0085073C" w:rsidRDefault="000B1607" w:rsidP="00E44936">
      <w:pPr>
        <w:spacing w:after="120" w:line="240" w:lineRule="auto"/>
        <w:rPr>
          <w:rFonts w:ascii="Times New Roman" w:hAnsi="Times New Roman"/>
          <w:color w:val="000000" w:themeColor="text1"/>
          <w:sz w:val="24"/>
          <w:szCs w:val="24"/>
        </w:rPr>
      </w:pPr>
    </w:p>
    <w:p w:rsidR="00062DB3"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36</w:t>
      </w:r>
      <w:r w:rsidRPr="0085073C">
        <w:rPr>
          <w:rFonts w:ascii="Times New Roman" w:hAnsi="Times New Roman"/>
          <w:color w:val="000000" w:themeColor="text1"/>
          <w:sz w:val="24"/>
          <w:szCs w:val="24"/>
          <w:u w:val="single"/>
        </w:rPr>
        <w:tab/>
        <w:t>Carbon stock in existence in harvested wood products at end of crediting period</w:t>
      </w:r>
    </w:p>
    <w:p w:rsidR="00062DB3"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36 provides that, for each land parcel, the carbon stock in existence at the end of the crediting period must be calculated using Equation 11.</w:t>
      </w:r>
    </w:p>
    <w:p w:rsidR="00C71366" w:rsidRPr="0085073C" w:rsidRDefault="000B1607" w:rsidP="00E44936">
      <w:pPr>
        <w:spacing w:after="120" w:line="240" w:lineRule="auto"/>
        <w:rPr>
          <w:rFonts w:ascii="Times New Roman" w:hAnsi="Times New Roman"/>
          <w:color w:val="000000" w:themeColor="text1"/>
          <w:sz w:val="24"/>
          <w:szCs w:val="24"/>
        </w:rPr>
      </w:pPr>
    </w:p>
    <w:p w:rsidR="00A5737A" w:rsidRPr="0085073C" w:rsidRDefault="00F847F0" w:rsidP="00E44936">
      <w:pPr>
        <w:spacing w:after="120" w:line="240" w:lineRule="auto"/>
        <w:rPr>
          <w:rFonts w:ascii="Times New Roman" w:hAnsi="Times New Roman"/>
          <w:b/>
          <w:color w:val="000000" w:themeColor="text1"/>
          <w:sz w:val="24"/>
          <w:szCs w:val="24"/>
        </w:rPr>
      </w:pPr>
      <w:r w:rsidRPr="0085073C">
        <w:rPr>
          <w:rFonts w:ascii="Times New Roman" w:hAnsi="Times New Roman"/>
          <w:b/>
          <w:color w:val="000000" w:themeColor="text1"/>
          <w:sz w:val="24"/>
          <w:szCs w:val="24"/>
        </w:rPr>
        <w:t>Subdivision 4</w:t>
      </w:r>
      <w:r w:rsidRPr="0085073C">
        <w:rPr>
          <w:rFonts w:ascii="Times New Roman" w:hAnsi="Times New Roman"/>
          <w:b/>
          <w:color w:val="000000" w:themeColor="text1"/>
          <w:sz w:val="24"/>
          <w:szCs w:val="24"/>
        </w:rPr>
        <w:tab/>
      </w:r>
      <w:r w:rsidRPr="0085073C">
        <w:rPr>
          <w:rFonts w:ascii="Times New Roman" w:hAnsi="Times New Roman"/>
          <w:b/>
          <w:color w:val="000000" w:themeColor="text1"/>
          <w:sz w:val="24"/>
          <w:szCs w:val="24"/>
        </w:rPr>
        <w:tab/>
        <w:t>Carbon stock in forest regrowth after harvest</w:t>
      </w:r>
    </w:p>
    <w:p w:rsidR="00A5737A"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37</w:t>
      </w:r>
      <w:r w:rsidRPr="0085073C">
        <w:rPr>
          <w:rFonts w:ascii="Times New Roman" w:hAnsi="Times New Roman"/>
          <w:color w:val="000000" w:themeColor="text1"/>
          <w:sz w:val="24"/>
          <w:szCs w:val="24"/>
          <w:u w:val="single"/>
        </w:rPr>
        <w:tab/>
        <w:t>General</w:t>
      </w:r>
    </w:p>
    <w:p w:rsidR="009408F1"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37 provides that carbon stock in regrowth must be calculated in accordance with Subdivision 4. This is the carbon stock that would have accumulated in the baseline after the harvest events, which are avoided in the project scenario. This carbon stock is subtracted from net baseline emissions in Equation 16 because it reduces net baseline emissions and therefore the emissions that are avoided in the project scenario.</w:t>
      </w:r>
    </w:p>
    <w:p w:rsidR="00C71366" w:rsidRPr="0085073C" w:rsidRDefault="000B1607" w:rsidP="00E44936">
      <w:pPr>
        <w:spacing w:after="120" w:line="240" w:lineRule="auto"/>
        <w:rPr>
          <w:rFonts w:ascii="Times New Roman" w:hAnsi="Times New Roman"/>
          <w:color w:val="000000" w:themeColor="text1"/>
          <w:sz w:val="24"/>
          <w:szCs w:val="24"/>
        </w:rPr>
      </w:pPr>
    </w:p>
    <w:p w:rsidR="00A5737A"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38</w:t>
      </w:r>
      <w:r w:rsidRPr="0085073C">
        <w:rPr>
          <w:rFonts w:ascii="Times New Roman" w:hAnsi="Times New Roman"/>
          <w:color w:val="000000" w:themeColor="text1"/>
          <w:sz w:val="24"/>
          <w:szCs w:val="24"/>
          <w:u w:val="single"/>
        </w:rPr>
        <w:tab/>
        <w:t>Carbon stock in regrowth in each land parcel</w:t>
      </w:r>
    </w:p>
    <w:p w:rsidR="00325D3A" w:rsidRPr="0085073C" w:rsidRDefault="00F847F0" w:rsidP="00325D3A">
      <w:pPr>
        <w:spacing w:after="120" w:line="240" w:lineRule="auto"/>
        <w:rPr>
          <w:rFonts w:ascii="Times New Roman" w:hAnsi="Times New Roman"/>
          <w:sz w:val="24"/>
          <w:szCs w:val="24"/>
        </w:rPr>
      </w:pPr>
      <w:r w:rsidRPr="0085073C">
        <w:rPr>
          <w:rFonts w:ascii="Times New Roman" w:hAnsi="Times New Roman"/>
          <w:color w:val="000000" w:themeColor="text1"/>
          <w:sz w:val="24"/>
          <w:szCs w:val="24"/>
        </w:rPr>
        <w:t xml:space="preserve">Section 38 provides that, for each land parcel, the carbon stock in regrowth after the harvesting event must be calculated using Equation 12. </w:t>
      </w:r>
      <w:r w:rsidRPr="0085073C">
        <w:rPr>
          <w:rFonts w:ascii="Times New Roman" w:hAnsi="Times New Roman"/>
          <w:sz w:val="24"/>
          <w:szCs w:val="24"/>
        </w:rPr>
        <w:t xml:space="preserve">This value represents the amount of carbon stored in each land parcel in the baseline scenario as a result of regrowth that would have occurred after the harvest event. The average annual rate of carbon sequestration in each </w:t>
      </w:r>
      <w:r w:rsidRPr="0085073C">
        <w:rPr>
          <w:rFonts w:ascii="Times New Roman" w:hAnsi="Times New Roman"/>
          <w:sz w:val="24"/>
          <w:szCs w:val="24"/>
        </w:rPr>
        <w:lastRenderedPageBreak/>
        <w:t>land parcel (</w:t>
      </w: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Times New Roman"/>
                    <w:sz w:val="24"/>
                    <w:szCs w:val="24"/>
                  </w:rPr>
                  <m:t>RGR</m:t>
                </m:r>
              </m:e>
            </m:acc>
          </m:e>
          <m:sub>
            <m:r>
              <w:rPr>
                <w:rFonts w:ascii="Cambria Math" w:hAnsi="Times New Roman"/>
                <w:sz w:val="24"/>
                <w:szCs w:val="24"/>
              </w:rPr>
              <m:t>p</m:t>
            </m:r>
          </m:sub>
        </m:sSub>
      </m:oMath>
      <w:r w:rsidRPr="0085073C">
        <w:rPr>
          <w:rFonts w:ascii="Times New Roman" w:hAnsi="Times New Roman"/>
          <w:sz w:val="24"/>
          <w:szCs w:val="24"/>
        </w:rPr>
        <w:t>) was calculated by projects implementing the VCS methodology and is provided to the Regulator under Part 3.</w:t>
      </w:r>
    </w:p>
    <w:p w:rsidR="006E02C8" w:rsidRPr="0085073C" w:rsidRDefault="000B1607" w:rsidP="00325D3A">
      <w:pPr>
        <w:spacing w:after="120" w:line="240" w:lineRule="auto"/>
        <w:rPr>
          <w:rFonts w:ascii="Times New Roman" w:hAnsi="Times New Roman"/>
          <w:sz w:val="24"/>
          <w:szCs w:val="24"/>
        </w:rPr>
      </w:pPr>
    </w:p>
    <w:p w:rsidR="003D6013" w:rsidRPr="0085073C" w:rsidRDefault="00F847F0" w:rsidP="00325D3A">
      <w:pPr>
        <w:spacing w:after="120" w:line="240" w:lineRule="auto"/>
        <w:rPr>
          <w:rFonts w:ascii="Times New Roman" w:hAnsi="Times New Roman"/>
          <w:sz w:val="24"/>
          <w:szCs w:val="24"/>
          <w:u w:val="single"/>
        </w:rPr>
      </w:pPr>
      <w:r w:rsidRPr="0085073C">
        <w:rPr>
          <w:rFonts w:ascii="Times New Roman" w:hAnsi="Times New Roman"/>
          <w:sz w:val="24"/>
          <w:szCs w:val="24"/>
          <w:u w:val="single"/>
        </w:rPr>
        <w:t>39</w:t>
      </w:r>
      <w:r w:rsidRPr="0085073C">
        <w:rPr>
          <w:rFonts w:ascii="Times New Roman" w:hAnsi="Times New Roman"/>
          <w:sz w:val="24"/>
          <w:szCs w:val="24"/>
          <w:u w:val="single"/>
        </w:rPr>
        <w:tab/>
        <w:t>Carbon stock in regrowth in all land parcels</w:t>
      </w:r>
    </w:p>
    <w:p w:rsidR="006940AF" w:rsidRPr="0085073C" w:rsidRDefault="00F847F0" w:rsidP="00325D3A">
      <w:pPr>
        <w:spacing w:after="120" w:line="240" w:lineRule="auto"/>
        <w:rPr>
          <w:rFonts w:ascii="Times New Roman" w:hAnsi="Times New Roman"/>
          <w:sz w:val="24"/>
          <w:szCs w:val="24"/>
        </w:rPr>
      </w:pPr>
      <w:r w:rsidRPr="0085073C">
        <w:rPr>
          <w:rFonts w:ascii="Times New Roman" w:hAnsi="Times New Roman"/>
          <w:color w:val="000000" w:themeColor="text1"/>
          <w:sz w:val="24"/>
          <w:szCs w:val="24"/>
        </w:rPr>
        <w:t>Section 39 provides that, for each year in the crediting period, regrowth following the harvest events in all land parcels must be calculated using Equation 13.</w:t>
      </w:r>
    </w:p>
    <w:p w:rsidR="00D02E6B"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Equation 13 sums the carbon stock from post-harvest regrowth calculated using Equation 12, and converts this number from a per hectare figure to a total carbon stock. This approach is consistent with the approach taken in the VCS Methodology.</w:t>
      </w:r>
    </w:p>
    <w:p w:rsidR="00325D3A"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 </w:t>
      </w:r>
    </w:p>
    <w:p w:rsidR="009D2978"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40</w:t>
      </w:r>
      <w:r w:rsidRPr="0085073C">
        <w:rPr>
          <w:rFonts w:ascii="Times New Roman" w:hAnsi="Times New Roman"/>
          <w:color w:val="000000" w:themeColor="text1"/>
          <w:sz w:val="24"/>
          <w:szCs w:val="24"/>
          <w:u w:val="single"/>
        </w:rPr>
        <w:tab/>
        <w:t>Carbon stock of harvested biomass for all species in each land parcel</w:t>
      </w:r>
    </w:p>
    <w:p w:rsidR="009D2978"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40 provides that the mean carbon stock of harvested biomass for all species in each land parcel must be calculated using Equation 14.</w:t>
      </w:r>
    </w:p>
    <w:p w:rsidR="009D2978"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Equation 14 sums the mean carbon stock of harvested biomass for each species in each land parcel, which was calculated using Equation 14. The sum is need as an input for Equation 15 and Equation 26B.</w:t>
      </w:r>
    </w:p>
    <w:p w:rsidR="00D02E6B" w:rsidRPr="0085073C" w:rsidRDefault="000B1607" w:rsidP="00E44936">
      <w:pPr>
        <w:spacing w:after="120" w:line="240" w:lineRule="auto"/>
        <w:rPr>
          <w:rFonts w:ascii="Times New Roman" w:hAnsi="Times New Roman"/>
          <w:color w:val="000000" w:themeColor="text1"/>
          <w:sz w:val="24"/>
          <w:szCs w:val="24"/>
        </w:rPr>
      </w:pPr>
    </w:p>
    <w:p w:rsidR="004D2824"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41</w:t>
      </w:r>
      <w:r>
        <w:rPr>
          <w:rFonts w:ascii="Times New Roman" w:hAnsi="Times New Roman"/>
          <w:color w:val="000000" w:themeColor="text1"/>
          <w:sz w:val="24"/>
          <w:szCs w:val="24"/>
          <w:u w:val="single"/>
        </w:rPr>
        <w:tab/>
        <w:t>Loss from logging slash</w:t>
      </w:r>
      <w:r w:rsidRPr="0085073C">
        <w:rPr>
          <w:rFonts w:ascii="Times New Roman" w:hAnsi="Times New Roman"/>
          <w:color w:val="000000" w:themeColor="text1"/>
          <w:sz w:val="24"/>
          <w:szCs w:val="24"/>
          <w:u w:val="single"/>
        </w:rPr>
        <w:t xml:space="preserve"> and harvested wood product decay across the crediting period</w:t>
      </w:r>
    </w:p>
    <w:p w:rsidR="00711C57"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41 provides that the loss of carbon stock in all land parcels after a harvest event must be calculated using Equation 15. This value represents the carbon stock that would have been lost (either as logging residue or through decayed wood products) from all the land parcels in the project area had the baseline harvest events not been avoided. At the end of the crediting period, the carbon stock that would have been lost is the carbon stock in harvested biomass minus: (a) the logging slash remaining in the project area at the end of the crediting period, and (b) the carbon stock existing in harvested wood products at the end of crediting period.</w:t>
      </w:r>
    </w:p>
    <w:p w:rsidR="000836C3" w:rsidRPr="0085073C" w:rsidRDefault="000B1607" w:rsidP="00E44936">
      <w:pPr>
        <w:spacing w:after="120" w:line="240" w:lineRule="auto"/>
        <w:rPr>
          <w:rFonts w:ascii="Times New Roman" w:hAnsi="Times New Roman"/>
          <w:color w:val="000000" w:themeColor="text1"/>
          <w:sz w:val="24"/>
          <w:szCs w:val="24"/>
        </w:rPr>
      </w:pPr>
    </w:p>
    <w:p w:rsidR="00EF1971" w:rsidRPr="0085073C" w:rsidRDefault="00F847F0" w:rsidP="00711C57">
      <w:pPr>
        <w:keepNext/>
        <w:spacing w:after="120" w:line="240" w:lineRule="auto"/>
        <w:rPr>
          <w:rFonts w:ascii="Times New Roman" w:hAnsi="Times New Roman"/>
          <w:b/>
          <w:color w:val="000000" w:themeColor="text1"/>
          <w:sz w:val="24"/>
          <w:szCs w:val="24"/>
        </w:rPr>
      </w:pPr>
      <w:r w:rsidRPr="0085073C">
        <w:rPr>
          <w:rFonts w:ascii="Times New Roman" w:hAnsi="Times New Roman"/>
          <w:b/>
          <w:color w:val="000000" w:themeColor="text1"/>
          <w:sz w:val="24"/>
          <w:szCs w:val="24"/>
        </w:rPr>
        <w:t>Subdivision 5</w:t>
      </w:r>
      <w:r w:rsidRPr="0085073C">
        <w:rPr>
          <w:rFonts w:ascii="Times New Roman" w:hAnsi="Times New Roman"/>
          <w:b/>
          <w:color w:val="000000" w:themeColor="text1"/>
          <w:sz w:val="24"/>
          <w:szCs w:val="24"/>
        </w:rPr>
        <w:tab/>
      </w:r>
      <w:r w:rsidRPr="0085073C">
        <w:rPr>
          <w:rFonts w:ascii="Times New Roman" w:hAnsi="Times New Roman"/>
          <w:b/>
          <w:color w:val="000000" w:themeColor="text1"/>
          <w:sz w:val="24"/>
          <w:szCs w:val="24"/>
        </w:rPr>
        <w:tab/>
        <w:t>Net baseline emissions</w:t>
      </w:r>
    </w:p>
    <w:p w:rsidR="00EF1971"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42</w:t>
      </w:r>
      <w:r w:rsidRPr="0085073C">
        <w:rPr>
          <w:rFonts w:ascii="Times New Roman" w:hAnsi="Times New Roman"/>
          <w:color w:val="000000" w:themeColor="text1"/>
          <w:sz w:val="24"/>
          <w:szCs w:val="24"/>
          <w:u w:val="single"/>
        </w:rPr>
        <w:tab/>
        <w:t>General</w:t>
      </w:r>
    </w:p>
    <w:p w:rsidR="00EF1971"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42 provides that net baseline emissions are calculated in accordance with Subdivision 5.</w:t>
      </w:r>
    </w:p>
    <w:p w:rsidR="000836C3" w:rsidRPr="0085073C" w:rsidRDefault="000B1607" w:rsidP="00E44936">
      <w:pPr>
        <w:spacing w:after="120" w:line="240" w:lineRule="auto"/>
        <w:rPr>
          <w:rFonts w:ascii="Times New Roman" w:hAnsi="Times New Roman"/>
          <w:color w:val="000000" w:themeColor="text1"/>
          <w:sz w:val="24"/>
          <w:szCs w:val="24"/>
        </w:rPr>
      </w:pPr>
    </w:p>
    <w:p w:rsidR="00EF1971"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43</w:t>
      </w:r>
      <w:r w:rsidRPr="0085073C">
        <w:rPr>
          <w:rFonts w:ascii="Times New Roman" w:hAnsi="Times New Roman"/>
          <w:color w:val="000000" w:themeColor="text1"/>
          <w:sz w:val="24"/>
          <w:szCs w:val="24"/>
          <w:u w:val="single"/>
        </w:rPr>
        <w:tab/>
        <w:t>Net carbon stock change—all land parcels</w:t>
      </w:r>
    </w:p>
    <w:p w:rsidR="00CA13C6"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43 provides that the net carbon stock losses or gains in the baseline over the crediting period must be calculated using Equation 16. This value represents the change in the carbon stock in the project area over the crediting period had the baseline harvest events occurred.</w:t>
      </w:r>
    </w:p>
    <w:p w:rsidR="000836C3" w:rsidRPr="0085073C" w:rsidRDefault="000B1607" w:rsidP="00E44936">
      <w:pPr>
        <w:spacing w:after="120" w:line="240" w:lineRule="auto"/>
        <w:rPr>
          <w:rFonts w:ascii="Times New Roman" w:hAnsi="Times New Roman"/>
          <w:color w:val="000000" w:themeColor="text1"/>
          <w:sz w:val="24"/>
          <w:szCs w:val="24"/>
        </w:rPr>
      </w:pPr>
    </w:p>
    <w:p w:rsidR="00CA13C6"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44</w:t>
      </w:r>
      <w:r w:rsidRPr="0085073C">
        <w:rPr>
          <w:rFonts w:ascii="Times New Roman" w:hAnsi="Times New Roman"/>
          <w:color w:val="000000" w:themeColor="text1"/>
          <w:sz w:val="24"/>
          <w:szCs w:val="24"/>
          <w:u w:val="single"/>
        </w:rPr>
        <w:tab/>
        <w:t>Net baseline emissions—all land parcels</w:t>
      </w:r>
    </w:p>
    <w:p w:rsidR="00CB0CC4"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Section 44 provides that net baseline emissions must be calculated using Equation 17. Equation 17 applies a carbon to carbon dioxide equivalent conversion factor to the result of Equation 16 (net carbon stock change) and annualises this value over the crediting period. Net </w:t>
      </w:r>
      <w:r w:rsidRPr="0085073C">
        <w:rPr>
          <w:rFonts w:ascii="Times New Roman" w:hAnsi="Times New Roman"/>
          <w:color w:val="000000" w:themeColor="text1"/>
          <w:sz w:val="24"/>
          <w:szCs w:val="24"/>
        </w:rPr>
        <w:lastRenderedPageBreak/>
        <w:t>baseline emissions for the current reporting period are calculated by multiplying the annualised net baseline emissions by the number of years in the reporting period.</w:t>
      </w: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Equation 17 also takes into account the VCUs received by projects before project commencement in respect of the same harvest events that the project is avoiding. Net baseline emissions are reduced to ensure that abatement is not credited if it has already been credited under the VCS.</w:t>
      </w: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If there was no avoided harvest event before project commencement, Equation 17 subtracts the number of VCUs issued (</w:t>
      </w:r>
      <w:r w:rsidRPr="0085073C">
        <w:rPr>
          <w:rFonts w:ascii="Times New Roman" w:hAnsi="Times New Roman"/>
          <w:i/>
          <w:color w:val="000000" w:themeColor="text1"/>
          <w:sz w:val="24"/>
          <w:szCs w:val="24"/>
        </w:rPr>
        <w:t>VCU</w:t>
      </w:r>
      <w:r w:rsidRPr="0085073C">
        <w:rPr>
          <w:rFonts w:ascii="Times New Roman" w:hAnsi="Times New Roman"/>
          <w:i/>
          <w:color w:val="000000" w:themeColor="text1"/>
          <w:sz w:val="24"/>
          <w:szCs w:val="24"/>
          <w:vertAlign w:val="subscript"/>
        </w:rPr>
        <w:t>issued</w:t>
      </w:r>
      <w:r w:rsidRPr="0085073C">
        <w:rPr>
          <w:rFonts w:ascii="Times New Roman" w:hAnsi="Times New Roman"/>
          <w:color w:val="000000" w:themeColor="text1"/>
          <w:sz w:val="24"/>
          <w:szCs w:val="24"/>
        </w:rPr>
        <w:t xml:space="preserve">) for the project before project commencement from the net baseline emissions across the crediting period. This is because all of those VCUs were issued for harvest events that fall within the crediting period and that are avoided—and credited—as part of the project. </w:t>
      </w: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If there were avoided harvest events before project commencement, some of the VCUs would have been issued in respect of avoided harvest events that occurred before the crediting period. In this situation, the net baseline emissions are also reduced by the number of VCUs issued (</w:t>
      </w:r>
      <w:r w:rsidRPr="0085073C">
        <w:rPr>
          <w:rFonts w:ascii="Times New Roman" w:hAnsi="Times New Roman"/>
          <w:i/>
          <w:color w:val="000000" w:themeColor="text1"/>
          <w:sz w:val="24"/>
          <w:szCs w:val="24"/>
        </w:rPr>
        <w:t>VCU</w:t>
      </w:r>
      <w:r w:rsidRPr="0085073C">
        <w:rPr>
          <w:rFonts w:ascii="Times New Roman" w:hAnsi="Times New Roman"/>
          <w:i/>
          <w:color w:val="000000" w:themeColor="text1"/>
          <w:sz w:val="24"/>
          <w:szCs w:val="24"/>
          <w:vertAlign w:val="subscript"/>
        </w:rPr>
        <w:t>issued</w:t>
      </w:r>
      <w:r w:rsidRPr="0085073C">
        <w:rPr>
          <w:rFonts w:ascii="Times New Roman" w:hAnsi="Times New Roman"/>
          <w:color w:val="000000" w:themeColor="text1"/>
          <w:sz w:val="24"/>
          <w:szCs w:val="24"/>
        </w:rPr>
        <w:t>) for the project before project commencement. However, the deduction is reduced by net abatement (</w:t>
      </w:r>
      <w:r w:rsidRPr="0085073C">
        <w:rPr>
          <w:rFonts w:ascii="Times New Roman" w:hAnsi="Times New Roman"/>
          <w:i/>
          <w:color w:val="000000" w:themeColor="text1"/>
          <w:sz w:val="24"/>
          <w:szCs w:val="24"/>
        </w:rPr>
        <w:t>GHG</w:t>
      </w:r>
      <w:r w:rsidRPr="0085073C">
        <w:rPr>
          <w:rFonts w:ascii="Times New Roman" w:hAnsi="Times New Roman"/>
          <w:i/>
          <w:color w:val="000000" w:themeColor="text1"/>
          <w:sz w:val="24"/>
          <w:szCs w:val="24"/>
          <w:vertAlign w:val="subscript"/>
        </w:rPr>
        <w:t>NET,bc</w:t>
      </w:r>
      <w:r w:rsidRPr="0085073C">
        <w:rPr>
          <w:rFonts w:ascii="Times New Roman" w:hAnsi="Times New Roman"/>
          <w:color w:val="000000" w:themeColor="text1"/>
          <w:sz w:val="24"/>
          <w:szCs w:val="24"/>
        </w:rPr>
        <w:t>) relating to avoided harvest events occurring before the crediting period. This is because credits are not issued for these harvest events under the Determination (i.e. within the Determination’s crediting period) and the problem of double crediting does not arise.</w:t>
      </w:r>
    </w:p>
    <w:p w:rsidR="000836C3" w:rsidRPr="0085073C" w:rsidRDefault="000B1607" w:rsidP="00C46105">
      <w:pPr>
        <w:spacing w:after="120" w:line="240" w:lineRule="auto"/>
        <w:rPr>
          <w:rFonts w:ascii="Times New Roman" w:hAnsi="Times New Roman"/>
          <w:color w:val="000000" w:themeColor="text1"/>
          <w:sz w:val="24"/>
          <w:szCs w:val="24"/>
        </w:rPr>
      </w:pPr>
    </w:p>
    <w:p w:rsidR="00C46105" w:rsidRPr="0085073C" w:rsidRDefault="00F847F0" w:rsidP="00C46105">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45</w:t>
      </w:r>
      <w:r w:rsidRPr="0085073C">
        <w:rPr>
          <w:rFonts w:ascii="Times New Roman" w:hAnsi="Times New Roman"/>
          <w:color w:val="000000" w:themeColor="text1"/>
          <w:sz w:val="24"/>
          <w:szCs w:val="24"/>
          <w:u w:val="single"/>
        </w:rPr>
        <w:tab/>
        <w:t>Emissions before project commencement</w:t>
      </w: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Subsection 45(1) provides that section 45 applies if there is a land parcel in the project area with a harvest date earlier than project commencement.</w:t>
      </w: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The parameter </w:t>
      </w:r>
      <w:r w:rsidRPr="0085073C">
        <w:rPr>
          <w:rFonts w:ascii="Times New Roman" w:hAnsi="Times New Roman"/>
          <w:i/>
          <w:color w:val="000000" w:themeColor="text1"/>
          <w:sz w:val="24"/>
          <w:szCs w:val="24"/>
        </w:rPr>
        <w:t>GHG</w:t>
      </w:r>
      <w:r w:rsidRPr="0085073C">
        <w:rPr>
          <w:rFonts w:ascii="Times New Roman" w:hAnsi="Times New Roman"/>
          <w:i/>
          <w:color w:val="000000" w:themeColor="text1"/>
          <w:sz w:val="24"/>
          <w:szCs w:val="24"/>
          <w:vertAlign w:val="subscript"/>
        </w:rPr>
        <w:t xml:space="preserve">NET,bc </w:t>
      </w:r>
      <w:r w:rsidRPr="0085073C">
        <w:rPr>
          <w:rFonts w:ascii="Times New Roman" w:hAnsi="Times New Roman"/>
          <w:color w:val="000000" w:themeColor="text1"/>
          <w:sz w:val="24"/>
          <w:szCs w:val="24"/>
        </w:rPr>
        <w:t xml:space="preserve">represents the net abatement before project commencement from all land parcels with a harvest date earlier than project commencement. The net abatement from these land parcels is calculated in the same way as net abatement from all other land parcels in the project area. Accordingly, subsection 45(2) provides that the project proponent must use the calculations in Part 4 to calculate the net abatement from these land parcels. </w:t>
      </w: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Paragraph 45(3)(a) provides that, to calculate </w:t>
      </w:r>
      <w:r w:rsidRPr="0085073C">
        <w:rPr>
          <w:rFonts w:ascii="Times New Roman" w:hAnsi="Times New Roman"/>
          <w:i/>
          <w:color w:val="000000" w:themeColor="text1"/>
          <w:sz w:val="24"/>
          <w:szCs w:val="24"/>
        </w:rPr>
        <w:t>GHG</w:t>
      </w:r>
      <w:r w:rsidRPr="0085073C">
        <w:rPr>
          <w:rFonts w:ascii="Times New Roman" w:hAnsi="Times New Roman"/>
          <w:i/>
          <w:color w:val="000000" w:themeColor="text1"/>
          <w:sz w:val="24"/>
          <w:szCs w:val="24"/>
          <w:vertAlign w:val="subscript"/>
        </w:rPr>
        <w:t>NET,bc</w:t>
      </w:r>
      <w:r w:rsidRPr="0085073C">
        <w:rPr>
          <w:rFonts w:ascii="Times New Roman" w:hAnsi="Times New Roman"/>
          <w:i/>
          <w:color w:val="000000" w:themeColor="text1"/>
          <w:sz w:val="24"/>
          <w:szCs w:val="24"/>
        </w:rPr>
        <w:t>,</w:t>
      </w:r>
      <w:r w:rsidRPr="0085073C">
        <w:rPr>
          <w:rFonts w:ascii="Times New Roman" w:hAnsi="Times New Roman"/>
          <w:i/>
          <w:color w:val="000000" w:themeColor="text1"/>
          <w:sz w:val="24"/>
          <w:szCs w:val="24"/>
          <w:vertAlign w:val="subscript"/>
        </w:rPr>
        <w:t xml:space="preserve"> </w:t>
      </w:r>
      <w:r w:rsidRPr="0085073C">
        <w:rPr>
          <w:rFonts w:ascii="Times New Roman" w:hAnsi="Times New Roman"/>
          <w:color w:val="000000" w:themeColor="text1"/>
          <w:sz w:val="24"/>
          <w:szCs w:val="24"/>
        </w:rPr>
        <w:t xml:space="preserve">where an equation contains the subscript </w:t>
      </w:r>
      <w:r w:rsidRPr="0085073C">
        <w:rPr>
          <w:rFonts w:ascii="Times New Roman" w:hAnsi="Times New Roman"/>
          <w:i/>
          <w:color w:val="000000" w:themeColor="text1"/>
          <w:sz w:val="24"/>
          <w:szCs w:val="24"/>
        </w:rPr>
        <w:t>r</w:t>
      </w:r>
      <w:r w:rsidRPr="0085073C">
        <w:rPr>
          <w:rFonts w:ascii="Times New Roman" w:hAnsi="Times New Roman"/>
          <w:color w:val="000000" w:themeColor="text1"/>
          <w:sz w:val="24"/>
          <w:szCs w:val="24"/>
        </w:rPr>
        <w:t xml:space="preserve">, the project proponent must substitute </w:t>
      </w:r>
      <w:r w:rsidRPr="0085073C">
        <w:rPr>
          <w:rFonts w:ascii="Times New Roman" w:hAnsi="Times New Roman"/>
          <w:i/>
          <w:color w:val="000000" w:themeColor="text1"/>
          <w:sz w:val="24"/>
          <w:szCs w:val="24"/>
        </w:rPr>
        <w:t>bc</w:t>
      </w:r>
      <w:r w:rsidRPr="0085073C">
        <w:rPr>
          <w:rFonts w:ascii="Times New Roman" w:hAnsi="Times New Roman"/>
          <w:color w:val="000000" w:themeColor="text1"/>
          <w:sz w:val="24"/>
          <w:szCs w:val="24"/>
        </w:rPr>
        <w:t xml:space="preserve"> for </w:t>
      </w:r>
      <w:r w:rsidRPr="0085073C">
        <w:rPr>
          <w:rFonts w:ascii="Times New Roman" w:hAnsi="Times New Roman"/>
          <w:i/>
          <w:color w:val="000000" w:themeColor="text1"/>
          <w:sz w:val="24"/>
          <w:szCs w:val="24"/>
        </w:rPr>
        <w:t>r</w:t>
      </w:r>
      <w:r w:rsidRPr="0085073C">
        <w:rPr>
          <w:rFonts w:ascii="Times New Roman" w:hAnsi="Times New Roman"/>
          <w:color w:val="000000" w:themeColor="text1"/>
          <w:sz w:val="24"/>
          <w:szCs w:val="24"/>
        </w:rPr>
        <w:t xml:space="preserve">, where </w:t>
      </w:r>
      <w:r w:rsidRPr="0085073C">
        <w:rPr>
          <w:rFonts w:ascii="Times New Roman" w:hAnsi="Times New Roman"/>
          <w:i/>
          <w:color w:val="000000" w:themeColor="text1"/>
          <w:sz w:val="24"/>
          <w:szCs w:val="24"/>
        </w:rPr>
        <w:t xml:space="preserve">bc </w:t>
      </w:r>
      <w:r w:rsidRPr="0085073C">
        <w:rPr>
          <w:rFonts w:ascii="Times New Roman" w:hAnsi="Times New Roman"/>
          <w:color w:val="000000" w:themeColor="text1"/>
          <w:sz w:val="24"/>
          <w:szCs w:val="24"/>
        </w:rPr>
        <w:t xml:space="preserve"> means the period between the VCS project start date and project commencement. For example, the term </w:t>
      </w:r>
      <w:r w:rsidRPr="0085073C">
        <w:rPr>
          <w:rFonts w:ascii="Times New Roman" w:hAnsi="Times New Roman"/>
          <w:i/>
          <w:color w:val="000000" w:themeColor="text1"/>
          <w:sz w:val="24"/>
          <w:szCs w:val="24"/>
        </w:rPr>
        <w:t>n</w:t>
      </w:r>
      <w:r w:rsidRPr="0085073C">
        <w:rPr>
          <w:rFonts w:ascii="Times New Roman" w:hAnsi="Times New Roman"/>
          <w:i/>
          <w:color w:val="000000" w:themeColor="text1"/>
          <w:sz w:val="24"/>
          <w:szCs w:val="24"/>
          <w:vertAlign w:val="subscript"/>
        </w:rPr>
        <w:t>r</w:t>
      </w:r>
      <w:r w:rsidRPr="0085073C">
        <w:rPr>
          <w:rFonts w:ascii="Times New Roman" w:hAnsi="Times New Roman"/>
          <w:color w:val="000000" w:themeColor="text1"/>
          <w:sz w:val="24"/>
          <w:szCs w:val="24"/>
        </w:rPr>
        <w:t xml:space="preserve"> in Equation 17 should be read as </w:t>
      </w:r>
      <w:r w:rsidRPr="0085073C">
        <w:rPr>
          <w:rFonts w:ascii="Times New Roman" w:hAnsi="Times New Roman"/>
          <w:i/>
          <w:color w:val="000000" w:themeColor="text1"/>
          <w:sz w:val="24"/>
          <w:szCs w:val="24"/>
        </w:rPr>
        <w:t>n</w:t>
      </w:r>
      <w:r w:rsidRPr="0085073C">
        <w:rPr>
          <w:rFonts w:ascii="Times New Roman" w:hAnsi="Times New Roman"/>
          <w:i/>
          <w:color w:val="000000" w:themeColor="text1"/>
          <w:sz w:val="24"/>
          <w:szCs w:val="24"/>
          <w:vertAlign w:val="subscript"/>
        </w:rPr>
        <w:t>bc</w:t>
      </w:r>
      <w:r w:rsidRPr="0085073C">
        <w:rPr>
          <w:rFonts w:ascii="Times New Roman" w:hAnsi="Times New Roman"/>
          <w:color w:val="000000" w:themeColor="text1"/>
          <w:sz w:val="24"/>
          <w:szCs w:val="24"/>
        </w:rPr>
        <w:t xml:space="preserve"> and interpreted as the number of years between the Verified Carbon Standard project start date and project commencement. This rule is necessary because the calculations made in relation to avoided harvest events before the crediting period are, by definition, not made in relation to a reporting period.</w:t>
      </w:r>
    </w:p>
    <w:p w:rsidR="00203CAF"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Paragraph 45(3)(b) provides that references to the reporting period are taken to be references to the period between the Verified Carbon Standard project start date and project commencement. For example, if a section requires a calculation to be made for each reporting period, the section should be read as requiring the calculation to be made for the period between the Verified Carbon Standard project start date and project commencement, for example 2010–2013.</w:t>
      </w:r>
      <w:r>
        <w:rPr>
          <w:rFonts w:ascii="Times New Roman" w:hAnsi="Times New Roman"/>
          <w:color w:val="000000" w:themeColor="text1"/>
          <w:sz w:val="24"/>
          <w:szCs w:val="24"/>
        </w:rPr>
        <w:t xml:space="preserve"> To take a specific example, section 49 should be applied as follows:</w:t>
      </w:r>
    </w:p>
    <w:p w:rsidR="00F66395" w:rsidRDefault="000B1607" w:rsidP="00C46105">
      <w:pPr>
        <w:spacing w:after="120" w:line="240" w:lineRule="auto"/>
        <w:rPr>
          <w:rFonts w:ascii="Times New Roman" w:hAnsi="Times New Roman"/>
          <w:color w:val="000000" w:themeColor="text1"/>
          <w:sz w:val="24"/>
          <w:szCs w:val="24"/>
        </w:rPr>
      </w:pPr>
    </w:p>
    <w:p w:rsidR="00203CAF" w:rsidRPr="00B05E0B" w:rsidRDefault="00F847F0" w:rsidP="00203CAF">
      <w:pPr>
        <w:pStyle w:val="tMain"/>
      </w:pPr>
      <w:r>
        <w:t xml:space="preserve">49  </w:t>
      </w:r>
      <w:r w:rsidRPr="00B05E0B">
        <w:t xml:space="preserve">For </w:t>
      </w:r>
      <w:r w:rsidRPr="00E371EE">
        <w:rPr>
          <w:strike/>
        </w:rPr>
        <w:t>each reporting period</w:t>
      </w:r>
      <w:r w:rsidRPr="00E371EE">
        <w:rPr>
          <w:u w:val="single"/>
        </w:rPr>
        <w:t xml:space="preserve"> </w:t>
      </w:r>
      <w:r w:rsidRPr="00E371EE">
        <w:rPr>
          <w:b/>
        </w:rPr>
        <w:t>the period between the Verified Carbon Standard project start date and project commencement</w:t>
      </w:r>
      <w:r w:rsidRPr="00B05E0B">
        <w:t>, carbon stock increases in the project area in the project scenario must be calculated using the following equation:</w:t>
      </w:r>
    </w:p>
    <w:tbl>
      <w:tblPr>
        <w:tblW w:w="0" w:type="auto"/>
        <w:tblInd w:w="817" w:type="dxa"/>
        <w:tblBorders>
          <w:top w:val="single" w:sz="4" w:space="0" w:color="auto"/>
          <w:left w:val="single" w:sz="4" w:space="0" w:color="auto"/>
          <w:bottom w:val="single" w:sz="4" w:space="0" w:color="auto"/>
          <w:right w:val="single" w:sz="4" w:space="0" w:color="auto"/>
        </w:tblBorders>
        <w:tblLook w:val="04A0"/>
      </w:tblPr>
      <w:tblGrid>
        <w:gridCol w:w="6804"/>
        <w:gridCol w:w="1559"/>
      </w:tblGrid>
      <w:tr w:rsidR="00883324" w:rsidTr="00203CAF">
        <w:tc>
          <w:tcPr>
            <w:tcW w:w="6804" w:type="dxa"/>
            <w:tcBorders>
              <w:right w:val="single" w:sz="4" w:space="0" w:color="auto"/>
            </w:tcBorders>
            <w:shd w:val="clear" w:color="auto" w:fill="auto"/>
          </w:tcPr>
          <w:p w:rsidR="00203CAF" w:rsidRPr="00B05E0B" w:rsidRDefault="000B1607" w:rsidP="00203CAF">
            <w:pPr>
              <w:jc w:val="both"/>
            </w:pPr>
          </w:p>
          <w:p w:rsidR="00203CAF" w:rsidRPr="00B05E0B" w:rsidRDefault="005A5513" w:rsidP="00F66395">
            <w:pPr>
              <w:jc w:val="both"/>
            </w:pPr>
            <m:oMathPara>
              <m:oMath>
                <m:sSub>
                  <m:sSubPr>
                    <m:ctrlPr>
                      <w:rPr>
                        <w:rFonts w:ascii="Cambria Math" w:hAnsi="Cambria Math"/>
                        <w:i/>
                      </w:rPr>
                    </m:ctrlPr>
                  </m:sSubPr>
                  <m:e>
                    <m:r>
                      <w:rPr>
                        <w:rFonts w:ascii="Cambria Math" w:hAnsi="Cambria Math"/>
                      </w:rPr>
                      <m:t>GHG</m:t>
                    </m:r>
                  </m:e>
                  <m:sub>
                    <m:r>
                      <w:rPr>
                        <w:rFonts w:ascii="Cambria Math" w:hAnsi="Cambria Math"/>
                      </w:rPr>
                      <m:t>Seq,</m:t>
                    </m:r>
                    <m:r>
                      <w:rPr>
                        <w:rFonts w:ascii="Cambria Math" w:hAnsi="Cambria Math"/>
                        <w:strike/>
                      </w:rPr>
                      <m:t>r</m:t>
                    </m:r>
                    <m:r>
                      <m:rPr>
                        <m:sty m:val="bi"/>
                      </m:rPr>
                      <w:rPr>
                        <w:rFonts w:ascii="Cambria Math" w:hAnsi="Cambria Math"/>
                      </w:rPr>
                      <m:t>bc</m:t>
                    </m:r>
                    <m:r>
                      <w:rPr>
                        <w:rFonts w:ascii="Cambria Math" w:hAnsi="Cambria Math"/>
                      </w:rPr>
                      <m:t>|PRJ</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p</m:t>
                            </m:r>
                          </m:sub>
                        </m:sSub>
                      </m:e>
                    </m:d>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strike/>
                      </w:rPr>
                      <m:t>r</m:t>
                    </m:r>
                    <m:r>
                      <m:rPr>
                        <m:sty m:val="bi"/>
                      </m:rPr>
                      <w:rPr>
                        <w:rFonts w:ascii="Cambria Math" w:hAnsi="Cambria Math"/>
                      </w:rPr>
                      <m:t>bc</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oMath>
            </m:oMathPara>
          </w:p>
        </w:tc>
        <w:tc>
          <w:tcPr>
            <w:tcW w:w="1559" w:type="dxa"/>
            <w:tcBorders>
              <w:top w:val="single" w:sz="4" w:space="0" w:color="auto"/>
              <w:left w:val="single" w:sz="4" w:space="0" w:color="auto"/>
              <w:bottom w:val="single" w:sz="4" w:space="0" w:color="auto"/>
            </w:tcBorders>
            <w:shd w:val="clear" w:color="auto" w:fill="auto"/>
            <w:vAlign w:val="center"/>
          </w:tcPr>
          <w:p w:rsidR="00203CAF" w:rsidRPr="00B05E0B" w:rsidRDefault="000B1607" w:rsidP="00203CAF">
            <w:pPr>
              <w:jc w:val="center"/>
              <w:rPr>
                <w:b/>
              </w:rPr>
            </w:pPr>
          </w:p>
          <w:p w:rsidR="00203CAF" w:rsidRPr="00E371EE" w:rsidRDefault="00F847F0" w:rsidP="00203CAF">
            <w:pPr>
              <w:jc w:val="center"/>
              <w:rPr>
                <w:rFonts w:ascii="Times New Roman" w:hAnsi="Times New Roman"/>
              </w:rPr>
            </w:pPr>
            <w:r w:rsidRPr="00E371EE">
              <w:rPr>
                <w:rFonts w:ascii="Times New Roman" w:hAnsi="Times New Roman"/>
              </w:rPr>
              <w:t>Equation 19</w:t>
            </w:r>
          </w:p>
          <w:p w:rsidR="00203CAF" w:rsidRPr="00B05E0B" w:rsidRDefault="000B1607" w:rsidP="00203CAF">
            <w:pPr>
              <w:jc w:val="center"/>
              <w:rPr>
                <w:b/>
              </w:rPr>
            </w:pPr>
          </w:p>
        </w:tc>
      </w:tr>
    </w:tbl>
    <w:p w:rsidR="00203CAF" w:rsidRPr="00B05E0B" w:rsidRDefault="00F847F0" w:rsidP="00203CAF">
      <w:pPr>
        <w:pStyle w:val="tMain"/>
      </w:pPr>
      <w:r w:rsidRPr="00B05E0B">
        <w:tab/>
      </w:r>
      <w:r w:rsidRPr="00B05E0B">
        <w:tab/>
        <w:t>Where: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095"/>
      </w:tblGrid>
      <w:tr w:rsidR="00883324" w:rsidTr="00203CAF">
        <w:trPr>
          <w:trHeight w:val="401"/>
        </w:trPr>
        <w:tc>
          <w:tcPr>
            <w:tcW w:w="2268" w:type="dxa"/>
            <w:shd w:val="clear" w:color="auto" w:fill="auto"/>
          </w:tcPr>
          <w:p w:rsidR="00203CAF" w:rsidRPr="00B05E0B" w:rsidRDefault="005A5513" w:rsidP="00203CAF">
            <w:pPr>
              <w:rPr>
                <w:rFonts w:ascii="Cambria" w:hAnsi="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Seq,</m:t>
                    </m:r>
                    <m:r>
                      <w:rPr>
                        <w:rFonts w:ascii="Cambria Math" w:hAnsi="Cambria Math"/>
                        <w:strike/>
                      </w:rPr>
                      <m:t>r</m:t>
                    </m:r>
                    <m:r>
                      <m:rPr>
                        <m:sty m:val="bi"/>
                      </m:rPr>
                      <w:rPr>
                        <w:rFonts w:ascii="Cambria Math" w:hAnsi="Cambria Math"/>
                      </w:rPr>
                      <m:t>bc</m:t>
                    </m:r>
                    <m:r>
                      <w:rPr>
                        <w:rFonts w:ascii="Cambria Math" w:hAnsi="Cambria Math"/>
                      </w:rPr>
                      <m:t>|PRJ</m:t>
                    </m:r>
                  </m:sub>
                </m:sSub>
                <m:r>
                  <w:rPr>
                    <w:rFonts w:ascii="Cambria Math" w:hAnsi="Cambria Math"/>
                  </w:rPr>
                  <m:t>=</m:t>
                </m:r>
              </m:oMath>
            </m:oMathPara>
          </w:p>
        </w:tc>
        <w:tc>
          <w:tcPr>
            <w:tcW w:w="6095" w:type="dxa"/>
            <w:shd w:val="clear" w:color="auto" w:fill="auto"/>
          </w:tcPr>
          <w:p w:rsidR="00203CAF" w:rsidRPr="00E371EE" w:rsidRDefault="00F847F0" w:rsidP="006B2E2D">
            <w:pPr>
              <w:pStyle w:val="tMain"/>
              <w:ind w:left="0" w:firstLine="0"/>
            </w:pPr>
            <w:r w:rsidRPr="006B2E2D">
              <w:t>the carbon stock increases since harvest,</w:t>
            </w:r>
            <w:r w:rsidRPr="00E371EE">
              <w:t xml:space="preserve"> in tonnes CO</w:t>
            </w:r>
            <w:r w:rsidRPr="006B2E2D">
              <w:t>2</w:t>
            </w:r>
            <w:r w:rsidRPr="00E371EE">
              <w:t>e,</w:t>
            </w:r>
            <w:r w:rsidRPr="006B2E2D">
              <w:t xml:space="preserve"> in the project scenario in </w:t>
            </w:r>
            <w:r w:rsidRPr="006B2E2D">
              <w:rPr>
                <w:strike/>
              </w:rPr>
              <w:t xml:space="preserve">reporting period </w:t>
            </w:r>
            <m:oMath>
              <m:r>
                <m:rPr>
                  <m:sty m:val="p"/>
                </m:rPr>
                <w:rPr>
                  <w:rFonts w:ascii="Cambria Math" w:hAnsi="Cambria Math"/>
                  <w:strike/>
                </w:rPr>
                <m:t>r</m:t>
              </m:r>
            </m:oMath>
            <w:r w:rsidRPr="006B2E2D">
              <w:t xml:space="preserve"> </w:t>
            </w:r>
            <w:r w:rsidRPr="006B2E2D">
              <w:rPr>
                <w:b/>
              </w:rPr>
              <w:t>the period between the Verified Carbon Standard project start date and project commencement</w:t>
            </w:r>
            <w:r w:rsidRPr="006B2E2D">
              <w:t>.</w:t>
            </w:r>
          </w:p>
        </w:tc>
      </w:tr>
      <w:tr w:rsidR="00883324" w:rsidTr="00203CAF">
        <w:tc>
          <w:tcPr>
            <w:tcW w:w="2268" w:type="dxa"/>
            <w:shd w:val="clear" w:color="auto" w:fill="auto"/>
          </w:tcPr>
          <w:p w:rsidR="00203CAF" w:rsidRPr="00B05E0B" w:rsidRDefault="005A5513" w:rsidP="00203CAF">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oMath>
            </m:oMathPara>
          </w:p>
        </w:tc>
        <w:tc>
          <w:tcPr>
            <w:tcW w:w="6095" w:type="dxa"/>
            <w:shd w:val="clear" w:color="auto" w:fill="auto"/>
          </w:tcPr>
          <w:p w:rsidR="00203CAF" w:rsidRPr="006B2E2D" w:rsidRDefault="00F847F0" w:rsidP="006B2E2D">
            <w:pPr>
              <w:pStyle w:val="tMain"/>
              <w:ind w:left="0" w:firstLine="0"/>
            </w:pPr>
            <w:r w:rsidRPr="00E371EE">
              <w:t xml:space="preserve">the annualised growth rate after harvest, in tonnes C per hectare per year, for land parcel </w:t>
            </w:r>
            <m:oMath>
              <m:r>
                <m:rPr>
                  <m:sty m:val="p"/>
                </m:rPr>
                <w:rPr>
                  <w:rFonts w:ascii="Cambria Math" w:hAnsi="Cambria Math"/>
                </w:rPr>
                <m:t>p</m:t>
              </m:r>
            </m:oMath>
            <w:r w:rsidRPr="00E371EE">
              <w:t>—from Equation 18.</w:t>
            </w:r>
          </w:p>
        </w:tc>
      </w:tr>
      <w:tr w:rsidR="00883324" w:rsidTr="00203CAF">
        <w:tc>
          <w:tcPr>
            <w:tcW w:w="2268" w:type="dxa"/>
            <w:shd w:val="clear" w:color="auto" w:fill="auto"/>
          </w:tcPr>
          <w:p w:rsidR="00203CAF" w:rsidRPr="00B05E0B" w:rsidRDefault="005A5513" w:rsidP="00203CAF">
            <w:pPr>
              <w:jc w:val="right"/>
            </w:pPr>
            <m:oMath>
              <m:sSub>
                <m:sSubPr>
                  <m:ctrlPr>
                    <w:rPr>
                      <w:rFonts w:ascii="Cambria Math" w:hAnsi="Cambria Math"/>
                      <w:i/>
                    </w:rPr>
                  </m:ctrlPr>
                </m:sSubPr>
                <m:e>
                  <m:r>
                    <w:rPr>
                      <w:rFonts w:ascii="Cambria Math" w:hAnsi="Cambria Math"/>
                    </w:rPr>
                    <m:t>A</m:t>
                  </m:r>
                </m:e>
                <m:sub>
                  <m:r>
                    <w:rPr>
                      <w:rFonts w:ascii="Cambria Math" w:hAnsi="Cambria Math"/>
                    </w:rPr>
                    <m:t>p</m:t>
                  </m:r>
                </m:sub>
              </m:sSub>
            </m:oMath>
            <w:r w:rsidR="00F847F0" w:rsidRPr="00B05E0B">
              <w:t>=</w:t>
            </w:r>
          </w:p>
        </w:tc>
        <w:tc>
          <w:tcPr>
            <w:tcW w:w="6095" w:type="dxa"/>
            <w:shd w:val="clear" w:color="auto" w:fill="auto"/>
          </w:tcPr>
          <w:p w:rsidR="00203CAF" w:rsidRPr="00E371EE" w:rsidRDefault="00F847F0" w:rsidP="006B2E2D">
            <w:pPr>
              <w:pStyle w:val="tMain"/>
              <w:ind w:left="0" w:firstLine="0"/>
            </w:pPr>
            <w:proofErr w:type="gramStart"/>
            <w:r w:rsidRPr="00E371EE">
              <w:t>the</w:t>
            </w:r>
            <w:proofErr w:type="gramEnd"/>
            <w:r w:rsidRPr="00E371EE">
              <w:t xml:space="preserve"> area, in hectares, in land parcel </w:t>
            </w:r>
            <m:oMath>
              <m:r>
                <m:rPr>
                  <m:sty m:val="p"/>
                </m:rPr>
                <w:rPr>
                  <w:rFonts w:ascii="Cambria Math" w:hAnsi="Cambria Math"/>
                </w:rPr>
                <m:t>p</m:t>
              </m:r>
            </m:oMath>
            <w:r w:rsidRPr="00E371EE">
              <w:t xml:space="preserve">—provided to the Regulator in accordance with </w:t>
            </w:r>
            <w:r w:rsidR="005A5513" w:rsidRPr="00E371EE">
              <w:fldChar w:fldCharType="begin"/>
            </w:r>
            <w:r>
              <w:instrText xml:space="preserve"> REF _Ref408906172 \r  \* MERGEFORMAT </w:instrText>
            </w:r>
            <w:r w:rsidR="005A5513" w:rsidRPr="00E371EE">
              <w:fldChar w:fldCharType="separate"/>
            </w:r>
            <w:r w:rsidRPr="00E371EE">
              <w:rPr>
                <w:b/>
              </w:rPr>
              <w:t>Error! Reference source not found.</w:t>
            </w:r>
            <w:r w:rsidR="005A5513" w:rsidRPr="00E371EE">
              <w:fldChar w:fldCharType="end"/>
            </w:r>
            <w:r w:rsidRPr="00E371EE">
              <w:t>.</w:t>
            </w:r>
          </w:p>
        </w:tc>
      </w:tr>
      <w:tr w:rsidR="00883324" w:rsidTr="00203CAF">
        <w:tc>
          <w:tcPr>
            <w:tcW w:w="2268" w:type="dxa"/>
            <w:shd w:val="clear" w:color="auto" w:fill="auto"/>
          </w:tcPr>
          <w:p w:rsidR="00203CAF" w:rsidRPr="00B05E0B" w:rsidRDefault="005A5513" w:rsidP="00203CAF">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n</m:t>
                    </m:r>
                  </m:e>
                  <m:sub>
                    <m:r>
                      <w:rPr>
                        <w:rFonts w:ascii="Cambria Math" w:hAnsi="Cambria Math"/>
                        <w:strike/>
                      </w:rPr>
                      <m:t>r</m:t>
                    </m:r>
                    <m:r>
                      <m:rPr>
                        <m:sty m:val="bi"/>
                      </m:rPr>
                      <w:rPr>
                        <w:rFonts w:ascii="Cambria Math" w:hAnsi="Cambria Math"/>
                      </w:rPr>
                      <m:t>bc</m:t>
                    </m:r>
                  </m:sub>
                </m:sSub>
                <m:r>
                  <w:rPr>
                    <w:rFonts w:ascii="Cambria Math" w:hAnsi="Cambria Math"/>
                  </w:rPr>
                  <m:t>=</m:t>
                </m:r>
              </m:oMath>
            </m:oMathPara>
          </w:p>
        </w:tc>
        <w:tc>
          <w:tcPr>
            <w:tcW w:w="6095" w:type="dxa"/>
            <w:shd w:val="clear" w:color="auto" w:fill="auto"/>
          </w:tcPr>
          <w:p w:rsidR="00203CAF" w:rsidRPr="00E371EE" w:rsidRDefault="00F847F0" w:rsidP="00203CAF">
            <w:pPr>
              <w:pStyle w:val="tMain"/>
              <w:ind w:left="0" w:firstLine="0"/>
            </w:pPr>
            <w:r w:rsidRPr="00E371EE">
              <w:t xml:space="preserve">the number of years in </w:t>
            </w:r>
            <w:r w:rsidRPr="00E371EE">
              <w:rPr>
                <w:strike/>
              </w:rPr>
              <w:t>reporting period</w:t>
            </w:r>
            <m:oMath>
              <m:r>
                <w:rPr>
                  <w:rFonts w:ascii="Cambria Math"/>
                  <w:strike/>
                  <w:noProof/>
                </w:rPr>
                <m:t xml:space="preserve"> </m:t>
              </m:r>
              <m:r>
                <w:rPr>
                  <w:rFonts w:ascii="Cambria Math" w:hAnsi="Cambria Math"/>
                  <w:strike/>
                  <w:noProof/>
                </w:rPr>
                <m:t>r</m:t>
              </m:r>
            </m:oMath>
            <w:r w:rsidRPr="00E371EE">
              <w:rPr>
                <w:iCs/>
              </w:rPr>
              <w:t xml:space="preserve"> </w:t>
            </w:r>
            <w:r w:rsidRPr="00E371EE">
              <w:rPr>
                <w:rFonts w:eastAsiaTheme="minorEastAsia"/>
                <w:b/>
              </w:rPr>
              <w:t>the period between the Verified Carbon Standard project start date and project commencement.</w:t>
            </w:r>
          </w:p>
        </w:tc>
      </w:tr>
    </w:tbl>
    <w:p w:rsidR="00203CAF" w:rsidRPr="0085073C" w:rsidRDefault="000B1607" w:rsidP="00C46105">
      <w:pPr>
        <w:spacing w:after="120" w:line="240" w:lineRule="auto"/>
        <w:rPr>
          <w:rFonts w:ascii="Times New Roman" w:hAnsi="Times New Roman"/>
          <w:color w:val="000000" w:themeColor="text1"/>
          <w:sz w:val="24"/>
          <w:szCs w:val="24"/>
        </w:rPr>
      </w:pP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Paragraph 45(3)(c) provides that the project proponent must provide the Regulator with the information prescribed by Division 2 in relation to each land parcel with a harvest date earlier than project commencement. This information is listed in Table A in section 21.</w:t>
      </w:r>
    </w:p>
    <w:p w:rsidR="003200FC" w:rsidRPr="0085073C" w:rsidRDefault="00F847F0" w:rsidP="003200FC">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Paragraph 45(3)(d) provides that the project proponent must not complete Equation 17. This rule avoids a circular reference, since Equation 17 requires the parameter </w:t>
      </w:r>
      <w:r w:rsidRPr="0085073C">
        <w:rPr>
          <w:rFonts w:ascii="Times New Roman" w:hAnsi="Times New Roman"/>
          <w:i/>
          <w:color w:val="000000" w:themeColor="text1"/>
          <w:sz w:val="24"/>
          <w:szCs w:val="24"/>
        </w:rPr>
        <w:t>GHG</w:t>
      </w:r>
      <w:r w:rsidRPr="0085073C">
        <w:rPr>
          <w:rFonts w:ascii="Times New Roman" w:hAnsi="Times New Roman"/>
          <w:i/>
          <w:color w:val="000000" w:themeColor="text1"/>
          <w:sz w:val="24"/>
          <w:szCs w:val="24"/>
          <w:vertAlign w:val="subscript"/>
        </w:rPr>
        <w:t>NET,bc</w:t>
      </w:r>
      <w:r w:rsidRPr="0085073C">
        <w:rPr>
          <w:rFonts w:ascii="Times New Roman" w:hAnsi="Times New Roman"/>
          <w:color w:val="000000" w:themeColor="text1"/>
          <w:sz w:val="24"/>
          <w:szCs w:val="24"/>
        </w:rPr>
        <w:t xml:space="preserve"> but is also one of the equations used to calculate that parameter. In other words, if there is a land parcel in the project area with a harvest date earlier than project commencement, section 45 requires the project proponent to complete all of the equations in Part 4, skip Equation 17 and complete Equation 17A instead. The proponent then uses the result of Equation 17A to complete Equation 17 in accordance with section 44.</w:t>
      </w:r>
    </w:p>
    <w:p w:rsidR="00C46105" w:rsidRPr="0085073C" w:rsidRDefault="00F847F0" w:rsidP="00C46105">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Subsection 45(4) provides that if the project proponent does not provide the Regulator with the information prescribed by Part 3 in relation to a land parcel with a harvest date earlier than project commencement, the value for </w:t>
      </w:r>
      <w:r w:rsidRPr="0085073C">
        <w:rPr>
          <w:rFonts w:ascii="Times New Roman" w:hAnsi="Times New Roman"/>
          <w:i/>
          <w:color w:val="000000" w:themeColor="text1"/>
          <w:sz w:val="24"/>
          <w:szCs w:val="24"/>
        </w:rPr>
        <w:t>GHG</w:t>
      </w:r>
      <w:r w:rsidRPr="0085073C">
        <w:rPr>
          <w:rFonts w:ascii="Times New Roman" w:hAnsi="Times New Roman"/>
          <w:i/>
          <w:color w:val="000000" w:themeColor="text1"/>
          <w:sz w:val="24"/>
          <w:szCs w:val="24"/>
          <w:vertAlign w:val="subscript"/>
        </w:rPr>
        <w:t>NET,bc</w:t>
      </w:r>
      <w:r w:rsidRPr="0085073C">
        <w:rPr>
          <w:rFonts w:ascii="Times New Roman" w:hAnsi="Times New Roman"/>
          <w:color w:val="000000" w:themeColor="text1"/>
          <w:sz w:val="24"/>
          <w:szCs w:val="24"/>
        </w:rPr>
        <w:t xml:space="preserve"> is zero. Thus, if the project proponent does not provide evidence, the full value of </w:t>
      </w:r>
      <w:r w:rsidRPr="0085073C">
        <w:rPr>
          <w:rFonts w:ascii="Times New Roman" w:hAnsi="Times New Roman"/>
          <w:i/>
          <w:color w:val="000000" w:themeColor="text1"/>
          <w:sz w:val="24"/>
          <w:szCs w:val="24"/>
        </w:rPr>
        <w:t>VCU</w:t>
      </w:r>
      <w:r w:rsidRPr="0085073C">
        <w:rPr>
          <w:rFonts w:ascii="Times New Roman" w:hAnsi="Times New Roman"/>
          <w:i/>
          <w:color w:val="000000" w:themeColor="text1"/>
          <w:sz w:val="24"/>
          <w:szCs w:val="24"/>
          <w:vertAlign w:val="subscript"/>
        </w:rPr>
        <w:t xml:space="preserve">issued </w:t>
      </w:r>
      <w:r w:rsidRPr="0085073C">
        <w:rPr>
          <w:rFonts w:ascii="Times New Roman" w:hAnsi="Times New Roman"/>
          <w:color w:val="000000" w:themeColor="text1"/>
          <w:sz w:val="24"/>
          <w:szCs w:val="24"/>
        </w:rPr>
        <w:t>will be deducted from net baseline emissions calculated using Equation 17, as if all of the avoided harvest events for which VCUs had previously been issued had been scheduled to occur in the crediting period.</w:t>
      </w:r>
    </w:p>
    <w:p w:rsidR="001F6F27" w:rsidRPr="0085073C" w:rsidRDefault="000B1607" w:rsidP="00C46105">
      <w:pPr>
        <w:spacing w:after="120" w:line="240" w:lineRule="auto"/>
        <w:rPr>
          <w:rFonts w:ascii="Times New Roman" w:hAnsi="Times New Roman"/>
          <w:color w:val="000000" w:themeColor="text1"/>
          <w:sz w:val="24"/>
          <w:szCs w:val="24"/>
        </w:rPr>
      </w:pPr>
    </w:p>
    <w:p w:rsidR="003A5344"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b/>
          <w:color w:val="000000" w:themeColor="text1"/>
          <w:sz w:val="24"/>
          <w:szCs w:val="24"/>
        </w:rPr>
        <w:t>Division 4</w:t>
      </w:r>
      <w:r w:rsidRPr="0085073C">
        <w:rPr>
          <w:rFonts w:ascii="Times New Roman" w:hAnsi="Times New Roman"/>
          <w:b/>
          <w:color w:val="000000" w:themeColor="text1"/>
          <w:sz w:val="24"/>
          <w:szCs w:val="24"/>
        </w:rPr>
        <w:tab/>
        <w:t>Calculating net project emissions</w:t>
      </w:r>
    </w:p>
    <w:p w:rsidR="002916D2"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46</w:t>
      </w:r>
      <w:r w:rsidRPr="0085073C">
        <w:rPr>
          <w:rFonts w:ascii="Times New Roman" w:hAnsi="Times New Roman"/>
          <w:color w:val="000000" w:themeColor="text1"/>
          <w:sz w:val="24"/>
          <w:szCs w:val="24"/>
          <w:u w:val="single"/>
        </w:rPr>
        <w:tab/>
        <w:t>General</w:t>
      </w:r>
    </w:p>
    <w:p w:rsidR="0024597C" w:rsidRDefault="00F847F0" w:rsidP="0024597C">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Section 46 provides that the project proponent must calculate net project emissions by completing the equations in Division 4. A flow diagram showing the equations used to calculate net project emissions is at </w:t>
      </w:r>
      <w:r w:rsidRPr="0085073C">
        <w:rPr>
          <w:rFonts w:ascii="Times New Roman" w:hAnsi="Times New Roman"/>
          <w:color w:val="000000" w:themeColor="text1"/>
          <w:sz w:val="24"/>
          <w:szCs w:val="24"/>
          <w:u w:val="single"/>
        </w:rPr>
        <w:t>Attachment C</w:t>
      </w:r>
      <w:r w:rsidRPr="0085073C">
        <w:rPr>
          <w:rFonts w:ascii="Times New Roman" w:hAnsi="Times New Roman"/>
          <w:color w:val="000000" w:themeColor="text1"/>
          <w:sz w:val="24"/>
          <w:szCs w:val="24"/>
        </w:rPr>
        <w:t xml:space="preserve">. </w:t>
      </w:r>
    </w:p>
    <w:p w:rsidR="00F66395" w:rsidRPr="0085073C" w:rsidRDefault="000B1607" w:rsidP="0024597C">
      <w:pPr>
        <w:spacing w:after="120" w:line="240" w:lineRule="auto"/>
        <w:rPr>
          <w:rFonts w:ascii="Times New Roman" w:hAnsi="Times New Roman"/>
          <w:color w:val="000000" w:themeColor="text1"/>
          <w:sz w:val="24"/>
          <w:szCs w:val="24"/>
        </w:rPr>
      </w:pPr>
    </w:p>
    <w:p w:rsidR="00F85CA6" w:rsidRPr="0085073C" w:rsidRDefault="000B1607" w:rsidP="0024597C">
      <w:pPr>
        <w:spacing w:after="120" w:line="240" w:lineRule="auto"/>
        <w:rPr>
          <w:rFonts w:ascii="Times New Roman" w:hAnsi="Times New Roman"/>
          <w:color w:val="000000" w:themeColor="text1"/>
          <w:sz w:val="24"/>
          <w:szCs w:val="24"/>
        </w:rPr>
      </w:pPr>
    </w:p>
    <w:p w:rsidR="004D1E77" w:rsidRPr="0085073C" w:rsidRDefault="00F847F0" w:rsidP="00E44936">
      <w:pPr>
        <w:spacing w:after="120" w:line="240" w:lineRule="auto"/>
        <w:rPr>
          <w:rFonts w:ascii="Times New Roman" w:hAnsi="Times New Roman"/>
          <w:b/>
          <w:color w:val="000000" w:themeColor="text1"/>
          <w:sz w:val="24"/>
          <w:szCs w:val="24"/>
        </w:rPr>
      </w:pPr>
      <w:r w:rsidRPr="0085073C">
        <w:rPr>
          <w:rFonts w:ascii="Times New Roman" w:hAnsi="Times New Roman"/>
          <w:b/>
          <w:color w:val="000000" w:themeColor="text1"/>
          <w:sz w:val="24"/>
          <w:szCs w:val="24"/>
        </w:rPr>
        <w:lastRenderedPageBreak/>
        <w:t>Subdivision 2</w:t>
      </w:r>
      <w:r w:rsidRPr="0085073C">
        <w:rPr>
          <w:rFonts w:ascii="Times New Roman" w:hAnsi="Times New Roman"/>
          <w:b/>
          <w:color w:val="000000" w:themeColor="text1"/>
          <w:sz w:val="24"/>
          <w:szCs w:val="24"/>
        </w:rPr>
        <w:tab/>
      </w:r>
      <w:r w:rsidRPr="0085073C">
        <w:rPr>
          <w:rFonts w:ascii="Times New Roman" w:hAnsi="Times New Roman"/>
          <w:b/>
          <w:color w:val="000000" w:themeColor="text1"/>
          <w:sz w:val="24"/>
          <w:szCs w:val="24"/>
        </w:rPr>
        <w:tab/>
        <w:t>Net sequestration</w:t>
      </w:r>
    </w:p>
    <w:p w:rsidR="004D1E77"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47</w:t>
      </w:r>
      <w:r w:rsidRPr="0085073C">
        <w:rPr>
          <w:rFonts w:ascii="Times New Roman" w:hAnsi="Times New Roman"/>
          <w:color w:val="000000" w:themeColor="text1"/>
          <w:sz w:val="24"/>
          <w:szCs w:val="24"/>
          <w:u w:val="single"/>
        </w:rPr>
        <w:tab/>
        <w:t>General</w:t>
      </w:r>
    </w:p>
    <w:p w:rsidR="004D1E77"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47 provides that carbon stock increases in the project scenario are calculated in accordance with Subdivision 2. The carbon stock increases result from the growth of trees in the land parcels until the end of the crediting period. The land parcels would have been harvested in the baseline.</w:t>
      </w:r>
    </w:p>
    <w:p w:rsidR="00F66395" w:rsidRPr="0085073C" w:rsidRDefault="000B1607" w:rsidP="00E44936">
      <w:pPr>
        <w:spacing w:after="120" w:line="240" w:lineRule="auto"/>
        <w:rPr>
          <w:rFonts w:ascii="Times New Roman" w:hAnsi="Times New Roman"/>
          <w:color w:val="000000" w:themeColor="text1"/>
          <w:sz w:val="24"/>
          <w:szCs w:val="24"/>
        </w:rPr>
      </w:pPr>
    </w:p>
    <w:p w:rsidR="00CD7AA5" w:rsidRPr="0085073C" w:rsidRDefault="00F847F0" w:rsidP="00C17A81">
      <w:pPr>
        <w:keepNext/>
        <w:keepLines/>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48</w:t>
      </w:r>
      <w:r w:rsidRPr="0085073C">
        <w:rPr>
          <w:rFonts w:ascii="Times New Roman" w:hAnsi="Times New Roman"/>
          <w:color w:val="000000" w:themeColor="text1"/>
          <w:sz w:val="24"/>
          <w:szCs w:val="24"/>
          <w:u w:val="single"/>
        </w:rPr>
        <w:tab/>
        <w:t>Average growth rate in land parcel</w:t>
      </w:r>
    </w:p>
    <w:p w:rsidR="009B660D" w:rsidRPr="0085073C" w:rsidRDefault="00F847F0" w:rsidP="00C17A81">
      <w:pPr>
        <w:keepNext/>
        <w:keepLines/>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48 provides that, for each land parcel, the annualised growth rate after the (baseline/avoided) harvest event in the land parcel to the end of the crediting period must be calculated using Equation 18. This is the growth of the trees in the land parcel that were not harvested and so are still standing in the project scenario, as opposed to the notional regrowth of the trees that would have been harvested in the baseline. This growth is credited toward the net abatement amount, unlike the baseline regrowth, which is deducted from the net abatement amount because it reduces the net avoided emission.</w:t>
      </w:r>
    </w:p>
    <w:p w:rsidR="0099275C" w:rsidRPr="0085073C" w:rsidRDefault="000B1607" w:rsidP="00C17A81">
      <w:pPr>
        <w:keepNext/>
        <w:keepLines/>
        <w:spacing w:after="120" w:line="240" w:lineRule="auto"/>
        <w:rPr>
          <w:rFonts w:ascii="Times New Roman" w:hAnsi="Times New Roman"/>
          <w:color w:val="000000" w:themeColor="text1"/>
          <w:sz w:val="24"/>
          <w:szCs w:val="24"/>
        </w:rPr>
      </w:pPr>
    </w:p>
    <w:p w:rsidR="009B660D"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49</w:t>
      </w:r>
      <w:r w:rsidRPr="0085073C">
        <w:rPr>
          <w:rFonts w:ascii="Times New Roman" w:hAnsi="Times New Roman"/>
          <w:color w:val="000000" w:themeColor="text1"/>
          <w:sz w:val="24"/>
          <w:szCs w:val="24"/>
          <w:u w:val="single"/>
        </w:rPr>
        <w:tab/>
        <w:t>Carbon stock increases due to growth in project scenario</w:t>
      </w:r>
    </w:p>
    <w:p w:rsidR="009B660D"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49 provides that for each reporting period, the carbon stock increases in the project area must be calculated using Equation 19. The equation calculates the total carbon stock increase across the project area in the project scenario.</w:t>
      </w:r>
    </w:p>
    <w:p w:rsidR="0085073C" w:rsidRDefault="000B1607" w:rsidP="00E44936">
      <w:pPr>
        <w:spacing w:after="120" w:line="240" w:lineRule="auto"/>
        <w:rPr>
          <w:rFonts w:ascii="Times New Roman" w:hAnsi="Times New Roman"/>
          <w:b/>
          <w:color w:val="000000" w:themeColor="text1"/>
          <w:sz w:val="24"/>
          <w:szCs w:val="24"/>
        </w:rPr>
      </w:pPr>
    </w:p>
    <w:p w:rsidR="008F579E" w:rsidRPr="0085073C" w:rsidRDefault="00F847F0" w:rsidP="0085073C">
      <w:pPr>
        <w:keepNext/>
        <w:keepLines/>
        <w:spacing w:after="120" w:line="240" w:lineRule="auto"/>
        <w:rPr>
          <w:rFonts w:ascii="Times New Roman" w:hAnsi="Times New Roman"/>
          <w:b/>
          <w:color w:val="000000" w:themeColor="text1"/>
          <w:sz w:val="24"/>
          <w:szCs w:val="24"/>
        </w:rPr>
      </w:pPr>
      <w:r w:rsidRPr="0085073C">
        <w:rPr>
          <w:rFonts w:ascii="Times New Roman" w:hAnsi="Times New Roman"/>
          <w:b/>
          <w:color w:val="000000" w:themeColor="text1"/>
          <w:sz w:val="24"/>
          <w:szCs w:val="24"/>
        </w:rPr>
        <w:t>Subdivision 3</w:t>
      </w:r>
      <w:r w:rsidRPr="0085073C">
        <w:rPr>
          <w:rFonts w:ascii="Times New Roman" w:hAnsi="Times New Roman"/>
          <w:b/>
          <w:color w:val="000000" w:themeColor="text1"/>
          <w:sz w:val="24"/>
          <w:szCs w:val="24"/>
        </w:rPr>
        <w:tab/>
      </w:r>
      <w:r w:rsidRPr="0085073C">
        <w:rPr>
          <w:rFonts w:ascii="Times New Roman" w:hAnsi="Times New Roman"/>
          <w:b/>
          <w:color w:val="000000" w:themeColor="text1"/>
          <w:sz w:val="24"/>
          <w:szCs w:val="24"/>
        </w:rPr>
        <w:tab/>
        <w:t>Natural disturbances</w:t>
      </w:r>
    </w:p>
    <w:p w:rsidR="008C75EA"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50</w:t>
      </w:r>
      <w:r w:rsidRPr="0085073C">
        <w:rPr>
          <w:rFonts w:ascii="Times New Roman" w:hAnsi="Times New Roman"/>
          <w:color w:val="000000" w:themeColor="text1"/>
          <w:sz w:val="24"/>
          <w:szCs w:val="24"/>
          <w:u w:val="single"/>
        </w:rPr>
        <w:tab/>
        <w:t>General</w:t>
      </w:r>
    </w:p>
    <w:p w:rsidR="008C75EA"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Subsection 50(1) provides that emissions from trees killed by natural disturbances in the project area are calculated in accordance with Subdivision 3. The requirements apply only if there has been canopy decline in the affected area and the proportion of biomass killed is not assumed to be 100%.</w:t>
      </w:r>
    </w:p>
    <w:p w:rsidR="008C75EA"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Subsection 50(2) provides that the project proponent must calculate the emissions from trees killed in the natural disturbance before submitting the next offsets report. This requirement ensures that emissions from natural disturbances in a reporting period are reflected in the offsets report for that reporting period. </w:t>
      </w:r>
    </w:p>
    <w:p w:rsidR="004F5188" w:rsidRPr="0085073C" w:rsidRDefault="000B1607" w:rsidP="00E44936">
      <w:pPr>
        <w:spacing w:after="120" w:line="240" w:lineRule="auto"/>
        <w:rPr>
          <w:rFonts w:ascii="Times New Roman" w:hAnsi="Times New Roman"/>
          <w:color w:val="000000" w:themeColor="text1"/>
          <w:sz w:val="24"/>
          <w:szCs w:val="24"/>
        </w:rPr>
      </w:pPr>
    </w:p>
    <w:p w:rsidR="008F579E" w:rsidRPr="0085073C" w:rsidRDefault="00F847F0" w:rsidP="00711C57">
      <w:pPr>
        <w:keepNext/>
        <w:keepLines/>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51</w:t>
      </w:r>
      <w:r w:rsidRPr="0085073C">
        <w:rPr>
          <w:rFonts w:ascii="Times New Roman" w:hAnsi="Times New Roman"/>
          <w:color w:val="000000" w:themeColor="text1"/>
          <w:sz w:val="24"/>
          <w:szCs w:val="24"/>
          <w:u w:val="single"/>
        </w:rPr>
        <w:tab/>
        <w:t>Detection of natural disturbances</w:t>
      </w:r>
    </w:p>
    <w:p w:rsidR="003D501A" w:rsidRPr="0085073C" w:rsidRDefault="00F847F0" w:rsidP="00711C57">
      <w:pPr>
        <w:keepNext/>
        <w:keepLines/>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51 applies if the project proponent has detected a natural disturbance in the project area and the natural disturbance has killed, or is likely to have killed trees, in more than 5 per cent of the project area (paragraphs 51(1)(a) and (b)).</w:t>
      </w:r>
    </w:p>
    <w:p w:rsidR="000E200F" w:rsidRPr="0085073C" w:rsidRDefault="00F847F0" w:rsidP="00711C57">
      <w:pPr>
        <w:keepNext/>
        <w:keepLines/>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67 in Part 5 provides that the project proponent must take reasonable steps to monitor the project area for natural disturbances, and it is anticipated that any natural disturbances would be detected as a result of these steps being taken.</w:t>
      </w:r>
    </w:p>
    <w:p w:rsidR="003D501A"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Subsection 51(2) provides that the project proponent must identify the natural disturbance on a map and calculate the area of each stratum affected by the natural disturbance. If there has </w:t>
      </w:r>
      <w:r w:rsidRPr="0085073C">
        <w:rPr>
          <w:rFonts w:ascii="Times New Roman" w:hAnsi="Times New Roman"/>
          <w:color w:val="000000" w:themeColor="text1"/>
          <w:sz w:val="24"/>
          <w:szCs w:val="24"/>
        </w:rPr>
        <w:lastRenderedPageBreak/>
        <w:t>been canopy decline, this information will be used in Equation 23 to calculate the notional area of trees killed in each land parcel in the affected stratum.</w:t>
      </w:r>
    </w:p>
    <w:p w:rsidR="0011784A"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project proponent must assess whether there has been canopy decline in the area affected by the natural disturbance. Canopy decline may present as the death of trees in the affected area or as deterioration in crown quality. The project proponent may either assume that there has been canopy decline (subsection 51(3)) or obtain ‘before and after’ remotely sensed images of the affected area and determine from them whether there has been canopy decline (subsection 51(4)). The images must show the affected area within six months of the natural disturbance so that an accurate assessment of the natural disturbance’s impact can be made (paragraph 51(4)(a)).</w:t>
      </w:r>
    </w:p>
    <w:p w:rsidR="0011784A"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So that the assessment of canopy decline is accurate, paragraph 51(4)(b) provides that the resolution of the images must be greater than 30m </w:t>
      </w:r>
      <m:oMath>
        <m:r>
          <w:rPr>
            <w:rFonts w:ascii="Cambria Math" w:hAnsi="Cambria Math"/>
            <w:color w:val="000000" w:themeColor="text1"/>
            <w:sz w:val="24"/>
            <w:szCs w:val="24"/>
          </w:rPr>
          <m:t>×</m:t>
        </m:r>
      </m:oMath>
      <w:r w:rsidRPr="0085073C">
        <w:rPr>
          <w:rFonts w:ascii="Times New Roman" w:hAnsi="Times New Roman"/>
          <w:color w:val="000000" w:themeColor="text1"/>
          <w:sz w:val="24"/>
          <w:szCs w:val="24"/>
        </w:rPr>
        <w:t xml:space="preserve"> 30m. This is consistent with the resolution used by Landsat.</w:t>
      </w:r>
    </w:p>
    <w:p w:rsidR="00ED6F37"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Paragraph 51(5)(a) provides that if there has been no canopy decline, the proportion of trees killed by the natural disturbance is zero. If this is the case, no further action is required by the project proponent.</w:t>
      </w:r>
    </w:p>
    <w:p w:rsidR="003D501A"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Paragraph 51(5)(b) provides that if there has been canopy decline—either because canopy decline has been assumed in accordance with subsection 51(3) or revealed by the assessment of the remotely sensed images in accordance with subsection 51(4)—then either the proportion of trees killed is 100% or, if the project proponent wishes a lower proportion to apply, the project proponent must sample the area affected by the natural disturbance.</w:t>
      </w:r>
    </w:p>
    <w:p w:rsidR="001C4BD8" w:rsidRPr="001C4BD8" w:rsidRDefault="00F847F0" w:rsidP="001C4BD8">
      <w:pPr>
        <w:spacing w:after="120" w:line="240" w:lineRule="auto"/>
        <w:rPr>
          <w:rFonts w:ascii="Times New Roman" w:hAnsi="Times New Roman"/>
          <w:color w:val="000000" w:themeColor="text1"/>
          <w:sz w:val="24"/>
          <w:szCs w:val="24"/>
        </w:rPr>
      </w:pPr>
      <w:r w:rsidRPr="001C4BD8">
        <w:rPr>
          <w:rFonts w:ascii="Times New Roman" w:hAnsi="Times New Roman"/>
          <w:color w:val="000000" w:themeColor="text1"/>
          <w:sz w:val="24"/>
          <w:szCs w:val="24"/>
        </w:rPr>
        <w:t>Subsection 51(6) defines ‘canopy decline’ as a loss of an area of canopy cover equivalent to at least 5% of the project area. For example, if the project area is 100 hectares and in a 50 hectare area affected by a natural disturbance there has been a reduction in canopy cover from 30 hectares to 20 hectares (a loss of 10 hectares, &gt;5% of 100 hectares), then there has been ‘canopy decline’.</w:t>
      </w:r>
    </w:p>
    <w:p w:rsidR="002857CB" w:rsidRDefault="000B1607" w:rsidP="00E44936">
      <w:pPr>
        <w:spacing w:after="120" w:line="240" w:lineRule="auto"/>
        <w:rPr>
          <w:rFonts w:ascii="Times New Roman" w:hAnsi="Times New Roman"/>
          <w:color w:val="000000" w:themeColor="text1"/>
          <w:sz w:val="24"/>
          <w:szCs w:val="24"/>
          <w:u w:val="single"/>
        </w:rPr>
      </w:pPr>
    </w:p>
    <w:p w:rsidR="00584E9F" w:rsidRPr="0085073C" w:rsidRDefault="00F847F0" w:rsidP="0085073C">
      <w:pPr>
        <w:keepNext/>
        <w:keepLines/>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52</w:t>
      </w:r>
      <w:r w:rsidRPr="0085073C">
        <w:rPr>
          <w:rFonts w:ascii="Times New Roman" w:hAnsi="Times New Roman"/>
          <w:color w:val="000000" w:themeColor="text1"/>
          <w:sz w:val="24"/>
          <w:szCs w:val="24"/>
          <w:u w:val="single"/>
        </w:rPr>
        <w:tab/>
        <w:t>Establishing a grid overlay</w:t>
      </w:r>
    </w:p>
    <w:p w:rsidR="00920DF8" w:rsidRPr="0085073C" w:rsidRDefault="00F847F0" w:rsidP="0085073C">
      <w:pPr>
        <w:keepNext/>
        <w:keepLines/>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52 applies if the project proponent has elected to estimate the proportion of biomass killed instead of assuming that 100% has been killed.</w:t>
      </w:r>
    </w:p>
    <w:p w:rsidR="000552A4"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Section 52 sets out the requirements for establishing a grid overlay of the area affected by a natural disturbance. Sample plots are established at each grid intersect in accordance with section 53. Subsection 52(4) provides that there must be at least five grid intersects within each affected area. If re-sampling is required in accordance with subparagraph 50(2)(c)(i)—because the probable limits of error calculated using Equation 23 are equal to or greater than 50%—the number of grid intersects will have to be greater than five. </w:t>
      </w:r>
    </w:p>
    <w:p w:rsidR="00584E9F"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number of plots needed is a function of inter-plot variability in the proportion of biomass killed, and the desired probable limits of error. It is anti</w:t>
      </w:r>
      <w:r>
        <w:rPr>
          <w:rFonts w:ascii="Times New Roman" w:hAnsi="Times New Roman"/>
          <w:color w:val="000000" w:themeColor="text1"/>
          <w:sz w:val="24"/>
          <w:szCs w:val="24"/>
        </w:rPr>
        <w:t>cipated that five grid intersects</w:t>
      </w:r>
      <w:r w:rsidRPr="0085073C">
        <w:rPr>
          <w:rFonts w:ascii="Times New Roman" w:hAnsi="Times New Roman"/>
          <w:color w:val="000000" w:themeColor="text1"/>
          <w:sz w:val="24"/>
          <w:szCs w:val="24"/>
        </w:rPr>
        <w:t xml:space="preserve"> will not be sufficient in many cases. To reduce the risk of needing to resample, it is recommended that proponents estimate the number of plots needed to achieve the desired probable limits of error. One method for doing this is to use a formula such as:</w:t>
      </w:r>
    </w:p>
    <w:p w:rsidR="00641580" w:rsidRPr="0085073C" w:rsidRDefault="00F847F0" w:rsidP="00E44936">
      <w:pPr>
        <w:spacing w:after="120" w:line="240" w:lineRule="auto"/>
        <w:rPr>
          <w:rFonts w:ascii="Times New Roman" w:hAnsi="Times New Roman"/>
          <w:color w:val="000000" w:themeColor="text1"/>
          <w:sz w:val="24"/>
          <w:szCs w:val="24"/>
        </w:rPr>
      </w:pPr>
      <m:oMathPara>
        <m:oMath>
          <m:r>
            <w:rPr>
              <w:rFonts w:ascii="Cambria Math" w:hAnsi="Cambria Math"/>
              <w:color w:val="000000" w:themeColor="text1"/>
              <w:sz w:val="24"/>
              <w:szCs w:val="24"/>
            </w:rPr>
            <m:t>n=</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CV</m:t>
                  </m:r>
                </m:e>
                <m:sup>
                  <m:r>
                    <w:rPr>
                      <w:rFonts w:ascii="Cambria Math" w:hAnsi="Cambria Math"/>
                      <w:color w:val="000000" w:themeColor="text1"/>
                      <w:sz w:val="24"/>
                      <w:szCs w:val="24"/>
                    </w:rPr>
                    <m:t>2</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t</m:t>
                  </m:r>
                </m:e>
                <m:sup>
                  <m:r>
                    <w:rPr>
                      <w:rFonts w:ascii="Cambria Math" w:hAnsi="Cambria Math"/>
                      <w:color w:val="000000" w:themeColor="text1"/>
                      <w:sz w:val="24"/>
                      <w:szCs w:val="24"/>
                    </w:rPr>
                    <m:t>2</m:t>
                  </m:r>
                </m:sup>
              </m:sSup>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E</m:t>
                  </m:r>
                </m:e>
                <m:sup>
                  <m:r>
                    <w:rPr>
                      <w:rFonts w:ascii="Cambria Math" w:hAnsi="Cambria Math"/>
                      <w:color w:val="000000" w:themeColor="text1"/>
                      <w:sz w:val="24"/>
                      <w:szCs w:val="24"/>
                    </w:rPr>
                    <m:t>2</m:t>
                  </m:r>
                </m:sup>
              </m:sSup>
            </m:den>
          </m:f>
        </m:oMath>
      </m:oMathPara>
    </w:p>
    <w:p w:rsidR="00853776"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Where  </w:t>
      </w:r>
      <m:oMath>
        <m:r>
          <w:rPr>
            <w:rFonts w:ascii="Cambria Math" w:hAnsi="Cambria Math"/>
            <w:color w:val="000000" w:themeColor="text1"/>
            <w:sz w:val="24"/>
            <w:szCs w:val="24"/>
          </w:rPr>
          <m:t>n</m:t>
        </m:r>
      </m:oMath>
      <w:r w:rsidRPr="0085073C">
        <w:rPr>
          <w:rFonts w:ascii="Times New Roman" w:hAnsi="Times New Roman"/>
          <w:color w:val="000000" w:themeColor="text1"/>
          <w:sz w:val="24"/>
          <w:szCs w:val="24"/>
        </w:rPr>
        <w:t xml:space="preserve"> is the number of plots needed within the disturbed area, </w:t>
      </w:r>
      <m:oMath>
        <m:r>
          <w:rPr>
            <w:rFonts w:ascii="Cambria Math" w:hAnsi="Cambria Math"/>
            <w:color w:val="000000" w:themeColor="text1"/>
            <w:sz w:val="24"/>
            <w:szCs w:val="24"/>
          </w:rPr>
          <m:t>CV</m:t>
        </m:r>
      </m:oMath>
      <w:r w:rsidRPr="0085073C">
        <w:rPr>
          <w:rFonts w:ascii="Times New Roman" w:hAnsi="Times New Roman"/>
          <w:color w:val="000000" w:themeColor="text1"/>
          <w:sz w:val="24"/>
          <w:szCs w:val="24"/>
        </w:rPr>
        <w:t xml:space="preserve"> is the coefficient of variation for the proportion of biomass killed in the disturbed area, </w:t>
      </w:r>
      <m:oMath>
        <m:r>
          <w:rPr>
            <w:rFonts w:ascii="Cambria Math" w:hAnsi="Cambria Math"/>
            <w:color w:val="000000" w:themeColor="text1"/>
            <w:sz w:val="24"/>
            <w:szCs w:val="24"/>
          </w:rPr>
          <m:t>t</m:t>
        </m:r>
      </m:oMath>
      <w:r w:rsidRPr="0085073C">
        <w:rPr>
          <w:rFonts w:ascii="Times New Roman" w:hAnsi="Times New Roman"/>
          <w:color w:val="000000" w:themeColor="text1"/>
          <w:sz w:val="24"/>
          <w:szCs w:val="24"/>
        </w:rPr>
        <w:t xml:space="preserve"> is the student t-value </w:t>
      </w:r>
      <w:r w:rsidRPr="0085073C">
        <w:rPr>
          <w:rFonts w:ascii="Times New Roman" w:hAnsi="Times New Roman"/>
          <w:color w:val="000000" w:themeColor="text1"/>
          <w:sz w:val="24"/>
          <w:szCs w:val="24"/>
        </w:rPr>
        <w:lastRenderedPageBreak/>
        <w:t xml:space="preserve">calculated with the appropriate degrees of freedom, and </w:t>
      </w:r>
      <m:oMath>
        <m:r>
          <w:rPr>
            <w:rFonts w:ascii="Cambria Math" w:hAnsi="Cambria Math"/>
            <w:color w:val="000000" w:themeColor="text1"/>
            <w:sz w:val="24"/>
            <w:szCs w:val="24"/>
          </w:rPr>
          <m:t>E</m:t>
        </m:r>
      </m:oMath>
      <w:r w:rsidRPr="0085073C">
        <w:rPr>
          <w:rFonts w:ascii="Times New Roman" w:hAnsi="Times New Roman"/>
          <w:color w:val="000000" w:themeColor="text1"/>
          <w:sz w:val="24"/>
          <w:szCs w:val="24"/>
        </w:rPr>
        <w:t xml:space="preserve"> is the desired probable limits of error. </w:t>
      </w:r>
    </w:p>
    <w:p w:rsidR="00F66395" w:rsidRPr="0085073C" w:rsidRDefault="000B1607" w:rsidP="00E44936">
      <w:pPr>
        <w:spacing w:after="120" w:line="240" w:lineRule="auto"/>
        <w:rPr>
          <w:rFonts w:ascii="Times New Roman" w:hAnsi="Times New Roman"/>
          <w:color w:val="000000" w:themeColor="text1"/>
          <w:sz w:val="24"/>
          <w:szCs w:val="24"/>
        </w:rPr>
      </w:pPr>
    </w:p>
    <w:p w:rsidR="008F579E" w:rsidRPr="0085073C" w:rsidRDefault="00F847F0" w:rsidP="00711C57">
      <w:pPr>
        <w:keepNext/>
        <w:keepLines/>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53</w:t>
      </w:r>
      <w:r w:rsidRPr="0085073C">
        <w:rPr>
          <w:rFonts w:ascii="Times New Roman" w:hAnsi="Times New Roman"/>
          <w:color w:val="000000" w:themeColor="text1"/>
          <w:sz w:val="24"/>
          <w:szCs w:val="24"/>
          <w:u w:val="single"/>
        </w:rPr>
        <w:tab/>
        <w:t>Sample plots</w:t>
      </w:r>
    </w:p>
    <w:p w:rsidR="00920DF8" w:rsidRPr="0085073C" w:rsidRDefault="00F847F0" w:rsidP="00920DF8">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53 applies if the project proponent has elected to estimate the proportion of biomass killed instead of assuming that 100% has been killed.</w:t>
      </w:r>
    </w:p>
    <w:p w:rsidR="008F579E" w:rsidRPr="0085073C" w:rsidRDefault="00F847F0" w:rsidP="00711C57">
      <w:pPr>
        <w:keepNext/>
        <w:keepLines/>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53 sets out the requirements for establishing sample plots at the grid intersects established in accordance with section 52.</w:t>
      </w:r>
    </w:p>
    <w:p w:rsidR="00853776" w:rsidRPr="0085073C" w:rsidRDefault="000B1607" w:rsidP="00711C57">
      <w:pPr>
        <w:keepNext/>
        <w:keepLines/>
        <w:spacing w:after="120" w:line="240" w:lineRule="auto"/>
        <w:rPr>
          <w:rFonts w:ascii="Times New Roman" w:hAnsi="Times New Roman"/>
          <w:color w:val="000000" w:themeColor="text1"/>
          <w:sz w:val="24"/>
          <w:szCs w:val="24"/>
        </w:rPr>
      </w:pPr>
    </w:p>
    <w:p w:rsidR="00A57EAB"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54</w:t>
      </w:r>
      <w:r w:rsidRPr="0085073C">
        <w:rPr>
          <w:rFonts w:ascii="Times New Roman" w:hAnsi="Times New Roman"/>
          <w:color w:val="000000" w:themeColor="text1"/>
          <w:sz w:val="24"/>
          <w:szCs w:val="24"/>
          <w:u w:val="single"/>
        </w:rPr>
        <w:tab/>
        <w:t>Calculating biomass proportion</w:t>
      </w:r>
    </w:p>
    <w:p w:rsidR="00920DF8"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rPr>
        <w:t>Section 54 applies if the project proponent has elected to estimate the proportion of biomass killed instead of assuming that 100% has been killed.</w:t>
      </w:r>
    </w:p>
    <w:p w:rsidR="00A57EAB"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proportion of dead trees in each sample plot established in accordance with section 53 must be calculated in accordance with section 54.</w:t>
      </w:r>
    </w:p>
    <w:p w:rsidR="003D420B"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Subsection 54(2) provides that in every sample plot the project proponent must measure the diameter at breast height (DBH) of every dead tree and every living tree, and record whether the tree is alive or dead. This must be done at least six months after the natural disturbance. This is because trees that have not recovered from the disturbance after six months can be properly considered dead. However, paragraph 54(2)(b) provides that the trees must not be counted before it is safe to enter the area affected by the natural disturbance.</w:t>
      </w:r>
    </w:p>
    <w:p w:rsidR="00423617"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Subsection 54(3) provides that only trees that would have been included in the original survey carried out under VCS need to be included in the biomass survey. </w:t>
      </w:r>
      <w:r w:rsidRPr="0085073C">
        <w:rPr>
          <w:rFonts w:ascii="Times New Roman" w:hAnsi="Times New Roman"/>
          <w:sz w:val="24"/>
          <w:szCs w:val="24"/>
        </w:rPr>
        <w:t>The note at the bottom of the subsection provides an example:</w:t>
      </w:r>
      <w:r w:rsidRPr="0085073C">
        <w:rPr>
          <w:rFonts w:ascii="Times New Roman" w:hAnsi="Times New Roman"/>
          <w:color w:val="000000" w:themeColor="text1"/>
          <w:sz w:val="24"/>
          <w:szCs w:val="24"/>
        </w:rPr>
        <w:t xml:space="preserve"> </w:t>
      </w:r>
    </w:p>
    <w:p w:rsidR="00257D24" w:rsidRPr="0085073C" w:rsidRDefault="00F847F0" w:rsidP="00423617">
      <w:pPr>
        <w:spacing w:after="120" w:line="240" w:lineRule="auto"/>
        <w:ind w:left="720"/>
        <w:rPr>
          <w:rFonts w:ascii="Times New Roman" w:hAnsi="Times New Roman"/>
          <w:color w:val="000000" w:themeColor="text1"/>
          <w:sz w:val="24"/>
          <w:szCs w:val="24"/>
        </w:rPr>
      </w:pPr>
      <w:r w:rsidRPr="0085073C">
        <w:rPr>
          <w:rFonts w:ascii="Times New Roman" w:hAnsi="Times New Roman"/>
          <w:color w:val="000000" w:themeColor="text1"/>
          <w:sz w:val="24"/>
          <w:szCs w:val="24"/>
        </w:rPr>
        <w:t>For example, if trees in a sample plot with a diameter of less than 20cm were excluded from a biomass survey of the same sample plot conducted under the Verified Carbon Standard, those trees do not have to be counted</w:t>
      </w:r>
    </w:p>
    <w:p w:rsidR="00BC68CB" w:rsidRPr="0085073C" w:rsidRDefault="00F847F0" w:rsidP="002007B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54</w:t>
      </w:r>
      <w:r w:rsidRPr="0085073C">
        <w:rPr>
          <w:rFonts w:ascii="Times New Roman" w:hAnsi="Times New Roman"/>
          <w:color w:val="000000" w:themeColor="text1"/>
          <w:sz w:val="24"/>
          <w:szCs w:val="24"/>
        </w:rPr>
        <w:t xml:space="preserve">(4) provides that the cross sectional area of each measured tree must be calculated using Equation 20A. The cross sectional area of a tree at this height is referred to as the tree’s basal area, and is a strong surrogate for biomass and carbon (see Torres, A.B &amp; Lovett, J, C. (2013) </w:t>
      </w:r>
      <w:r w:rsidRPr="0085073C">
        <w:rPr>
          <w:rFonts w:ascii="Times New Roman" w:hAnsi="Times New Roman"/>
          <w:i/>
          <w:color w:val="000000" w:themeColor="text1"/>
          <w:sz w:val="24"/>
          <w:szCs w:val="24"/>
        </w:rPr>
        <w:t xml:space="preserve">Using basal area to estimate aboveground carbon stocks in forests: La Primavera Biosphere's Reserve, Mexico, </w:t>
      </w:r>
      <w:r w:rsidRPr="0085073C">
        <w:rPr>
          <w:rFonts w:ascii="Times New Roman" w:hAnsi="Times New Roman"/>
          <w:color w:val="000000" w:themeColor="text1"/>
          <w:sz w:val="24"/>
          <w:szCs w:val="24"/>
        </w:rPr>
        <w:t>Forestry</w:t>
      </w:r>
      <w:r w:rsidRPr="0085073C">
        <w:rPr>
          <w:rFonts w:ascii="Times New Roman" w:hAnsi="Times New Roman"/>
          <w:i/>
          <w:color w:val="000000" w:themeColor="text1"/>
          <w:sz w:val="24"/>
          <w:szCs w:val="24"/>
        </w:rPr>
        <w:t xml:space="preserve"> </w:t>
      </w:r>
      <w:r w:rsidRPr="0085073C">
        <w:rPr>
          <w:rFonts w:ascii="Times New Roman" w:hAnsi="Times New Roman"/>
          <w:color w:val="000000" w:themeColor="text1"/>
          <w:sz w:val="24"/>
          <w:szCs w:val="24"/>
        </w:rPr>
        <w:t>86 (2): 267-281).</w:t>
      </w:r>
    </w:p>
    <w:p w:rsidR="00C40BA3" w:rsidRPr="0085073C" w:rsidRDefault="00F847F0" w:rsidP="00E44936">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54</w:t>
      </w:r>
      <w:r w:rsidRPr="0085073C">
        <w:rPr>
          <w:rFonts w:ascii="Times New Roman" w:hAnsi="Times New Roman"/>
          <w:color w:val="000000" w:themeColor="text1"/>
          <w:sz w:val="24"/>
          <w:szCs w:val="24"/>
        </w:rPr>
        <w:t xml:space="preserve">(5) provides that the proportion of biomass killed within each sample plot must be calculated using Equation 20B. </w:t>
      </w:r>
    </w:p>
    <w:p w:rsidR="00984CEC" w:rsidRPr="0085073C" w:rsidRDefault="000B1607" w:rsidP="00E44936">
      <w:pPr>
        <w:spacing w:after="120" w:line="240" w:lineRule="auto"/>
        <w:rPr>
          <w:rFonts w:ascii="Times New Roman" w:hAnsi="Times New Roman"/>
          <w:color w:val="000000" w:themeColor="text1"/>
          <w:sz w:val="24"/>
          <w:szCs w:val="24"/>
        </w:rPr>
      </w:pPr>
    </w:p>
    <w:p w:rsidR="008B2290"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55</w:t>
      </w:r>
      <w:r w:rsidRPr="0085073C">
        <w:rPr>
          <w:rFonts w:ascii="Times New Roman" w:hAnsi="Times New Roman"/>
          <w:color w:val="000000" w:themeColor="text1"/>
          <w:sz w:val="24"/>
          <w:szCs w:val="24"/>
          <w:u w:val="single"/>
        </w:rPr>
        <w:tab/>
        <w:t>Calculating average tree proportion</w:t>
      </w:r>
    </w:p>
    <w:p w:rsidR="008B2290"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average proportion of biomass killed in the affected area in each stratum is calculated using Equation 21.</w:t>
      </w:r>
    </w:p>
    <w:p w:rsidR="003033B8" w:rsidRPr="0085073C" w:rsidRDefault="000B1607" w:rsidP="00E44936">
      <w:pPr>
        <w:spacing w:after="120" w:line="240" w:lineRule="auto"/>
        <w:rPr>
          <w:rFonts w:ascii="Times New Roman" w:hAnsi="Times New Roman"/>
          <w:color w:val="000000" w:themeColor="text1"/>
          <w:sz w:val="24"/>
          <w:szCs w:val="24"/>
        </w:rPr>
      </w:pPr>
    </w:p>
    <w:p w:rsidR="00886F89"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56</w:t>
      </w:r>
      <w:r w:rsidRPr="0085073C">
        <w:rPr>
          <w:rFonts w:ascii="Times New Roman" w:hAnsi="Times New Roman"/>
          <w:color w:val="000000" w:themeColor="text1"/>
          <w:sz w:val="24"/>
          <w:szCs w:val="24"/>
          <w:u w:val="single"/>
        </w:rPr>
        <w:tab/>
        <w:t>Calculating margin of error for tree proportion</w:t>
      </w:r>
    </w:p>
    <w:p w:rsidR="00886F89"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margin of error for the proportion of biomass killed in each stratum is calculated using Equation 22.</w:t>
      </w:r>
    </w:p>
    <w:p w:rsidR="00B32F1C" w:rsidRPr="0085073C" w:rsidRDefault="00F847F0" w:rsidP="00C17A81">
      <w:pPr>
        <w:keepNext/>
        <w:keepLines/>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lastRenderedPageBreak/>
        <w:t>57</w:t>
      </w:r>
      <w:r w:rsidRPr="0085073C">
        <w:rPr>
          <w:rFonts w:ascii="Times New Roman" w:hAnsi="Times New Roman"/>
          <w:color w:val="000000" w:themeColor="text1"/>
          <w:sz w:val="24"/>
          <w:szCs w:val="24"/>
          <w:u w:val="single"/>
        </w:rPr>
        <w:tab/>
        <w:t>Calculating probable limits of error for tree proportion</w:t>
      </w:r>
    </w:p>
    <w:p w:rsidR="00984CEC" w:rsidRPr="0085073C" w:rsidRDefault="00F847F0" w:rsidP="00C17A81">
      <w:pPr>
        <w:keepNext/>
        <w:keepLines/>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probable limits of error for the proportion of biomass killed in each disturbed area in each stratum in each reporting period are calculated using Equation 23.</w:t>
      </w:r>
    </w:p>
    <w:p w:rsidR="00E75EBE" w:rsidRPr="0085073C" w:rsidRDefault="00F847F0" w:rsidP="00C17A81">
      <w:pPr>
        <w:keepNext/>
        <w:keepLines/>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 </w:t>
      </w:r>
    </w:p>
    <w:p w:rsidR="00B32F1C" w:rsidRPr="0085073C" w:rsidRDefault="00F847F0" w:rsidP="00E44936">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58</w:t>
      </w:r>
      <w:r w:rsidRPr="0085073C">
        <w:rPr>
          <w:rFonts w:ascii="Times New Roman" w:hAnsi="Times New Roman"/>
          <w:color w:val="000000" w:themeColor="text1"/>
          <w:sz w:val="24"/>
          <w:szCs w:val="24"/>
          <w:u w:val="single"/>
        </w:rPr>
        <w:tab/>
        <w:t>Calculating conservative estimate of tree proportion</w:t>
      </w:r>
    </w:p>
    <w:p w:rsidR="003C454F"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conservative estimate of the proportion of biomass killed in each disturbed area in each stratum in each reporting period is calculated using Equation 24.</w:t>
      </w:r>
    </w:p>
    <w:p w:rsidR="00984CEC" w:rsidRPr="0085073C" w:rsidRDefault="000B1607" w:rsidP="00E44936">
      <w:pPr>
        <w:spacing w:after="120" w:line="240" w:lineRule="auto"/>
        <w:rPr>
          <w:rFonts w:ascii="Times New Roman" w:hAnsi="Times New Roman"/>
          <w:color w:val="000000" w:themeColor="text1"/>
          <w:sz w:val="24"/>
          <w:szCs w:val="24"/>
        </w:rPr>
      </w:pPr>
    </w:p>
    <w:p w:rsidR="003C454F"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u w:val="single"/>
        </w:rPr>
        <w:t>59</w:t>
      </w:r>
      <w:r w:rsidRPr="0085073C">
        <w:rPr>
          <w:rFonts w:ascii="Times New Roman" w:hAnsi="Times New Roman"/>
          <w:color w:val="000000" w:themeColor="text1"/>
          <w:sz w:val="24"/>
          <w:szCs w:val="24"/>
          <w:u w:val="single"/>
        </w:rPr>
        <w:tab/>
        <w:t>Proportion of biomass killed</w:t>
      </w:r>
    </w:p>
    <w:p w:rsidR="00E75EBE"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Subsection 59(1) provides that the proportion of biomass killed in each disturbed area in each stratum in each reporting period must be determined in accordance with section 59. </w:t>
      </w:r>
    </w:p>
    <w:p w:rsidR="004D2824" w:rsidRPr="0085073C" w:rsidRDefault="00F847F0" w:rsidP="00E44936">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Subsection 59(2) ensures a conservative approach to determining the proportion of biomass killed and the sampling process.  </w:t>
      </w:r>
    </w:p>
    <w:p w:rsidR="008748C1" w:rsidRPr="0085073C" w:rsidRDefault="000B1607" w:rsidP="004450A9">
      <w:pPr>
        <w:spacing w:after="120" w:line="240" w:lineRule="auto"/>
        <w:rPr>
          <w:rFonts w:ascii="Times New Roman" w:hAnsi="Times New Roman"/>
          <w:sz w:val="24"/>
          <w:szCs w:val="24"/>
          <w:u w:val="single"/>
        </w:rPr>
      </w:pPr>
    </w:p>
    <w:p w:rsidR="00733775" w:rsidRPr="0085073C" w:rsidRDefault="00F847F0" w:rsidP="004450A9">
      <w:pPr>
        <w:spacing w:after="120" w:line="240" w:lineRule="auto"/>
        <w:rPr>
          <w:rFonts w:ascii="Times New Roman" w:hAnsi="Times New Roman"/>
          <w:sz w:val="24"/>
          <w:szCs w:val="24"/>
          <w:u w:val="single"/>
        </w:rPr>
      </w:pPr>
      <w:r w:rsidRPr="0085073C">
        <w:rPr>
          <w:rFonts w:ascii="Times New Roman" w:hAnsi="Times New Roman"/>
          <w:sz w:val="24"/>
          <w:szCs w:val="24"/>
          <w:u w:val="single"/>
        </w:rPr>
        <w:t>60</w:t>
      </w:r>
      <w:r w:rsidRPr="0085073C">
        <w:rPr>
          <w:rFonts w:ascii="Times New Roman" w:hAnsi="Times New Roman"/>
          <w:sz w:val="24"/>
          <w:szCs w:val="24"/>
          <w:u w:val="single"/>
        </w:rPr>
        <w:tab/>
        <w:t>Notional area of trees killed in land parcel</w:t>
      </w:r>
    </w:p>
    <w:p w:rsidR="00995B14"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Section 60 provides that the notional area of trees killed by a natural disturbance in a land parcel must be calculated using Equation 25. This equation is necessary because: (a) land parcels are not geographically explicit, so it is not possible to attribute a specific parcel to a fire event; (b) the total emissions from a natural disturbance are calculated on the basis of a notional area in which 100 per cent of the trees have been killed; and (c) the emissions must be calculated for each land parcel so that the emissions can be compared to emissions in the baseline, which are also calculated per land parcel.</w:t>
      </w:r>
    </w:p>
    <w:p w:rsidR="00831234"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For example, if there is a fire in a stratum affecting 100 hectares and killing 50 per cent of the trees in that area, and the stratum has one land parcel with an area of 50 hectares, then Equation 25 calculates the extent of the area of trees killed by the fire as 25 hectares.</w:t>
      </w:r>
    </w:p>
    <w:p w:rsidR="008748C1" w:rsidRPr="0085073C" w:rsidRDefault="000B1607" w:rsidP="009E1552">
      <w:pPr>
        <w:spacing w:after="120" w:line="240" w:lineRule="auto"/>
        <w:rPr>
          <w:rFonts w:ascii="Times New Roman" w:hAnsi="Times New Roman"/>
          <w:sz w:val="24"/>
          <w:szCs w:val="24"/>
        </w:rPr>
      </w:pPr>
    </w:p>
    <w:p w:rsidR="00F77B40" w:rsidRPr="0085073C" w:rsidRDefault="00F847F0" w:rsidP="009E1552">
      <w:pPr>
        <w:spacing w:after="120" w:line="240" w:lineRule="auto"/>
        <w:rPr>
          <w:rFonts w:ascii="Times New Roman" w:hAnsi="Times New Roman"/>
          <w:sz w:val="24"/>
          <w:szCs w:val="24"/>
          <w:u w:val="single"/>
        </w:rPr>
      </w:pPr>
      <w:r w:rsidRPr="0085073C">
        <w:rPr>
          <w:rFonts w:ascii="Times New Roman" w:hAnsi="Times New Roman"/>
          <w:sz w:val="24"/>
          <w:szCs w:val="24"/>
          <w:u w:val="single"/>
        </w:rPr>
        <w:t>61</w:t>
      </w:r>
      <w:r w:rsidRPr="0085073C">
        <w:rPr>
          <w:rFonts w:ascii="Times New Roman" w:hAnsi="Times New Roman"/>
          <w:sz w:val="24"/>
          <w:szCs w:val="24"/>
          <w:u w:val="single"/>
        </w:rPr>
        <w:tab/>
        <w:t>Carbon stock in debris pool following natural disturbance</w:t>
      </w:r>
    </w:p>
    <w:p w:rsidR="0011321E"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Section 61 provides that the carbon stock entering the debris pool following a natural disturbance must be calculated using either Equation 26A if the natural disturbance was a fire or Equation 26B if the natural disturbance was not a fire.</w:t>
      </w:r>
    </w:p>
    <w:p w:rsidR="00DC13E1"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The carbon stock in the debris pool following a natural disturbance is the carbon stock that exists in the project scenario but would not have existed in the baseline, because in the baseline the carbon stock would have been removed from the project area in harvest events. This means that the carbon stock in the debris pool can be calculated using data for the amount of carbon stock removed from the project area in the baseline.</w:t>
      </w:r>
    </w:p>
    <w:p w:rsidR="00695989"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 xml:space="preserve">The carbon stock associated with sequestration under the project scenario in a disturbed area is also taken to reverse following a non-fire disturbance event. </w:t>
      </w:r>
    </w:p>
    <w:p w:rsidR="009D3529"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The calculations must be performed for each land parcel in each stratum affected by a natural disturbance because carbon stock removed in the baseline is calculated in relation to land parcels.</w:t>
      </w:r>
    </w:p>
    <w:p w:rsidR="00717338"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Carbon dioxide emissions from the debris pool, which are subtracted from the net abatement amount, are calculated using Equations 27 to 30.</w:t>
      </w:r>
    </w:p>
    <w:p w:rsidR="00423314" w:rsidRPr="0085073C" w:rsidRDefault="00F847F0" w:rsidP="009E1552">
      <w:pPr>
        <w:spacing w:after="120" w:line="240" w:lineRule="auto"/>
        <w:rPr>
          <w:rFonts w:ascii="Times New Roman" w:hAnsi="Times New Roman"/>
          <w:i/>
          <w:sz w:val="24"/>
          <w:szCs w:val="24"/>
        </w:rPr>
      </w:pPr>
      <w:r w:rsidRPr="0085073C">
        <w:rPr>
          <w:rFonts w:ascii="Times New Roman" w:hAnsi="Times New Roman"/>
          <w:i/>
          <w:sz w:val="24"/>
          <w:szCs w:val="24"/>
        </w:rPr>
        <w:lastRenderedPageBreak/>
        <w:t>Equation 26A—fire</w:t>
      </w:r>
    </w:p>
    <w:p w:rsidR="0011321E" w:rsidRPr="0085073C" w:rsidRDefault="00F847F0" w:rsidP="009E1552">
      <w:pPr>
        <w:spacing w:after="120" w:line="240" w:lineRule="auto"/>
        <w:rPr>
          <w:rFonts w:ascii="Times New Roman" w:hAnsi="Times New Roman"/>
          <w:sz w:val="24"/>
          <w:szCs w:val="24"/>
        </w:rPr>
      </w:pPr>
      <w:r w:rsidRPr="0085073C">
        <w:rPr>
          <w:rFonts w:ascii="Times New Roman" w:hAnsi="Times New Roman"/>
          <w:sz w:val="24"/>
          <w:szCs w:val="24"/>
        </w:rPr>
        <w:t>If the natural disturbance was a fire, the carbon stock that enters the debris pool in the project scenario (and which would not have entered the debris pool in the baseline) is equivalent to the carbon stock in timber removed from the project area in the baseline scenario. This reflects the fact that the stem of a tree would not typically be combusted in a fire and therefore enters the debris pool. Other tree components (for example tree crowns) are assumed to burn (see Division 3 of Part 4 below).</w:t>
      </w:r>
    </w:p>
    <w:p w:rsidR="00FD7E65" w:rsidRPr="0085073C" w:rsidRDefault="00F847F0" w:rsidP="009E1552">
      <w:pPr>
        <w:spacing w:after="120" w:line="240" w:lineRule="auto"/>
        <w:rPr>
          <w:rFonts w:ascii="Times New Roman" w:hAnsi="Times New Roman"/>
          <w:i/>
          <w:sz w:val="24"/>
          <w:szCs w:val="24"/>
        </w:rPr>
      </w:pPr>
      <w:r w:rsidRPr="0085073C">
        <w:rPr>
          <w:rFonts w:ascii="Times New Roman" w:hAnsi="Times New Roman"/>
          <w:i/>
          <w:sz w:val="24"/>
          <w:szCs w:val="24"/>
        </w:rPr>
        <w:t>Equation 26B—non-fire natural disturbance</w:t>
      </w:r>
    </w:p>
    <w:p w:rsidR="009C7B7D" w:rsidRPr="0085073C" w:rsidRDefault="00F847F0" w:rsidP="000E51EE">
      <w:pPr>
        <w:spacing w:after="120" w:line="240" w:lineRule="auto"/>
        <w:rPr>
          <w:rFonts w:ascii="Times New Roman" w:hAnsi="Times New Roman"/>
          <w:sz w:val="24"/>
          <w:szCs w:val="24"/>
        </w:rPr>
      </w:pPr>
      <w:r w:rsidRPr="0085073C">
        <w:rPr>
          <w:rFonts w:ascii="Times New Roman" w:hAnsi="Times New Roman"/>
          <w:sz w:val="24"/>
          <w:szCs w:val="24"/>
        </w:rPr>
        <w:t xml:space="preserve">If the natural disturbance was not a fire, the carbon stock that enters the debris pool in the project scenario (and which would not have entered the debris pool in the baseline) is equivalent to the carbon stock in timber removed from the project area in the baseline scenario plus logging slash, which is assumed to stay in the project area. </w:t>
      </w:r>
    </w:p>
    <w:p w:rsidR="00517D49" w:rsidRPr="0085073C" w:rsidRDefault="00F847F0" w:rsidP="000E51EE">
      <w:pPr>
        <w:spacing w:after="120" w:line="240" w:lineRule="auto"/>
        <w:rPr>
          <w:rFonts w:ascii="Times New Roman" w:hAnsi="Times New Roman"/>
          <w:sz w:val="24"/>
          <w:szCs w:val="24"/>
        </w:rPr>
      </w:pPr>
      <w:r w:rsidRPr="0085073C">
        <w:rPr>
          <w:rFonts w:ascii="Times New Roman" w:hAnsi="Times New Roman"/>
          <w:sz w:val="24"/>
          <w:szCs w:val="24"/>
        </w:rPr>
        <w:t>In addition, growth in the project scenario until the start of the reporting period in which the natural disturbance occurred is added to the debris pool. Only growth occurring until the start of the reporting period is added to the debris pool because growth occurring after the start of the reporting period in which the natural disturbance occurs is accounted for in Equation 27. Accounting for all the growth up to the time of the natural disturbance would therefore result in double-counting. For example, if there is a natural disturbance in 2022 in a reporting period beginning in 2020, project scenario growth is accounted for until 2020 and not 2022, because growth from 2020 is accounted for in Equation 27.</w:t>
      </w:r>
    </w:p>
    <w:p w:rsidR="008748C1" w:rsidRPr="0085073C" w:rsidRDefault="000B1607" w:rsidP="00717338">
      <w:pPr>
        <w:spacing w:after="120" w:line="240" w:lineRule="auto"/>
        <w:rPr>
          <w:rFonts w:ascii="Times New Roman" w:hAnsi="Times New Roman"/>
          <w:sz w:val="24"/>
          <w:szCs w:val="24"/>
          <w:u w:val="single"/>
        </w:rPr>
      </w:pPr>
    </w:p>
    <w:p w:rsidR="003019C7" w:rsidRPr="0085073C" w:rsidRDefault="00F847F0" w:rsidP="00717338">
      <w:pPr>
        <w:spacing w:after="120" w:line="240" w:lineRule="auto"/>
        <w:rPr>
          <w:rFonts w:ascii="Times New Roman" w:hAnsi="Times New Roman"/>
          <w:sz w:val="24"/>
          <w:szCs w:val="24"/>
          <w:u w:val="single"/>
        </w:rPr>
      </w:pPr>
      <w:r w:rsidRPr="0085073C">
        <w:rPr>
          <w:rFonts w:ascii="Times New Roman" w:hAnsi="Times New Roman"/>
          <w:sz w:val="24"/>
          <w:szCs w:val="24"/>
          <w:u w:val="single"/>
        </w:rPr>
        <w:t>62</w:t>
      </w:r>
      <w:r w:rsidRPr="0085073C">
        <w:rPr>
          <w:rFonts w:ascii="Times New Roman" w:hAnsi="Times New Roman"/>
          <w:sz w:val="24"/>
          <w:szCs w:val="24"/>
          <w:u w:val="single"/>
        </w:rPr>
        <w:tab/>
        <w:t>Carbon dioxide emissions</w:t>
      </w:r>
    </w:p>
    <w:p w:rsidR="00BD62B3"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The note at the top of section 62 indicates that if a natural disturbance occurs, carbon dioxide emissions from the resulting debris pool are subtracted from the net abatement amount in every reporting period for the rest of the crediting period, not only in the reporting period in which the natural disturbance occurs. This reflects the fact that carbon dioxide emissions from debris occur throughout the crediting period, unlike methane and nitrous oxide fire emissions which occur with the fire.</w:t>
      </w:r>
    </w:p>
    <w:p w:rsidR="00811CB2"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Carbon dioxide emissions are calculated by summing emissions from all disturbance events in the current reporting period and annualising those emissions over the years that remain in the crediting period (measured from the start of the current reporting period). The annualised emissions from each reporting period are summed, and then multiplied by the number of years in the reporting period and deducted from the net abatement amount for that reporting period.</w:t>
      </w:r>
    </w:p>
    <w:p w:rsidR="00880617"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Subsection 62(1) provides that the annualised carbon dioxide emissions from the debris pool in each land parcel in which a natural disturbance has occurred must be calculated using Equation 27.</w:t>
      </w:r>
    </w:p>
    <w:p w:rsidR="004F10C0"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For each land parcel in each reporting period, Equation 27 is used to calculate the land parcel’s debris pool’s annualised rate of decay over the period beginning at the start of the reporting period to the end of the crediting period. Decay has been ‘deemed’ to occur from the start of the reporting period so that emissions from different natural disturbances in different land parcels at different times can be summed relatively simply in Equations 28 to 30.</w:t>
      </w:r>
    </w:p>
    <w:p w:rsidR="00B01376"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 xml:space="preserve">The annual project scenario growth rate for the land parcel is added to this annual rate because credits for project scenario growth have already been issued to the project in </w:t>
      </w:r>
      <w:r w:rsidRPr="0085073C">
        <w:rPr>
          <w:rFonts w:ascii="Times New Roman" w:hAnsi="Times New Roman"/>
          <w:sz w:val="24"/>
          <w:szCs w:val="24"/>
        </w:rPr>
        <w:lastRenderedPageBreak/>
        <w:t xml:space="preserve">Equation 19. These credits are deducted in Equation 27 because the trees that were growing in the project scenario have been killed in the natural disturbance.  </w:t>
      </w:r>
    </w:p>
    <w:p w:rsidR="00691F49"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 xml:space="preserve">Subsection 62(2) provides that, for each reporting period, the annualised carbon dioxide emissions from all natural disturbances in the reporting period must be calculated using Equation 28. </w:t>
      </w:r>
    </w:p>
    <w:p w:rsidR="004312AB"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Subsection 62(3) provides that the annualised carbon dioxide emissions from natural disturbances in all reporting periods must be calculated using Equation 29.</w:t>
      </w:r>
    </w:p>
    <w:p w:rsidR="004312AB" w:rsidRPr="0085073C" w:rsidRDefault="00F847F0" w:rsidP="00717338">
      <w:pPr>
        <w:spacing w:after="120" w:line="240" w:lineRule="auto"/>
        <w:rPr>
          <w:rFonts w:ascii="Times New Roman" w:hAnsi="Times New Roman"/>
          <w:sz w:val="24"/>
          <w:szCs w:val="24"/>
        </w:rPr>
      </w:pPr>
      <w:r w:rsidRPr="0085073C">
        <w:rPr>
          <w:rFonts w:ascii="Times New Roman" w:hAnsi="Times New Roman"/>
          <w:sz w:val="24"/>
          <w:szCs w:val="24"/>
        </w:rPr>
        <w:t>Subsection 62(4) provides that, for each reporting period, the total carbon dioxide emissions from all natural disturbances must be calculated using Equation 30.</w:t>
      </w:r>
    </w:p>
    <w:p w:rsidR="00F32EF7" w:rsidRPr="0085073C" w:rsidRDefault="000B1607" w:rsidP="00717338">
      <w:pPr>
        <w:spacing w:after="120" w:line="240" w:lineRule="auto"/>
        <w:rPr>
          <w:rFonts w:ascii="Times New Roman" w:hAnsi="Times New Roman"/>
          <w:sz w:val="24"/>
          <w:szCs w:val="24"/>
        </w:rPr>
      </w:pPr>
    </w:p>
    <w:p w:rsidR="00DE2DC5" w:rsidRPr="0085073C" w:rsidRDefault="00F847F0" w:rsidP="00711C57">
      <w:pPr>
        <w:keepNext/>
        <w:keepLines/>
        <w:spacing w:after="120" w:line="240" w:lineRule="auto"/>
        <w:rPr>
          <w:rFonts w:ascii="Times New Roman" w:hAnsi="Times New Roman"/>
          <w:sz w:val="24"/>
          <w:szCs w:val="24"/>
          <w:u w:val="single"/>
        </w:rPr>
      </w:pPr>
      <w:r w:rsidRPr="0085073C">
        <w:rPr>
          <w:rFonts w:ascii="Times New Roman" w:hAnsi="Times New Roman"/>
          <w:sz w:val="24"/>
          <w:szCs w:val="24"/>
          <w:u w:val="single"/>
        </w:rPr>
        <w:t>63</w:t>
      </w:r>
      <w:r w:rsidRPr="0085073C">
        <w:rPr>
          <w:rFonts w:ascii="Times New Roman" w:hAnsi="Times New Roman"/>
          <w:sz w:val="24"/>
          <w:szCs w:val="24"/>
          <w:u w:val="single"/>
        </w:rPr>
        <w:tab/>
        <w:t>Emissions from carbon stock burnt</w:t>
      </w:r>
    </w:p>
    <w:p w:rsidR="00DE2DC5" w:rsidRPr="0085073C" w:rsidRDefault="00F847F0" w:rsidP="00711C57">
      <w:pPr>
        <w:keepNext/>
        <w:keepLines/>
        <w:spacing w:after="120" w:line="240" w:lineRule="auto"/>
        <w:rPr>
          <w:rFonts w:ascii="Times New Roman" w:hAnsi="Times New Roman"/>
          <w:sz w:val="24"/>
          <w:szCs w:val="24"/>
        </w:rPr>
      </w:pPr>
      <w:r w:rsidRPr="0085073C">
        <w:rPr>
          <w:rFonts w:ascii="Times New Roman" w:hAnsi="Times New Roman"/>
          <w:sz w:val="24"/>
          <w:szCs w:val="24"/>
        </w:rPr>
        <w:t>Subsection 63(1) provides that section 63 applies if the natural disturbance was a fire.</w:t>
      </w:r>
    </w:p>
    <w:p w:rsidR="00743057" w:rsidRPr="0085073C" w:rsidRDefault="00F847F0" w:rsidP="000E51EE">
      <w:pPr>
        <w:spacing w:after="120" w:line="240" w:lineRule="auto"/>
        <w:rPr>
          <w:rFonts w:ascii="Times New Roman" w:hAnsi="Times New Roman"/>
          <w:sz w:val="24"/>
          <w:szCs w:val="24"/>
        </w:rPr>
      </w:pPr>
      <w:r w:rsidRPr="0085073C">
        <w:rPr>
          <w:rFonts w:ascii="Times New Roman" w:hAnsi="Times New Roman"/>
          <w:sz w:val="24"/>
          <w:szCs w:val="24"/>
        </w:rPr>
        <w:t>Subsection 63(2) provides that, for each land parcel in a stratum affected by a natural disturbance, the amount of carbon stock burnt must be calculated using Equation 31.</w:t>
      </w:r>
    </w:p>
    <w:p w:rsidR="000C6164" w:rsidRPr="0085073C" w:rsidRDefault="00F847F0" w:rsidP="00743057">
      <w:pPr>
        <w:spacing w:after="120" w:line="240" w:lineRule="auto"/>
        <w:rPr>
          <w:rFonts w:ascii="Times New Roman" w:hAnsi="Times New Roman"/>
          <w:sz w:val="24"/>
          <w:szCs w:val="24"/>
        </w:rPr>
      </w:pPr>
      <w:r w:rsidRPr="0085073C">
        <w:rPr>
          <w:rFonts w:ascii="Times New Roman" w:hAnsi="Times New Roman"/>
          <w:sz w:val="24"/>
          <w:szCs w:val="24"/>
        </w:rPr>
        <w:t xml:space="preserve">Equation 31 calculates the carbon stock that was burnt in the project scenario when the fire occurred but would not have been burnt in the baseline, because in the baseline the carbon stock would have been removed from the project area in harvest events. The carbon stock burnt in the project scenario is equivalent to the amount of logging slash (non-merchantable timber, such as the crown) calculated in the baseline plus growth in the project scenario until the start of the reporting period in which the fire occurred. </w:t>
      </w:r>
    </w:p>
    <w:p w:rsidR="000C6164" w:rsidRPr="0085073C" w:rsidRDefault="00F847F0" w:rsidP="00743057">
      <w:pPr>
        <w:spacing w:after="120" w:line="240" w:lineRule="auto"/>
        <w:rPr>
          <w:rFonts w:ascii="Times New Roman" w:hAnsi="Times New Roman"/>
          <w:sz w:val="24"/>
          <w:szCs w:val="24"/>
        </w:rPr>
      </w:pPr>
      <w:r w:rsidRPr="0085073C">
        <w:rPr>
          <w:rFonts w:ascii="Times New Roman" w:hAnsi="Times New Roman"/>
          <w:sz w:val="24"/>
          <w:szCs w:val="24"/>
        </w:rPr>
        <w:t>Only growth occurring until the start of the reporting period is taken to burn because growth occurring after the start of the reporting period in which the fire occurs is accounted for in Equation 27. Accounting for all the growth up to the time of the fire would therefore result in double-counting. For example, if there is a fire in 2022 in a reporting period beginning in 2020, project scenario growth is accounted for until 2020 and not 2022, because growth after 2020 is accounted for in Equation 27.</w:t>
      </w:r>
    </w:p>
    <w:p w:rsidR="00F17084" w:rsidRPr="0085073C" w:rsidRDefault="00F847F0" w:rsidP="00743057">
      <w:pPr>
        <w:spacing w:after="120" w:line="240" w:lineRule="auto"/>
        <w:rPr>
          <w:rFonts w:ascii="Times New Roman" w:hAnsi="Times New Roman"/>
          <w:sz w:val="24"/>
          <w:szCs w:val="24"/>
        </w:rPr>
      </w:pPr>
      <w:r w:rsidRPr="0085073C">
        <w:rPr>
          <w:rFonts w:ascii="Times New Roman" w:hAnsi="Times New Roman"/>
          <w:sz w:val="24"/>
          <w:szCs w:val="24"/>
        </w:rPr>
        <w:t xml:space="preserve">Logging slash comprises mainly leaves and branches and is assumed to completely combust. Equation 31 calculates the amount of logging slash at the time of the baseline harvest event by taking the average amount of logging slash at the end of the crediting period—from Equation 6—and using the inverse decay factor to estimate the amount of logging slash present in the parcel at the time of the harvest. </w:t>
      </w:r>
    </w:p>
    <w:p w:rsidR="00B45E55"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Subsection 63(4) provides that emissions of methane from the burnt carbon stock must be calculated using Equation 32.</w:t>
      </w:r>
    </w:p>
    <w:p w:rsidR="00B45E55"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Subsection 63(5) provides that emissions of nitrous oxide from the burnt carbon stock must be calculated using Equation 33.</w:t>
      </w:r>
    </w:p>
    <w:p w:rsidR="00D02FE5" w:rsidRPr="0085073C" w:rsidRDefault="00F847F0" w:rsidP="00F17084">
      <w:pPr>
        <w:spacing w:after="120" w:line="240" w:lineRule="auto"/>
        <w:rPr>
          <w:rFonts w:ascii="Times New Roman" w:hAnsi="Times New Roman"/>
          <w:i/>
          <w:sz w:val="24"/>
          <w:szCs w:val="24"/>
        </w:rPr>
      </w:pPr>
      <w:r w:rsidRPr="0085073C">
        <w:rPr>
          <w:rFonts w:ascii="Times New Roman" w:hAnsi="Times New Roman"/>
          <w:sz w:val="24"/>
          <w:szCs w:val="24"/>
        </w:rPr>
        <w:t xml:space="preserve">Equations 32 and 33 use parameters contained in the </w:t>
      </w:r>
      <w:r w:rsidRPr="0085073C">
        <w:rPr>
          <w:rFonts w:ascii="Times New Roman" w:hAnsi="Times New Roman"/>
          <w:i/>
          <w:sz w:val="24"/>
          <w:szCs w:val="24"/>
        </w:rPr>
        <w:t>National Inventory Report</w:t>
      </w:r>
      <w:r w:rsidRPr="0085073C">
        <w:rPr>
          <w:rFonts w:ascii="Times New Roman" w:hAnsi="Times New Roman"/>
          <w:sz w:val="24"/>
          <w:szCs w:val="24"/>
        </w:rPr>
        <w:t xml:space="preserve">. The project proponent must use the parameters from the most recent report. The table in the note provides references to the parameters in the </w:t>
      </w:r>
      <w:r w:rsidRPr="0085073C">
        <w:rPr>
          <w:rFonts w:ascii="Times New Roman" w:hAnsi="Times New Roman"/>
          <w:i/>
          <w:sz w:val="24"/>
          <w:szCs w:val="24"/>
        </w:rPr>
        <w:t>National Inventory Report 2012.</w:t>
      </w:r>
    </w:p>
    <w:p w:rsidR="00D02FE5"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Subsection 63(6) provides that total project area emissions from carbon stock burnt must be calculated using Equation 34.</w:t>
      </w:r>
    </w:p>
    <w:p w:rsidR="003033B8" w:rsidRDefault="000B1607" w:rsidP="00F17084">
      <w:pPr>
        <w:spacing w:after="120" w:line="240" w:lineRule="auto"/>
        <w:rPr>
          <w:rFonts w:ascii="Times New Roman" w:hAnsi="Times New Roman"/>
          <w:sz w:val="24"/>
          <w:szCs w:val="24"/>
        </w:rPr>
      </w:pPr>
    </w:p>
    <w:p w:rsidR="003033B8" w:rsidRDefault="000B1607" w:rsidP="00F17084">
      <w:pPr>
        <w:spacing w:after="120" w:line="240" w:lineRule="auto"/>
        <w:rPr>
          <w:rFonts w:ascii="Times New Roman" w:hAnsi="Times New Roman"/>
          <w:sz w:val="24"/>
          <w:szCs w:val="24"/>
        </w:rPr>
      </w:pPr>
    </w:p>
    <w:p w:rsidR="003033B8" w:rsidRPr="0085073C" w:rsidRDefault="000B1607" w:rsidP="00F17084">
      <w:pPr>
        <w:spacing w:after="120" w:line="240" w:lineRule="auto"/>
        <w:rPr>
          <w:rFonts w:ascii="Times New Roman" w:hAnsi="Times New Roman"/>
          <w:sz w:val="24"/>
          <w:szCs w:val="24"/>
        </w:rPr>
      </w:pPr>
    </w:p>
    <w:p w:rsidR="001D45FC" w:rsidRPr="0085073C" w:rsidRDefault="00F847F0" w:rsidP="00F17084">
      <w:pPr>
        <w:spacing w:after="120" w:line="240" w:lineRule="auto"/>
        <w:rPr>
          <w:rFonts w:ascii="Times New Roman" w:hAnsi="Times New Roman"/>
          <w:sz w:val="24"/>
          <w:szCs w:val="24"/>
          <w:u w:val="single"/>
        </w:rPr>
      </w:pPr>
      <w:r w:rsidRPr="0085073C">
        <w:rPr>
          <w:rFonts w:ascii="Times New Roman" w:hAnsi="Times New Roman"/>
          <w:sz w:val="24"/>
          <w:szCs w:val="24"/>
          <w:u w:val="single"/>
        </w:rPr>
        <w:lastRenderedPageBreak/>
        <w:t>64</w:t>
      </w:r>
      <w:r w:rsidRPr="0085073C">
        <w:rPr>
          <w:rFonts w:ascii="Times New Roman" w:hAnsi="Times New Roman"/>
          <w:sz w:val="24"/>
          <w:szCs w:val="24"/>
          <w:u w:val="single"/>
        </w:rPr>
        <w:tab/>
        <w:t>Net project emissions</w:t>
      </w:r>
    </w:p>
    <w:p w:rsidR="001D45FC"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Section 64 provides that, for each reporting period, the net project emissions must be calculated using Equation 35. Equation 35 sums the net greenhouse gas emissions from fires in the project area in the reporting period (</w:t>
      </w:r>
      <m:oMath>
        <m:sSub>
          <m:sSubPr>
            <m:ctrlPr>
              <w:rPr>
                <w:rFonts w:ascii="Cambria Math" w:hAnsi="Times New Roman"/>
                <w:i/>
                <w:sz w:val="24"/>
                <w:szCs w:val="24"/>
              </w:rPr>
            </m:ctrlPr>
          </m:sSubPr>
          <m:e>
            <m:r>
              <w:rPr>
                <w:rFonts w:ascii="Cambria Math" w:hAnsi="Cambria Math"/>
                <w:sz w:val="24"/>
                <w:szCs w:val="24"/>
              </w:rPr>
              <m:t>GHG</m:t>
            </m:r>
          </m:e>
          <m:sub>
            <m:r>
              <w:rPr>
                <w:rFonts w:ascii="Cambria Math" w:hAnsi="Cambria Math"/>
                <w:sz w:val="24"/>
                <w:szCs w:val="24"/>
              </w:rPr>
              <m:t>FR</m:t>
            </m:r>
            <m:r>
              <w:rPr>
                <w:rFonts w:ascii="Cambria Math" w:hAnsi="Times New Roman"/>
                <w:sz w:val="24"/>
                <w:szCs w:val="24"/>
              </w:rPr>
              <m:t>,</m:t>
            </m:r>
            <m:r>
              <w:rPr>
                <w:rFonts w:ascii="Cambria Math" w:hAnsi="Cambria Math"/>
                <w:sz w:val="24"/>
                <w:szCs w:val="24"/>
              </w:rPr>
              <m:t>r</m:t>
            </m:r>
            <m:r>
              <w:rPr>
                <w:rFonts w:ascii="Cambria Math" w:hAnsi="Times New Roman"/>
                <w:sz w:val="24"/>
                <w:szCs w:val="24"/>
              </w:rPr>
              <m:t>|</m:t>
            </m:r>
            <m:r>
              <w:rPr>
                <w:rFonts w:ascii="Cambria Math" w:hAnsi="Cambria Math"/>
                <w:sz w:val="24"/>
                <w:szCs w:val="24"/>
              </w:rPr>
              <m:t>PRJ</m:t>
            </m:r>
          </m:sub>
        </m:sSub>
      </m:oMath>
      <w:r w:rsidRPr="0085073C">
        <w:rPr>
          <w:rFonts w:ascii="Times New Roman" w:hAnsi="Times New Roman"/>
          <w:sz w:val="24"/>
          <w:szCs w:val="24"/>
        </w:rPr>
        <w:t>) and the total carbon dioxide emissions from the project area in the reporting period (</w:t>
      </w:r>
      <m:oMath>
        <m:sSub>
          <m:sSubPr>
            <m:ctrlPr>
              <w:rPr>
                <w:rFonts w:ascii="Cambria Math" w:eastAsia="Cambria" w:hAnsi="Times New Roman"/>
                <w:i/>
                <w:sz w:val="24"/>
                <w:szCs w:val="24"/>
              </w:rPr>
            </m:ctrlPr>
          </m:sSubPr>
          <m:e>
            <m:r>
              <w:rPr>
                <w:rFonts w:ascii="Cambria Math" w:eastAsia="Cambria" w:hAnsi="Cambria Math"/>
                <w:sz w:val="24"/>
                <w:szCs w:val="24"/>
              </w:rPr>
              <m:t>CO</m:t>
            </m:r>
            <m:r>
              <w:rPr>
                <w:rFonts w:ascii="Cambria Math" w:eastAsia="Cambria" w:hAnsi="Times New Roman"/>
                <w:sz w:val="24"/>
                <w:szCs w:val="24"/>
              </w:rPr>
              <m:t>2</m:t>
            </m:r>
          </m:e>
          <m:sub>
            <m:r>
              <w:rPr>
                <w:rFonts w:ascii="Cambria Math" w:eastAsia="Cambria" w:hAnsi="Cambria Math"/>
                <w:sz w:val="24"/>
                <w:szCs w:val="24"/>
              </w:rPr>
              <m:t>r</m:t>
            </m:r>
          </m:sub>
        </m:sSub>
      </m:oMath>
      <w:r w:rsidRPr="0085073C">
        <w:rPr>
          <w:rFonts w:ascii="Times New Roman" w:hAnsi="Times New Roman"/>
          <w:sz w:val="24"/>
          <w:szCs w:val="24"/>
        </w:rPr>
        <w:t>) and subtracts sequestration (</w:t>
      </w:r>
      <m:oMath>
        <m:sSub>
          <m:sSubPr>
            <m:ctrlPr>
              <w:rPr>
                <w:rFonts w:ascii="Cambria Math" w:hAnsi="Times New Roman"/>
                <w:i/>
                <w:sz w:val="24"/>
                <w:szCs w:val="24"/>
              </w:rPr>
            </m:ctrlPr>
          </m:sSubPr>
          <m:e>
            <m:r>
              <w:rPr>
                <w:rFonts w:ascii="Cambria Math" w:hAnsi="Times New Roman"/>
                <w:sz w:val="24"/>
                <w:szCs w:val="24"/>
              </w:rPr>
              <m:t>GHG</m:t>
            </m:r>
          </m:e>
          <m:sub>
            <m:r>
              <w:rPr>
                <w:rFonts w:ascii="Cambria Math" w:hAnsi="Times New Roman"/>
                <w:sz w:val="24"/>
                <w:szCs w:val="24"/>
              </w:rPr>
              <m:t>Seq,r|PRJ</m:t>
            </m:r>
          </m:sub>
        </m:sSub>
      </m:oMath>
      <w:r w:rsidRPr="0085073C">
        <w:rPr>
          <w:rFonts w:ascii="Times New Roman" w:hAnsi="Times New Roman"/>
          <w:sz w:val="24"/>
          <w:szCs w:val="24"/>
        </w:rPr>
        <w:t>), which can be thought of as a ‘negative emission’.</w:t>
      </w:r>
    </w:p>
    <w:p w:rsidR="009A4379"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 xml:space="preserve">If there has been a fire in the reporting period, there will be a value for </w:t>
      </w:r>
      <m:oMath>
        <m:sSub>
          <m:sSubPr>
            <m:ctrlPr>
              <w:rPr>
                <w:rFonts w:ascii="Cambria Math" w:hAnsi="Times New Roman"/>
                <w:i/>
                <w:sz w:val="24"/>
                <w:szCs w:val="24"/>
              </w:rPr>
            </m:ctrlPr>
          </m:sSubPr>
          <m:e>
            <m:r>
              <w:rPr>
                <w:rFonts w:ascii="Cambria Math" w:hAnsi="Times New Roman"/>
                <w:sz w:val="24"/>
                <w:szCs w:val="24"/>
              </w:rPr>
              <m:t>GHG</m:t>
            </m:r>
          </m:e>
          <m:sub>
            <m:r>
              <w:rPr>
                <w:rFonts w:ascii="Cambria Math" w:hAnsi="Times New Roman"/>
                <w:sz w:val="24"/>
                <w:szCs w:val="24"/>
              </w:rPr>
              <m:t>FR,r|PRJ</m:t>
            </m:r>
          </m:sub>
        </m:sSub>
      </m:oMath>
      <w:r w:rsidRPr="0085073C">
        <w:rPr>
          <w:rFonts w:ascii="Times New Roman" w:hAnsi="Times New Roman"/>
          <w:sz w:val="24"/>
          <w:szCs w:val="24"/>
        </w:rPr>
        <w:t xml:space="preserve"> in that reporting period.</w:t>
      </w:r>
    </w:p>
    <w:p w:rsidR="009A4379"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 xml:space="preserve">If there has been a natural disturbance (including fire) in the reporting period, there will be a value for </w:t>
      </w:r>
      <m:oMath>
        <m:sSub>
          <m:sSubPr>
            <m:ctrlPr>
              <w:rPr>
                <w:rFonts w:ascii="Cambria Math" w:eastAsia="Cambria" w:hAnsi="Times New Roman"/>
                <w:i/>
                <w:sz w:val="24"/>
                <w:szCs w:val="24"/>
              </w:rPr>
            </m:ctrlPr>
          </m:sSubPr>
          <m:e>
            <m:r>
              <w:rPr>
                <w:rFonts w:ascii="Cambria Math" w:eastAsia="Cambria" w:hAnsi="Times New Roman"/>
                <w:sz w:val="24"/>
                <w:szCs w:val="24"/>
              </w:rPr>
              <m:t>CO2</m:t>
            </m:r>
          </m:e>
          <m:sub>
            <m:r>
              <w:rPr>
                <w:rFonts w:ascii="Cambria Math" w:eastAsia="Cambria" w:hAnsi="Times New Roman"/>
                <w:sz w:val="24"/>
                <w:szCs w:val="24"/>
              </w:rPr>
              <m:t>r</m:t>
            </m:r>
          </m:sub>
        </m:sSub>
      </m:oMath>
      <w:r w:rsidRPr="0085073C">
        <w:rPr>
          <w:rFonts w:ascii="Times New Roman" w:hAnsi="Times New Roman"/>
          <w:sz w:val="24"/>
          <w:szCs w:val="24"/>
        </w:rPr>
        <w:t xml:space="preserve"> in that reporting period—and in every subsequent reporting period in the crediting period.</w:t>
      </w:r>
    </w:p>
    <w:p w:rsidR="00F32EF7" w:rsidRPr="0085073C" w:rsidRDefault="000B1607" w:rsidP="00F17084">
      <w:pPr>
        <w:spacing w:after="120" w:line="240" w:lineRule="auto"/>
        <w:rPr>
          <w:rFonts w:ascii="Times New Roman" w:hAnsi="Times New Roman"/>
          <w:sz w:val="24"/>
          <w:szCs w:val="24"/>
        </w:rPr>
      </w:pPr>
    </w:p>
    <w:p w:rsidR="009A4379" w:rsidRPr="0085073C" w:rsidRDefault="00F847F0" w:rsidP="002C45C7">
      <w:pPr>
        <w:keepNext/>
        <w:keepLines/>
        <w:spacing w:after="120" w:line="240" w:lineRule="auto"/>
        <w:rPr>
          <w:rFonts w:ascii="Times New Roman" w:hAnsi="Times New Roman"/>
          <w:b/>
          <w:sz w:val="24"/>
          <w:szCs w:val="24"/>
        </w:rPr>
      </w:pPr>
      <w:r w:rsidRPr="0085073C">
        <w:rPr>
          <w:rFonts w:ascii="Times New Roman" w:hAnsi="Times New Roman"/>
          <w:b/>
          <w:sz w:val="24"/>
          <w:szCs w:val="24"/>
        </w:rPr>
        <w:t>Subdivision 4</w:t>
      </w:r>
      <w:r w:rsidRPr="0085073C">
        <w:rPr>
          <w:rFonts w:ascii="Times New Roman" w:hAnsi="Times New Roman"/>
          <w:b/>
          <w:sz w:val="24"/>
          <w:szCs w:val="24"/>
        </w:rPr>
        <w:tab/>
      </w:r>
      <w:r w:rsidRPr="0085073C">
        <w:rPr>
          <w:rFonts w:ascii="Times New Roman" w:hAnsi="Times New Roman"/>
          <w:b/>
          <w:sz w:val="24"/>
          <w:szCs w:val="24"/>
        </w:rPr>
        <w:tab/>
        <w:t>Carbon dioxide equivalent net abatement amount</w:t>
      </w:r>
    </w:p>
    <w:p w:rsidR="00E60955" w:rsidRPr="0085073C" w:rsidRDefault="00F847F0" w:rsidP="002C45C7">
      <w:pPr>
        <w:pStyle w:val="paragraph"/>
        <w:keepNext/>
        <w:keepLines/>
      </w:pPr>
      <w:r w:rsidRPr="0085073C">
        <w:t>Paragraph 106(1)(c) of the Act provides that the carbon dioxide equivalent net abatement amount for a project in relation to a reporting period for the project is taken, for the purposes of the Act, to be equal to the amount ascertained using a method specified in, or ascertained in accordance with, the Determination.</w:t>
      </w:r>
    </w:p>
    <w:p w:rsidR="009A4379" w:rsidRPr="0085073C" w:rsidRDefault="00F847F0" w:rsidP="00F17084">
      <w:pPr>
        <w:spacing w:after="120" w:line="240" w:lineRule="auto"/>
        <w:rPr>
          <w:rFonts w:ascii="Times New Roman" w:hAnsi="Times New Roman"/>
          <w:sz w:val="24"/>
          <w:szCs w:val="24"/>
          <w:u w:val="single"/>
        </w:rPr>
      </w:pPr>
      <w:r w:rsidRPr="0085073C">
        <w:rPr>
          <w:rFonts w:ascii="Times New Roman" w:hAnsi="Times New Roman"/>
          <w:sz w:val="24"/>
          <w:szCs w:val="24"/>
          <w:u w:val="single"/>
        </w:rPr>
        <w:t>65</w:t>
      </w:r>
      <w:r w:rsidRPr="0085073C">
        <w:rPr>
          <w:rFonts w:ascii="Times New Roman" w:hAnsi="Times New Roman"/>
          <w:sz w:val="24"/>
          <w:szCs w:val="24"/>
          <w:u w:val="single"/>
        </w:rPr>
        <w:tab/>
        <w:t>Carbon dioxide equivalent net abatement amount</w:t>
      </w:r>
    </w:p>
    <w:p w:rsidR="0049430B"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The carbon dioxide equivalent net abatement amount is calculated each reporting period.</w:t>
      </w:r>
    </w:p>
    <w:p w:rsidR="0049430B"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Section 65 provides that the carbon dioxide equivalent net abatement amount must be calculated using either Equation 36A or 36B.</w:t>
      </w:r>
    </w:p>
    <w:p w:rsidR="00D12100"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 xml:space="preserve">Equation 36B is only used when the net abatement amount for the previous reporting period was less than zero (i.e. a net emission). This could have occurred as a result of natural disturbances. Equation 36B deducts the net emission from the previous reporting period from the net abatement amount in the current reporting period. </w:t>
      </w:r>
    </w:p>
    <w:p w:rsidR="00B92A73" w:rsidRPr="0085073C" w:rsidRDefault="00F847F0" w:rsidP="00F17084">
      <w:pPr>
        <w:spacing w:after="120" w:line="240" w:lineRule="auto"/>
        <w:rPr>
          <w:rFonts w:ascii="Times New Roman" w:hAnsi="Times New Roman"/>
          <w:sz w:val="24"/>
          <w:szCs w:val="24"/>
        </w:rPr>
      </w:pPr>
      <w:r w:rsidRPr="0085073C">
        <w:rPr>
          <w:rFonts w:ascii="Times New Roman" w:hAnsi="Times New Roman"/>
          <w:sz w:val="24"/>
          <w:szCs w:val="24"/>
        </w:rPr>
        <w:t>The carbon dioxide equivalent net abatement amount is calculated in Equations 36A and 36B by subtracting net project scenario emissions (</w:t>
      </w:r>
      <w:r w:rsidRPr="0085073C">
        <w:rPr>
          <w:rFonts w:ascii="Times New Roman" w:hAnsi="Times New Roman"/>
          <w:i/>
          <w:sz w:val="24"/>
          <w:szCs w:val="24"/>
        </w:rPr>
        <w:t>GHG</w:t>
      </w:r>
      <w:r w:rsidRPr="0085073C">
        <w:rPr>
          <w:rFonts w:ascii="Times New Roman" w:hAnsi="Times New Roman"/>
          <w:i/>
          <w:sz w:val="24"/>
          <w:szCs w:val="24"/>
          <w:vertAlign w:val="subscript"/>
        </w:rPr>
        <w:t>NET,r|PRJ</w:t>
      </w:r>
      <w:r w:rsidRPr="0085073C">
        <w:rPr>
          <w:rFonts w:ascii="Times New Roman" w:hAnsi="Times New Roman"/>
          <w:sz w:val="24"/>
          <w:szCs w:val="24"/>
        </w:rPr>
        <w:t>) from net baseline emissions (</w:t>
      </w:r>
      <w:r w:rsidRPr="0085073C">
        <w:rPr>
          <w:rFonts w:ascii="Times New Roman" w:hAnsi="Times New Roman"/>
          <w:i/>
          <w:sz w:val="24"/>
          <w:szCs w:val="24"/>
        </w:rPr>
        <w:t>GHG</w:t>
      </w:r>
      <w:r w:rsidRPr="0085073C">
        <w:rPr>
          <w:rFonts w:ascii="Times New Roman" w:hAnsi="Times New Roman"/>
          <w:i/>
          <w:sz w:val="24"/>
          <w:szCs w:val="24"/>
          <w:vertAlign w:val="subscript"/>
        </w:rPr>
        <w:t>NET,r|BSL</w:t>
      </w:r>
      <w:r w:rsidRPr="0085073C">
        <w:rPr>
          <w:rFonts w:ascii="Times New Roman" w:hAnsi="Times New Roman"/>
          <w:sz w:val="24"/>
          <w:szCs w:val="24"/>
        </w:rPr>
        <w:t>) and applying the leakage factor. The project scenario emissions are subtracted from the baseline emissions because, unlike the baseline emissions, they were not avoided in the project scenario. The results of Equation 36A and 36B represent avoided emissions.</w:t>
      </w:r>
    </w:p>
    <w:p w:rsidR="0043624C" w:rsidRPr="0085073C" w:rsidRDefault="00F847F0" w:rsidP="0043624C">
      <w:pPr>
        <w:spacing w:after="120" w:line="240" w:lineRule="auto"/>
        <w:rPr>
          <w:rFonts w:ascii="Times New Roman" w:hAnsi="Times New Roman"/>
          <w:sz w:val="24"/>
          <w:szCs w:val="24"/>
        </w:rPr>
      </w:pPr>
      <w:r w:rsidRPr="0085073C">
        <w:rPr>
          <w:rFonts w:ascii="Times New Roman" w:hAnsi="Times New Roman"/>
          <w:sz w:val="24"/>
          <w:szCs w:val="24"/>
        </w:rPr>
        <w:t>The leakage factor is 10 per cent based on an Australian Bureau of Agricultural and Resource Economics and Sciences (ABARES) report prepared for the Department of Industry, Innovation, Climate Change, Science, Research and Tertiary Education in August 2013 (</w:t>
      </w:r>
      <w:r w:rsidRPr="0085073C">
        <w:rPr>
          <w:rFonts w:ascii="Times New Roman" w:hAnsi="Times New Roman"/>
          <w:i/>
          <w:sz w:val="24"/>
          <w:szCs w:val="24"/>
        </w:rPr>
        <w:t>Leakage from avoided clearing and harvesting of native forests under the CFI: a quantitative assessment</w:t>
      </w:r>
      <w:r w:rsidRPr="0085073C">
        <w:rPr>
          <w:rFonts w:ascii="Times New Roman" w:hAnsi="Times New Roman"/>
          <w:sz w:val="24"/>
          <w:szCs w:val="24"/>
        </w:rPr>
        <w:t>). The report estimates that leakage rates for private native forests are between 6 and 10 per cent at a national level. The higher of the range was selected as a conservative approach.</w:t>
      </w:r>
    </w:p>
    <w:p w:rsidR="003033B8" w:rsidRDefault="00F847F0" w:rsidP="003033B8">
      <w:pPr>
        <w:spacing w:after="120" w:line="240" w:lineRule="auto"/>
        <w:rPr>
          <w:rFonts w:ascii="Times New Roman" w:hAnsi="Times New Roman"/>
          <w:sz w:val="24"/>
          <w:szCs w:val="24"/>
        </w:rPr>
      </w:pPr>
      <w:r w:rsidRPr="0085073C">
        <w:rPr>
          <w:rFonts w:ascii="Times New Roman" w:hAnsi="Times New Roman"/>
          <w:sz w:val="24"/>
          <w:szCs w:val="24"/>
        </w:rPr>
        <w:t>In addition to national level estimates, the ABARES report provides high-level estimates for state-specific factors, which vary considerably between jurisdictions. While specific leakage rates may be lower or higher in any specific jurisdiction, the ABARES report considers the national level leakage rates to be more reliable (i.e. in the absence of a comprehensive regional analysis).</w:t>
      </w:r>
    </w:p>
    <w:p w:rsidR="00A52FB6" w:rsidRPr="0085073C" w:rsidRDefault="00F847F0" w:rsidP="003033B8">
      <w:pPr>
        <w:pageBreakBefore/>
        <w:spacing w:after="120" w:line="240" w:lineRule="auto"/>
        <w:rPr>
          <w:rFonts w:ascii="Times New Roman" w:hAnsi="Times New Roman"/>
          <w:b/>
          <w:sz w:val="24"/>
          <w:szCs w:val="24"/>
        </w:rPr>
      </w:pPr>
      <w:r w:rsidRPr="0085073C">
        <w:rPr>
          <w:rFonts w:ascii="Times New Roman" w:hAnsi="Times New Roman"/>
          <w:b/>
          <w:sz w:val="24"/>
          <w:szCs w:val="24"/>
        </w:rPr>
        <w:lastRenderedPageBreak/>
        <w:t>Part 5</w:t>
      </w:r>
      <w:r w:rsidRPr="0085073C">
        <w:rPr>
          <w:rFonts w:ascii="Times New Roman" w:hAnsi="Times New Roman"/>
          <w:b/>
          <w:sz w:val="24"/>
          <w:szCs w:val="24"/>
        </w:rPr>
        <w:tab/>
        <w:t>Reporting, record-keeping and monitoring requirements</w:t>
      </w:r>
    </w:p>
    <w:p w:rsidR="00060C50" w:rsidRPr="0085073C" w:rsidRDefault="00F847F0" w:rsidP="00060C50">
      <w:pPr>
        <w:spacing w:after="120" w:line="240" w:lineRule="auto"/>
        <w:rPr>
          <w:rFonts w:ascii="Times New Roman" w:hAnsi="Times New Roman"/>
          <w:b/>
          <w:sz w:val="24"/>
          <w:szCs w:val="24"/>
          <w:vertAlign w:val="subscript"/>
        </w:rPr>
      </w:pPr>
      <w:r w:rsidRPr="0085073C">
        <w:rPr>
          <w:rFonts w:ascii="Times New Roman" w:hAnsi="Times New Roman"/>
          <w:b/>
          <w:sz w:val="24"/>
          <w:szCs w:val="24"/>
        </w:rPr>
        <w:t>Division 1</w:t>
      </w:r>
      <w:r w:rsidRPr="0085073C">
        <w:rPr>
          <w:rFonts w:ascii="Times New Roman" w:hAnsi="Times New Roman"/>
          <w:b/>
          <w:sz w:val="24"/>
          <w:szCs w:val="24"/>
        </w:rPr>
        <w:tab/>
        <w:t>General</w:t>
      </w:r>
    </w:p>
    <w:p w:rsidR="00F938AB" w:rsidRPr="0085073C" w:rsidRDefault="00F847F0" w:rsidP="00F938AB">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66</w:t>
      </w:r>
      <w:r w:rsidRPr="0085073C">
        <w:rPr>
          <w:rFonts w:ascii="Times New Roman" w:hAnsi="Times New Roman"/>
          <w:color w:val="000000" w:themeColor="text1"/>
          <w:sz w:val="24"/>
          <w:szCs w:val="24"/>
          <w:u w:val="single"/>
        </w:rPr>
        <w:tab/>
        <w:t>Application</w:t>
      </w:r>
    </w:p>
    <w:p w:rsidR="00F938AB" w:rsidRPr="0085073C" w:rsidRDefault="00F847F0" w:rsidP="00F938AB">
      <w:pPr>
        <w:spacing w:after="120" w:line="240" w:lineRule="auto"/>
        <w:rPr>
          <w:rFonts w:ascii="Times New Roman" w:eastAsia="Times New Roman" w:hAnsi="Times New Roman"/>
          <w:color w:val="000000" w:themeColor="text1"/>
          <w:sz w:val="24"/>
          <w:szCs w:val="24"/>
          <w:lang w:eastAsia="en-AU"/>
        </w:rPr>
      </w:pPr>
      <w:r w:rsidRPr="0085073C">
        <w:rPr>
          <w:rFonts w:ascii="Times New Roman" w:eastAsia="Times New Roman" w:hAnsi="Times New Roman"/>
          <w:color w:val="000000" w:themeColor="text1"/>
          <w:sz w:val="24"/>
          <w:szCs w:val="24"/>
          <w:lang w:eastAsia="en-AU"/>
        </w:rPr>
        <w:t xml:space="preserve">Subsection 106(3) of the Act provides that a methodology determination may require the project proponent of an eligible offsets project to comply with specified </w:t>
      </w:r>
      <w:bookmarkStart w:id="0" w:name="OLE_LINK1"/>
      <w:bookmarkStart w:id="1" w:name="OLE_LINK2"/>
      <w:r w:rsidRPr="0085073C">
        <w:rPr>
          <w:rFonts w:ascii="Times New Roman" w:eastAsia="Times New Roman" w:hAnsi="Times New Roman"/>
          <w:color w:val="000000" w:themeColor="text1"/>
          <w:sz w:val="24"/>
          <w:szCs w:val="24"/>
          <w:lang w:eastAsia="en-AU"/>
        </w:rPr>
        <w:t>reporting, record-keeping and monitoring requirements.</w:t>
      </w:r>
      <w:bookmarkEnd w:id="0"/>
      <w:bookmarkEnd w:id="1"/>
      <w:r w:rsidRPr="0085073C">
        <w:rPr>
          <w:rFonts w:ascii="Times New Roman" w:eastAsia="Times New Roman" w:hAnsi="Times New Roman"/>
          <w:color w:val="000000" w:themeColor="text1"/>
          <w:sz w:val="24"/>
          <w:szCs w:val="24"/>
          <w:lang w:eastAsia="en-AU"/>
        </w:rPr>
        <w:t xml:space="preserve"> </w:t>
      </w:r>
    </w:p>
    <w:p w:rsidR="00F938AB" w:rsidRPr="0085073C" w:rsidRDefault="00F847F0" w:rsidP="00F938AB">
      <w:pPr>
        <w:spacing w:after="120" w:line="240" w:lineRule="auto"/>
        <w:rPr>
          <w:rFonts w:ascii="Times New Roman" w:eastAsia="Times New Roman" w:hAnsi="Times New Roman"/>
          <w:color w:val="000000" w:themeColor="text1"/>
          <w:sz w:val="24"/>
          <w:szCs w:val="24"/>
          <w:lang w:eastAsia="en-AU"/>
        </w:rPr>
      </w:pPr>
      <w:r w:rsidRPr="0085073C">
        <w:rPr>
          <w:rFonts w:ascii="Times New Roman" w:eastAsia="Times New Roman" w:hAnsi="Times New Roman"/>
          <w:color w:val="000000" w:themeColor="text1"/>
          <w:sz w:val="24"/>
          <w:szCs w:val="24"/>
          <w:lang w:eastAsia="en-AU"/>
        </w:rPr>
        <w:t>Under Parts 17 and 21 of the Act, a failure to comply with these requirements may constitute a breach of a civil penalty provision, and a financial penalty may be payable.</w:t>
      </w:r>
    </w:p>
    <w:p w:rsidR="00F938AB" w:rsidRPr="0085073C" w:rsidRDefault="00F847F0" w:rsidP="00F938AB">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The </w:t>
      </w:r>
      <w:r w:rsidRPr="0085073C">
        <w:rPr>
          <w:rFonts w:ascii="Times New Roman" w:eastAsia="Times New Roman" w:hAnsi="Times New Roman"/>
          <w:color w:val="000000" w:themeColor="text1"/>
          <w:sz w:val="24"/>
          <w:szCs w:val="24"/>
          <w:lang w:eastAsia="en-AU"/>
        </w:rPr>
        <w:t xml:space="preserve">reporting, record-keeping and monitoring requirements </w:t>
      </w:r>
      <w:r w:rsidRPr="0085073C">
        <w:rPr>
          <w:rFonts w:ascii="Times New Roman" w:hAnsi="Times New Roman"/>
          <w:color w:val="000000" w:themeColor="text1"/>
          <w:sz w:val="24"/>
          <w:szCs w:val="24"/>
        </w:rPr>
        <w:t>specified in Part 5 of the Determination are in addition to any requirements specified in the legislative rules.</w:t>
      </w:r>
    </w:p>
    <w:p w:rsidR="00DA7520" w:rsidRPr="0085073C" w:rsidRDefault="000B1607" w:rsidP="00F938AB">
      <w:pPr>
        <w:spacing w:after="120" w:line="240" w:lineRule="auto"/>
        <w:rPr>
          <w:rFonts w:ascii="Times New Roman" w:hAnsi="Times New Roman"/>
          <w:color w:val="000000" w:themeColor="text1"/>
          <w:sz w:val="24"/>
          <w:szCs w:val="24"/>
        </w:rPr>
      </w:pPr>
    </w:p>
    <w:p w:rsidR="00F938AB" w:rsidRPr="0085073C" w:rsidRDefault="00F847F0" w:rsidP="00F938AB">
      <w:pPr>
        <w:spacing w:after="120" w:line="240" w:lineRule="auto"/>
        <w:rPr>
          <w:rFonts w:ascii="Times New Roman" w:hAnsi="Times New Roman"/>
          <w:b/>
          <w:color w:val="000000" w:themeColor="text1"/>
          <w:sz w:val="24"/>
          <w:szCs w:val="24"/>
        </w:rPr>
      </w:pPr>
      <w:bookmarkStart w:id="2" w:name="_Toc318098665"/>
      <w:bookmarkStart w:id="3" w:name="_Toc319521136"/>
      <w:r w:rsidRPr="0085073C">
        <w:rPr>
          <w:rFonts w:ascii="Times New Roman" w:hAnsi="Times New Roman"/>
          <w:b/>
          <w:color w:val="000000" w:themeColor="text1"/>
          <w:sz w:val="24"/>
          <w:szCs w:val="24"/>
        </w:rPr>
        <w:t>Division 2</w:t>
      </w:r>
      <w:r w:rsidRPr="0085073C">
        <w:rPr>
          <w:rFonts w:ascii="Times New Roman" w:hAnsi="Times New Roman"/>
          <w:b/>
          <w:color w:val="000000" w:themeColor="text1"/>
          <w:sz w:val="24"/>
          <w:szCs w:val="24"/>
        </w:rPr>
        <w:tab/>
        <w:t>Monitoring requirements</w:t>
      </w:r>
      <w:bookmarkEnd w:id="2"/>
      <w:bookmarkEnd w:id="3"/>
    </w:p>
    <w:p w:rsidR="00F938AB" w:rsidRPr="0085073C" w:rsidRDefault="00F847F0" w:rsidP="00F938AB">
      <w:pPr>
        <w:spacing w:after="120" w:line="240" w:lineRule="auto"/>
        <w:rPr>
          <w:rFonts w:ascii="Times New Roman" w:hAnsi="Times New Roman"/>
          <w:color w:val="000000" w:themeColor="text1"/>
          <w:sz w:val="24"/>
          <w:szCs w:val="24"/>
          <w:u w:val="single"/>
        </w:rPr>
      </w:pPr>
      <w:bookmarkStart w:id="4" w:name="_Toc318098666"/>
      <w:bookmarkStart w:id="5" w:name="_Toc319521137"/>
      <w:r w:rsidRPr="0085073C">
        <w:rPr>
          <w:rFonts w:ascii="Times New Roman" w:hAnsi="Times New Roman"/>
          <w:color w:val="000000" w:themeColor="text1"/>
          <w:sz w:val="24"/>
          <w:szCs w:val="24"/>
          <w:u w:val="single"/>
        </w:rPr>
        <w:t>67</w:t>
      </w:r>
      <w:r w:rsidRPr="0085073C">
        <w:rPr>
          <w:rFonts w:ascii="Times New Roman" w:hAnsi="Times New Roman"/>
          <w:color w:val="000000" w:themeColor="text1"/>
          <w:sz w:val="24"/>
          <w:szCs w:val="24"/>
          <w:u w:val="single"/>
        </w:rPr>
        <w:tab/>
        <w:t>Project monitoring</w:t>
      </w:r>
      <w:bookmarkEnd w:id="4"/>
      <w:bookmarkEnd w:id="5"/>
    </w:p>
    <w:p w:rsidR="00737D82" w:rsidRPr="0085073C" w:rsidRDefault="00F847F0" w:rsidP="00F938AB">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Section 67 provides that the project proponent must take reasonable steps to monitor the project area for natural disturbances. No specific set of monitoring activities is prescribed.</w:t>
      </w:r>
    </w:p>
    <w:p w:rsidR="00F938AB" w:rsidRPr="0085073C" w:rsidRDefault="00F847F0" w:rsidP="00F938AB">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The note at the bottom of the section says that if a natural disturbance occurs in the project area, section 81 of the Act and subregulation 6.10(1) apply. Section 81 of the Act contains notification requirements that come into effect when a natural disturbance occurs. Subregulation 6.10(1) defines ‘significant reversal’ for the purposes of section 81.</w:t>
      </w:r>
    </w:p>
    <w:p w:rsidR="00421D01" w:rsidRPr="0085073C" w:rsidRDefault="000B1607" w:rsidP="00F938AB">
      <w:pPr>
        <w:spacing w:after="120" w:line="240" w:lineRule="auto"/>
        <w:rPr>
          <w:rFonts w:ascii="Times New Roman" w:hAnsi="Times New Roman"/>
          <w:color w:val="000000" w:themeColor="text1"/>
          <w:sz w:val="24"/>
          <w:szCs w:val="24"/>
        </w:rPr>
      </w:pPr>
    </w:p>
    <w:p w:rsidR="00060C50" w:rsidRPr="0085073C" w:rsidRDefault="00F847F0" w:rsidP="00F938AB">
      <w:pPr>
        <w:spacing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Division </w:t>
      </w:r>
      <w:r w:rsidRPr="0085073C">
        <w:rPr>
          <w:rFonts w:ascii="Times New Roman" w:hAnsi="Times New Roman"/>
          <w:b/>
          <w:color w:val="000000" w:themeColor="text1"/>
          <w:sz w:val="24"/>
          <w:szCs w:val="24"/>
        </w:rPr>
        <w:t>3</w:t>
      </w:r>
      <w:r w:rsidRPr="0085073C">
        <w:rPr>
          <w:rFonts w:ascii="Times New Roman" w:hAnsi="Times New Roman"/>
          <w:b/>
          <w:color w:val="000000" w:themeColor="text1"/>
          <w:sz w:val="24"/>
          <w:szCs w:val="24"/>
        </w:rPr>
        <w:tab/>
        <w:t>Record-keeping requirements</w:t>
      </w:r>
    </w:p>
    <w:p w:rsidR="00060C50" w:rsidRPr="0085073C" w:rsidRDefault="00F847F0" w:rsidP="00F938AB">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68</w:t>
      </w:r>
      <w:r w:rsidRPr="0085073C">
        <w:rPr>
          <w:rFonts w:ascii="Times New Roman" w:hAnsi="Times New Roman"/>
          <w:color w:val="000000" w:themeColor="text1"/>
          <w:sz w:val="24"/>
          <w:szCs w:val="24"/>
          <w:u w:val="single"/>
        </w:rPr>
        <w:tab/>
        <w:t>Records that must be created and kept</w:t>
      </w:r>
    </w:p>
    <w:p w:rsidR="00060C50" w:rsidRDefault="00F847F0" w:rsidP="00F938AB">
      <w:pPr>
        <w:spacing w:after="120" w:line="240" w:lineRule="auto"/>
        <w:rPr>
          <w:rFonts w:ascii="Times New Roman" w:hAnsi="Times New Roman"/>
          <w:color w:val="000000" w:themeColor="text1"/>
          <w:sz w:val="24"/>
          <w:szCs w:val="24"/>
        </w:rPr>
      </w:pPr>
      <w:r w:rsidRPr="0085073C">
        <w:rPr>
          <w:rFonts w:ascii="Times New Roman" w:hAnsi="Times New Roman"/>
          <w:color w:val="000000" w:themeColor="text1"/>
          <w:sz w:val="24"/>
          <w:szCs w:val="24"/>
        </w:rPr>
        <w:t xml:space="preserve">Section 68 provides that the project proponent must create and keep records of the result of every calculation completed in accordance with Part </w:t>
      </w:r>
      <w:r>
        <w:rPr>
          <w:rFonts w:ascii="Times New Roman" w:hAnsi="Times New Roman"/>
          <w:color w:val="000000" w:themeColor="text1"/>
          <w:sz w:val="24"/>
          <w:szCs w:val="24"/>
        </w:rPr>
        <w:t>4, and the data used for those calculations.</w:t>
      </w:r>
      <w:r w:rsidRPr="0085073C">
        <w:rPr>
          <w:rFonts w:ascii="Times New Roman" w:hAnsi="Times New Roman"/>
          <w:color w:val="000000" w:themeColor="text1"/>
          <w:sz w:val="24"/>
          <w:szCs w:val="24"/>
        </w:rPr>
        <w:t xml:space="preserve"> These records could be kept in the form of an Excel spreadsheet. It is expected that further record-keeping requirements will be prescribed in legislative rules.</w:t>
      </w:r>
    </w:p>
    <w:p w:rsidR="00C35F32" w:rsidRPr="0085073C" w:rsidRDefault="00F847F0" w:rsidP="00F938A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Much of the data used in the calculations will be in the form of evidence provided to the Regulator in accordance with section 8. This evidence may include Verification and Validation reports.</w:t>
      </w:r>
    </w:p>
    <w:p w:rsidR="00BF4B2D" w:rsidRPr="0085073C" w:rsidRDefault="000B1607" w:rsidP="00F938AB">
      <w:pPr>
        <w:spacing w:after="120" w:line="240" w:lineRule="auto"/>
        <w:rPr>
          <w:rFonts w:ascii="Times New Roman" w:hAnsi="Times New Roman"/>
          <w:color w:val="000000" w:themeColor="text1"/>
          <w:sz w:val="24"/>
          <w:szCs w:val="24"/>
        </w:rPr>
      </w:pPr>
    </w:p>
    <w:p w:rsidR="00BF4B2D" w:rsidRPr="0085073C" w:rsidRDefault="00F847F0" w:rsidP="00F938AB">
      <w:pPr>
        <w:spacing w:after="120" w:line="240" w:lineRule="auto"/>
        <w:rPr>
          <w:rFonts w:ascii="Times New Roman" w:hAnsi="Times New Roman"/>
          <w:color w:val="000000" w:themeColor="text1"/>
          <w:sz w:val="24"/>
          <w:szCs w:val="24"/>
          <w:u w:val="single"/>
        </w:rPr>
      </w:pPr>
      <w:r w:rsidRPr="0085073C">
        <w:rPr>
          <w:rFonts w:ascii="Times New Roman" w:hAnsi="Times New Roman"/>
          <w:color w:val="000000" w:themeColor="text1"/>
          <w:sz w:val="24"/>
          <w:szCs w:val="24"/>
          <w:u w:val="single"/>
        </w:rPr>
        <w:t>69</w:t>
      </w:r>
      <w:r w:rsidRPr="0085073C">
        <w:rPr>
          <w:rFonts w:ascii="Times New Roman" w:hAnsi="Times New Roman"/>
          <w:color w:val="000000" w:themeColor="text1"/>
          <w:sz w:val="24"/>
          <w:szCs w:val="24"/>
          <w:u w:val="single"/>
        </w:rPr>
        <w:tab/>
        <w:t>Determination of certain factors and parameters</w:t>
      </w:r>
    </w:p>
    <w:p w:rsidR="00F81AFC" w:rsidRPr="0085073C" w:rsidRDefault="00F847F0" w:rsidP="00F938AB">
      <w:pPr>
        <w:spacing w:after="120" w:line="240" w:lineRule="auto"/>
        <w:rPr>
          <w:rFonts w:ascii="Times New Roman" w:hAnsi="Times New Roman"/>
          <w:b/>
          <w:color w:val="808080" w:themeColor="background1" w:themeShade="80"/>
          <w:sz w:val="24"/>
          <w:szCs w:val="24"/>
        </w:rPr>
      </w:pPr>
      <w:r w:rsidRPr="0085073C">
        <w:rPr>
          <w:rFonts w:ascii="Times New Roman" w:hAnsi="Times New Roman"/>
          <w:sz w:val="24"/>
          <w:szCs w:val="24"/>
        </w:rPr>
        <w:t>Section 69 is a standard provision that applies if it is not possible for the project proponent to define or calculate the factor or parameter by reference to the instrument or writing as in force at the end of the reporting period (see subsection 19(2)).</w:t>
      </w:r>
    </w:p>
    <w:p w:rsidR="00743057" w:rsidRPr="0085073C" w:rsidRDefault="000B1607" w:rsidP="00743057">
      <w:pPr>
        <w:spacing w:after="120" w:line="240" w:lineRule="auto"/>
        <w:rPr>
          <w:rFonts w:ascii="Times New Roman" w:hAnsi="Times New Roman"/>
          <w:sz w:val="24"/>
          <w:szCs w:val="24"/>
        </w:rPr>
      </w:pPr>
    </w:p>
    <w:p w:rsidR="00743057" w:rsidRPr="0085073C" w:rsidRDefault="000B1607" w:rsidP="000E51EE">
      <w:pPr>
        <w:spacing w:after="120" w:line="240" w:lineRule="auto"/>
        <w:rPr>
          <w:rFonts w:ascii="Times New Roman" w:hAnsi="Times New Roman"/>
          <w:sz w:val="24"/>
          <w:szCs w:val="24"/>
        </w:rPr>
      </w:pPr>
    </w:p>
    <w:p w:rsidR="00C11580" w:rsidRPr="0085073C" w:rsidRDefault="000B1607" w:rsidP="00680BCA">
      <w:pPr>
        <w:spacing w:after="120" w:line="240" w:lineRule="auto"/>
        <w:rPr>
          <w:rFonts w:ascii="Times New Roman" w:hAnsi="Times New Roman"/>
          <w:sz w:val="24"/>
          <w:szCs w:val="24"/>
        </w:rPr>
      </w:pPr>
    </w:p>
    <w:p w:rsidR="00D323E1" w:rsidRPr="0085073C" w:rsidRDefault="000B1607" w:rsidP="00EC0518">
      <w:pPr>
        <w:spacing w:after="120" w:line="240" w:lineRule="auto"/>
        <w:rPr>
          <w:rFonts w:ascii="Times New Roman" w:hAnsi="Times New Roman"/>
          <w:sz w:val="24"/>
          <w:szCs w:val="24"/>
        </w:rPr>
      </w:pPr>
    </w:p>
    <w:p w:rsidR="00EC0518" w:rsidRPr="0085073C" w:rsidRDefault="000B1607" w:rsidP="00161CDC">
      <w:pPr>
        <w:spacing w:after="120" w:line="240" w:lineRule="auto"/>
        <w:rPr>
          <w:rFonts w:ascii="Times New Roman" w:hAnsi="Times New Roman"/>
          <w:color w:val="000000" w:themeColor="text1"/>
          <w:sz w:val="24"/>
          <w:szCs w:val="24"/>
        </w:rPr>
      </w:pPr>
    </w:p>
    <w:p w:rsidR="006670FA" w:rsidRPr="0085073C" w:rsidRDefault="000B1607" w:rsidP="003F1C3D">
      <w:pPr>
        <w:spacing w:after="0" w:line="240" w:lineRule="auto"/>
        <w:rPr>
          <w:rFonts w:ascii="Times New Roman" w:hAnsi="Times New Roman"/>
          <w:color w:val="808080" w:themeColor="background1" w:themeShade="80"/>
          <w:sz w:val="24"/>
          <w:szCs w:val="24"/>
          <w:u w:val="single"/>
        </w:rPr>
      </w:pPr>
    </w:p>
    <w:p w:rsidR="00C524C0" w:rsidRPr="0085073C" w:rsidRDefault="000B1607" w:rsidP="003F1C3D">
      <w:pPr>
        <w:spacing w:after="0" w:line="240" w:lineRule="auto"/>
        <w:rPr>
          <w:rFonts w:ascii="Times New Roman" w:hAnsi="Times New Roman"/>
          <w:b/>
          <w:color w:val="808080" w:themeColor="background1" w:themeShade="80"/>
          <w:sz w:val="24"/>
          <w:szCs w:val="24"/>
        </w:rPr>
        <w:sectPr w:rsidR="00C524C0" w:rsidRPr="0085073C" w:rsidSect="00405CFB">
          <w:footerReference w:type="default" r:id="rId14"/>
          <w:footerReference w:type="first" r:id="rId15"/>
          <w:pgSz w:w="11906" w:h="16838" w:code="9"/>
          <w:pgMar w:top="1440" w:right="1440" w:bottom="1440" w:left="1418" w:header="709" w:footer="709" w:gutter="0"/>
          <w:cols w:space="708"/>
          <w:docGrid w:linePitch="360"/>
        </w:sectPr>
      </w:pPr>
    </w:p>
    <w:p w:rsidR="002A080B" w:rsidRPr="0085073C" w:rsidRDefault="00F847F0" w:rsidP="00F81AFC">
      <w:pPr>
        <w:spacing w:after="0" w:line="240" w:lineRule="auto"/>
        <w:jc w:val="right"/>
        <w:rPr>
          <w:rFonts w:ascii="Times New Roman" w:hAnsi="Times New Roman"/>
          <w:sz w:val="24"/>
          <w:szCs w:val="24"/>
          <w:u w:val="single"/>
        </w:rPr>
      </w:pPr>
      <w:r w:rsidRPr="0085073C">
        <w:rPr>
          <w:rFonts w:ascii="Times New Roman" w:hAnsi="Times New Roman"/>
          <w:sz w:val="24"/>
          <w:szCs w:val="24"/>
          <w:u w:val="single"/>
        </w:rPr>
        <w:lastRenderedPageBreak/>
        <w:t>Attachment B</w:t>
      </w:r>
    </w:p>
    <w:p w:rsidR="00C524C0" w:rsidRPr="0085073C" w:rsidRDefault="00F847F0" w:rsidP="00C524C0">
      <w:pPr>
        <w:spacing w:after="0" w:line="240" w:lineRule="auto"/>
        <w:jc w:val="center"/>
        <w:rPr>
          <w:rFonts w:ascii="Times New Roman" w:hAnsi="Times New Roman"/>
          <w:sz w:val="24"/>
          <w:szCs w:val="24"/>
        </w:rPr>
      </w:pPr>
      <w:r w:rsidRPr="0085073C">
        <w:rPr>
          <w:rFonts w:ascii="Times New Roman" w:hAnsi="Times New Roman"/>
          <w:noProof/>
          <w:sz w:val="24"/>
          <w:szCs w:val="24"/>
          <w:lang w:eastAsia="en-AU"/>
        </w:rPr>
        <w:drawing>
          <wp:inline distT="0" distB="0" distL="0" distR="0">
            <wp:extent cx="5644921" cy="568706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srcRect/>
                    <a:stretch>
                      <a:fillRect/>
                    </a:stretch>
                  </pic:blipFill>
                  <pic:spPr bwMode="auto">
                    <a:xfrm>
                      <a:off x="0" y="0"/>
                      <a:ext cx="5645189" cy="5687331"/>
                    </a:xfrm>
                    <a:prstGeom prst="rect">
                      <a:avLst/>
                    </a:prstGeom>
                    <a:noFill/>
                    <a:ln w="9525">
                      <a:noFill/>
                      <a:miter lim="800000"/>
                      <a:headEnd/>
                      <a:tailEnd/>
                    </a:ln>
                  </pic:spPr>
                </pic:pic>
              </a:graphicData>
            </a:graphic>
          </wp:inline>
        </w:drawing>
      </w:r>
    </w:p>
    <w:p w:rsidR="00C524C0" w:rsidRPr="0085073C" w:rsidRDefault="00F847F0" w:rsidP="00321903">
      <w:pPr>
        <w:spacing w:after="0" w:line="240" w:lineRule="auto"/>
        <w:jc w:val="center"/>
        <w:rPr>
          <w:rFonts w:ascii="Times New Roman" w:hAnsi="Times New Roman"/>
          <w:sz w:val="24"/>
          <w:szCs w:val="24"/>
        </w:rPr>
        <w:sectPr w:rsidR="00C524C0" w:rsidRPr="0085073C" w:rsidSect="00C524C0">
          <w:pgSz w:w="16838" w:h="11906" w:orient="landscape" w:code="9"/>
          <w:pgMar w:top="1418" w:right="1440" w:bottom="851" w:left="1440" w:header="709" w:footer="709" w:gutter="0"/>
          <w:cols w:space="708"/>
          <w:titlePg/>
          <w:docGrid w:linePitch="360"/>
        </w:sectPr>
      </w:pPr>
      <w:r w:rsidRPr="0085073C">
        <w:rPr>
          <w:rFonts w:ascii="Times New Roman" w:hAnsi="Times New Roman"/>
          <w:noProof/>
          <w:sz w:val="24"/>
          <w:szCs w:val="24"/>
          <w:lang w:eastAsia="en-AU"/>
        </w:rPr>
        <w:lastRenderedPageBreak/>
        <w:drawing>
          <wp:inline distT="0" distB="0" distL="0" distR="0">
            <wp:extent cx="8420735" cy="57416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cstate="print"/>
                    <a:srcRect/>
                    <a:stretch>
                      <a:fillRect/>
                    </a:stretch>
                  </pic:blipFill>
                  <pic:spPr bwMode="auto">
                    <a:xfrm>
                      <a:off x="0" y="0"/>
                      <a:ext cx="8420735" cy="5741670"/>
                    </a:xfrm>
                    <a:prstGeom prst="rect">
                      <a:avLst/>
                    </a:prstGeom>
                    <a:noFill/>
                    <a:ln w="9525">
                      <a:noFill/>
                      <a:miter lim="800000"/>
                      <a:headEnd/>
                      <a:tailEnd/>
                    </a:ln>
                  </pic:spPr>
                </pic:pic>
              </a:graphicData>
            </a:graphic>
          </wp:inline>
        </w:drawing>
      </w:r>
    </w:p>
    <w:p w:rsidR="00757228" w:rsidRPr="0085073C" w:rsidRDefault="00F847F0" w:rsidP="00757228">
      <w:pPr>
        <w:spacing w:after="0" w:line="240" w:lineRule="auto"/>
        <w:jc w:val="right"/>
        <w:rPr>
          <w:rFonts w:ascii="Times New Roman" w:hAnsi="Times New Roman"/>
          <w:sz w:val="24"/>
          <w:szCs w:val="24"/>
          <w:u w:val="single"/>
        </w:rPr>
      </w:pPr>
      <w:r w:rsidRPr="0085073C">
        <w:rPr>
          <w:rFonts w:ascii="Times New Roman" w:hAnsi="Times New Roman"/>
          <w:sz w:val="24"/>
          <w:szCs w:val="24"/>
          <w:u w:val="single"/>
        </w:rPr>
        <w:lastRenderedPageBreak/>
        <w:t>Attachment C</w:t>
      </w:r>
    </w:p>
    <w:p w:rsidR="00B95CF2" w:rsidRPr="0085073C" w:rsidRDefault="00F847F0" w:rsidP="00757228">
      <w:pPr>
        <w:spacing w:after="0" w:line="240" w:lineRule="auto"/>
        <w:jc w:val="right"/>
        <w:rPr>
          <w:rFonts w:ascii="Times New Roman" w:hAnsi="Times New Roman"/>
          <w:sz w:val="24"/>
          <w:szCs w:val="24"/>
        </w:rPr>
      </w:pPr>
      <w:r w:rsidRPr="0085073C">
        <w:rPr>
          <w:rFonts w:ascii="Times New Roman" w:hAnsi="Times New Roman"/>
          <w:noProof/>
          <w:sz w:val="24"/>
          <w:szCs w:val="24"/>
          <w:lang w:eastAsia="en-AU"/>
        </w:rPr>
        <w:drawing>
          <wp:inline distT="0" distB="0" distL="0" distR="0">
            <wp:extent cx="6895923" cy="5645323"/>
            <wp:effectExtent l="19050" t="19050" r="19227" b="12527"/>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cstate="print"/>
                    <a:srcRect/>
                    <a:stretch>
                      <a:fillRect/>
                    </a:stretch>
                  </pic:blipFill>
                  <pic:spPr bwMode="auto">
                    <a:xfrm>
                      <a:off x="0" y="0"/>
                      <a:ext cx="6900675" cy="5649213"/>
                    </a:xfrm>
                    <a:prstGeom prst="rect">
                      <a:avLst/>
                    </a:prstGeom>
                    <a:noFill/>
                    <a:ln w="3175">
                      <a:solidFill>
                        <a:schemeClr val="bg1"/>
                      </a:solidFill>
                      <a:miter lim="800000"/>
                      <a:headEnd/>
                      <a:tailEnd/>
                    </a:ln>
                  </pic:spPr>
                </pic:pic>
              </a:graphicData>
            </a:graphic>
          </wp:inline>
        </w:drawing>
      </w:r>
      <w:r w:rsidRPr="0085073C">
        <w:rPr>
          <w:rFonts w:ascii="Times New Roman" w:hAnsi="Times New Roman"/>
          <w:sz w:val="24"/>
          <w:szCs w:val="24"/>
        </w:rPr>
        <w:br w:type="page"/>
      </w:r>
    </w:p>
    <w:p w:rsidR="004230F8" w:rsidRPr="0085073C" w:rsidRDefault="00F847F0" w:rsidP="004230F8">
      <w:pPr>
        <w:rPr>
          <w:rFonts w:ascii="Times New Roman" w:hAnsi="Times New Roman"/>
          <w:sz w:val="24"/>
          <w:szCs w:val="24"/>
        </w:rPr>
      </w:pPr>
      <w:r w:rsidRPr="0085073C">
        <w:rPr>
          <w:rFonts w:ascii="Times New Roman" w:hAnsi="Times New Roman"/>
          <w:noProof/>
          <w:sz w:val="24"/>
          <w:szCs w:val="24"/>
          <w:lang w:eastAsia="en-AU"/>
        </w:rPr>
        <w:lastRenderedPageBreak/>
        <w:drawing>
          <wp:inline distT="0" distB="0" distL="0" distR="0">
            <wp:extent cx="8863330" cy="47749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srcRect/>
                    <a:stretch>
                      <a:fillRect/>
                    </a:stretch>
                  </pic:blipFill>
                  <pic:spPr bwMode="auto">
                    <a:xfrm>
                      <a:off x="0" y="0"/>
                      <a:ext cx="8863330" cy="4774936"/>
                    </a:xfrm>
                    <a:prstGeom prst="rect">
                      <a:avLst/>
                    </a:prstGeom>
                    <a:noFill/>
                    <a:ln w="9525">
                      <a:noFill/>
                      <a:miter lim="800000"/>
                      <a:headEnd/>
                      <a:tailEnd/>
                    </a:ln>
                  </pic:spPr>
                </pic:pic>
              </a:graphicData>
            </a:graphic>
          </wp:inline>
        </w:drawing>
      </w:r>
    </w:p>
    <w:p w:rsidR="00B95CF2" w:rsidRPr="0085073C" w:rsidRDefault="000B1607" w:rsidP="006B2F34">
      <w:pPr>
        <w:pStyle w:val="Footer"/>
        <w:pageBreakBefore/>
        <w:rPr>
          <w:rFonts w:ascii="Times New Roman" w:hAnsi="Times New Roman"/>
          <w:sz w:val="24"/>
          <w:szCs w:val="24"/>
          <w:u w:val="single"/>
        </w:rPr>
        <w:sectPr w:rsidR="00B95CF2" w:rsidRPr="0085073C" w:rsidSect="00321903">
          <w:pgSz w:w="16838" w:h="11906" w:orient="landscape" w:code="9"/>
          <w:pgMar w:top="1418" w:right="1440" w:bottom="993" w:left="1440" w:header="709" w:footer="709" w:gutter="0"/>
          <w:cols w:space="708"/>
          <w:titlePg/>
          <w:docGrid w:linePitch="360"/>
        </w:sectPr>
      </w:pPr>
    </w:p>
    <w:p w:rsidR="00C347BC" w:rsidRPr="0085073C" w:rsidRDefault="00F847F0" w:rsidP="00C347BC">
      <w:pPr>
        <w:pageBreakBefore/>
        <w:spacing w:after="120" w:line="240" w:lineRule="auto"/>
        <w:jc w:val="right"/>
        <w:rPr>
          <w:rFonts w:ascii="Times New Roman" w:hAnsi="Times New Roman"/>
          <w:color w:val="000000" w:themeColor="text1"/>
          <w:sz w:val="24"/>
          <w:szCs w:val="24"/>
          <w:u w:val="single"/>
        </w:rPr>
      </w:pPr>
      <w:r w:rsidRPr="0085073C">
        <w:rPr>
          <w:rFonts w:ascii="Times New Roman" w:hAnsi="Times New Roman"/>
          <w:sz w:val="24"/>
          <w:szCs w:val="24"/>
        </w:rPr>
        <w:lastRenderedPageBreak/>
        <w:tab/>
      </w:r>
      <w:r w:rsidRPr="0085073C">
        <w:rPr>
          <w:rFonts w:ascii="Times New Roman" w:hAnsi="Times New Roman"/>
          <w:sz w:val="24"/>
          <w:szCs w:val="24"/>
          <w:u w:val="single"/>
        </w:rPr>
        <w:t>Attachment D</w:t>
      </w:r>
    </w:p>
    <w:p w:rsidR="00C347BC" w:rsidRPr="0085073C" w:rsidRDefault="00F847F0" w:rsidP="00C347BC">
      <w:pPr>
        <w:keepNext/>
        <w:keepLines/>
        <w:spacing w:before="360" w:after="120" w:line="240" w:lineRule="auto"/>
        <w:jc w:val="center"/>
        <w:rPr>
          <w:rFonts w:ascii="Times New Roman" w:hAnsi="Times New Roman"/>
          <w:b/>
          <w:sz w:val="24"/>
          <w:szCs w:val="24"/>
        </w:rPr>
      </w:pPr>
      <w:r w:rsidRPr="0085073C">
        <w:rPr>
          <w:rFonts w:ascii="Times New Roman" w:hAnsi="Times New Roman"/>
          <w:b/>
          <w:sz w:val="24"/>
          <w:szCs w:val="24"/>
        </w:rPr>
        <w:t>Statement of Compatibility with Human Rights</w:t>
      </w:r>
    </w:p>
    <w:p w:rsidR="00C347BC" w:rsidRPr="0085073C" w:rsidRDefault="00F847F0" w:rsidP="00C347BC">
      <w:pPr>
        <w:keepNext/>
        <w:keepLines/>
        <w:spacing w:before="120" w:after="120" w:line="240" w:lineRule="auto"/>
        <w:jc w:val="center"/>
        <w:rPr>
          <w:rFonts w:ascii="Times New Roman" w:hAnsi="Times New Roman"/>
          <w:sz w:val="24"/>
          <w:szCs w:val="24"/>
        </w:rPr>
      </w:pPr>
      <w:r w:rsidRPr="0085073C">
        <w:rPr>
          <w:rFonts w:ascii="Times New Roman" w:hAnsi="Times New Roman"/>
          <w:sz w:val="24"/>
          <w:szCs w:val="24"/>
        </w:rPr>
        <w:t xml:space="preserve">Prepared in accordance with Part 3 of the </w:t>
      </w:r>
      <w:r w:rsidRPr="0085073C">
        <w:rPr>
          <w:rFonts w:ascii="Times New Roman" w:hAnsi="Times New Roman"/>
          <w:i/>
          <w:sz w:val="24"/>
          <w:szCs w:val="24"/>
        </w:rPr>
        <w:t>Human Rights (Parliamentary Scrutiny) Act 2011</w:t>
      </w:r>
    </w:p>
    <w:p w:rsidR="00C347BC" w:rsidRPr="0085073C" w:rsidRDefault="00F847F0" w:rsidP="00C347BC">
      <w:pPr>
        <w:keepNext/>
        <w:keepLines/>
        <w:spacing w:before="240" w:after="120" w:line="240" w:lineRule="auto"/>
        <w:jc w:val="center"/>
        <w:rPr>
          <w:rFonts w:ascii="Times New Roman" w:hAnsi="Times New Roman"/>
          <w:i/>
          <w:sz w:val="24"/>
          <w:szCs w:val="24"/>
        </w:rPr>
      </w:pPr>
      <w:r w:rsidRPr="0085073C">
        <w:rPr>
          <w:rFonts w:ascii="Times New Roman" w:hAnsi="Times New Roman"/>
          <w:i/>
          <w:sz w:val="24"/>
          <w:szCs w:val="24"/>
        </w:rPr>
        <w:t>Carbon Credits (Carbon Farming Initiative—Designated Verified Carbon Standard Projects) Methodology Determination 2015</w:t>
      </w:r>
    </w:p>
    <w:p w:rsidR="00C347BC" w:rsidRPr="0085073C" w:rsidRDefault="00F847F0" w:rsidP="00C347BC">
      <w:pPr>
        <w:keepNext/>
        <w:keepLines/>
        <w:spacing w:after="120" w:line="240" w:lineRule="auto"/>
        <w:rPr>
          <w:rFonts w:ascii="Times New Roman" w:hAnsi="Times New Roman"/>
          <w:sz w:val="24"/>
          <w:szCs w:val="24"/>
        </w:rPr>
      </w:pPr>
      <w:r w:rsidRPr="0085073C">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85073C">
        <w:rPr>
          <w:rFonts w:ascii="Times New Roman" w:hAnsi="Times New Roman"/>
          <w:i/>
          <w:sz w:val="24"/>
          <w:szCs w:val="24"/>
        </w:rPr>
        <w:t>Human Rights (Parliamentary Scrutiny) Act 2011</w:t>
      </w:r>
      <w:r w:rsidRPr="0085073C">
        <w:rPr>
          <w:rFonts w:ascii="Times New Roman" w:hAnsi="Times New Roman"/>
          <w:sz w:val="24"/>
          <w:szCs w:val="24"/>
        </w:rPr>
        <w:t>.</w:t>
      </w:r>
    </w:p>
    <w:p w:rsidR="00C347BC" w:rsidRPr="0085073C" w:rsidRDefault="00F847F0" w:rsidP="00C347BC">
      <w:pPr>
        <w:keepNext/>
        <w:keepLines/>
        <w:spacing w:before="240" w:after="120" w:line="240" w:lineRule="auto"/>
        <w:rPr>
          <w:rFonts w:ascii="Times New Roman" w:hAnsi="Times New Roman"/>
          <w:b/>
          <w:sz w:val="24"/>
          <w:szCs w:val="24"/>
        </w:rPr>
      </w:pPr>
      <w:r w:rsidRPr="0085073C">
        <w:rPr>
          <w:rFonts w:ascii="Times New Roman" w:hAnsi="Times New Roman"/>
          <w:b/>
          <w:sz w:val="24"/>
          <w:szCs w:val="24"/>
        </w:rPr>
        <w:t>Overview of the Legislative Instrument</w:t>
      </w:r>
    </w:p>
    <w:p w:rsidR="00C347BC" w:rsidRPr="0085073C" w:rsidRDefault="00F847F0" w:rsidP="00C347BC">
      <w:pPr>
        <w:keepNext/>
        <w:keepLines/>
        <w:spacing w:after="120" w:line="240" w:lineRule="auto"/>
        <w:rPr>
          <w:rFonts w:ascii="Times New Roman" w:hAnsi="Times New Roman"/>
          <w:sz w:val="24"/>
          <w:szCs w:val="24"/>
        </w:rPr>
      </w:pPr>
      <w:r w:rsidRPr="0085073C">
        <w:rPr>
          <w:rFonts w:ascii="Times New Roman" w:hAnsi="Times New Roman"/>
          <w:sz w:val="24"/>
          <w:szCs w:val="24"/>
        </w:rPr>
        <w:t xml:space="preserve">The </w:t>
      </w:r>
      <w:r w:rsidRPr="0085073C">
        <w:rPr>
          <w:rFonts w:ascii="Times New Roman" w:hAnsi="Times New Roman"/>
          <w:i/>
          <w:sz w:val="24"/>
          <w:szCs w:val="24"/>
        </w:rPr>
        <w:t>Carbon Credits (Carbon Farming Initiative—Designated Verified Carbon Standard Projects) Methodology Determination 2015</w:t>
      </w:r>
      <w:r w:rsidRPr="0085073C">
        <w:rPr>
          <w:rFonts w:ascii="Times New Roman" w:hAnsi="Times New Roman"/>
          <w:sz w:val="24"/>
          <w:szCs w:val="24"/>
        </w:rPr>
        <w:t xml:space="preserve"> (the Determination) sets out the detailed rules for implementing and monitoring offsets projects that avoid emissions and sequester carbon by not harvesting private native forests. The Determination applies to projects that were previously operating under the Verified Carbon Standard, a voluntary international emissions offsets program.</w:t>
      </w:r>
    </w:p>
    <w:p w:rsidR="00C347BC" w:rsidRPr="0085073C" w:rsidRDefault="00F847F0" w:rsidP="00C347BC">
      <w:pPr>
        <w:keepNext/>
        <w:keepLines/>
        <w:spacing w:after="120" w:line="240" w:lineRule="auto"/>
        <w:rPr>
          <w:rFonts w:ascii="Times New Roman" w:hAnsi="Times New Roman"/>
          <w:sz w:val="24"/>
          <w:szCs w:val="24"/>
        </w:rPr>
      </w:pPr>
      <w:r w:rsidRPr="0085073C">
        <w:rPr>
          <w:rFonts w:ascii="Times New Roman" w:hAnsi="Times New Roman"/>
          <w:sz w:val="24"/>
          <w:szCs w:val="24"/>
        </w:rPr>
        <w:t xml:space="preserve">Project proponents wishing to implement the Determination must make an application to the Clean Energy Regulator (the Regulator) and meet the eligibility requirements set out under the </w:t>
      </w:r>
      <w:r w:rsidRPr="0085073C">
        <w:rPr>
          <w:rFonts w:ascii="Times New Roman" w:hAnsi="Times New Roman"/>
          <w:i/>
          <w:sz w:val="24"/>
          <w:szCs w:val="24"/>
        </w:rPr>
        <w:t>Carbon Credits (Carbon Farming Initiative) Act 2011</w:t>
      </w:r>
      <w:r w:rsidRPr="0085073C">
        <w:rPr>
          <w:rFonts w:ascii="Times New Roman" w:hAnsi="Times New Roman"/>
          <w:sz w:val="24"/>
          <w:szCs w:val="24"/>
        </w:rPr>
        <w:t>. Offsets projects that are approved by the Regulator can generate Australian carbon credit units.</w:t>
      </w:r>
    </w:p>
    <w:p w:rsidR="00C347BC" w:rsidRPr="0085073C" w:rsidRDefault="00F847F0" w:rsidP="00C347BC">
      <w:pPr>
        <w:keepNext/>
        <w:keepLines/>
        <w:spacing w:before="240" w:after="120" w:line="240" w:lineRule="auto"/>
        <w:rPr>
          <w:rFonts w:ascii="Times New Roman" w:hAnsi="Times New Roman"/>
          <w:b/>
          <w:sz w:val="24"/>
          <w:szCs w:val="24"/>
        </w:rPr>
      </w:pPr>
      <w:r w:rsidRPr="0085073C">
        <w:rPr>
          <w:rFonts w:ascii="Times New Roman" w:hAnsi="Times New Roman"/>
          <w:b/>
          <w:sz w:val="24"/>
          <w:szCs w:val="24"/>
        </w:rPr>
        <w:t>Human rights implications</w:t>
      </w:r>
    </w:p>
    <w:p w:rsidR="00C347BC" w:rsidRPr="0085073C" w:rsidRDefault="00F847F0" w:rsidP="00C347BC">
      <w:pPr>
        <w:keepNext/>
        <w:keepLines/>
        <w:spacing w:after="120" w:line="240" w:lineRule="auto"/>
        <w:rPr>
          <w:rFonts w:ascii="Times New Roman" w:hAnsi="Times New Roman"/>
          <w:sz w:val="24"/>
          <w:szCs w:val="24"/>
        </w:rPr>
      </w:pPr>
      <w:r w:rsidRPr="0085073C">
        <w:rPr>
          <w:rFonts w:ascii="Times New Roman" w:hAnsi="Times New Roman"/>
          <w:sz w:val="24"/>
          <w:szCs w:val="24"/>
        </w:rPr>
        <w:t>This legislative instrument does not engage any of the applicable rights or freedoms.</w:t>
      </w:r>
    </w:p>
    <w:p w:rsidR="00C347BC" w:rsidRPr="0085073C" w:rsidRDefault="00F847F0" w:rsidP="00C347BC">
      <w:pPr>
        <w:keepNext/>
        <w:keepLines/>
        <w:spacing w:before="240" w:after="120" w:line="240" w:lineRule="auto"/>
        <w:rPr>
          <w:rFonts w:ascii="Times New Roman" w:hAnsi="Times New Roman"/>
          <w:b/>
          <w:sz w:val="24"/>
          <w:szCs w:val="24"/>
        </w:rPr>
      </w:pPr>
      <w:r w:rsidRPr="0085073C">
        <w:rPr>
          <w:rFonts w:ascii="Times New Roman" w:hAnsi="Times New Roman"/>
          <w:b/>
          <w:sz w:val="24"/>
          <w:szCs w:val="24"/>
        </w:rPr>
        <w:t>Conclusion</w:t>
      </w:r>
    </w:p>
    <w:p w:rsidR="00C347BC" w:rsidRPr="0085073C" w:rsidRDefault="00F847F0" w:rsidP="00C347BC">
      <w:pPr>
        <w:keepNext/>
        <w:keepLines/>
        <w:spacing w:after="120" w:line="240" w:lineRule="auto"/>
        <w:rPr>
          <w:rFonts w:ascii="Times New Roman" w:hAnsi="Times New Roman"/>
          <w:sz w:val="24"/>
          <w:szCs w:val="24"/>
        </w:rPr>
      </w:pPr>
      <w:r w:rsidRPr="0085073C">
        <w:rPr>
          <w:rFonts w:ascii="Times New Roman" w:hAnsi="Times New Roman"/>
          <w:sz w:val="24"/>
          <w:szCs w:val="24"/>
        </w:rPr>
        <w:t>This legislative instrument is compatible with human rights as it does not raise any human rights issues.</w:t>
      </w:r>
    </w:p>
    <w:p w:rsidR="00C347BC" w:rsidRPr="0085073C" w:rsidRDefault="000B1607" w:rsidP="00C347BC">
      <w:pPr>
        <w:keepNext/>
        <w:keepLines/>
        <w:spacing w:before="120" w:after="120" w:line="240" w:lineRule="auto"/>
        <w:rPr>
          <w:rFonts w:ascii="Times New Roman" w:hAnsi="Times New Roman"/>
          <w:sz w:val="24"/>
          <w:szCs w:val="24"/>
        </w:rPr>
      </w:pPr>
    </w:p>
    <w:p w:rsidR="00C347BC" w:rsidRPr="00137237" w:rsidRDefault="00F847F0" w:rsidP="00C347BC">
      <w:pPr>
        <w:keepNext/>
        <w:keepLines/>
        <w:spacing w:before="360" w:line="240" w:lineRule="auto"/>
        <w:rPr>
          <w:rFonts w:ascii="Times New Roman" w:hAnsi="Times New Roman"/>
          <w:sz w:val="24"/>
          <w:szCs w:val="24"/>
        </w:rPr>
      </w:pPr>
      <w:r w:rsidRPr="0085073C">
        <w:rPr>
          <w:rFonts w:ascii="Times New Roman" w:hAnsi="Times New Roman"/>
          <w:b/>
          <w:sz w:val="24"/>
          <w:szCs w:val="24"/>
        </w:rPr>
        <w:t>Greg Hunt, Minister for the Environment</w:t>
      </w:r>
    </w:p>
    <w:p w:rsidR="00B36B3C" w:rsidRPr="00C347BC" w:rsidRDefault="000B1607" w:rsidP="00C347BC">
      <w:pPr>
        <w:tabs>
          <w:tab w:val="left" w:pos="2010"/>
        </w:tabs>
        <w:rPr>
          <w:rFonts w:ascii="Times New Roman" w:hAnsi="Times New Roman"/>
          <w:sz w:val="24"/>
          <w:szCs w:val="24"/>
        </w:rPr>
      </w:pPr>
    </w:p>
    <w:sectPr w:rsidR="00B36B3C" w:rsidRPr="00C347BC" w:rsidSect="007607F2">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24" w:rsidRDefault="00883324" w:rsidP="00883324">
      <w:pPr>
        <w:spacing w:after="0" w:line="240" w:lineRule="auto"/>
      </w:pPr>
      <w:r>
        <w:separator/>
      </w:r>
    </w:p>
  </w:endnote>
  <w:endnote w:type="continuationSeparator" w:id="0">
    <w:p w:rsidR="00883324" w:rsidRDefault="00883324" w:rsidP="00883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5B" w:rsidRPr="0003613D" w:rsidRDefault="005A5513">
    <w:pPr>
      <w:pStyle w:val="Footer"/>
      <w:jc w:val="center"/>
      <w:rPr>
        <w:rFonts w:ascii="Times New Roman" w:hAnsi="Times New Roman"/>
        <w:sz w:val="20"/>
      </w:rPr>
    </w:pPr>
    <w:r w:rsidRPr="0003613D">
      <w:rPr>
        <w:rFonts w:ascii="Times New Roman" w:hAnsi="Times New Roman"/>
        <w:sz w:val="20"/>
      </w:rPr>
      <w:fldChar w:fldCharType="begin"/>
    </w:r>
    <w:r w:rsidR="00F847F0"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0B1607">
      <w:rPr>
        <w:rFonts w:ascii="Times New Roman" w:hAnsi="Times New Roman"/>
        <w:noProof/>
        <w:sz w:val="20"/>
      </w:rPr>
      <w:t>1</w:t>
    </w:r>
    <w:r w:rsidRPr="0003613D">
      <w:rPr>
        <w:rFonts w:ascii="Times New Roman" w:hAnsi="Times New Roman"/>
        <w:noProof/>
        <w:sz w:val="20"/>
      </w:rPr>
      <w:fldChar w:fldCharType="end"/>
    </w:r>
  </w:p>
  <w:p w:rsidR="00592C5B" w:rsidRDefault="000B16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5B" w:rsidRDefault="000B1607" w:rsidP="009A1EB8">
    <w:pPr>
      <w:pStyle w:val="Footer"/>
      <w:jc w:val="center"/>
    </w:pPr>
  </w:p>
  <w:p w:rsidR="00592C5B" w:rsidRDefault="000B1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24" w:rsidRDefault="00883324" w:rsidP="00883324">
      <w:pPr>
        <w:spacing w:after="0" w:line="240" w:lineRule="auto"/>
      </w:pPr>
      <w:r>
        <w:separator/>
      </w:r>
    </w:p>
  </w:footnote>
  <w:footnote w:type="continuationSeparator" w:id="0">
    <w:p w:rsidR="00883324" w:rsidRDefault="00883324" w:rsidP="00883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BCF2788"/>
    <w:multiLevelType w:val="hybridMultilevel"/>
    <w:tmpl w:val="9DA40AD2"/>
    <w:lvl w:ilvl="0" w:tplc="014614D8">
      <w:numFmt w:val="bullet"/>
      <w:lvlText w:val="•"/>
      <w:lvlJc w:val="left"/>
      <w:pPr>
        <w:ind w:left="1080" w:hanging="360"/>
      </w:pPr>
      <w:rPr>
        <w:rFonts w:ascii="Times New Roman" w:eastAsia="Times New Roman" w:hAnsi="Times New Roman" w:hint="default"/>
      </w:rPr>
    </w:lvl>
    <w:lvl w:ilvl="1" w:tplc="FB381C9A" w:tentative="1">
      <w:start w:val="1"/>
      <w:numFmt w:val="bullet"/>
      <w:lvlText w:val="o"/>
      <w:lvlJc w:val="left"/>
      <w:pPr>
        <w:ind w:left="1800" w:hanging="360"/>
      </w:pPr>
      <w:rPr>
        <w:rFonts w:ascii="Courier New" w:hAnsi="Courier New" w:cs="Courier New" w:hint="default"/>
      </w:rPr>
    </w:lvl>
    <w:lvl w:ilvl="2" w:tplc="A5D44106" w:tentative="1">
      <w:start w:val="1"/>
      <w:numFmt w:val="bullet"/>
      <w:lvlText w:val=""/>
      <w:lvlJc w:val="left"/>
      <w:pPr>
        <w:ind w:left="2520" w:hanging="360"/>
      </w:pPr>
      <w:rPr>
        <w:rFonts w:ascii="Wingdings" w:hAnsi="Wingdings" w:hint="default"/>
      </w:rPr>
    </w:lvl>
    <w:lvl w:ilvl="3" w:tplc="CDA4AF0E" w:tentative="1">
      <w:start w:val="1"/>
      <w:numFmt w:val="bullet"/>
      <w:lvlText w:val=""/>
      <w:lvlJc w:val="left"/>
      <w:pPr>
        <w:ind w:left="3240" w:hanging="360"/>
      </w:pPr>
      <w:rPr>
        <w:rFonts w:ascii="Symbol" w:hAnsi="Symbol" w:hint="default"/>
      </w:rPr>
    </w:lvl>
    <w:lvl w:ilvl="4" w:tplc="1A464984" w:tentative="1">
      <w:start w:val="1"/>
      <w:numFmt w:val="bullet"/>
      <w:lvlText w:val="o"/>
      <w:lvlJc w:val="left"/>
      <w:pPr>
        <w:ind w:left="3960" w:hanging="360"/>
      </w:pPr>
      <w:rPr>
        <w:rFonts w:ascii="Courier New" w:hAnsi="Courier New" w:cs="Courier New" w:hint="default"/>
      </w:rPr>
    </w:lvl>
    <w:lvl w:ilvl="5" w:tplc="D9F66316" w:tentative="1">
      <w:start w:val="1"/>
      <w:numFmt w:val="bullet"/>
      <w:lvlText w:val=""/>
      <w:lvlJc w:val="left"/>
      <w:pPr>
        <w:ind w:left="4680" w:hanging="360"/>
      </w:pPr>
      <w:rPr>
        <w:rFonts w:ascii="Wingdings" w:hAnsi="Wingdings" w:hint="default"/>
      </w:rPr>
    </w:lvl>
    <w:lvl w:ilvl="6" w:tplc="BCCC71B8" w:tentative="1">
      <w:start w:val="1"/>
      <w:numFmt w:val="bullet"/>
      <w:lvlText w:val=""/>
      <w:lvlJc w:val="left"/>
      <w:pPr>
        <w:ind w:left="5400" w:hanging="360"/>
      </w:pPr>
      <w:rPr>
        <w:rFonts w:ascii="Symbol" w:hAnsi="Symbol" w:hint="default"/>
      </w:rPr>
    </w:lvl>
    <w:lvl w:ilvl="7" w:tplc="FEE65D6A" w:tentative="1">
      <w:start w:val="1"/>
      <w:numFmt w:val="bullet"/>
      <w:lvlText w:val="o"/>
      <w:lvlJc w:val="left"/>
      <w:pPr>
        <w:ind w:left="6120" w:hanging="360"/>
      </w:pPr>
      <w:rPr>
        <w:rFonts w:ascii="Courier New" w:hAnsi="Courier New" w:cs="Courier New" w:hint="default"/>
      </w:rPr>
    </w:lvl>
    <w:lvl w:ilvl="8" w:tplc="203CE968" w:tentative="1">
      <w:start w:val="1"/>
      <w:numFmt w:val="bullet"/>
      <w:lvlText w:val=""/>
      <w:lvlJc w:val="left"/>
      <w:pPr>
        <w:ind w:left="6840" w:hanging="360"/>
      </w:pPr>
      <w:rPr>
        <w:rFonts w:ascii="Wingdings" w:hAnsi="Wingdings" w:hint="default"/>
      </w:rPr>
    </w:lvl>
  </w:abstractNum>
  <w:abstractNum w:abstractNumId="2">
    <w:nsid w:val="0EF50E62"/>
    <w:multiLevelType w:val="hybridMultilevel"/>
    <w:tmpl w:val="E84E863A"/>
    <w:lvl w:ilvl="0" w:tplc="4BB82460">
      <w:start w:val="1"/>
      <w:numFmt w:val="bullet"/>
      <w:lvlText w:val=""/>
      <w:lvlJc w:val="left"/>
      <w:pPr>
        <w:ind w:left="720" w:hanging="360"/>
      </w:pPr>
      <w:rPr>
        <w:rFonts w:ascii="Symbol" w:hAnsi="Symbol" w:hint="default"/>
      </w:rPr>
    </w:lvl>
    <w:lvl w:ilvl="1" w:tplc="BAC8FC9C" w:tentative="1">
      <w:start w:val="1"/>
      <w:numFmt w:val="bullet"/>
      <w:lvlText w:val="o"/>
      <w:lvlJc w:val="left"/>
      <w:pPr>
        <w:ind w:left="1440" w:hanging="360"/>
      </w:pPr>
      <w:rPr>
        <w:rFonts w:ascii="Courier New" w:hAnsi="Courier New" w:cs="Courier New" w:hint="default"/>
      </w:rPr>
    </w:lvl>
    <w:lvl w:ilvl="2" w:tplc="B7085B1C" w:tentative="1">
      <w:start w:val="1"/>
      <w:numFmt w:val="bullet"/>
      <w:lvlText w:val=""/>
      <w:lvlJc w:val="left"/>
      <w:pPr>
        <w:ind w:left="2160" w:hanging="360"/>
      </w:pPr>
      <w:rPr>
        <w:rFonts w:ascii="Wingdings" w:hAnsi="Wingdings" w:hint="default"/>
      </w:rPr>
    </w:lvl>
    <w:lvl w:ilvl="3" w:tplc="C1BE1054" w:tentative="1">
      <w:start w:val="1"/>
      <w:numFmt w:val="bullet"/>
      <w:lvlText w:val=""/>
      <w:lvlJc w:val="left"/>
      <w:pPr>
        <w:ind w:left="2880" w:hanging="360"/>
      </w:pPr>
      <w:rPr>
        <w:rFonts w:ascii="Symbol" w:hAnsi="Symbol" w:hint="default"/>
      </w:rPr>
    </w:lvl>
    <w:lvl w:ilvl="4" w:tplc="B10A3988" w:tentative="1">
      <w:start w:val="1"/>
      <w:numFmt w:val="bullet"/>
      <w:lvlText w:val="o"/>
      <w:lvlJc w:val="left"/>
      <w:pPr>
        <w:ind w:left="3600" w:hanging="360"/>
      </w:pPr>
      <w:rPr>
        <w:rFonts w:ascii="Courier New" w:hAnsi="Courier New" w:cs="Courier New" w:hint="default"/>
      </w:rPr>
    </w:lvl>
    <w:lvl w:ilvl="5" w:tplc="864CB58A" w:tentative="1">
      <w:start w:val="1"/>
      <w:numFmt w:val="bullet"/>
      <w:lvlText w:val=""/>
      <w:lvlJc w:val="left"/>
      <w:pPr>
        <w:ind w:left="4320" w:hanging="360"/>
      </w:pPr>
      <w:rPr>
        <w:rFonts w:ascii="Wingdings" w:hAnsi="Wingdings" w:hint="default"/>
      </w:rPr>
    </w:lvl>
    <w:lvl w:ilvl="6" w:tplc="E4E48C48" w:tentative="1">
      <w:start w:val="1"/>
      <w:numFmt w:val="bullet"/>
      <w:lvlText w:val=""/>
      <w:lvlJc w:val="left"/>
      <w:pPr>
        <w:ind w:left="5040" w:hanging="360"/>
      </w:pPr>
      <w:rPr>
        <w:rFonts w:ascii="Symbol" w:hAnsi="Symbol" w:hint="default"/>
      </w:rPr>
    </w:lvl>
    <w:lvl w:ilvl="7" w:tplc="1E76F2DE" w:tentative="1">
      <w:start w:val="1"/>
      <w:numFmt w:val="bullet"/>
      <w:lvlText w:val="o"/>
      <w:lvlJc w:val="left"/>
      <w:pPr>
        <w:ind w:left="5760" w:hanging="360"/>
      </w:pPr>
      <w:rPr>
        <w:rFonts w:ascii="Courier New" w:hAnsi="Courier New" w:cs="Courier New" w:hint="default"/>
      </w:rPr>
    </w:lvl>
    <w:lvl w:ilvl="8" w:tplc="F50A303E" w:tentative="1">
      <w:start w:val="1"/>
      <w:numFmt w:val="bullet"/>
      <w:lvlText w:val=""/>
      <w:lvlJc w:val="left"/>
      <w:pPr>
        <w:ind w:left="6480" w:hanging="360"/>
      </w:pPr>
      <w:rPr>
        <w:rFonts w:ascii="Wingdings" w:hAnsi="Wingdings" w:hint="default"/>
      </w:rPr>
    </w:lvl>
  </w:abstractNum>
  <w:abstractNum w:abstractNumId="3">
    <w:nsid w:val="0FFC577A"/>
    <w:multiLevelType w:val="hybridMultilevel"/>
    <w:tmpl w:val="9CF6384A"/>
    <w:lvl w:ilvl="0" w:tplc="6A605FA8">
      <w:start w:val="1"/>
      <w:numFmt w:val="bullet"/>
      <w:lvlText w:val=""/>
      <w:lvlJc w:val="left"/>
      <w:pPr>
        <w:ind w:left="720" w:hanging="360"/>
      </w:pPr>
      <w:rPr>
        <w:rFonts w:ascii="Symbol" w:hAnsi="Symbol" w:hint="default"/>
      </w:rPr>
    </w:lvl>
    <w:lvl w:ilvl="1" w:tplc="17C2D52E">
      <w:start w:val="1"/>
      <w:numFmt w:val="bullet"/>
      <w:lvlText w:val="o"/>
      <w:lvlJc w:val="left"/>
      <w:pPr>
        <w:ind w:left="1440" w:hanging="360"/>
      </w:pPr>
      <w:rPr>
        <w:rFonts w:ascii="Courier New" w:hAnsi="Courier New" w:cs="Courier New" w:hint="default"/>
      </w:rPr>
    </w:lvl>
    <w:lvl w:ilvl="2" w:tplc="ECF0771C" w:tentative="1">
      <w:start w:val="1"/>
      <w:numFmt w:val="bullet"/>
      <w:lvlText w:val=""/>
      <w:lvlJc w:val="left"/>
      <w:pPr>
        <w:ind w:left="2160" w:hanging="360"/>
      </w:pPr>
      <w:rPr>
        <w:rFonts w:ascii="Wingdings" w:hAnsi="Wingdings" w:hint="default"/>
      </w:rPr>
    </w:lvl>
    <w:lvl w:ilvl="3" w:tplc="03F64300" w:tentative="1">
      <w:start w:val="1"/>
      <w:numFmt w:val="bullet"/>
      <w:lvlText w:val=""/>
      <w:lvlJc w:val="left"/>
      <w:pPr>
        <w:ind w:left="2880" w:hanging="360"/>
      </w:pPr>
      <w:rPr>
        <w:rFonts w:ascii="Symbol" w:hAnsi="Symbol" w:hint="default"/>
      </w:rPr>
    </w:lvl>
    <w:lvl w:ilvl="4" w:tplc="E4C633DE" w:tentative="1">
      <w:start w:val="1"/>
      <w:numFmt w:val="bullet"/>
      <w:lvlText w:val="o"/>
      <w:lvlJc w:val="left"/>
      <w:pPr>
        <w:ind w:left="3600" w:hanging="360"/>
      </w:pPr>
      <w:rPr>
        <w:rFonts w:ascii="Courier New" w:hAnsi="Courier New" w:cs="Courier New" w:hint="default"/>
      </w:rPr>
    </w:lvl>
    <w:lvl w:ilvl="5" w:tplc="284C791E" w:tentative="1">
      <w:start w:val="1"/>
      <w:numFmt w:val="bullet"/>
      <w:lvlText w:val=""/>
      <w:lvlJc w:val="left"/>
      <w:pPr>
        <w:ind w:left="4320" w:hanging="360"/>
      </w:pPr>
      <w:rPr>
        <w:rFonts w:ascii="Wingdings" w:hAnsi="Wingdings" w:hint="default"/>
      </w:rPr>
    </w:lvl>
    <w:lvl w:ilvl="6" w:tplc="FD4856DC" w:tentative="1">
      <w:start w:val="1"/>
      <w:numFmt w:val="bullet"/>
      <w:lvlText w:val=""/>
      <w:lvlJc w:val="left"/>
      <w:pPr>
        <w:ind w:left="5040" w:hanging="360"/>
      </w:pPr>
      <w:rPr>
        <w:rFonts w:ascii="Symbol" w:hAnsi="Symbol" w:hint="default"/>
      </w:rPr>
    </w:lvl>
    <w:lvl w:ilvl="7" w:tplc="CEC4CD5C" w:tentative="1">
      <w:start w:val="1"/>
      <w:numFmt w:val="bullet"/>
      <w:lvlText w:val="o"/>
      <w:lvlJc w:val="left"/>
      <w:pPr>
        <w:ind w:left="5760" w:hanging="360"/>
      </w:pPr>
      <w:rPr>
        <w:rFonts w:ascii="Courier New" w:hAnsi="Courier New" w:cs="Courier New" w:hint="default"/>
      </w:rPr>
    </w:lvl>
    <w:lvl w:ilvl="8" w:tplc="EF984A74" w:tentative="1">
      <w:start w:val="1"/>
      <w:numFmt w:val="bullet"/>
      <w:lvlText w:val=""/>
      <w:lvlJc w:val="left"/>
      <w:pPr>
        <w:ind w:left="6480" w:hanging="360"/>
      </w:pPr>
      <w:rPr>
        <w:rFonts w:ascii="Wingdings" w:hAnsi="Wingdings" w:hint="default"/>
      </w:rPr>
    </w:lvl>
  </w:abstractNum>
  <w:abstractNum w:abstractNumId="4">
    <w:nsid w:val="17124502"/>
    <w:multiLevelType w:val="hybridMultilevel"/>
    <w:tmpl w:val="434C199C"/>
    <w:lvl w:ilvl="0" w:tplc="CB6C6DCE">
      <w:start w:val="1"/>
      <w:numFmt w:val="lowerLetter"/>
      <w:lvlText w:val="(%1)"/>
      <w:lvlJc w:val="left"/>
      <w:pPr>
        <w:ind w:left="720" w:hanging="360"/>
      </w:pPr>
      <w:rPr>
        <w:rFonts w:hint="default"/>
      </w:rPr>
    </w:lvl>
    <w:lvl w:ilvl="1" w:tplc="16FC39FE" w:tentative="1">
      <w:start w:val="1"/>
      <w:numFmt w:val="lowerLetter"/>
      <w:lvlText w:val="%2."/>
      <w:lvlJc w:val="left"/>
      <w:pPr>
        <w:ind w:left="1440" w:hanging="360"/>
      </w:pPr>
    </w:lvl>
    <w:lvl w:ilvl="2" w:tplc="191803D0" w:tentative="1">
      <w:start w:val="1"/>
      <w:numFmt w:val="lowerRoman"/>
      <w:lvlText w:val="%3."/>
      <w:lvlJc w:val="right"/>
      <w:pPr>
        <w:ind w:left="2160" w:hanging="180"/>
      </w:pPr>
    </w:lvl>
    <w:lvl w:ilvl="3" w:tplc="C212CCF0" w:tentative="1">
      <w:start w:val="1"/>
      <w:numFmt w:val="decimal"/>
      <w:lvlText w:val="%4."/>
      <w:lvlJc w:val="left"/>
      <w:pPr>
        <w:ind w:left="2880" w:hanging="360"/>
      </w:pPr>
    </w:lvl>
    <w:lvl w:ilvl="4" w:tplc="AAB09124" w:tentative="1">
      <w:start w:val="1"/>
      <w:numFmt w:val="lowerLetter"/>
      <w:lvlText w:val="%5."/>
      <w:lvlJc w:val="left"/>
      <w:pPr>
        <w:ind w:left="3600" w:hanging="360"/>
      </w:pPr>
    </w:lvl>
    <w:lvl w:ilvl="5" w:tplc="A5BEFCD0" w:tentative="1">
      <w:start w:val="1"/>
      <w:numFmt w:val="lowerRoman"/>
      <w:lvlText w:val="%6."/>
      <w:lvlJc w:val="right"/>
      <w:pPr>
        <w:ind w:left="4320" w:hanging="180"/>
      </w:pPr>
    </w:lvl>
    <w:lvl w:ilvl="6" w:tplc="6AEC7C60" w:tentative="1">
      <w:start w:val="1"/>
      <w:numFmt w:val="decimal"/>
      <w:lvlText w:val="%7."/>
      <w:lvlJc w:val="left"/>
      <w:pPr>
        <w:ind w:left="5040" w:hanging="360"/>
      </w:pPr>
    </w:lvl>
    <w:lvl w:ilvl="7" w:tplc="E236B804" w:tentative="1">
      <w:start w:val="1"/>
      <w:numFmt w:val="lowerLetter"/>
      <w:lvlText w:val="%8."/>
      <w:lvlJc w:val="left"/>
      <w:pPr>
        <w:ind w:left="5760" w:hanging="360"/>
      </w:pPr>
    </w:lvl>
    <w:lvl w:ilvl="8" w:tplc="20C8EA14" w:tentative="1">
      <w:start w:val="1"/>
      <w:numFmt w:val="lowerRoman"/>
      <w:lvlText w:val="%9."/>
      <w:lvlJc w:val="right"/>
      <w:pPr>
        <w:ind w:left="6480" w:hanging="180"/>
      </w:pPr>
    </w:lvl>
  </w:abstractNum>
  <w:abstractNum w:abstractNumId="5">
    <w:nsid w:val="1B4273DA"/>
    <w:multiLevelType w:val="hybridMultilevel"/>
    <w:tmpl w:val="61821AA4"/>
    <w:lvl w:ilvl="0" w:tplc="AD02DBEA">
      <w:start w:val="1"/>
      <w:numFmt w:val="bullet"/>
      <w:lvlText w:val=""/>
      <w:lvlJc w:val="left"/>
      <w:pPr>
        <w:ind w:left="720" w:hanging="360"/>
      </w:pPr>
      <w:rPr>
        <w:rFonts w:ascii="Symbol" w:hAnsi="Symbol" w:hint="default"/>
      </w:rPr>
    </w:lvl>
    <w:lvl w:ilvl="1" w:tplc="5FA018F6" w:tentative="1">
      <w:start w:val="1"/>
      <w:numFmt w:val="bullet"/>
      <w:lvlText w:val="o"/>
      <w:lvlJc w:val="left"/>
      <w:pPr>
        <w:ind w:left="1440" w:hanging="360"/>
      </w:pPr>
      <w:rPr>
        <w:rFonts w:ascii="Courier New" w:hAnsi="Courier New" w:cs="Courier New" w:hint="default"/>
      </w:rPr>
    </w:lvl>
    <w:lvl w:ilvl="2" w:tplc="F04EA622" w:tentative="1">
      <w:start w:val="1"/>
      <w:numFmt w:val="bullet"/>
      <w:lvlText w:val=""/>
      <w:lvlJc w:val="left"/>
      <w:pPr>
        <w:ind w:left="2160" w:hanging="360"/>
      </w:pPr>
      <w:rPr>
        <w:rFonts w:ascii="Wingdings" w:hAnsi="Wingdings" w:hint="default"/>
      </w:rPr>
    </w:lvl>
    <w:lvl w:ilvl="3" w:tplc="E45C47A4" w:tentative="1">
      <w:start w:val="1"/>
      <w:numFmt w:val="bullet"/>
      <w:lvlText w:val=""/>
      <w:lvlJc w:val="left"/>
      <w:pPr>
        <w:ind w:left="2880" w:hanging="360"/>
      </w:pPr>
      <w:rPr>
        <w:rFonts w:ascii="Symbol" w:hAnsi="Symbol" w:hint="default"/>
      </w:rPr>
    </w:lvl>
    <w:lvl w:ilvl="4" w:tplc="EFF4E3DC" w:tentative="1">
      <w:start w:val="1"/>
      <w:numFmt w:val="bullet"/>
      <w:lvlText w:val="o"/>
      <w:lvlJc w:val="left"/>
      <w:pPr>
        <w:ind w:left="3600" w:hanging="360"/>
      </w:pPr>
      <w:rPr>
        <w:rFonts w:ascii="Courier New" w:hAnsi="Courier New" w:cs="Courier New" w:hint="default"/>
      </w:rPr>
    </w:lvl>
    <w:lvl w:ilvl="5" w:tplc="FCA4DBEA" w:tentative="1">
      <w:start w:val="1"/>
      <w:numFmt w:val="bullet"/>
      <w:lvlText w:val=""/>
      <w:lvlJc w:val="left"/>
      <w:pPr>
        <w:ind w:left="4320" w:hanging="360"/>
      </w:pPr>
      <w:rPr>
        <w:rFonts w:ascii="Wingdings" w:hAnsi="Wingdings" w:hint="default"/>
      </w:rPr>
    </w:lvl>
    <w:lvl w:ilvl="6" w:tplc="271E18B6" w:tentative="1">
      <w:start w:val="1"/>
      <w:numFmt w:val="bullet"/>
      <w:lvlText w:val=""/>
      <w:lvlJc w:val="left"/>
      <w:pPr>
        <w:ind w:left="5040" w:hanging="360"/>
      </w:pPr>
      <w:rPr>
        <w:rFonts w:ascii="Symbol" w:hAnsi="Symbol" w:hint="default"/>
      </w:rPr>
    </w:lvl>
    <w:lvl w:ilvl="7" w:tplc="8050F848" w:tentative="1">
      <w:start w:val="1"/>
      <w:numFmt w:val="bullet"/>
      <w:lvlText w:val="o"/>
      <w:lvlJc w:val="left"/>
      <w:pPr>
        <w:ind w:left="5760" w:hanging="360"/>
      </w:pPr>
      <w:rPr>
        <w:rFonts w:ascii="Courier New" w:hAnsi="Courier New" w:cs="Courier New" w:hint="default"/>
      </w:rPr>
    </w:lvl>
    <w:lvl w:ilvl="8" w:tplc="8A740050" w:tentative="1">
      <w:start w:val="1"/>
      <w:numFmt w:val="bullet"/>
      <w:lvlText w:val=""/>
      <w:lvlJc w:val="left"/>
      <w:pPr>
        <w:ind w:left="6480" w:hanging="360"/>
      </w:pPr>
      <w:rPr>
        <w:rFonts w:ascii="Wingdings" w:hAnsi="Wingdings" w:hint="default"/>
      </w:rPr>
    </w:lvl>
  </w:abstractNum>
  <w:abstractNum w:abstractNumId="6">
    <w:nsid w:val="1C11789E"/>
    <w:multiLevelType w:val="hybridMultilevel"/>
    <w:tmpl w:val="09A8E194"/>
    <w:lvl w:ilvl="0" w:tplc="8A08FD5C">
      <w:start w:val="1"/>
      <w:numFmt w:val="lowerLetter"/>
      <w:lvlText w:val="(%1)"/>
      <w:lvlJc w:val="left"/>
      <w:pPr>
        <w:ind w:left="720" w:hanging="360"/>
      </w:pPr>
      <w:rPr>
        <w:rFonts w:hint="default"/>
      </w:rPr>
    </w:lvl>
    <w:lvl w:ilvl="1" w:tplc="7F985F4C" w:tentative="1">
      <w:start w:val="1"/>
      <w:numFmt w:val="lowerLetter"/>
      <w:lvlText w:val="%2."/>
      <w:lvlJc w:val="left"/>
      <w:pPr>
        <w:ind w:left="1440" w:hanging="360"/>
      </w:pPr>
    </w:lvl>
    <w:lvl w:ilvl="2" w:tplc="7CA07276" w:tentative="1">
      <w:start w:val="1"/>
      <w:numFmt w:val="lowerRoman"/>
      <w:lvlText w:val="%3."/>
      <w:lvlJc w:val="right"/>
      <w:pPr>
        <w:ind w:left="2160" w:hanging="180"/>
      </w:pPr>
    </w:lvl>
    <w:lvl w:ilvl="3" w:tplc="7346D58E" w:tentative="1">
      <w:start w:val="1"/>
      <w:numFmt w:val="decimal"/>
      <w:lvlText w:val="%4."/>
      <w:lvlJc w:val="left"/>
      <w:pPr>
        <w:ind w:left="2880" w:hanging="360"/>
      </w:pPr>
    </w:lvl>
    <w:lvl w:ilvl="4" w:tplc="642A250C" w:tentative="1">
      <w:start w:val="1"/>
      <w:numFmt w:val="lowerLetter"/>
      <w:lvlText w:val="%5."/>
      <w:lvlJc w:val="left"/>
      <w:pPr>
        <w:ind w:left="3600" w:hanging="360"/>
      </w:pPr>
    </w:lvl>
    <w:lvl w:ilvl="5" w:tplc="B20AD6DA" w:tentative="1">
      <w:start w:val="1"/>
      <w:numFmt w:val="lowerRoman"/>
      <w:lvlText w:val="%6."/>
      <w:lvlJc w:val="right"/>
      <w:pPr>
        <w:ind w:left="4320" w:hanging="180"/>
      </w:pPr>
    </w:lvl>
    <w:lvl w:ilvl="6" w:tplc="2C201FCE" w:tentative="1">
      <w:start w:val="1"/>
      <w:numFmt w:val="decimal"/>
      <w:lvlText w:val="%7."/>
      <w:lvlJc w:val="left"/>
      <w:pPr>
        <w:ind w:left="5040" w:hanging="360"/>
      </w:pPr>
    </w:lvl>
    <w:lvl w:ilvl="7" w:tplc="9F40EDB6" w:tentative="1">
      <w:start w:val="1"/>
      <w:numFmt w:val="lowerLetter"/>
      <w:lvlText w:val="%8."/>
      <w:lvlJc w:val="left"/>
      <w:pPr>
        <w:ind w:left="5760" w:hanging="360"/>
      </w:pPr>
    </w:lvl>
    <w:lvl w:ilvl="8" w:tplc="F54AC578" w:tentative="1">
      <w:start w:val="1"/>
      <w:numFmt w:val="lowerRoman"/>
      <w:lvlText w:val="%9."/>
      <w:lvlJc w:val="right"/>
      <w:pPr>
        <w:ind w:left="6480" w:hanging="180"/>
      </w:pPr>
    </w:lvl>
  </w:abstractNum>
  <w:abstractNum w:abstractNumId="7">
    <w:nsid w:val="1D167BDC"/>
    <w:multiLevelType w:val="hybridMultilevel"/>
    <w:tmpl w:val="0AB2BA22"/>
    <w:lvl w:ilvl="0" w:tplc="E490E53A">
      <w:start w:val="1"/>
      <w:numFmt w:val="bullet"/>
      <w:lvlText w:val=""/>
      <w:lvlJc w:val="left"/>
      <w:pPr>
        <w:ind w:left="720" w:hanging="360"/>
      </w:pPr>
      <w:rPr>
        <w:rFonts w:ascii="Symbol" w:hAnsi="Symbol" w:hint="default"/>
      </w:rPr>
    </w:lvl>
    <w:lvl w:ilvl="1" w:tplc="84A2C75C" w:tentative="1">
      <w:start w:val="1"/>
      <w:numFmt w:val="bullet"/>
      <w:lvlText w:val="o"/>
      <w:lvlJc w:val="left"/>
      <w:pPr>
        <w:ind w:left="1440" w:hanging="360"/>
      </w:pPr>
      <w:rPr>
        <w:rFonts w:ascii="Courier New" w:hAnsi="Courier New" w:cs="Courier New" w:hint="default"/>
      </w:rPr>
    </w:lvl>
    <w:lvl w:ilvl="2" w:tplc="A4C47BBC" w:tentative="1">
      <w:start w:val="1"/>
      <w:numFmt w:val="bullet"/>
      <w:lvlText w:val=""/>
      <w:lvlJc w:val="left"/>
      <w:pPr>
        <w:ind w:left="2160" w:hanging="360"/>
      </w:pPr>
      <w:rPr>
        <w:rFonts w:ascii="Wingdings" w:hAnsi="Wingdings" w:hint="default"/>
      </w:rPr>
    </w:lvl>
    <w:lvl w:ilvl="3" w:tplc="7DB047F0" w:tentative="1">
      <w:start w:val="1"/>
      <w:numFmt w:val="bullet"/>
      <w:lvlText w:val=""/>
      <w:lvlJc w:val="left"/>
      <w:pPr>
        <w:ind w:left="2880" w:hanging="360"/>
      </w:pPr>
      <w:rPr>
        <w:rFonts w:ascii="Symbol" w:hAnsi="Symbol" w:hint="default"/>
      </w:rPr>
    </w:lvl>
    <w:lvl w:ilvl="4" w:tplc="115E8F38" w:tentative="1">
      <w:start w:val="1"/>
      <w:numFmt w:val="bullet"/>
      <w:lvlText w:val="o"/>
      <w:lvlJc w:val="left"/>
      <w:pPr>
        <w:ind w:left="3600" w:hanging="360"/>
      </w:pPr>
      <w:rPr>
        <w:rFonts w:ascii="Courier New" w:hAnsi="Courier New" w:cs="Courier New" w:hint="default"/>
      </w:rPr>
    </w:lvl>
    <w:lvl w:ilvl="5" w:tplc="CAB629D8" w:tentative="1">
      <w:start w:val="1"/>
      <w:numFmt w:val="bullet"/>
      <w:lvlText w:val=""/>
      <w:lvlJc w:val="left"/>
      <w:pPr>
        <w:ind w:left="4320" w:hanging="360"/>
      </w:pPr>
      <w:rPr>
        <w:rFonts w:ascii="Wingdings" w:hAnsi="Wingdings" w:hint="default"/>
      </w:rPr>
    </w:lvl>
    <w:lvl w:ilvl="6" w:tplc="A254F806" w:tentative="1">
      <w:start w:val="1"/>
      <w:numFmt w:val="bullet"/>
      <w:lvlText w:val=""/>
      <w:lvlJc w:val="left"/>
      <w:pPr>
        <w:ind w:left="5040" w:hanging="360"/>
      </w:pPr>
      <w:rPr>
        <w:rFonts w:ascii="Symbol" w:hAnsi="Symbol" w:hint="default"/>
      </w:rPr>
    </w:lvl>
    <w:lvl w:ilvl="7" w:tplc="C530570A" w:tentative="1">
      <w:start w:val="1"/>
      <w:numFmt w:val="bullet"/>
      <w:lvlText w:val="o"/>
      <w:lvlJc w:val="left"/>
      <w:pPr>
        <w:ind w:left="5760" w:hanging="360"/>
      </w:pPr>
      <w:rPr>
        <w:rFonts w:ascii="Courier New" w:hAnsi="Courier New" w:cs="Courier New" w:hint="default"/>
      </w:rPr>
    </w:lvl>
    <w:lvl w:ilvl="8" w:tplc="A52E848C" w:tentative="1">
      <w:start w:val="1"/>
      <w:numFmt w:val="bullet"/>
      <w:lvlText w:val=""/>
      <w:lvlJc w:val="left"/>
      <w:pPr>
        <w:ind w:left="6480" w:hanging="360"/>
      </w:pPr>
      <w:rPr>
        <w:rFonts w:ascii="Wingdings" w:hAnsi="Wingdings" w:hint="default"/>
      </w:rPr>
    </w:lvl>
  </w:abstractNum>
  <w:abstractNum w:abstractNumId="8">
    <w:nsid w:val="1E264399"/>
    <w:multiLevelType w:val="hybridMultilevel"/>
    <w:tmpl w:val="75EC4CF0"/>
    <w:lvl w:ilvl="0" w:tplc="F57E85BE">
      <w:start w:val="1"/>
      <w:numFmt w:val="bullet"/>
      <w:lvlText w:val=""/>
      <w:lvlJc w:val="left"/>
      <w:pPr>
        <w:ind w:left="720" w:hanging="360"/>
      </w:pPr>
      <w:rPr>
        <w:rFonts w:ascii="Symbol" w:hAnsi="Symbol" w:hint="default"/>
      </w:rPr>
    </w:lvl>
    <w:lvl w:ilvl="1" w:tplc="603650C4">
      <w:start w:val="1"/>
      <w:numFmt w:val="bullet"/>
      <w:lvlText w:val="o"/>
      <w:lvlJc w:val="left"/>
      <w:pPr>
        <w:ind w:left="1440" w:hanging="360"/>
      </w:pPr>
      <w:rPr>
        <w:rFonts w:ascii="Courier New" w:hAnsi="Courier New" w:cs="Courier New" w:hint="default"/>
      </w:rPr>
    </w:lvl>
    <w:lvl w:ilvl="2" w:tplc="F676D0AA">
      <w:start w:val="1"/>
      <w:numFmt w:val="bullet"/>
      <w:lvlText w:val=""/>
      <w:lvlJc w:val="left"/>
      <w:pPr>
        <w:ind w:left="2160" w:hanging="360"/>
      </w:pPr>
      <w:rPr>
        <w:rFonts w:ascii="Wingdings" w:hAnsi="Wingdings" w:hint="default"/>
      </w:rPr>
    </w:lvl>
    <w:lvl w:ilvl="3" w:tplc="C8DC5E88">
      <w:start w:val="1"/>
      <w:numFmt w:val="bullet"/>
      <w:lvlText w:val=""/>
      <w:lvlJc w:val="left"/>
      <w:pPr>
        <w:ind w:left="2880" w:hanging="360"/>
      </w:pPr>
      <w:rPr>
        <w:rFonts w:ascii="Symbol" w:hAnsi="Symbol" w:hint="default"/>
      </w:rPr>
    </w:lvl>
    <w:lvl w:ilvl="4" w:tplc="0950AF1E" w:tentative="1">
      <w:start w:val="1"/>
      <w:numFmt w:val="bullet"/>
      <w:lvlText w:val="o"/>
      <w:lvlJc w:val="left"/>
      <w:pPr>
        <w:ind w:left="3600" w:hanging="360"/>
      </w:pPr>
      <w:rPr>
        <w:rFonts w:ascii="Courier New" w:hAnsi="Courier New" w:cs="Courier New" w:hint="default"/>
      </w:rPr>
    </w:lvl>
    <w:lvl w:ilvl="5" w:tplc="AB4400D6" w:tentative="1">
      <w:start w:val="1"/>
      <w:numFmt w:val="bullet"/>
      <w:lvlText w:val=""/>
      <w:lvlJc w:val="left"/>
      <w:pPr>
        <w:ind w:left="4320" w:hanging="360"/>
      </w:pPr>
      <w:rPr>
        <w:rFonts w:ascii="Wingdings" w:hAnsi="Wingdings" w:hint="default"/>
      </w:rPr>
    </w:lvl>
    <w:lvl w:ilvl="6" w:tplc="6298CA16" w:tentative="1">
      <w:start w:val="1"/>
      <w:numFmt w:val="bullet"/>
      <w:lvlText w:val=""/>
      <w:lvlJc w:val="left"/>
      <w:pPr>
        <w:ind w:left="5040" w:hanging="360"/>
      </w:pPr>
      <w:rPr>
        <w:rFonts w:ascii="Symbol" w:hAnsi="Symbol" w:hint="default"/>
      </w:rPr>
    </w:lvl>
    <w:lvl w:ilvl="7" w:tplc="507AE10A" w:tentative="1">
      <w:start w:val="1"/>
      <w:numFmt w:val="bullet"/>
      <w:lvlText w:val="o"/>
      <w:lvlJc w:val="left"/>
      <w:pPr>
        <w:ind w:left="5760" w:hanging="360"/>
      </w:pPr>
      <w:rPr>
        <w:rFonts w:ascii="Courier New" w:hAnsi="Courier New" w:cs="Courier New" w:hint="default"/>
      </w:rPr>
    </w:lvl>
    <w:lvl w:ilvl="8" w:tplc="FF6A3BEE" w:tentative="1">
      <w:start w:val="1"/>
      <w:numFmt w:val="bullet"/>
      <w:lvlText w:val=""/>
      <w:lvlJc w:val="left"/>
      <w:pPr>
        <w:ind w:left="6480" w:hanging="360"/>
      </w:pPr>
      <w:rPr>
        <w:rFonts w:ascii="Wingdings" w:hAnsi="Wingdings" w:hint="default"/>
      </w:rPr>
    </w:lvl>
  </w:abstractNum>
  <w:abstractNum w:abstractNumId="9">
    <w:nsid w:val="1F12266C"/>
    <w:multiLevelType w:val="hybridMultilevel"/>
    <w:tmpl w:val="87D0D158"/>
    <w:lvl w:ilvl="0" w:tplc="490EEA94">
      <w:start w:val="1"/>
      <w:numFmt w:val="decimal"/>
      <w:lvlText w:val="%1."/>
      <w:lvlJc w:val="left"/>
      <w:pPr>
        <w:ind w:left="720" w:hanging="360"/>
      </w:pPr>
    </w:lvl>
    <w:lvl w:ilvl="1" w:tplc="EE7001CA" w:tentative="1">
      <w:start w:val="1"/>
      <w:numFmt w:val="lowerLetter"/>
      <w:lvlText w:val="%2."/>
      <w:lvlJc w:val="left"/>
      <w:pPr>
        <w:ind w:left="1440" w:hanging="360"/>
      </w:pPr>
    </w:lvl>
    <w:lvl w:ilvl="2" w:tplc="20C8063E" w:tentative="1">
      <w:start w:val="1"/>
      <w:numFmt w:val="lowerRoman"/>
      <w:lvlText w:val="%3."/>
      <w:lvlJc w:val="right"/>
      <w:pPr>
        <w:ind w:left="2160" w:hanging="180"/>
      </w:pPr>
    </w:lvl>
    <w:lvl w:ilvl="3" w:tplc="FBA46E2A" w:tentative="1">
      <w:start w:val="1"/>
      <w:numFmt w:val="decimal"/>
      <w:lvlText w:val="%4."/>
      <w:lvlJc w:val="left"/>
      <w:pPr>
        <w:ind w:left="2880" w:hanging="360"/>
      </w:pPr>
    </w:lvl>
    <w:lvl w:ilvl="4" w:tplc="D1289C9A" w:tentative="1">
      <w:start w:val="1"/>
      <w:numFmt w:val="lowerLetter"/>
      <w:lvlText w:val="%5."/>
      <w:lvlJc w:val="left"/>
      <w:pPr>
        <w:ind w:left="3600" w:hanging="360"/>
      </w:pPr>
    </w:lvl>
    <w:lvl w:ilvl="5" w:tplc="699CF326" w:tentative="1">
      <w:start w:val="1"/>
      <w:numFmt w:val="lowerRoman"/>
      <w:lvlText w:val="%6."/>
      <w:lvlJc w:val="right"/>
      <w:pPr>
        <w:ind w:left="4320" w:hanging="180"/>
      </w:pPr>
    </w:lvl>
    <w:lvl w:ilvl="6" w:tplc="9DB6C986" w:tentative="1">
      <w:start w:val="1"/>
      <w:numFmt w:val="decimal"/>
      <w:lvlText w:val="%7."/>
      <w:lvlJc w:val="left"/>
      <w:pPr>
        <w:ind w:left="5040" w:hanging="360"/>
      </w:pPr>
    </w:lvl>
    <w:lvl w:ilvl="7" w:tplc="9F2E137C" w:tentative="1">
      <w:start w:val="1"/>
      <w:numFmt w:val="lowerLetter"/>
      <w:lvlText w:val="%8."/>
      <w:lvlJc w:val="left"/>
      <w:pPr>
        <w:ind w:left="5760" w:hanging="360"/>
      </w:pPr>
    </w:lvl>
    <w:lvl w:ilvl="8" w:tplc="FE1879D2" w:tentative="1">
      <w:start w:val="1"/>
      <w:numFmt w:val="lowerRoman"/>
      <w:lvlText w:val="%9."/>
      <w:lvlJc w:val="right"/>
      <w:pPr>
        <w:ind w:left="6480" w:hanging="180"/>
      </w:pPr>
    </w:lvl>
  </w:abstractNum>
  <w:abstractNum w:abstractNumId="10">
    <w:nsid w:val="23C160BD"/>
    <w:multiLevelType w:val="hybridMultilevel"/>
    <w:tmpl w:val="A21216BE"/>
    <w:lvl w:ilvl="0" w:tplc="BEF65EE2">
      <w:start w:val="1"/>
      <w:numFmt w:val="lowerLetter"/>
      <w:lvlText w:val="(%1)"/>
      <w:lvlJc w:val="left"/>
      <w:pPr>
        <w:ind w:left="1884" w:hanging="444"/>
      </w:pPr>
      <w:rPr>
        <w:rFonts w:hint="default"/>
      </w:rPr>
    </w:lvl>
    <w:lvl w:ilvl="1" w:tplc="5DF0405C" w:tentative="1">
      <w:start w:val="1"/>
      <w:numFmt w:val="lowerLetter"/>
      <w:lvlText w:val="%2."/>
      <w:lvlJc w:val="left"/>
      <w:pPr>
        <w:ind w:left="2520" w:hanging="360"/>
      </w:pPr>
    </w:lvl>
    <w:lvl w:ilvl="2" w:tplc="8BC6B640" w:tentative="1">
      <w:start w:val="1"/>
      <w:numFmt w:val="lowerRoman"/>
      <w:lvlText w:val="%3."/>
      <w:lvlJc w:val="right"/>
      <w:pPr>
        <w:ind w:left="3240" w:hanging="180"/>
      </w:pPr>
    </w:lvl>
    <w:lvl w:ilvl="3" w:tplc="5D004DAE" w:tentative="1">
      <w:start w:val="1"/>
      <w:numFmt w:val="decimal"/>
      <w:lvlText w:val="%4."/>
      <w:lvlJc w:val="left"/>
      <w:pPr>
        <w:ind w:left="3960" w:hanging="360"/>
      </w:pPr>
    </w:lvl>
    <w:lvl w:ilvl="4" w:tplc="9232EE96" w:tentative="1">
      <w:start w:val="1"/>
      <w:numFmt w:val="lowerLetter"/>
      <w:lvlText w:val="%5."/>
      <w:lvlJc w:val="left"/>
      <w:pPr>
        <w:ind w:left="4680" w:hanging="360"/>
      </w:pPr>
    </w:lvl>
    <w:lvl w:ilvl="5" w:tplc="84786684" w:tentative="1">
      <w:start w:val="1"/>
      <w:numFmt w:val="lowerRoman"/>
      <w:lvlText w:val="%6."/>
      <w:lvlJc w:val="right"/>
      <w:pPr>
        <w:ind w:left="5400" w:hanging="180"/>
      </w:pPr>
    </w:lvl>
    <w:lvl w:ilvl="6" w:tplc="7340DDDC" w:tentative="1">
      <w:start w:val="1"/>
      <w:numFmt w:val="decimal"/>
      <w:lvlText w:val="%7."/>
      <w:lvlJc w:val="left"/>
      <w:pPr>
        <w:ind w:left="6120" w:hanging="360"/>
      </w:pPr>
    </w:lvl>
    <w:lvl w:ilvl="7" w:tplc="D02A9520" w:tentative="1">
      <w:start w:val="1"/>
      <w:numFmt w:val="lowerLetter"/>
      <w:lvlText w:val="%8."/>
      <w:lvlJc w:val="left"/>
      <w:pPr>
        <w:ind w:left="6840" w:hanging="360"/>
      </w:pPr>
    </w:lvl>
    <w:lvl w:ilvl="8" w:tplc="55F2C08E" w:tentative="1">
      <w:start w:val="1"/>
      <w:numFmt w:val="lowerRoman"/>
      <w:lvlText w:val="%9."/>
      <w:lvlJc w:val="right"/>
      <w:pPr>
        <w:ind w:left="7560" w:hanging="180"/>
      </w:pPr>
    </w:lvl>
  </w:abstractNum>
  <w:abstractNum w:abstractNumId="11">
    <w:nsid w:val="23D132D0"/>
    <w:multiLevelType w:val="hybridMultilevel"/>
    <w:tmpl w:val="3BA69878"/>
    <w:lvl w:ilvl="0" w:tplc="C7F80576">
      <w:numFmt w:val="bullet"/>
      <w:lvlText w:val="•"/>
      <w:lvlJc w:val="left"/>
      <w:pPr>
        <w:ind w:left="720" w:hanging="360"/>
      </w:pPr>
      <w:rPr>
        <w:rFonts w:ascii="Times New Roman" w:eastAsia="Times New Roman" w:hAnsi="Times New Roman" w:hint="default"/>
      </w:rPr>
    </w:lvl>
    <w:lvl w:ilvl="1" w:tplc="C7D81DC6">
      <w:start w:val="1"/>
      <w:numFmt w:val="bullet"/>
      <w:lvlText w:val="o"/>
      <w:lvlJc w:val="left"/>
      <w:pPr>
        <w:ind w:left="1440" w:hanging="360"/>
      </w:pPr>
      <w:rPr>
        <w:rFonts w:ascii="Courier New" w:hAnsi="Courier New" w:cs="Courier New" w:hint="default"/>
      </w:rPr>
    </w:lvl>
    <w:lvl w:ilvl="2" w:tplc="92401FE8">
      <w:start w:val="1"/>
      <w:numFmt w:val="bullet"/>
      <w:lvlText w:val=""/>
      <w:lvlJc w:val="left"/>
      <w:pPr>
        <w:ind w:left="2160" w:hanging="360"/>
      </w:pPr>
      <w:rPr>
        <w:rFonts w:ascii="Wingdings" w:hAnsi="Wingdings" w:hint="default"/>
      </w:rPr>
    </w:lvl>
    <w:lvl w:ilvl="3" w:tplc="4F587A22">
      <w:start w:val="1"/>
      <w:numFmt w:val="bullet"/>
      <w:lvlText w:val=""/>
      <w:lvlJc w:val="left"/>
      <w:pPr>
        <w:ind w:left="2880" w:hanging="360"/>
      </w:pPr>
      <w:rPr>
        <w:rFonts w:ascii="Symbol" w:hAnsi="Symbol" w:hint="default"/>
      </w:rPr>
    </w:lvl>
    <w:lvl w:ilvl="4" w:tplc="E2E4EC44" w:tentative="1">
      <w:start w:val="1"/>
      <w:numFmt w:val="bullet"/>
      <w:lvlText w:val="o"/>
      <w:lvlJc w:val="left"/>
      <w:pPr>
        <w:ind w:left="3600" w:hanging="360"/>
      </w:pPr>
      <w:rPr>
        <w:rFonts w:ascii="Courier New" w:hAnsi="Courier New" w:cs="Courier New" w:hint="default"/>
      </w:rPr>
    </w:lvl>
    <w:lvl w:ilvl="5" w:tplc="91F857D8" w:tentative="1">
      <w:start w:val="1"/>
      <w:numFmt w:val="bullet"/>
      <w:lvlText w:val=""/>
      <w:lvlJc w:val="left"/>
      <w:pPr>
        <w:ind w:left="4320" w:hanging="360"/>
      </w:pPr>
      <w:rPr>
        <w:rFonts w:ascii="Wingdings" w:hAnsi="Wingdings" w:hint="default"/>
      </w:rPr>
    </w:lvl>
    <w:lvl w:ilvl="6" w:tplc="68D657E8" w:tentative="1">
      <w:start w:val="1"/>
      <w:numFmt w:val="bullet"/>
      <w:lvlText w:val=""/>
      <w:lvlJc w:val="left"/>
      <w:pPr>
        <w:ind w:left="5040" w:hanging="360"/>
      </w:pPr>
      <w:rPr>
        <w:rFonts w:ascii="Symbol" w:hAnsi="Symbol" w:hint="default"/>
      </w:rPr>
    </w:lvl>
    <w:lvl w:ilvl="7" w:tplc="C130E800" w:tentative="1">
      <w:start w:val="1"/>
      <w:numFmt w:val="bullet"/>
      <w:lvlText w:val="o"/>
      <w:lvlJc w:val="left"/>
      <w:pPr>
        <w:ind w:left="5760" w:hanging="360"/>
      </w:pPr>
      <w:rPr>
        <w:rFonts w:ascii="Courier New" w:hAnsi="Courier New" w:cs="Courier New" w:hint="default"/>
      </w:rPr>
    </w:lvl>
    <w:lvl w:ilvl="8" w:tplc="F86E273E" w:tentative="1">
      <w:start w:val="1"/>
      <w:numFmt w:val="bullet"/>
      <w:lvlText w:val=""/>
      <w:lvlJc w:val="left"/>
      <w:pPr>
        <w:ind w:left="6480" w:hanging="360"/>
      </w:pPr>
      <w:rPr>
        <w:rFonts w:ascii="Wingdings" w:hAnsi="Wingdings" w:hint="default"/>
      </w:rPr>
    </w:lvl>
  </w:abstractNum>
  <w:abstractNum w:abstractNumId="12">
    <w:nsid w:val="24F87A5C"/>
    <w:multiLevelType w:val="hybridMultilevel"/>
    <w:tmpl w:val="E07E07BE"/>
    <w:lvl w:ilvl="0" w:tplc="21D0AD80">
      <w:start w:val="1"/>
      <w:numFmt w:val="bullet"/>
      <w:lvlText w:val=""/>
      <w:lvlJc w:val="left"/>
      <w:pPr>
        <w:ind w:left="788" w:hanging="360"/>
      </w:pPr>
      <w:rPr>
        <w:rFonts w:ascii="Symbol" w:hAnsi="Symbol" w:hint="default"/>
      </w:rPr>
    </w:lvl>
    <w:lvl w:ilvl="1" w:tplc="9DD68E8A" w:tentative="1">
      <w:start w:val="1"/>
      <w:numFmt w:val="bullet"/>
      <w:lvlText w:val="o"/>
      <w:lvlJc w:val="left"/>
      <w:pPr>
        <w:ind w:left="1508" w:hanging="360"/>
      </w:pPr>
      <w:rPr>
        <w:rFonts w:ascii="Courier New" w:hAnsi="Courier New" w:cs="Courier New" w:hint="default"/>
      </w:rPr>
    </w:lvl>
    <w:lvl w:ilvl="2" w:tplc="C06689E8" w:tentative="1">
      <w:start w:val="1"/>
      <w:numFmt w:val="bullet"/>
      <w:lvlText w:val=""/>
      <w:lvlJc w:val="left"/>
      <w:pPr>
        <w:ind w:left="2228" w:hanging="360"/>
      </w:pPr>
      <w:rPr>
        <w:rFonts w:ascii="Wingdings" w:hAnsi="Wingdings" w:hint="default"/>
      </w:rPr>
    </w:lvl>
    <w:lvl w:ilvl="3" w:tplc="0D6E8A6E" w:tentative="1">
      <w:start w:val="1"/>
      <w:numFmt w:val="bullet"/>
      <w:lvlText w:val=""/>
      <w:lvlJc w:val="left"/>
      <w:pPr>
        <w:ind w:left="2948" w:hanging="360"/>
      </w:pPr>
      <w:rPr>
        <w:rFonts w:ascii="Symbol" w:hAnsi="Symbol" w:hint="default"/>
      </w:rPr>
    </w:lvl>
    <w:lvl w:ilvl="4" w:tplc="31329618" w:tentative="1">
      <w:start w:val="1"/>
      <w:numFmt w:val="bullet"/>
      <w:lvlText w:val="o"/>
      <w:lvlJc w:val="left"/>
      <w:pPr>
        <w:ind w:left="3668" w:hanging="360"/>
      </w:pPr>
      <w:rPr>
        <w:rFonts w:ascii="Courier New" w:hAnsi="Courier New" w:cs="Courier New" w:hint="default"/>
      </w:rPr>
    </w:lvl>
    <w:lvl w:ilvl="5" w:tplc="B0DC7CAE" w:tentative="1">
      <w:start w:val="1"/>
      <w:numFmt w:val="bullet"/>
      <w:lvlText w:val=""/>
      <w:lvlJc w:val="left"/>
      <w:pPr>
        <w:ind w:left="4388" w:hanging="360"/>
      </w:pPr>
      <w:rPr>
        <w:rFonts w:ascii="Wingdings" w:hAnsi="Wingdings" w:hint="default"/>
      </w:rPr>
    </w:lvl>
    <w:lvl w:ilvl="6" w:tplc="8460B4DA" w:tentative="1">
      <w:start w:val="1"/>
      <w:numFmt w:val="bullet"/>
      <w:lvlText w:val=""/>
      <w:lvlJc w:val="left"/>
      <w:pPr>
        <w:ind w:left="5108" w:hanging="360"/>
      </w:pPr>
      <w:rPr>
        <w:rFonts w:ascii="Symbol" w:hAnsi="Symbol" w:hint="default"/>
      </w:rPr>
    </w:lvl>
    <w:lvl w:ilvl="7" w:tplc="BDBC6F00" w:tentative="1">
      <w:start w:val="1"/>
      <w:numFmt w:val="bullet"/>
      <w:lvlText w:val="o"/>
      <w:lvlJc w:val="left"/>
      <w:pPr>
        <w:ind w:left="5828" w:hanging="360"/>
      </w:pPr>
      <w:rPr>
        <w:rFonts w:ascii="Courier New" w:hAnsi="Courier New" w:cs="Courier New" w:hint="default"/>
      </w:rPr>
    </w:lvl>
    <w:lvl w:ilvl="8" w:tplc="F6AEF882" w:tentative="1">
      <w:start w:val="1"/>
      <w:numFmt w:val="bullet"/>
      <w:lvlText w:val=""/>
      <w:lvlJc w:val="left"/>
      <w:pPr>
        <w:ind w:left="6548" w:hanging="360"/>
      </w:pPr>
      <w:rPr>
        <w:rFonts w:ascii="Wingdings" w:hAnsi="Wingdings" w:hint="default"/>
      </w:rPr>
    </w:lvl>
  </w:abstractNum>
  <w:abstractNum w:abstractNumId="13">
    <w:nsid w:val="266E0C15"/>
    <w:multiLevelType w:val="hybridMultilevel"/>
    <w:tmpl w:val="564655D0"/>
    <w:lvl w:ilvl="0" w:tplc="7890CC32">
      <w:numFmt w:val="bullet"/>
      <w:lvlText w:val="•"/>
      <w:lvlJc w:val="left"/>
      <w:pPr>
        <w:ind w:left="720" w:hanging="360"/>
      </w:pPr>
      <w:rPr>
        <w:rFonts w:ascii="Times New Roman" w:eastAsia="Times New Roman" w:hAnsi="Times New Roman" w:hint="default"/>
      </w:rPr>
    </w:lvl>
    <w:lvl w:ilvl="1" w:tplc="5186DC7C" w:tentative="1">
      <w:start w:val="1"/>
      <w:numFmt w:val="bullet"/>
      <w:lvlText w:val="o"/>
      <w:lvlJc w:val="left"/>
      <w:pPr>
        <w:ind w:left="1440" w:hanging="360"/>
      </w:pPr>
      <w:rPr>
        <w:rFonts w:ascii="Courier New" w:hAnsi="Courier New" w:cs="Courier New" w:hint="default"/>
      </w:rPr>
    </w:lvl>
    <w:lvl w:ilvl="2" w:tplc="2F90116E" w:tentative="1">
      <w:start w:val="1"/>
      <w:numFmt w:val="bullet"/>
      <w:lvlText w:val=""/>
      <w:lvlJc w:val="left"/>
      <w:pPr>
        <w:ind w:left="2160" w:hanging="360"/>
      </w:pPr>
      <w:rPr>
        <w:rFonts w:ascii="Wingdings" w:hAnsi="Wingdings" w:hint="default"/>
      </w:rPr>
    </w:lvl>
    <w:lvl w:ilvl="3" w:tplc="1CA08680" w:tentative="1">
      <w:start w:val="1"/>
      <w:numFmt w:val="bullet"/>
      <w:lvlText w:val=""/>
      <w:lvlJc w:val="left"/>
      <w:pPr>
        <w:ind w:left="2880" w:hanging="360"/>
      </w:pPr>
      <w:rPr>
        <w:rFonts w:ascii="Symbol" w:hAnsi="Symbol" w:hint="default"/>
      </w:rPr>
    </w:lvl>
    <w:lvl w:ilvl="4" w:tplc="815C03B2" w:tentative="1">
      <w:start w:val="1"/>
      <w:numFmt w:val="bullet"/>
      <w:lvlText w:val="o"/>
      <w:lvlJc w:val="left"/>
      <w:pPr>
        <w:ind w:left="3600" w:hanging="360"/>
      </w:pPr>
      <w:rPr>
        <w:rFonts w:ascii="Courier New" w:hAnsi="Courier New" w:cs="Courier New" w:hint="default"/>
      </w:rPr>
    </w:lvl>
    <w:lvl w:ilvl="5" w:tplc="2D3E1818" w:tentative="1">
      <w:start w:val="1"/>
      <w:numFmt w:val="bullet"/>
      <w:lvlText w:val=""/>
      <w:lvlJc w:val="left"/>
      <w:pPr>
        <w:ind w:left="4320" w:hanging="360"/>
      </w:pPr>
      <w:rPr>
        <w:rFonts w:ascii="Wingdings" w:hAnsi="Wingdings" w:hint="default"/>
      </w:rPr>
    </w:lvl>
    <w:lvl w:ilvl="6" w:tplc="C04E2142" w:tentative="1">
      <w:start w:val="1"/>
      <w:numFmt w:val="bullet"/>
      <w:lvlText w:val=""/>
      <w:lvlJc w:val="left"/>
      <w:pPr>
        <w:ind w:left="5040" w:hanging="360"/>
      </w:pPr>
      <w:rPr>
        <w:rFonts w:ascii="Symbol" w:hAnsi="Symbol" w:hint="default"/>
      </w:rPr>
    </w:lvl>
    <w:lvl w:ilvl="7" w:tplc="3BA0C8E6" w:tentative="1">
      <w:start w:val="1"/>
      <w:numFmt w:val="bullet"/>
      <w:lvlText w:val="o"/>
      <w:lvlJc w:val="left"/>
      <w:pPr>
        <w:ind w:left="5760" w:hanging="360"/>
      </w:pPr>
      <w:rPr>
        <w:rFonts w:ascii="Courier New" w:hAnsi="Courier New" w:cs="Courier New" w:hint="default"/>
      </w:rPr>
    </w:lvl>
    <w:lvl w:ilvl="8" w:tplc="D98C576C" w:tentative="1">
      <w:start w:val="1"/>
      <w:numFmt w:val="bullet"/>
      <w:lvlText w:val=""/>
      <w:lvlJc w:val="left"/>
      <w:pPr>
        <w:ind w:left="6480" w:hanging="360"/>
      </w:pPr>
      <w:rPr>
        <w:rFonts w:ascii="Wingdings" w:hAnsi="Wingdings" w:hint="default"/>
      </w:rPr>
    </w:lvl>
  </w:abstractNum>
  <w:abstractNum w:abstractNumId="14">
    <w:nsid w:val="285C140C"/>
    <w:multiLevelType w:val="hybridMultilevel"/>
    <w:tmpl w:val="A60ED866"/>
    <w:lvl w:ilvl="0" w:tplc="5EC06C74">
      <w:start w:val="1"/>
      <w:numFmt w:val="decimal"/>
      <w:lvlText w:val="%1."/>
      <w:lvlJc w:val="left"/>
      <w:pPr>
        <w:ind w:left="720" w:hanging="360"/>
      </w:pPr>
    </w:lvl>
    <w:lvl w:ilvl="1" w:tplc="0BBA4B2C" w:tentative="1">
      <w:start w:val="1"/>
      <w:numFmt w:val="lowerLetter"/>
      <w:lvlText w:val="%2."/>
      <w:lvlJc w:val="left"/>
      <w:pPr>
        <w:ind w:left="1440" w:hanging="360"/>
      </w:pPr>
    </w:lvl>
    <w:lvl w:ilvl="2" w:tplc="2952B628" w:tentative="1">
      <w:start w:val="1"/>
      <w:numFmt w:val="lowerRoman"/>
      <w:lvlText w:val="%3."/>
      <w:lvlJc w:val="right"/>
      <w:pPr>
        <w:ind w:left="2160" w:hanging="180"/>
      </w:pPr>
    </w:lvl>
    <w:lvl w:ilvl="3" w:tplc="8F0E8180" w:tentative="1">
      <w:start w:val="1"/>
      <w:numFmt w:val="decimal"/>
      <w:lvlText w:val="%4."/>
      <w:lvlJc w:val="left"/>
      <w:pPr>
        <w:ind w:left="2880" w:hanging="360"/>
      </w:pPr>
    </w:lvl>
    <w:lvl w:ilvl="4" w:tplc="821A9484" w:tentative="1">
      <w:start w:val="1"/>
      <w:numFmt w:val="lowerLetter"/>
      <w:lvlText w:val="%5."/>
      <w:lvlJc w:val="left"/>
      <w:pPr>
        <w:ind w:left="3600" w:hanging="360"/>
      </w:pPr>
    </w:lvl>
    <w:lvl w:ilvl="5" w:tplc="F24C13F6" w:tentative="1">
      <w:start w:val="1"/>
      <w:numFmt w:val="lowerRoman"/>
      <w:lvlText w:val="%6."/>
      <w:lvlJc w:val="right"/>
      <w:pPr>
        <w:ind w:left="4320" w:hanging="180"/>
      </w:pPr>
    </w:lvl>
    <w:lvl w:ilvl="6" w:tplc="1512CBCC" w:tentative="1">
      <w:start w:val="1"/>
      <w:numFmt w:val="decimal"/>
      <w:lvlText w:val="%7."/>
      <w:lvlJc w:val="left"/>
      <w:pPr>
        <w:ind w:left="5040" w:hanging="360"/>
      </w:pPr>
    </w:lvl>
    <w:lvl w:ilvl="7" w:tplc="02C460F4" w:tentative="1">
      <w:start w:val="1"/>
      <w:numFmt w:val="lowerLetter"/>
      <w:lvlText w:val="%8."/>
      <w:lvlJc w:val="left"/>
      <w:pPr>
        <w:ind w:left="5760" w:hanging="360"/>
      </w:pPr>
    </w:lvl>
    <w:lvl w:ilvl="8" w:tplc="E7F064D6" w:tentative="1">
      <w:start w:val="1"/>
      <w:numFmt w:val="lowerRoman"/>
      <w:lvlText w:val="%9."/>
      <w:lvlJc w:val="right"/>
      <w:pPr>
        <w:ind w:left="6480" w:hanging="180"/>
      </w:pPr>
    </w:lvl>
  </w:abstractNum>
  <w:abstractNum w:abstractNumId="15">
    <w:nsid w:val="2C99343C"/>
    <w:multiLevelType w:val="hybridMultilevel"/>
    <w:tmpl w:val="DD825696"/>
    <w:lvl w:ilvl="0" w:tplc="854ACBD8">
      <w:start w:val="1"/>
      <w:numFmt w:val="decimal"/>
      <w:lvlText w:val="%1."/>
      <w:lvlJc w:val="left"/>
      <w:pPr>
        <w:ind w:left="720" w:hanging="360"/>
      </w:pPr>
      <w:rPr>
        <w:rFonts w:hint="default"/>
      </w:rPr>
    </w:lvl>
    <w:lvl w:ilvl="1" w:tplc="90B4D756">
      <w:start w:val="1"/>
      <w:numFmt w:val="decimal"/>
      <w:lvlText w:val="%2."/>
      <w:lvlJc w:val="left"/>
      <w:pPr>
        <w:ind w:left="1440" w:hanging="360"/>
      </w:pPr>
      <w:rPr>
        <w:rFonts w:hint="default"/>
      </w:rPr>
    </w:lvl>
    <w:lvl w:ilvl="2" w:tplc="756C4AA4" w:tentative="1">
      <w:start w:val="1"/>
      <w:numFmt w:val="bullet"/>
      <w:lvlText w:val=""/>
      <w:lvlJc w:val="left"/>
      <w:pPr>
        <w:ind w:left="2160" w:hanging="360"/>
      </w:pPr>
      <w:rPr>
        <w:rFonts w:ascii="Wingdings" w:hAnsi="Wingdings" w:hint="default"/>
      </w:rPr>
    </w:lvl>
    <w:lvl w:ilvl="3" w:tplc="E0A49296" w:tentative="1">
      <w:start w:val="1"/>
      <w:numFmt w:val="bullet"/>
      <w:lvlText w:val=""/>
      <w:lvlJc w:val="left"/>
      <w:pPr>
        <w:ind w:left="2880" w:hanging="360"/>
      </w:pPr>
      <w:rPr>
        <w:rFonts w:ascii="Symbol" w:hAnsi="Symbol" w:hint="default"/>
      </w:rPr>
    </w:lvl>
    <w:lvl w:ilvl="4" w:tplc="229872D2" w:tentative="1">
      <w:start w:val="1"/>
      <w:numFmt w:val="bullet"/>
      <w:lvlText w:val="o"/>
      <w:lvlJc w:val="left"/>
      <w:pPr>
        <w:ind w:left="3600" w:hanging="360"/>
      </w:pPr>
      <w:rPr>
        <w:rFonts w:ascii="Courier New" w:hAnsi="Courier New" w:cs="Courier New" w:hint="default"/>
      </w:rPr>
    </w:lvl>
    <w:lvl w:ilvl="5" w:tplc="5558761A" w:tentative="1">
      <w:start w:val="1"/>
      <w:numFmt w:val="bullet"/>
      <w:lvlText w:val=""/>
      <w:lvlJc w:val="left"/>
      <w:pPr>
        <w:ind w:left="4320" w:hanging="360"/>
      </w:pPr>
      <w:rPr>
        <w:rFonts w:ascii="Wingdings" w:hAnsi="Wingdings" w:hint="default"/>
      </w:rPr>
    </w:lvl>
    <w:lvl w:ilvl="6" w:tplc="604C9B0C" w:tentative="1">
      <w:start w:val="1"/>
      <w:numFmt w:val="bullet"/>
      <w:lvlText w:val=""/>
      <w:lvlJc w:val="left"/>
      <w:pPr>
        <w:ind w:left="5040" w:hanging="360"/>
      </w:pPr>
      <w:rPr>
        <w:rFonts w:ascii="Symbol" w:hAnsi="Symbol" w:hint="default"/>
      </w:rPr>
    </w:lvl>
    <w:lvl w:ilvl="7" w:tplc="B6EAA8E4" w:tentative="1">
      <w:start w:val="1"/>
      <w:numFmt w:val="bullet"/>
      <w:lvlText w:val="o"/>
      <w:lvlJc w:val="left"/>
      <w:pPr>
        <w:ind w:left="5760" w:hanging="360"/>
      </w:pPr>
      <w:rPr>
        <w:rFonts w:ascii="Courier New" w:hAnsi="Courier New" w:cs="Courier New" w:hint="default"/>
      </w:rPr>
    </w:lvl>
    <w:lvl w:ilvl="8" w:tplc="A74825FC" w:tentative="1">
      <w:start w:val="1"/>
      <w:numFmt w:val="bullet"/>
      <w:lvlText w:val=""/>
      <w:lvlJc w:val="left"/>
      <w:pPr>
        <w:ind w:left="6480" w:hanging="360"/>
      </w:pPr>
      <w:rPr>
        <w:rFonts w:ascii="Wingdings" w:hAnsi="Wingdings" w:hint="default"/>
      </w:rPr>
    </w:lvl>
  </w:abstractNum>
  <w:abstractNum w:abstractNumId="16">
    <w:nsid w:val="37EA5BBE"/>
    <w:multiLevelType w:val="hybridMultilevel"/>
    <w:tmpl w:val="B6E4DB32"/>
    <w:lvl w:ilvl="0" w:tplc="D4CE8828">
      <w:start w:val="1"/>
      <w:numFmt w:val="bullet"/>
      <w:lvlText w:val=""/>
      <w:lvlJc w:val="left"/>
      <w:pPr>
        <w:ind w:left="765" w:hanging="360"/>
      </w:pPr>
      <w:rPr>
        <w:rFonts w:ascii="Symbol" w:hAnsi="Symbol" w:hint="default"/>
      </w:rPr>
    </w:lvl>
    <w:lvl w:ilvl="1" w:tplc="E38617FE" w:tentative="1">
      <w:start w:val="1"/>
      <w:numFmt w:val="bullet"/>
      <w:lvlText w:val="o"/>
      <w:lvlJc w:val="left"/>
      <w:pPr>
        <w:ind w:left="1485" w:hanging="360"/>
      </w:pPr>
      <w:rPr>
        <w:rFonts w:ascii="Courier New" w:hAnsi="Courier New" w:cs="Courier New" w:hint="default"/>
      </w:rPr>
    </w:lvl>
    <w:lvl w:ilvl="2" w:tplc="C71C28BE" w:tentative="1">
      <w:start w:val="1"/>
      <w:numFmt w:val="bullet"/>
      <w:lvlText w:val=""/>
      <w:lvlJc w:val="left"/>
      <w:pPr>
        <w:ind w:left="2205" w:hanging="360"/>
      </w:pPr>
      <w:rPr>
        <w:rFonts w:ascii="Wingdings" w:hAnsi="Wingdings" w:hint="default"/>
      </w:rPr>
    </w:lvl>
    <w:lvl w:ilvl="3" w:tplc="56CE7632" w:tentative="1">
      <w:start w:val="1"/>
      <w:numFmt w:val="bullet"/>
      <w:lvlText w:val=""/>
      <w:lvlJc w:val="left"/>
      <w:pPr>
        <w:ind w:left="2925" w:hanging="360"/>
      </w:pPr>
      <w:rPr>
        <w:rFonts w:ascii="Symbol" w:hAnsi="Symbol" w:hint="default"/>
      </w:rPr>
    </w:lvl>
    <w:lvl w:ilvl="4" w:tplc="C4CA1D86" w:tentative="1">
      <w:start w:val="1"/>
      <w:numFmt w:val="bullet"/>
      <w:lvlText w:val="o"/>
      <w:lvlJc w:val="left"/>
      <w:pPr>
        <w:ind w:left="3645" w:hanging="360"/>
      </w:pPr>
      <w:rPr>
        <w:rFonts w:ascii="Courier New" w:hAnsi="Courier New" w:cs="Courier New" w:hint="default"/>
      </w:rPr>
    </w:lvl>
    <w:lvl w:ilvl="5" w:tplc="03C8938C" w:tentative="1">
      <w:start w:val="1"/>
      <w:numFmt w:val="bullet"/>
      <w:lvlText w:val=""/>
      <w:lvlJc w:val="left"/>
      <w:pPr>
        <w:ind w:left="4365" w:hanging="360"/>
      </w:pPr>
      <w:rPr>
        <w:rFonts w:ascii="Wingdings" w:hAnsi="Wingdings" w:hint="default"/>
      </w:rPr>
    </w:lvl>
    <w:lvl w:ilvl="6" w:tplc="C5CE29FA" w:tentative="1">
      <w:start w:val="1"/>
      <w:numFmt w:val="bullet"/>
      <w:lvlText w:val=""/>
      <w:lvlJc w:val="left"/>
      <w:pPr>
        <w:ind w:left="5085" w:hanging="360"/>
      </w:pPr>
      <w:rPr>
        <w:rFonts w:ascii="Symbol" w:hAnsi="Symbol" w:hint="default"/>
      </w:rPr>
    </w:lvl>
    <w:lvl w:ilvl="7" w:tplc="BF546C92" w:tentative="1">
      <w:start w:val="1"/>
      <w:numFmt w:val="bullet"/>
      <w:lvlText w:val="o"/>
      <w:lvlJc w:val="left"/>
      <w:pPr>
        <w:ind w:left="5805" w:hanging="360"/>
      </w:pPr>
      <w:rPr>
        <w:rFonts w:ascii="Courier New" w:hAnsi="Courier New" w:cs="Courier New" w:hint="default"/>
      </w:rPr>
    </w:lvl>
    <w:lvl w:ilvl="8" w:tplc="839C920A" w:tentative="1">
      <w:start w:val="1"/>
      <w:numFmt w:val="bullet"/>
      <w:lvlText w:val=""/>
      <w:lvlJc w:val="left"/>
      <w:pPr>
        <w:ind w:left="6525" w:hanging="360"/>
      </w:pPr>
      <w:rPr>
        <w:rFonts w:ascii="Wingdings" w:hAnsi="Wingdings" w:hint="default"/>
      </w:rPr>
    </w:lvl>
  </w:abstractNum>
  <w:abstractNum w:abstractNumId="17">
    <w:nsid w:val="39BC2BEB"/>
    <w:multiLevelType w:val="hybridMultilevel"/>
    <w:tmpl w:val="35A0CDA2"/>
    <w:lvl w:ilvl="0" w:tplc="F4B69654">
      <w:start w:val="1"/>
      <w:numFmt w:val="lowerLetter"/>
      <w:lvlText w:val="(%1)"/>
      <w:lvlJc w:val="left"/>
      <w:pPr>
        <w:ind w:left="720" w:hanging="360"/>
      </w:pPr>
      <w:rPr>
        <w:rFonts w:hint="default"/>
      </w:rPr>
    </w:lvl>
    <w:lvl w:ilvl="1" w:tplc="827AE90E" w:tentative="1">
      <w:start w:val="1"/>
      <w:numFmt w:val="bullet"/>
      <w:lvlText w:val="o"/>
      <w:lvlJc w:val="left"/>
      <w:pPr>
        <w:ind w:left="1440" w:hanging="360"/>
      </w:pPr>
      <w:rPr>
        <w:rFonts w:ascii="Courier New" w:hAnsi="Courier New" w:hint="default"/>
      </w:rPr>
    </w:lvl>
    <w:lvl w:ilvl="2" w:tplc="72F0E90A" w:tentative="1">
      <w:start w:val="1"/>
      <w:numFmt w:val="bullet"/>
      <w:lvlText w:val=""/>
      <w:lvlJc w:val="left"/>
      <w:pPr>
        <w:ind w:left="2160" w:hanging="360"/>
      </w:pPr>
      <w:rPr>
        <w:rFonts w:ascii="Wingdings" w:hAnsi="Wingdings" w:hint="default"/>
      </w:rPr>
    </w:lvl>
    <w:lvl w:ilvl="3" w:tplc="A59CF05E" w:tentative="1">
      <w:start w:val="1"/>
      <w:numFmt w:val="bullet"/>
      <w:lvlText w:val=""/>
      <w:lvlJc w:val="left"/>
      <w:pPr>
        <w:ind w:left="2880" w:hanging="360"/>
      </w:pPr>
      <w:rPr>
        <w:rFonts w:ascii="Symbol" w:hAnsi="Symbol" w:hint="default"/>
      </w:rPr>
    </w:lvl>
    <w:lvl w:ilvl="4" w:tplc="D7FC5B86" w:tentative="1">
      <w:start w:val="1"/>
      <w:numFmt w:val="bullet"/>
      <w:lvlText w:val="o"/>
      <w:lvlJc w:val="left"/>
      <w:pPr>
        <w:ind w:left="3600" w:hanging="360"/>
      </w:pPr>
      <w:rPr>
        <w:rFonts w:ascii="Courier New" w:hAnsi="Courier New" w:hint="default"/>
      </w:rPr>
    </w:lvl>
    <w:lvl w:ilvl="5" w:tplc="A7086BE8" w:tentative="1">
      <w:start w:val="1"/>
      <w:numFmt w:val="bullet"/>
      <w:lvlText w:val=""/>
      <w:lvlJc w:val="left"/>
      <w:pPr>
        <w:ind w:left="4320" w:hanging="360"/>
      </w:pPr>
      <w:rPr>
        <w:rFonts w:ascii="Wingdings" w:hAnsi="Wingdings" w:hint="default"/>
      </w:rPr>
    </w:lvl>
    <w:lvl w:ilvl="6" w:tplc="25A0BC08" w:tentative="1">
      <w:start w:val="1"/>
      <w:numFmt w:val="bullet"/>
      <w:lvlText w:val=""/>
      <w:lvlJc w:val="left"/>
      <w:pPr>
        <w:ind w:left="5040" w:hanging="360"/>
      </w:pPr>
      <w:rPr>
        <w:rFonts w:ascii="Symbol" w:hAnsi="Symbol" w:hint="default"/>
      </w:rPr>
    </w:lvl>
    <w:lvl w:ilvl="7" w:tplc="F0301F10" w:tentative="1">
      <w:start w:val="1"/>
      <w:numFmt w:val="bullet"/>
      <w:lvlText w:val="o"/>
      <w:lvlJc w:val="left"/>
      <w:pPr>
        <w:ind w:left="5760" w:hanging="360"/>
      </w:pPr>
      <w:rPr>
        <w:rFonts w:ascii="Courier New" w:hAnsi="Courier New" w:hint="default"/>
      </w:rPr>
    </w:lvl>
    <w:lvl w:ilvl="8" w:tplc="10C0076E" w:tentative="1">
      <w:start w:val="1"/>
      <w:numFmt w:val="bullet"/>
      <w:lvlText w:val=""/>
      <w:lvlJc w:val="left"/>
      <w:pPr>
        <w:ind w:left="6480" w:hanging="360"/>
      </w:pPr>
      <w:rPr>
        <w:rFonts w:ascii="Wingdings" w:hAnsi="Wingdings" w:hint="default"/>
      </w:rPr>
    </w:lvl>
  </w:abstractNum>
  <w:abstractNum w:abstractNumId="18">
    <w:nsid w:val="42BA0934"/>
    <w:multiLevelType w:val="hybridMultilevel"/>
    <w:tmpl w:val="854AFFF2"/>
    <w:lvl w:ilvl="0" w:tplc="8176F95A">
      <w:start w:val="1"/>
      <w:numFmt w:val="bullet"/>
      <w:lvlText w:val=""/>
      <w:lvlJc w:val="left"/>
      <w:pPr>
        <w:ind w:left="720" w:hanging="360"/>
      </w:pPr>
      <w:rPr>
        <w:rFonts w:ascii="Symbol" w:hAnsi="Symbol" w:hint="default"/>
      </w:rPr>
    </w:lvl>
    <w:lvl w:ilvl="1" w:tplc="9B024052">
      <w:start w:val="1"/>
      <w:numFmt w:val="bullet"/>
      <w:lvlText w:val="o"/>
      <w:lvlJc w:val="left"/>
      <w:pPr>
        <w:ind w:left="1440" w:hanging="360"/>
      </w:pPr>
      <w:rPr>
        <w:rFonts w:ascii="Courier New" w:hAnsi="Courier New" w:cs="Courier New" w:hint="default"/>
      </w:rPr>
    </w:lvl>
    <w:lvl w:ilvl="2" w:tplc="E63C34DA" w:tentative="1">
      <w:start w:val="1"/>
      <w:numFmt w:val="bullet"/>
      <w:lvlText w:val=""/>
      <w:lvlJc w:val="left"/>
      <w:pPr>
        <w:ind w:left="2160" w:hanging="360"/>
      </w:pPr>
      <w:rPr>
        <w:rFonts w:ascii="Wingdings" w:hAnsi="Wingdings" w:hint="default"/>
      </w:rPr>
    </w:lvl>
    <w:lvl w:ilvl="3" w:tplc="0F78E9B2" w:tentative="1">
      <w:start w:val="1"/>
      <w:numFmt w:val="bullet"/>
      <w:lvlText w:val=""/>
      <w:lvlJc w:val="left"/>
      <w:pPr>
        <w:ind w:left="2880" w:hanging="360"/>
      </w:pPr>
      <w:rPr>
        <w:rFonts w:ascii="Symbol" w:hAnsi="Symbol" w:hint="default"/>
      </w:rPr>
    </w:lvl>
    <w:lvl w:ilvl="4" w:tplc="E4AC162E" w:tentative="1">
      <w:start w:val="1"/>
      <w:numFmt w:val="bullet"/>
      <w:lvlText w:val="o"/>
      <w:lvlJc w:val="left"/>
      <w:pPr>
        <w:ind w:left="3600" w:hanging="360"/>
      </w:pPr>
      <w:rPr>
        <w:rFonts w:ascii="Courier New" w:hAnsi="Courier New" w:cs="Courier New" w:hint="default"/>
      </w:rPr>
    </w:lvl>
    <w:lvl w:ilvl="5" w:tplc="66647642" w:tentative="1">
      <w:start w:val="1"/>
      <w:numFmt w:val="bullet"/>
      <w:lvlText w:val=""/>
      <w:lvlJc w:val="left"/>
      <w:pPr>
        <w:ind w:left="4320" w:hanging="360"/>
      </w:pPr>
      <w:rPr>
        <w:rFonts w:ascii="Wingdings" w:hAnsi="Wingdings" w:hint="default"/>
      </w:rPr>
    </w:lvl>
    <w:lvl w:ilvl="6" w:tplc="33080752" w:tentative="1">
      <w:start w:val="1"/>
      <w:numFmt w:val="bullet"/>
      <w:lvlText w:val=""/>
      <w:lvlJc w:val="left"/>
      <w:pPr>
        <w:ind w:left="5040" w:hanging="360"/>
      </w:pPr>
      <w:rPr>
        <w:rFonts w:ascii="Symbol" w:hAnsi="Symbol" w:hint="default"/>
      </w:rPr>
    </w:lvl>
    <w:lvl w:ilvl="7" w:tplc="55E6AFAC" w:tentative="1">
      <w:start w:val="1"/>
      <w:numFmt w:val="bullet"/>
      <w:lvlText w:val="o"/>
      <w:lvlJc w:val="left"/>
      <w:pPr>
        <w:ind w:left="5760" w:hanging="360"/>
      </w:pPr>
      <w:rPr>
        <w:rFonts w:ascii="Courier New" w:hAnsi="Courier New" w:cs="Courier New" w:hint="default"/>
      </w:rPr>
    </w:lvl>
    <w:lvl w:ilvl="8" w:tplc="097E7E92" w:tentative="1">
      <w:start w:val="1"/>
      <w:numFmt w:val="bullet"/>
      <w:lvlText w:val=""/>
      <w:lvlJc w:val="left"/>
      <w:pPr>
        <w:ind w:left="6480" w:hanging="360"/>
      </w:pPr>
      <w:rPr>
        <w:rFonts w:ascii="Wingdings" w:hAnsi="Wingdings" w:hint="default"/>
      </w:rPr>
    </w:lvl>
  </w:abstractNum>
  <w:abstractNum w:abstractNumId="19">
    <w:nsid w:val="433A3B18"/>
    <w:multiLevelType w:val="hybridMultilevel"/>
    <w:tmpl w:val="AA9EF492"/>
    <w:lvl w:ilvl="0" w:tplc="5D0AB2E6">
      <w:start w:val="1"/>
      <w:numFmt w:val="bullet"/>
      <w:lvlText w:val=""/>
      <w:lvlJc w:val="left"/>
      <w:pPr>
        <w:ind w:left="720" w:hanging="360"/>
      </w:pPr>
      <w:rPr>
        <w:rFonts w:ascii="Symbol" w:hAnsi="Symbol" w:hint="default"/>
      </w:rPr>
    </w:lvl>
    <w:lvl w:ilvl="1" w:tplc="BB44D47A" w:tentative="1">
      <w:start w:val="1"/>
      <w:numFmt w:val="bullet"/>
      <w:lvlText w:val="o"/>
      <w:lvlJc w:val="left"/>
      <w:pPr>
        <w:ind w:left="1440" w:hanging="360"/>
      </w:pPr>
      <w:rPr>
        <w:rFonts w:ascii="Courier New" w:hAnsi="Courier New" w:cs="Courier New" w:hint="default"/>
      </w:rPr>
    </w:lvl>
    <w:lvl w:ilvl="2" w:tplc="04AE01F0" w:tentative="1">
      <w:start w:val="1"/>
      <w:numFmt w:val="bullet"/>
      <w:lvlText w:val=""/>
      <w:lvlJc w:val="left"/>
      <w:pPr>
        <w:ind w:left="2160" w:hanging="360"/>
      </w:pPr>
      <w:rPr>
        <w:rFonts w:ascii="Wingdings" w:hAnsi="Wingdings" w:hint="default"/>
      </w:rPr>
    </w:lvl>
    <w:lvl w:ilvl="3" w:tplc="BE00B384" w:tentative="1">
      <w:start w:val="1"/>
      <w:numFmt w:val="bullet"/>
      <w:lvlText w:val=""/>
      <w:lvlJc w:val="left"/>
      <w:pPr>
        <w:ind w:left="2880" w:hanging="360"/>
      </w:pPr>
      <w:rPr>
        <w:rFonts w:ascii="Symbol" w:hAnsi="Symbol" w:hint="default"/>
      </w:rPr>
    </w:lvl>
    <w:lvl w:ilvl="4" w:tplc="7A4E61A8" w:tentative="1">
      <w:start w:val="1"/>
      <w:numFmt w:val="bullet"/>
      <w:lvlText w:val="o"/>
      <w:lvlJc w:val="left"/>
      <w:pPr>
        <w:ind w:left="3600" w:hanging="360"/>
      </w:pPr>
      <w:rPr>
        <w:rFonts w:ascii="Courier New" w:hAnsi="Courier New" w:cs="Courier New" w:hint="default"/>
      </w:rPr>
    </w:lvl>
    <w:lvl w:ilvl="5" w:tplc="CC149FD6" w:tentative="1">
      <w:start w:val="1"/>
      <w:numFmt w:val="bullet"/>
      <w:lvlText w:val=""/>
      <w:lvlJc w:val="left"/>
      <w:pPr>
        <w:ind w:left="4320" w:hanging="360"/>
      </w:pPr>
      <w:rPr>
        <w:rFonts w:ascii="Wingdings" w:hAnsi="Wingdings" w:hint="default"/>
      </w:rPr>
    </w:lvl>
    <w:lvl w:ilvl="6" w:tplc="7DD6E118" w:tentative="1">
      <w:start w:val="1"/>
      <w:numFmt w:val="bullet"/>
      <w:lvlText w:val=""/>
      <w:lvlJc w:val="left"/>
      <w:pPr>
        <w:ind w:left="5040" w:hanging="360"/>
      </w:pPr>
      <w:rPr>
        <w:rFonts w:ascii="Symbol" w:hAnsi="Symbol" w:hint="default"/>
      </w:rPr>
    </w:lvl>
    <w:lvl w:ilvl="7" w:tplc="1056F3AC" w:tentative="1">
      <w:start w:val="1"/>
      <w:numFmt w:val="bullet"/>
      <w:lvlText w:val="o"/>
      <w:lvlJc w:val="left"/>
      <w:pPr>
        <w:ind w:left="5760" w:hanging="360"/>
      </w:pPr>
      <w:rPr>
        <w:rFonts w:ascii="Courier New" w:hAnsi="Courier New" w:cs="Courier New" w:hint="default"/>
      </w:rPr>
    </w:lvl>
    <w:lvl w:ilvl="8" w:tplc="D7185F18" w:tentative="1">
      <w:start w:val="1"/>
      <w:numFmt w:val="bullet"/>
      <w:lvlText w:val=""/>
      <w:lvlJc w:val="left"/>
      <w:pPr>
        <w:ind w:left="6480" w:hanging="360"/>
      </w:pPr>
      <w:rPr>
        <w:rFonts w:ascii="Wingdings" w:hAnsi="Wingdings" w:hint="default"/>
      </w:rPr>
    </w:lvl>
  </w:abstractNum>
  <w:abstractNum w:abstractNumId="20">
    <w:nsid w:val="433E62A0"/>
    <w:multiLevelType w:val="hybridMultilevel"/>
    <w:tmpl w:val="B270FD7E"/>
    <w:lvl w:ilvl="0" w:tplc="2FF66550">
      <w:start w:val="1"/>
      <w:numFmt w:val="decimal"/>
      <w:lvlText w:val="%1."/>
      <w:lvlJc w:val="left"/>
      <w:pPr>
        <w:ind w:left="720" w:hanging="360"/>
      </w:pPr>
      <w:rPr>
        <w:rFonts w:hint="default"/>
      </w:rPr>
    </w:lvl>
    <w:lvl w:ilvl="1" w:tplc="0518B9F4" w:tentative="1">
      <w:start w:val="1"/>
      <w:numFmt w:val="lowerLetter"/>
      <w:lvlText w:val="%2."/>
      <w:lvlJc w:val="left"/>
      <w:pPr>
        <w:ind w:left="1440" w:hanging="360"/>
      </w:pPr>
    </w:lvl>
    <w:lvl w:ilvl="2" w:tplc="6B5633A8" w:tentative="1">
      <w:start w:val="1"/>
      <w:numFmt w:val="lowerRoman"/>
      <w:lvlText w:val="%3."/>
      <w:lvlJc w:val="right"/>
      <w:pPr>
        <w:ind w:left="2160" w:hanging="180"/>
      </w:pPr>
    </w:lvl>
    <w:lvl w:ilvl="3" w:tplc="1098F2FE" w:tentative="1">
      <w:start w:val="1"/>
      <w:numFmt w:val="decimal"/>
      <w:lvlText w:val="%4."/>
      <w:lvlJc w:val="left"/>
      <w:pPr>
        <w:ind w:left="2880" w:hanging="360"/>
      </w:pPr>
    </w:lvl>
    <w:lvl w:ilvl="4" w:tplc="BBA403E8" w:tentative="1">
      <w:start w:val="1"/>
      <w:numFmt w:val="lowerLetter"/>
      <w:lvlText w:val="%5."/>
      <w:lvlJc w:val="left"/>
      <w:pPr>
        <w:ind w:left="3600" w:hanging="360"/>
      </w:pPr>
    </w:lvl>
    <w:lvl w:ilvl="5" w:tplc="20F6E598" w:tentative="1">
      <w:start w:val="1"/>
      <w:numFmt w:val="lowerRoman"/>
      <w:lvlText w:val="%6."/>
      <w:lvlJc w:val="right"/>
      <w:pPr>
        <w:ind w:left="4320" w:hanging="180"/>
      </w:pPr>
    </w:lvl>
    <w:lvl w:ilvl="6" w:tplc="9F8407AA" w:tentative="1">
      <w:start w:val="1"/>
      <w:numFmt w:val="decimal"/>
      <w:lvlText w:val="%7."/>
      <w:lvlJc w:val="left"/>
      <w:pPr>
        <w:ind w:left="5040" w:hanging="360"/>
      </w:pPr>
    </w:lvl>
    <w:lvl w:ilvl="7" w:tplc="40E4C206" w:tentative="1">
      <w:start w:val="1"/>
      <w:numFmt w:val="lowerLetter"/>
      <w:lvlText w:val="%8."/>
      <w:lvlJc w:val="left"/>
      <w:pPr>
        <w:ind w:left="5760" w:hanging="360"/>
      </w:pPr>
    </w:lvl>
    <w:lvl w:ilvl="8" w:tplc="0B44AC00" w:tentative="1">
      <w:start w:val="1"/>
      <w:numFmt w:val="lowerRoman"/>
      <w:lvlText w:val="%9."/>
      <w:lvlJc w:val="right"/>
      <w:pPr>
        <w:ind w:left="6480" w:hanging="180"/>
      </w:pPr>
    </w:lvl>
  </w:abstractNum>
  <w:abstractNum w:abstractNumId="21">
    <w:nsid w:val="43CB7821"/>
    <w:multiLevelType w:val="hybridMultilevel"/>
    <w:tmpl w:val="B4EAF9BE"/>
    <w:lvl w:ilvl="0" w:tplc="D0ACCD0C">
      <w:numFmt w:val="bullet"/>
      <w:lvlText w:val="•"/>
      <w:lvlJc w:val="left"/>
      <w:pPr>
        <w:ind w:left="720" w:hanging="360"/>
      </w:pPr>
      <w:rPr>
        <w:rFonts w:ascii="Times New Roman" w:eastAsia="Times New Roman" w:hAnsi="Times New Roman" w:hint="default"/>
      </w:rPr>
    </w:lvl>
    <w:lvl w:ilvl="1" w:tplc="C0DEB692">
      <w:start w:val="1"/>
      <w:numFmt w:val="bullet"/>
      <w:lvlText w:val="o"/>
      <w:lvlJc w:val="left"/>
      <w:pPr>
        <w:ind w:left="1440" w:hanging="360"/>
      </w:pPr>
      <w:rPr>
        <w:rFonts w:ascii="Courier New" w:hAnsi="Courier New" w:cs="Courier New" w:hint="default"/>
      </w:rPr>
    </w:lvl>
    <w:lvl w:ilvl="2" w:tplc="A524EF68">
      <w:start w:val="1"/>
      <w:numFmt w:val="bullet"/>
      <w:lvlText w:val=""/>
      <w:lvlJc w:val="left"/>
      <w:pPr>
        <w:ind w:left="2160" w:hanging="360"/>
      </w:pPr>
      <w:rPr>
        <w:rFonts w:ascii="Wingdings" w:hAnsi="Wingdings" w:hint="default"/>
      </w:rPr>
    </w:lvl>
    <w:lvl w:ilvl="3" w:tplc="1C74D166">
      <w:start w:val="1"/>
      <w:numFmt w:val="bullet"/>
      <w:lvlText w:val=""/>
      <w:lvlJc w:val="left"/>
      <w:pPr>
        <w:ind w:left="2880" w:hanging="360"/>
      </w:pPr>
      <w:rPr>
        <w:rFonts w:ascii="Symbol" w:hAnsi="Symbol" w:hint="default"/>
      </w:rPr>
    </w:lvl>
    <w:lvl w:ilvl="4" w:tplc="CD84B7FE" w:tentative="1">
      <w:start w:val="1"/>
      <w:numFmt w:val="bullet"/>
      <w:lvlText w:val="o"/>
      <w:lvlJc w:val="left"/>
      <w:pPr>
        <w:ind w:left="3600" w:hanging="360"/>
      </w:pPr>
      <w:rPr>
        <w:rFonts w:ascii="Courier New" w:hAnsi="Courier New" w:cs="Courier New" w:hint="default"/>
      </w:rPr>
    </w:lvl>
    <w:lvl w:ilvl="5" w:tplc="2E92EE62" w:tentative="1">
      <w:start w:val="1"/>
      <w:numFmt w:val="bullet"/>
      <w:lvlText w:val=""/>
      <w:lvlJc w:val="left"/>
      <w:pPr>
        <w:ind w:left="4320" w:hanging="360"/>
      </w:pPr>
      <w:rPr>
        <w:rFonts w:ascii="Wingdings" w:hAnsi="Wingdings" w:hint="default"/>
      </w:rPr>
    </w:lvl>
    <w:lvl w:ilvl="6" w:tplc="A8AEB2D2" w:tentative="1">
      <w:start w:val="1"/>
      <w:numFmt w:val="bullet"/>
      <w:lvlText w:val=""/>
      <w:lvlJc w:val="left"/>
      <w:pPr>
        <w:ind w:left="5040" w:hanging="360"/>
      </w:pPr>
      <w:rPr>
        <w:rFonts w:ascii="Symbol" w:hAnsi="Symbol" w:hint="default"/>
      </w:rPr>
    </w:lvl>
    <w:lvl w:ilvl="7" w:tplc="BD1EBA02" w:tentative="1">
      <w:start w:val="1"/>
      <w:numFmt w:val="bullet"/>
      <w:lvlText w:val="o"/>
      <w:lvlJc w:val="left"/>
      <w:pPr>
        <w:ind w:left="5760" w:hanging="360"/>
      </w:pPr>
      <w:rPr>
        <w:rFonts w:ascii="Courier New" w:hAnsi="Courier New" w:cs="Courier New" w:hint="default"/>
      </w:rPr>
    </w:lvl>
    <w:lvl w:ilvl="8" w:tplc="5AACE7B8" w:tentative="1">
      <w:start w:val="1"/>
      <w:numFmt w:val="bullet"/>
      <w:lvlText w:val=""/>
      <w:lvlJc w:val="left"/>
      <w:pPr>
        <w:ind w:left="6480" w:hanging="360"/>
      </w:pPr>
      <w:rPr>
        <w:rFonts w:ascii="Wingdings" w:hAnsi="Wingdings" w:hint="default"/>
      </w:rPr>
    </w:lvl>
  </w:abstractNum>
  <w:abstractNum w:abstractNumId="22">
    <w:nsid w:val="47C8018F"/>
    <w:multiLevelType w:val="hybridMultilevel"/>
    <w:tmpl w:val="920C6508"/>
    <w:lvl w:ilvl="0" w:tplc="143EE27E">
      <w:start w:val="1"/>
      <w:numFmt w:val="bullet"/>
      <w:lvlText w:val=""/>
      <w:lvlJc w:val="left"/>
      <w:pPr>
        <w:ind w:left="720" w:hanging="360"/>
      </w:pPr>
      <w:rPr>
        <w:rFonts w:ascii="Symbol" w:hAnsi="Symbol" w:hint="default"/>
      </w:rPr>
    </w:lvl>
    <w:lvl w:ilvl="1" w:tplc="ACB2B4AA" w:tentative="1">
      <w:start w:val="1"/>
      <w:numFmt w:val="bullet"/>
      <w:lvlText w:val="o"/>
      <w:lvlJc w:val="left"/>
      <w:pPr>
        <w:ind w:left="1440" w:hanging="360"/>
      </w:pPr>
      <w:rPr>
        <w:rFonts w:ascii="Courier New" w:hAnsi="Courier New" w:cs="Courier New" w:hint="default"/>
      </w:rPr>
    </w:lvl>
    <w:lvl w:ilvl="2" w:tplc="94FAB52C" w:tentative="1">
      <w:start w:val="1"/>
      <w:numFmt w:val="bullet"/>
      <w:lvlText w:val=""/>
      <w:lvlJc w:val="left"/>
      <w:pPr>
        <w:ind w:left="2160" w:hanging="360"/>
      </w:pPr>
      <w:rPr>
        <w:rFonts w:ascii="Wingdings" w:hAnsi="Wingdings" w:hint="default"/>
      </w:rPr>
    </w:lvl>
    <w:lvl w:ilvl="3" w:tplc="0FCEBB80" w:tentative="1">
      <w:start w:val="1"/>
      <w:numFmt w:val="bullet"/>
      <w:lvlText w:val=""/>
      <w:lvlJc w:val="left"/>
      <w:pPr>
        <w:ind w:left="2880" w:hanging="360"/>
      </w:pPr>
      <w:rPr>
        <w:rFonts w:ascii="Symbol" w:hAnsi="Symbol" w:hint="default"/>
      </w:rPr>
    </w:lvl>
    <w:lvl w:ilvl="4" w:tplc="93349704" w:tentative="1">
      <w:start w:val="1"/>
      <w:numFmt w:val="bullet"/>
      <w:lvlText w:val="o"/>
      <w:lvlJc w:val="left"/>
      <w:pPr>
        <w:ind w:left="3600" w:hanging="360"/>
      </w:pPr>
      <w:rPr>
        <w:rFonts w:ascii="Courier New" w:hAnsi="Courier New" w:cs="Courier New" w:hint="default"/>
      </w:rPr>
    </w:lvl>
    <w:lvl w:ilvl="5" w:tplc="EBEC4942" w:tentative="1">
      <w:start w:val="1"/>
      <w:numFmt w:val="bullet"/>
      <w:lvlText w:val=""/>
      <w:lvlJc w:val="left"/>
      <w:pPr>
        <w:ind w:left="4320" w:hanging="360"/>
      </w:pPr>
      <w:rPr>
        <w:rFonts w:ascii="Wingdings" w:hAnsi="Wingdings" w:hint="default"/>
      </w:rPr>
    </w:lvl>
    <w:lvl w:ilvl="6" w:tplc="D03E60F0" w:tentative="1">
      <w:start w:val="1"/>
      <w:numFmt w:val="bullet"/>
      <w:lvlText w:val=""/>
      <w:lvlJc w:val="left"/>
      <w:pPr>
        <w:ind w:left="5040" w:hanging="360"/>
      </w:pPr>
      <w:rPr>
        <w:rFonts w:ascii="Symbol" w:hAnsi="Symbol" w:hint="default"/>
      </w:rPr>
    </w:lvl>
    <w:lvl w:ilvl="7" w:tplc="630665EE" w:tentative="1">
      <w:start w:val="1"/>
      <w:numFmt w:val="bullet"/>
      <w:lvlText w:val="o"/>
      <w:lvlJc w:val="left"/>
      <w:pPr>
        <w:ind w:left="5760" w:hanging="360"/>
      </w:pPr>
      <w:rPr>
        <w:rFonts w:ascii="Courier New" w:hAnsi="Courier New" w:cs="Courier New" w:hint="default"/>
      </w:rPr>
    </w:lvl>
    <w:lvl w:ilvl="8" w:tplc="B2A0224E" w:tentative="1">
      <w:start w:val="1"/>
      <w:numFmt w:val="bullet"/>
      <w:lvlText w:val=""/>
      <w:lvlJc w:val="left"/>
      <w:pPr>
        <w:ind w:left="6480" w:hanging="360"/>
      </w:pPr>
      <w:rPr>
        <w:rFonts w:ascii="Wingdings" w:hAnsi="Wingdings" w:hint="default"/>
      </w:rPr>
    </w:lvl>
  </w:abstractNum>
  <w:abstractNum w:abstractNumId="23">
    <w:nsid w:val="4EB404E3"/>
    <w:multiLevelType w:val="hybridMultilevel"/>
    <w:tmpl w:val="5ADC3CBE"/>
    <w:lvl w:ilvl="0" w:tplc="472A8AD0">
      <w:numFmt w:val="bullet"/>
      <w:lvlText w:val="•"/>
      <w:lvlJc w:val="left"/>
      <w:pPr>
        <w:ind w:left="720" w:hanging="360"/>
      </w:pPr>
      <w:rPr>
        <w:rFonts w:ascii="Times New Roman" w:eastAsia="Times New Roman" w:hAnsi="Times New Roman" w:hint="default"/>
      </w:rPr>
    </w:lvl>
    <w:lvl w:ilvl="1" w:tplc="F52AD50E" w:tentative="1">
      <w:start w:val="1"/>
      <w:numFmt w:val="lowerLetter"/>
      <w:lvlText w:val="%2."/>
      <w:lvlJc w:val="left"/>
      <w:pPr>
        <w:ind w:left="1440" w:hanging="360"/>
      </w:pPr>
    </w:lvl>
    <w:lvl w:ilvl="2" w:tplc="0F847F16" w:tentative="1">
      <w:start w:val="1"/>
      <w:numFmt w:val="lowerRoman"/>
      <w:lvlText w:val="%3."/>
      <w:lvlJc w:val="right"/>
      <w:pPr>
        <w:ind w:left="2160" w:hanging="180"/>
      </w:pPr>
    </w:lvl>
    <w:lvl w:ilvl="3" w:tplc="0154651A" w:tentative="1">
      <w:start w:val="1"/>
      <w:numFmt w:val="decimal"/>
      <w:lvlText w:val="%4."/>
      <w:lvlJc w:val="left"/>
      <w:pPr>
        <w:ind w:left="2880" w:hanging="360"/>
      </w:pPr>
    </w:lvl>
    <w:lvl w:ilvl="4" w:tplc="ED12507E" w:tentative="1">
      <w:start w:val="1"/>
      <w:numFmt w:val="lowerLetter"/>
      <w:lvlText w:val="%5."/>
      <w:lvlJc w:val="left"/>
      <w:pPr>
        <w:ind w:left="3600" w:hanging="360"/>
      </w:pPr>
    </w:lvl>
    <w:lvl w:ilvl="5" w:tplc="5340490A" w:tentative="1">
      <w:start w:val="1"/>
      <w:numFmt w:val="lowerRoman"/>
      <w:lvlText w:val="%6."/>
      <w:lvlJc w:val="right"/>
      <w:pPr>
        <w:ind w:left="4320" w:hanging="180"/>
      </w:pPr>
    </w:lvl>
    <w:lvl w:ilvl="6" w:tplc="9938A820" w:tentative="1">
      <w:start w:val="1"/>
      <w:numFmt w:val="decimal"/>
      <w:lvlText w:val="%7."/>
      <w:lvlJc w:val="left"/>
      <w:pPr>
        <w:ind w:left="5040" w:hanging="360"/>
      </w:pPr>
    </w:lvl>
    <w:lvl w:ilvl="7" w:tplc="40403870" w:tentative="1">
      <w:start w:val="1"/>
      <w:numFmt w:val="lowerLetter"/>
      <w:lvlText w:val="%8."/>
      <w:lvlJc w:val="left"/>
      <w:pPr>
        <w:ind w:left="5760" w:hanging="360"/>
      </w:pPr>
    </w:lvl>
    <w:lvl w:ilvl="8" w:tplc="8A5C6B70" w:tentative="1">
      <w:start w:val="1"/>
      <w:numFmt w:val="lowerRoman"/>
      <w:lvlText w:val="%9."/>
      <w:lvlJc w:val="right"/>
      <w:pPr>
        <w:ind w:left="6480" w:hanging="180"/>
      </w:pPr>
    </w:lvl>
  </w:abstractNum>
  <w:abstractNum w:abstractNumId="24">
    <w:nsid w:val="4FCE5CEA"/>
    <w:multiLevelType w:val="hybridMultilevel"/>
    <w:tmpl w:val="D9FE6C96"/>
    <w:lvl w:ilvl="0" w:tplc="95B4C0AA">
      <w:start w:val="1"/>
      <w:numFmt w:val="bullet"/>
      <w:lvlText w:val=""/>
      <w:lvlJc w:val="left"/>
      <w:pPr>
        <w:ind w:left="720" w:hanging="360"/>
      </w:pPr>
      <w:rPr>
        <w:rFonts w:ascii="Symbol" w:hAnsi="Symbol" w:hint="default"/>
      </w:rPr>
    </w:lvl>
    <w:lvl w:ilvl="1" w:tplc="C08EB708" w:tentative="1">
      <w:start w:val="1"/>
      <w:numFmt w:val="bullet"/>
      <w:lvlText w:val="o"/>
      <w:lvlJc w:val="left"/>
      <w:pPr>
        <w:ind w:left="1440" w:hanging="360"/>
      </w:pPr>
      <w:rPr>
        <w:rFonts w:ascii="Courier New" w:hAnsi="Courier New" w:cs="Courier New" w:hint="default"/>
      </w:rPr>
    </w:lvl>
    <w:lvl w:ilvl="2" w:tplc="237EED98" w:tentative="1">
      <w:start w:val="1"/>
      <w:numFmt w:val="bullet"/>
      <w:lvlText w:val=""/>
      <w:lvlJc w:val="left"/>
      <w:pPr>
        <w:ind w:left="2160" w:hanging="360"/>
      </w:pPr>
      <w:rPr>
        <w:rFonts w:ascii="Wingdings" w:hAnsi="Wingdings" w:hint="default"/>
      </w:rPr>
    </w:lvl>
    <w:lvl w:ilvl="3" w:tplc="61CC25EC" w:tentative="1">
      <w:start w:val="1"/>
      <w:numFmt w:val="bullet"/>
      <w:lvlText w:val=""/>
      <w:lvlJc w:val="left"/>
      <w:pPr>
        <w:ind w:left="2880" w:hanging="360"/>
      </w:pPr>
      <w:rPr>
        <w:rFonts w:ascii="Symbol" w:hAnsi="Symbol" w:hint="default"/>
      </w:rPr>
    </w:lvl>
    <w:lvl w:ilvl="4" w:tplc="1AD22A0C" w:tentative="1">
      <w:start w:val="1"/>
      <w:numFmt w:val="bullet"/>
      <w:lvlText w:val="o"/>
      <w:lvlJc w:val="left"/>
      <w:pPr>
        <w:ind w:left="3600" w:hanging="360"/>
      </w:pPr>
      <w:rPr>
        <w:rFonts w:ascii="Courier New" w:hAnsi="Courier New" w:cs="Courier New" w:hint="default"/>
      </w:rPr>
    </w:lvl>
    <w:lvl w:ilvl="5" w:tplc="83586604" w:tentative="1">
      <w:start w:val="1"/>
      <w:numFmt w:val="bullet"/>
      <w:lvlText w:val=""/>
      <w:lvlJc w:val="left"/>
      <w:pPr>
        <w:ind w:left="4320" w:hanging="360"/>
      </w:pPr>
      <w:rPr>
        <w:rFonts w:ascii="Wingdings" w:hAnsi="Wingdings" w:hint="default"/>
      </w:rPr>
    </w:lvl>
    <w:lvl w:ilvl="6" w:tplc="1E0C3E26" w:tentative="1">
      <w:start w:val="1"/>
      <w:numFmt w:val="bullet"/>
      <w:lvlText w:val=""/>
      <w:lvlJc w:val="left"/>
      <w:pPr>
        <w:ind w:left="5040" w:hanging="360"/>
      </w:pPr>
      <w:rPr>
        <w:rFonts w:ascii="Symbol" w:hAnsi="Symbol" w:hint="default"/>
      </w:rPr>
    </w:lvl>
    <w:lvl w:ilvl="7" w:tplc="91E0C7DE" w:tentative="1">
      <w:start w:val="1"/>
      <w:numFmt w:val="bullet"/>
      <w:lvlText w:val="o"/>
      <w:lvlJc w:val="left"/>
      <w:pPr>
        <w:ind w:left="5760" w:hanging="360"/>
      </w:pPr>
      <w:rPr>
        <w:rFonts w:ascii="Courier New" w:hAnsi="Courier New" w:cs="Courier New" w:hint="default"/>
      </w:rPr>
    </w:lvl>
    <w:lvl w:ilvl="8" w:tplc="09380B42" w:tentative="1">
      <w:start w:val="1"/>
      <w:numFmt w:val="bullet"/>
      <w:lvlText w:val=""/>
      <w:lvlJc w:val="left"/>
      <w:pPr>
        <w:ind w:left="6480" w:hanging="360"/>
      </w:pPr>
      <w:rPr>
        <w:rFonts w:ascii="Wingdings" w:hAnsi="Wingdings" w:hint="default"/>
      </w:rPr>
    </w:lvl>
  </w:abstractNum>
  <w:abstractNum w:abstractNumId="25">
    <w:nsid w:val="5040735E"/>
    <w:multiLevelType w:val="hybridMultilevel"/>
    <w:tmpl w:val="64101900"/>
    <w:lvl w:ilvl="0" w:tplc="006C8990">
      <w:start w:val="1"/>
      <w:numFmt w:val="bullet"/>
      <w:lvlText w:val=""/>
      <w:lvlJc w:val="left"/>
      <w:pPr>
        <w:ind w:left="720" w:hanging="360"/>
      </w:pPr>
      <w:rPr>
        <w:rFonts w:ascii="Symbol" w:hAnsi="Symbol" w:hint="default"/>
      </w:rPr>
    </w:lvl>
    <w:lvl w:ilvl="1" w:tplc="DB1A1B50" w:tentative="1">
      <w:start w:val="1"/>
      <w:numFmt w:val="bullet"/>
      <w:lvlText w:val="o"/>
      <w:lvlJc w:val="left"/>
      <w:pPr>
        <w:ind w:left="1440" w:hanging="360"/>
      </w:pPr>
      <w:rPr>
        <w:rFonts w:ascii="Courier New" w:hAnsi="Courier New" w:cs="Courier New" w:hint="default"/>
      </w:rPr>
    </w:lvl>
    <w:lvl w:ilvl="2" w:tplc="1A4E9616" w:tentative="1">
      <w:start w:val="1"/>
      <w:numFmt w:val="bullet"/>
      <w:lvlText w:val=""/>
      <w:lvlJc w:val="left"/>
      <w:pPr>
        <w:ind w:left="2160" w:hanging="360"/>
      </w:pPr>
      <w:rPr>
        <w:rFonts w:ascii="Wingdings" w:hAnsi="Wingdings" w:hint="default"/>
      </w:rPr>
    </w:lvl>
    <w:lvl w:ilvl="3" w:tplc="585ADE74" w:tentative="1">
      <w:start w:val="1"/>
      <w:numFmt w:val="bullet"/>
      <w:lvlText w:val=""/>
      <w:lvlJc w:val="left"/>
      <w:pPr>
        <w:ind w:left="2880" w:hanging="360"/>
      </w:pPr>
      <w:rPr>
        <w:rFonts w:ascii="Symbol" w:hAnsi="Symbol" w:hint="default"/>
      </w:rPr>
    </w:lvl>
    <w:lvl w:ilvl="4" w:tplc="81E01296" w:tentative="1">
      <w:start w:val="1"/>
      <w:numFmt w:val="bullet"/>
      <w:lvlText w:val="o"/>
      <w:lvlJc w:val="left"/>
      <w:pPr>
        <w:ind w:left="3600" w:hanging="360"/>
      </w:pPr>
      <w:rPr>
        <w:rFonts w:ascii="Courier New" w:hAnsi="Courier New" w:cs="Courier New" w:hint="default"/>
      </w:rPr>
    </w:lvl>
    <w:lvl w:ilvl="5" w:tplc="831083D0" w:tentative="1">
      <w:start w:val="1"/>
      <w:numFmt w:val="bullet"/>
      <w:lvlText w:val=""/>
      <w:lvlJc w:val="left"/>
      <w:pPr>
        <w:ind w:left="4320" w:hanging="360"/>
      </w:pPr>
      <w:rPr>
        <w:rFonts w:ascii="Wingdings" w:hAnsi="Wingdings" w:hint="default"/>
      </w:rPr>
    </w:lvl>
    <w:lvl w:ilvl="6" w:tplc="5F1C1B5C" w:tentative="1">
      <w:start w:val="1"/>
      <w:numFmt w:val="bullet"/>
      <w:lvlText w:val=""/>
      <w:lvlJc w:val="left"/>
      <w:pPr>
        <w:ind w:left="5040" w:hanging="360"/>
      </w:pPr>
      <w:rPr>
        <w:rFonts w:ascii="Symbol" w:hAnsi="Symbol" w:hint="default"/>
      </w:rPr>
    </w:lvl>
    <w:lvl w:ilvl="7" w:tplc="DC4AB00A" w:tentative="1">
      <w:start w:val="1"/>
      <w:numFmt w:val="bullet"/>
      <w:lvlText w:val="o"/>
      <w:lvlJc w:val="left"/>
      <w:pPr>
        <w:ind w:left="5760" w:hanging="360"/>
      </w:pPr>
      <w:rPr>
        <w:rFonts w:ascii="Courier New" w:hAnsi="Courier New" w:cs="Courier New" w:hint="default"/>
      </w:rPr>
    </w:lvl>
    <w:lvl w:ilvl="8" w:tplc="FA90239A" w:tentative="1">
      <w:start w:val="1"/>
      <w:numFmt w:val="bullet"/>
      <w:lvlText w:val=""/>
      <w:lvlJc w:val="left"/>
      <w:pPr>
        <w:ind w:left="6480" w:hanging="360"/>
      </w:pPr>
      <w:rPr>
        <w:rFonts w:ascii="Wingdings" w:hAnsi="Wingdings" w:hint="default"/>
      </w:rPr>
    </w:lvl>
  </w:abstractNum>
  <w:abstractNum w:abstractNumId="26">
    <w:nsid w:val="512B1D45"/>
    <w:multiLevelType w:val="hybridMultilevel"/>
    <w:tmpl w:val="67385F02"/>
    <w:lvl w:ilvl="0" w:tplc="A768CB80">
      <w:start w:val="1"/>
      <w:numFmt w:val="lowerLetter"/>
      <w:lvlText w:val="(%1)"/>
      <w:lvlJc w:val="left"/>
      <w:pPr>
        <w:ind w:left="720" w:hanging="360"/>
      </w:pPr>
      <w:rPr>
        <w:rFonts w:hint="default"/>
      </w:rPr>
    </w:lvl>
    <w:lvl w:ilvl="1" w:tplc="7A20B664" w:tentative="1">
      <w:start w:val="1"/>
      <w:numFmt w:val="lowerLetter"/>
      <w:lvlText w:val="%2."/>
      <w:lvlJc w:val="left"/>
      <w:pPr>
        <w:ind w:left="1440" w:hanging="360"/>
      </w:pPr>
    </w:lvl>
    <w:lvl w:ilvl="2" w:tplc="9CC6D508" w:tentative="1">
      <w:start w:val="1"/>
      <w:numFmt w:val="lowerRoman"/>
      <w:lvlText w:val="%3."/>
      <w:lvlJc w:val="right"/>
      <w:pPr>
        <w:ind w:left="2160" w:hanging="180"/>
      </w:pPr>
    </w:lvl>
    <w:lvl w:ilvl="3" w:tplc="30C2F852" w:tentative="1">
      <w:start w:val="1"/>
      <w:numFmt w:val="decimal"/>
      <w:lvlText w:val="%4."/>
      <w:lvlJc w:val="left"/>
      <w:pPr>
        <w:ind w:left="2880" w:hanging="360"/>
      </w:pPr>
    </w:lvl>
    <w:lvl w:ilvl="4" w:tplc="0268CE72" w:tentative="1">
      <w:start w:val="1"/>
      <w:numFmt w:val="lowerLetter"/>
      <w:lvlText w:val="%5."/>
      <w:lvlJc w:val="left"/>
      <w:pPr>
        <w:ind w:left="3600" w:hanging="360"/>
      </w:pPr>
    </w:lvl>
    <w:lvl w:ilvl="5" w:tplc="6F0C8182" w:tentative="1">
      <w:start w:val="1"/>
      <w:numFmt w:val="lowerRoman"/>
      <w:lvlText w:val="%6."/>
      <w:lvlJc w:val="right"/>
      <w:pPr>
        <w:ind w:left="4320" w:hanging="180"/>
      </w:pPr>
    </w:lvl>
    <w:lvl w:ilvl="6" w:tplc="EF4E379C" w:tentative="1">
      <w:start w:val="1"/>
      <w:numFmt w:val="decimal"/>
      <w:lvlText w:val="%7."/>
      <w:lvlJc w:val="left"/>
      <w:pPr>
        <w:ind w:left="5040" w:hanging="360"/>
      </w:pPr>
    </w:lvl>
    <w:lvl w:ilvl="7" w:tplc="B7B8954C" w:tentative="1">
      <w:start w:val="1"/>
      <w:numFmt w:val="lowerLetter"/>
      <w:lvlText w:val="%8."/>
      <w:lvlJc w:val="left"/>
      <w:pPr>
        <w:ind w:left="5760" w:hanging="360"/>
      </w:pPr>
    </w:lvl>
    <w:lvl w:ilvl="8" w:tplc="EA8A4F8A" w:tentative="1">
      <w:start w:val="1"/>
      <w:numFmt w:val="lowerRoman"/>
      <w:lvlText w:val="%9."/>
      <w:lvlJc w:val="right"/>
      <w:pPr>
        <w:ind w:left="6480" w:hanging="180"/>
      </w:pPr>
    </w:lvl>
  </w:abstractNum>
  <w:abstractNum w:abstractNumId="27">
    <w:nsid w:val="5572402F"/>
    <w:multiLevelType w:val="hybridMultilevel"/>
    <w:tmpl w:val="F92488EC"/>
    <w:lvl w:ilvl="0" w:tplc="23C4821C">
      <w:numFmt w:val="bullet"/>
      <w:lvlText w:val="•"/>
      <w:lvlJc w:val="left"/>
      <w:pPr>
        <w:ind w:left="1080" w:hanging="360"/>
      </w:pPr>
      <w:rPr>
        <w:rFonts w:ascii="Times New Roman" w:eastAsia="Times New Roman" w:hAnsi="Times New Roman" w:hint="default"/>
      </w:rPr>
    </w:lvl>
    <w:lvl w:ilvl="1" w:tplc="FD1A78C2" w:tentative="1">
      <w:start w:val="1"/>
      <w:numFmt w:val="bullet"/>
      <w:lvlText w:val="o"/>
      <w:lvlJc w:val="left"/>
      <w:pPr>
        <w:ind w:left="1800" w:hanging="360"/>
      </w:pPr>
      <w:rPr>
        <w:rFonts w:ascii="Courier New" w:hAnsi="Courier New" w:cs="Courier New" w:hint="default"/>
      </w:rPr>
    </w:lvl>
    <w:lvl w:ilvl="2" w:tplc="0CDA4210" w:tentative="1">
      <w:start w:val="1"/>
      <w:numFmt w:val="bullet"/>
      <w:lvlText w:val=""/>
      <w:lvlJc w:val="left"/>
      <w:pPr>
        <w:ind w:left="2520" w:hanging="360"/>
      </w:pPr>
      <w:rPr>
        <w:rFonts w:ascii="Wingdings" w:hAnsi="Wingdings" w:hint="default"/>
      </w:rPr>
    </w:lvl>
    <w:lvl w:ilvl="3" w:tplc="D286092C" w:tentative="1">
      <w:start w:val="1"/>
      <w:numFmt w:val="bullet"/>
      <w:lvlText w:val=""/>
      <w:lvlJc w:val="left"/>
      <w:pPr>
        <w:ind w:left="3240" w:hanging="360"/>
      </w:pPr>
      <w:rPr>
        <w:rFonts w:ascii="Symbol" w:hAnsi="Symbol" w:hint="default"/>
      </w:rPr>
    </w:lvl>
    <w:lvl w:ilvl="4" w:tplc="5DB8D956" w:tentative="1">
      <w:start w:val="1"/>
      <w:numFmt w:val="bullet"/>
      <w:lvlText w:val="o"/>
      <w:lvlJc w:val="left"/>
      <w:pPr>
        <w:ind w:left="3960" w:hanging="360"/>
      </w:pPr>
      <w:rPr>
        <w:rFonts w:ascii="Courier New" w:hAnsi="Courier New" w:cs="Courier New" w:hint="default"/>
      </w:rPr>
    </w:lvl>
    <w:lvl w:ilvl="5" w:tplc="670E23D6" w:tentative="1">
      <w:start w:val="1"/>
      <w:numFmt w:val="bullet"/>
      <w:lvlText w:val=""/>
      <w:lvlJc w:val="left"/>
      <w:pPr>
        <w:ind w:left="4680" w:hanging="360"/>
      </w:pPr>
      <w:rPr>
        <w:rFonts w:ascii="Wingdings" w:hAnsi="Wingdings" w:hint="default"/>
      </w:rPr>
    </w:lvl>
    <w:lvl w:ilvl="6" w:tplc="2F649C94" w:tentative="1">
      <w:start w:val="1"/>
      <w:numFmt w:val="bullet"/>
      <w:lvlText w:val=""/>
      <w:lvlJc w:val="left"/>
      <w:pPr>
        <w:ind w:left="5400" w:hanging="360"/>
      </w:pPr>
      <w:rPr>
        <w:rFonts w:ascii="Symbol" w:hAnsi="Symbol" w:hint="default"/>
      </w:rPr>
    </w:lvl>
    <w:lvl w:ilvl="7" w:tplc="6B5897B6" w:tentative="1">
      <w:start w:val="1"/>
      <w:numFmt w:val="bullet"/>
      <w:lvlText w:val="o"/>
      <w:lvlJc w:val="left"/>
      <w:pPr>
        <w:ind w:left="6120" w:hanging="360"/>
      </w:pPr>
      <w:rPr>
        <w:rFonts w:ascii="Courier New" w:hAnsi="Courier New" w:cs="Courier New" w:hint="default"/>
      </w:rPr>
    </w:lvl>
    <w:lvl w:ilvl="8" w:tplc="8CE46930" w:tentative="1">
      <w:start w:val="1"/>
      <w:numFmt w:val="bullet"/>
      <w:lvlText w:val=""/>
      <w:lvlJc w:val="left"/>
      <w:pPr>
        <w:ind w:left="6840" w:hanging="360"/>
      </w:pPr>
      <w:rPr>
        <w:rFonts w:ascii="Wingdings" w:hAnsi="Wingdings" w:hint="default"/>
      </w:rPr>
    </w:lvl>
  </w:abstractNum>
  <w:abstractNum w:abstractNumId="28">
    <w:nsid w:val="5648523B"/>
    <w:multiLevelType w:val="hybridMultilevel"/>
    <w:tmpl w:val="EFA2D906"/>
    <w:lvl w:ilvl="0" w:tplc="3AAE9072">
      <w:start w:val="1"/>
      <w:numFmt w:val="bullet"/>
      <w:lvlText w:val=""/>
      <w:lvlJc w:val="left"/>
      <w:pPr>
        <w:ind w:left="720" w:hanging="360"/>
      </w:pPr>
      <w:rPr>
        <w:rFonts w:ascii="Symbol" w:hAnsi="Symbol" w:hint="default"/>
      </w:rPr>
    </w:lvl>
    <w:lvl w:ilvl="1" w:tplc="C93EF602" w:tentative="1">
      <w:start w:val="1"/>
      <w:numFmt w:val="bullet"/>
      <w:lvlText w:val="o"/>
      <w:lvlJc w:val="left"/>
      <w:pPr>
        <w:ind w:left="1440" w:hanging="360"/>
      </w:pPr>
      <w:rPr>
        <w:rFonts w:ascii="Courier New" w:hAnsi="Courier New" w:cs="Courier New" w:hint="default"/>
      </w:rPr>
    </w:lvl>
    <w:lvl w:ilvl="2" w:tplc="472CE540" w:tentative="1">
      <w:start w:val="1"/>
      <w:numFmt w:val="bullet"/>
      <w:lvlText w:val=""/>
      <w:lvlJc w:val="left"/>
      <w:pPr>
        <w:ind w:left="2160" w:hanging="360"/>
      </w:pPr>
      <w:rPr>
        <w:rFonts w:ascii="Wingdings" w:hAnsi="Wingdings" w:hint="default"/>
      </w:rPr>
    </w:lvl>
    <w:lvl w:ilvl="3" w:tplc="79F2B08A" w:tentative="1">
      <w:start w:val="1"/>
      <w:numFmt w:val="bullet"/>
      <w:lvlText w:val=""/>
      <w:lvlJc w:val="left"/>
      <w:pPr>
        <w:ind w:left="2880" w:hanging="360"/>
      </w:pPr>
      <w:rPr>
        <w:rFonts w:ascii="Symbol" w:hAnsi="Symbol" w:hint="default"/>
      </w:rPr>
    </w:lvl>
    <w:lvl w:ilvl="4" w:tplc="3580F278" w:tentative="1">
      <w:start w:val="1"/>
      <w:numFmt w:val="bullet"/>
      <w:lvlText w:val="o"/>
      <w:lvlJc w:val="left"/>
      <w:pPr>
        <w:ind w:left="3600" w:hanging="360"/>
      </w:pPr>
      <w:rPr>
        <w:rFonts w:ascii="Courier New" w:hAnsi="Courier New" w:cs="Courier New" w:hint="default"/>
      </w:rPr>
    </w:lvl>
    <w:lvl w:ilvl="5" w:tplc="848EDFD8" w:tentative="1">
      <w:start w:val="1"/>
      <w:numFmt w:val="bullet"/>
      <w:lvlText w:val=""/>
      <w:lvlJc w:val="left"/>
      <w:pPr>
        <w:ind w:left="4320" w:hanging="360"/>
      </w:pPr>
      <w:rPr>
        <w:rFonts w:ascii="Wingdings" w:hAnsi="Wingdings" w:hint="default"/>
      </w:rPr>
    </w:lvl>
    <w:lvl w:ilvl="6" w:tplc="1A0A32C6" w:tentative="1">
      <w:start w:val="1"/>
      <w:numFmt w:val="bullet"/>
      <w:lvlText w:val=""/>
      <w:lvlJc w:val="left"/>
      <w:pPr>
        <w:ind w:left="5040" w:hanging="360"/>
      </w:pPr>
      <w:rPr>
        <w:rFonts w:ascii="Symbol" w:hAnsi="Symbol" w:hint="default"/>
      </w:rPr>
    </w:lvl>
    <w:lvl w:ilvl="7" w:tplc="4EA45BC0" w:tentative="1">
      <w:start w:val="1"/>
      <w:numFmt w:val="bullet"/>
      <w:lvlText w:val="o"/>
      <w:lvlJc w:val="left"/>
      <w:pPr>
        <w:ind w:left="5760" w:hanging="360"/>
      </w:pPr>
      <w:rPr>
        <w:rFonts w:ascii="Courier New" w:hAnsi="Courier New" w:cs="Courier New" w:hint="default"/>
      </w:rPr>
    </w:lvl>
    <w:lvl w:ilvl="8" w:tplc="3514AEBE" w:tentative="1">
      <w:start w:val="1"/>
      <w:numFmt w:val="bullet"/>
      <w:lvlText w:val=""/>
      <w:lvlJc w:val="left"/>
      <w:pPr>
        <w:ind w:left="6480" w:hanging="360"/>
      </w:pPr>
      <w:rPr>
        <w:rFonts w:ascii="Wingdings" w:hAnsi="Wingdings" w:hint="default"/>
      </w:rPr>
    </w:lvl>
  </w:abstractNum>
  <w:abstractNum w:abstractNumId="29">
    <w:nsid w:val="56AD033C"/>
    <w:multiLevelType w:val="hybridMultilevel"/>
    <w:tmpl w:val="6F02F792"/>
    <w:lvl w:ilvl="0" w:tplc="1AD25276">
      <w:start w:val="1"/>
      <w:numFmt w:val="bullet"/>
      <w:lvlText w:val=""/>
      <w:lvlJc w:val="left"/>
      <w:pPr>
        <w:ind w:left="720" w:hanging="360"/>
      </w:pPr>
      <w:rPr>
        <w:rFonts w:ascii="Symbol" w:hAnsi="Symbol" w:hint="default"/>
      </w:rPr>
    </w:lvl>
    <w:lvl w:ilvl="1" w:tplc="FE2A34DA" w:tentative="1">
      <w:start w:val="1"/>
      <w:numFmt w:val="bullet"/>
      <w:lvlText w:val="o"/>
      <w:lvlJc w:val="left"/>
      <w:pPr>
        <w:ind w:left="1440" w:hanging="360"/>
      </w:pPr>
      <w:rPr>
        <w:rFonts w:ascii="Courier New" w:hAnsi="Courier New" w:cs="Courier New" w:hint="default"/>
      </w:rPr>
    </w:lvl>
    <w:lvl w:ilvl="2" w:tplc="074A0280" w:tentative="1">
      <w:start w:val="1"/>
      <w:numFmt w:val="bullet"/>
      <w:lvlText w:val=""/>
      <w:lvlJc w:val="left"/>
      <w:pPr>
        <w:ind w:left="2160" w:hanging="360"/>
      </w:pPr>
      <w:rPr>
        <w:rFonts w:ascii="Wingdings" w:hAnsi="Wingdings" w:hint="default"/>
      </w:rPr>
    </w:lvl>
    <w:lvl w:ilvl="3" w:tplc="657CA48E" w:tentative="1">
      <w:start w:val="1"/>
      <w:numFmt w:val="bullet"/>
      <w:lvlText w:val=""/>
      <w:lvlJc w:val="left"/>
      <w:pPr>
        <w:ind w:left="2880" w:hanging="360"/>
      </w:pPr>
      <w:rPr>
        <w:rFonts w:ascii="Symbol" w:hAnsi="Symbol" w:hint="default"/>
      </w:rPr>
    </w:lvl>
    <w:lvl w:ilvl="4" w:tplc="7174E120" w:tentative="1">
      <w:start w:val="1"/>
      <w:numFmt w:val="bullet"/>
      <w:lvlText w:val="o"/>
      <w:lvlJc w:val="left"/>
      <w:pPr>
        <w:ind w:left="3600" w:hanging="360"/>
      </w:pPr>
      <w:rPr>
        <w:rFonts w:ascii="Courier New" w:hAnsi="Courier New" w:cs="Courier New" w:hint="default"/>
      </w:rPr>
    </w:lvl>
    <w:lvl w:ilvl="5" w:tplc="37C4B77E" w:tentative="1">
      <w:start w:val="1"/>
      <w:numFmt w:val="bullet"/>
      <w:lvlText w:val=""/>
      <w:lvlJc w:val="left"/>
      <w:pPr>
        <w:ind w:left="4320" w:hanging="360"/>
      </w:pPr>
      <w:rPr>
        <w:rFonts w:ascii="Wingdings" w:hAnsi="Wingdings" w:hint="default"/>
      </w:rPr>
    </w:lvl>
    <w:lvl w:ilvl="6" w:tplc="FD3466EA" w:tentative="1">
      <w:start w:val="1"/>
      <w:numFmt w:val="bullet"/>
      <w:lvlText w:val=""/>
      <w:lvlJc w:val="left"/>
      <w:pPr>
        <w:ind w:left="5040" w:hanging="360"/>
      </w:pPr>
      <w:rPr>
        <w:rFonts w:ascii="Symbol" w:hAnsi="Symbol" w:hint="default"/>
      </w:rPr>
    </w:lvl>
    <w:lvl w:ilvl="7" w:tplc="858CB0A0" w:tentative="1">
      <w:start w:val="1"/>
      <w:numFmt w:val="bullet"/>
      <w:lvlText w:val="o"/>
      <w:lvlJc w:val="left"/>
      <w:pPr>
        <w:ind w:left="5760" w:hanging="360"/>
      </w:pPr>
      <w:rPr>
        <w:rFonts w:ascii="Courier New" w:hAnsi="Courier New" w:cs="Courier New" w:hint="default"/>
      </w:rPr>
    </w:lvl>
    <w:lvl w:ilvl="8" w:tplc="9E327CC4" w:tentative="1">
      <w:start w:val="1"/>
      <w:numFmt w:val="bullet"/>
      <w:lvlText w:val=""/>
      <w:lvlJc w:val="left"/>
      <w:pPr>
        <w:ind w:left="6480" w:hanging="360"/>
      </w:pPr>
      <w:rPr>
        <w:rFonts w:ascii="Wingdings" w:hAnsi="Wingdings" w:hint="default"/>
      </w:rPr>
    </w:lvl>
  </w:abstractNum>
  <w:abstractNum w:abstractNumId="30">
    <w:nsid w:val="58BF68EA"/>
    <w:multiLevelType w:val="hybridMultilevel"/>
    <w:tmpl w:val="5A82C7BC"/>
    <w:lvl w:ilvl="0" w:tplc="14626198">
      <w:numFmt w:val="bullet"/>
      <w:lvlText w:val="•"/>
      <w:lvlJc w:val="left"/>
      <w:pPr>
        <w:ind w:left="720" w:hanging="360"/>
      </w:pPr>
      <w:rPr>
        <w:rFonts w:ascii="Times New Roman" w:eastAsia="Times New Roman" w:hAnsi="Times New Roman" w:hint="default"/>
      </w:rPr>
    </w:lvl>
    <w:lvl w:ilvl="1" w:tplc="94340D84" w:tentative="1">
      <w:start w:val="1"/>
      <w:numFmt w:val="bullet"/>
      <w:lvlText w:val="o"/>
      <w:lvlJc w:val="left"/>
      <w:pPr>
        <w:ind w:left="1440" w:hanging="360"/>
      </w:pPr>
      <w:rPr>
        <w:rFonts w:ascii="Courier New" w:hAnsi="Courier New" w:cs="Courier New" w:hint="default"/>
      </w:rPr>
    </w:lvl>
    <w:lvl w:ilvl="2" w:tplc="E9526D32" w:tentative="1">
      <w:start w:val="1"/>
      <w:numFmt w:val="bullet"/>
      <w:lvlText w:val=""/>
      <w:lvlJc w:val="left"/>
      <w:pPr>
        <w:ind w:left="2160" w:hanging="360"/>
      </w:pPr>
      <w:rPr>
        <w:rFonts w:ascii="Wingdings" w:hAnsi="Wingdings" w:hint="default"/>
      </w:rPr>
    </w:lvl>
    <w:lvl w:ilvl="3" w:tplc="94CAB5D6" w:tentative="1">
      <w:start w:val="1"/>
      <w:numFmt w:val="bullet"/>
      <w:lvlText w:val=""/>
      <w:lvlJc w:val="left"/>
      <w:pPr>
        <w:ind w:left="2880" w:hanging="360"/>
      </w:pPr>
      <w:rPr>
        <w:rFonts w:ascii="Symbol" w:hAnsi="Symbol" w:hint="default"/>
      </w:rPr>
    </w:lvl>
    <w:lvl w:ilvl="4" w:tplc="52BEC3B8" w:tentative="1">
      <w:start w:val="1"/>
      <w:numFmt w:val="bullet"/>
      <w:lvlText w:val="o"/>
      <w:lvlJc w:val="left"/>
      <w:pPr>
        <w:ind w:left="3600" w:hanging="360"/>
      </w:pPr>
      <w:rPr>
        <w:rFonts w:ascii="Courier New" w:hAnsi="Courier New" w:cs="Courier New" w:hint="default"/>
      </w:rPr>
    </w:lvl>
    <w:lvl w:ilvl="5" w:tplc="EC480678" w:tentative="1">
      <w:start w:val="1"/>
      <w:numFmt w:val="bullet"/>
      <w:lvlText w:val=""/>
      <w:lvlJc w:val="left"/>
      <w:pPr>
        <w:ind w:left="4320" w:hanging="360"/>
      </w:pPr>
      <w:rPr>
        <w:rFonts w:ascii="Wingdings" w:hAnsi="Wingdings" w:hint="default"/>
      </w:rPr>
    </w:lvl>
    <w:lvl w:ilvl="6" w:tplc="725A4A00" w:tentative="1">
      <w:start w:val="1"/>
      <w:numFmt w:val="bullet"/>
      <w:lvlText w:val=""/>
      <w:lvlJc w:val="left"/>
      <w:pPr>
        <w:ind w:left="5040" w:hanging="360"/>
      </w:pPr>
      <w:rPr>
        <w:rFonts w:ascii="Symbol" w:hAnsi="Symbol" w:hint="default"/>
      </w:rPr>
    </w:lvl>
    <w:lvl w:ilvl="7" w:tplc="38429814" w:tentative="1">
      <w:start w:val="1"/>
      <w:numFmt w:val="bullet"/>
      <w:lvlText w:val="o"/>
      <w:lvlJc w:val="left"/>
      <w:pPr>
        <w:ind w:left="5760" w:hanging="360"/>
      </w:pPr>
      <w:rPr>
        <w:rFonts w:ascii="Courier New" w:hAnsi="Courier New" w:cs="Courier New" w:hint="default"/>
      </w:rPr>
    </w:lvl>
    <w:lvl w:ilvl="8" w:tplc="DB8C0478" w:tentative="1">
      <w:start w:val="1"/>
      <w:numFmt w:val="bullet"/>
      <w:lvlText w:val=""/>
      <w:lvlJc w:val="left"/>
      <w:pPr>
        <w:ind w:left="6480" w:hanging="360"/>
      </w:pPr>
      <w:rPr>
        <w:rFonts w:ascii="Wingdings" w:hAnsi="Wingdings" w:hint="default"/>
      </w:rPr>
    </w:lvl>
  </w:abstractNum>
  <w:abstractNum w:abstractNumId="31">
    <w:nsid w:val="5FD248BA"/>
    <w:multiLevelType w:val="hybridMultilevel"/>
    <w:tmpl w:val="89BA0E58"/>
    <w:lvl w:ilvl="0" w:tplc="E33C0E2C">
      <w:start w:val="1"/>
      <w:numFmt w:val="bullet"/>
      <w:lvlText w:val=""/>
      <w:lvlJc w:val="left"/>
      <w:pPr>
        <w:ind w:left="720" w:hanging="360"/>
      </w:pPr>
      <w:rPr>
        <w:rFonts w:ascii="Symbol" w:hAnsi="Symbol" w:hint="default"/>
      </w:rPr>
    </w:lvl>
    <w:lvl w:ilvl="1" w:tplc="0F50CFDA" w:tentative="1">
      <w:start w:val="1"/>
      <w:numFmt w:val="bullet"/>
      <w:lvlText w:val="o"/>
      <w:lvlJc w:val="left"/>
      <w:pPr>
        <w:ind w:left="1440" w:hanging="360"/>
      </w:pPr>
      <w:rPr>
        <w:rFonts w:ascii="Courier New" w:hAnsi="Courier New" w:cs="Courier New" w:hint="default"/>
      </w:rPr>
    </w:lvl>
    <w:lvl w:ilvl="2" w:tplc="9A008D4A" w:tentative="1">
      <w:start w:val="1"/>
      <w:numFmt w:val="bullet"/>
      <w:lvlText w:val=""/>
      <w:lvlJc w:val="left"/>
      <w:pPr>
        <w:ind w:left="2160" w:hanging="360"/>
      </w:pPr>
      <w:rPr>
        <w:rFonts w:ascii="Wingdings" w:hAnsi="Wingdings" w:hint="default"/>
      </w:rPr>
    </w:lvl>
    <w:lvl w:ilvl="3" w:tplc="F196AED0" w:tentative="1">
      <w:start w:val="1"/>
      <w:numFmt w:val="bullet"/>
      <w:lvlText w:val=""/>
      <w:lvlJc w:val="left"/>
      <w:pPr>
        <w:ind w:left="2880" w:hanging="360"/>
      </w:pPr>
      <w:rPr>
        <w:rFonts w:ascii="Symbol" w:hAnsi="Symbol" w:hint="default"/>
      </w:rPr>
    </w:lvl>
    <w:lvl w:ilvl="4" w:tplc="058E599A" w:tentative="1">
      <w:start w:val="1"/>
      <w:numFmt w:val="bullet"/>
      <w:lvlText w:val="o"/>
      <w:lvlJc w:val="left"/>
      <w:pPr>
        <w:ind w:left="3600" w:hanging="360"/>
      </w:pPr>
      <w:rPr>
        <w:rFonts w:ascii="Courier New" w:hAnsi="Courier New" w:cs="Courier New" w:hint="default"/>
      </w:rPr>
    </w:lvl>
    <w:lvl w:ilvl="5" w:tplc="C6B80DA0" w:tentative="1">
      <w:start w:val="1"/>
      <w:numFmt w:val="bullet"/>
      <w:lvlText w:val=""/>
      <w:lvlJc w:val="left"/>
      <w:pPr>
        <w:ind w:left="4320" w:hanging="360"/>
      </w:pPr>
      <w:rPr>
        <w:rFonts w:ascii="Wingdings" w:hAnsi="Wingdings" w:hint="default"/>
      </w:rPr>
    </w:lvl>
    <w:lvl w:ilvl="6" w:tplc="2E284268" w:tentative="1">
      <w:start w:val="1"/>
      <w:numFmt w:val="bullet"/>
      <w:lvlText w:val=""/>
      <w:lvlJc w:val="left"/>
      <w:pPr>
        <w:ind w:left="5040" w:hanging="360"/>
      </w:pPr>
      <w:rPr>
        <w:rFonts w:ascii="Symbol" w:hAnsi="Symbol" w:hint="default"/>
      </w:rPr>
    </w:lvl>
    <w:lvl w:ilvl="7" w:tplc="03C4CC02" w:tentative="1">
      <w:start w:val="1"/>
      <w:numFmt w:val="bullet"/>
      <w:lvlText w:val="o"/>
      <w:lvlJc w:val="left"/>
      <w:pPr>
        <w:ind w:left="5760" w:hanging="360"/>
      </w:pPr>
      <w:rPr>
        <w:rFonts w:ascii="Courier New" w:hAnsi="Courier New" w:cs="Courier New" w:hint="default"/>
      </w:rPr>
    </w:lvl>
    <w:lvl w:ilvl="8" w:tplc="1E9ED4F0" w:tentative="1">
      <w:start w:val="1"/>
      <w:numFmt w:val="bullet"/>
      <w:lvlText w:val=""/>
      <w:lvlJc w:val="left"/>
      <w:pPr>
        <w:ind w:left="6480" w:hanging="360"/>
      </w:pPr>
      <w:rPr>
        <w:rFonts w:ascii="Wingdings" w:hAnsi="Wingdings" w:hint="default"/>
      </w:rPr>
    </w:lvl>
  </w:abstractNum>
  <w:abstractNum w:abstractNumId="32">
    <w:nsid w:val="64A55AB2"/>
    <w:multiLevelType w:val="hybridMultilevel"/>
    <w:tmpl w:val="453C5E76"/>
    <w:lvl w:ilvl="0" w:tplc="B89842A6">
      <w:numFmt w:val="bullet"/>
      <w:lvlText w:val="•"/>
      <w:lvlJc w:val="left"/>
      <w:pPr>
        <w:ind w:left="720" w:hanging="360"/>
      </w:pPr>
      <w:rPr>
        <w:rFonts w:ascii="Times New Roman" w:eastAsia="Times New Roman" w:hAnsi="Times New Roman" w:hint="default"/>
      </w:rPr>
    </w:lvl>
    <w:lvl w:ilvl="1" w:tplc="69D48B58" w:tentative="1">
      <w:start w:val="1"/>
      <w:numFmt w:val="bullet"/>
      <w:lvlText w:val="o"/>
      <w:lvlJc w:val="left"/>
      <w:pPr>
        <w:ind w:left="1440" w:hanging="360"/>
      </w:pPr>
      <w:rPr>
        <w:rFonts w:ascii="Courier New" w:hAnsi="Courier New" w:cs="Courier New" w:hint="default"/>
      </w:rPr>
    </w:lvl>
    <w:lvl w:ilvl="2" w:tplc="2E96A3D6" w:tentative="1">
      <w:start w:val="1"/>
      <w:numFmt w:val="bullet"/>
      <w:lvlText w:val=""/>
      <w:lvlJc w:val="left"/>
      <w:pPr>
        <w:ind w:left="2160" w:hanging="360"/>
      </w:pPr>
      <w:rPr>
        <w:rFonts w:ascii="Wingdings" w:hAnsi="Wingdings" w:hint="default"/>
      </w:rPr>
    </w:lvl>
    <w:lvl w:ilvl="3" w:tplc="C186ADA0" w:tentative="1">
      <w:start w:val="1"/>
      <w:numFmt w:val="bullet"/>
      <w:lvlText w:val=""/>
      <w:lvlJc w:val="left"/>
      <w:pPr>
        <w:ind w:left="2880" w:hanging="360"/>
      </w:pPr>
      <w:rPr>
        <w:rFonts w:ascii="Symbol" w:hAnsi="Symbol" w:hint="default"/>
      </w:rPr>
    </w:lvl>
    <w:lvl w:ilvl="4" w:tplc="8976F33A" w:tentative="1">
      <w:start w:val="1"/>
      <w:numFmt w:val="bullet"/>
      <w:lvlText w:val="o"/>
      <w:lvlJc w:val="left"/>
      <w:pPr>
        <w:ind w:left="3600" w:hanging="360"/>
      </w:pPr>
      <w:rPr>
        <w:rFonts w:ascii="Courier New" w:hAnsi="Courier New" w:cs="Courier New" w:hint="default"/>
      </w:rPr>
    </w:lvl>
    <w:lvl w:ilvl="5" w:tplc="8C5AEBB4" w:tentative="1">
      <w:start w:val="1"/>
      <w:numFmt w:val="bullet"/>
      <w:lvlText w:val=""/>
      <w:lvlJc w:val="left"/>
      <w:pPr>
        <w:ind w:left="4320" w:hanging="360"/>
      </w:pPr>
      <w:rPr>
        <w:rFonts w:ascii="Wingdings" w:hAnsi="Wingdings" w:hint="default"/>
      </w:rPr>
    </w:lvl>
    <w:lvl w:ilvl="6" w:tplc="E6AE2B24" w:tentative="1">
      <w:start w:val="1"/>
      <w:numFmt w:val="bullet"/>
      <w:lvlText w:val=""/>
      <w:lvlJc w:val="left"/>
      <w:pPr>
        <w:ind w:left="5040" w:hanging="360"/>
      </w:pPr>
      <w:rPr>
        <w:rFonts w:ascii="Symbol" w:hAnsi="Symbol" w:hint="default"/>
      </w:rPr>
    </w:lvl>
    <w:lvl w:ilvl="7" w:tplc="528ADEF8" w:tentative="1">
      <w:start w:val="1"/>
      <w:numFmt w:val="bullet"/>
      <w:lvlText w:val="o"/>
      <w:lvlJc w:val="left"/>
      <w:pPr>
        <w:ind w:left="5760" w:hanging="360"/>
      </w:pPr>
      <w:rPr>
        <w:rFonts w:ascii="Courier New" w:hAnsi="Courier New" w:cs="Courier New" w:hint="default"/>
      </w:rPr>
    </w:lvl>
    <w:lvl w:ilvl="8" w:tplc="951E36F6" w:tentative="1">
      <w:start w:val="1"/>
      <w:numFmt w:val="bullet"/>
      <w:lvlText w:val=""/>
      <w:lvlJc w:val="left"/>
      <w:pPr>
        <w:ind w:left="6480" w:hanging="360"/>
      </w:pPr>
      <w:rPr>
        <w:rFonts w:ascii="Wingdings" w:hAnsi="Wingdings" w:hint="default"/>
      </w:rPr>
    </w:lvl>
  </w:abstractNum>
  <w:abstractNum w:abstractNumId="33">
    <w:nsid w:val="65B4070A"/>
    <w:multiLevelType w:val="hybridMultilevel"/>
    <w:tmpl w:val="7FE4AD80"/>
    <w:lvl w:ilvl="0" w:tplc="0576D20A">
      <w:numFmt w:val="bullet"/>
      <w:lvlText w:val="•"/>
      <w:lvlJc w:val="left"/>
      <w:pPr>
        <w:ind w:left="720" w:hanging="360"/>
      </w:pPr>
      <w:rPr>
        <w:rFonts w:ascii="Times New Roman" w:eastAsia="Times New Roman" w:hAnsi="Times New Roman" w:hint="default"/>
      </w:rPr>
    </w:lvl>
    <w:lvl w:ilvl="1" w:tplc="552AC73A" w:tentative="1">
      <w:start w:val="1"/>
      <w:numFmt w:val="bullet"/>
      <w:lvlText w:val="o"/>
      <w:lvlJc w:val="left"/>
      <w:pPr>
        <w:ind w:left="1440" w:hanging="360"/>
      </w:pPr>
      <w:rPr>
        <w:rFonts w:ascii="Courier New" w:hAnsi="Courier New" w:cs="Courier New" w:hint="default"/>
      </w:rPr>
    </w:lvl>
    <w:lvl w:ilvl="2" w:tplc="791E0564" w:tentative="1">
      <w:start w:val="1"/>
      <w:numFmt w:val="bullet"/>
      <w:lvlText w:val=""/>
      <w:lvlJc w:val="left"/>
      <w:pPr>
        <w:ind w:left="2160" w:hanging="360"/>
      </w:pPr>
      <w:rPr>
        <w:rFonts w:ascii="Wingdings" w:hAnsi="Wingdings" w:hint="default"/>
      </w:rPr>
    </w:lvl>
    <w:lvl w:ilvl="3" w:tplc="49E412C6" w:tentative="1">
      <w:start w:val="1"/>
      <w:numFmt w:val="bullet"/>
      <w:lvlText w:val=""/>
      <w:lvlJc w:val="left"/>
      <w:pPr>
        <w:ind w:left="2880" w:hanging="360"/>
      </w:pPr>
      <w:rPr>
        <w:rFonts w:ascii="Symbol" w:hAnsi="Symbol" w:hint="default"/>
      </w:rPr>
    </w:lvl>
    <w:lvl w:ilvl="4" w:tplc="A3D2441A" w:tentative="1">
      <w:start w:val="1"/>
      <w:numFmt w:val="bullet"/>
      <w:lvlText w:val="o"/>
      <w:lvlJc w:val="left"/>
      <w:pPr>
        <w:ind w:left="3600" w:hanging="360"/>
      </w:pPr>
      <w:rPr>
        <w:rFonts w:ascii="Courier New" w:hAnsi="Courier New" w:cs="Courier New" w:hint="default"/>
      </w:rPr>
    </w:lvl>
    <w:lvl w:ilvl="5" w:tplc="EE34EE6E" w:tentative="1">
      <w:start w:val="1"/>
      <w:numFmt w:val="bullet"/>
      <w:lvlText w:val=""/>
      <w:lvlJc w:val="left"/>
      <w:pPr>
        <w:ind w:left="4320" w:hanging="360"/>
      </w:pPr>
      <w:rPr>
        <w:rFonts w:ascii="Wingdings" w:hAnsi="Wingdings" w:hint="default"/>
      </w:rPr>
    </w:lvl>
    <w:lvl w:ilvl="6" w:tplc="7E02ABAE" w:tentative="1">
      <w:start w:val="1"/>
      <w:numFmt w:val="bullet"/>
      <w:lvlText w:val=""/>
      <w:lvlJc w:val="left"/>
      <w:pPr>
        <w:ind w:left="5040" w:hanging="360"/>
      </w:pPr>
      <w:rPr>
        <w:rFonts w:ascii="Symbol" w:hAnsi="Symbol" w:hint="default"/>
      </w:rPr>
    </w:lvl>
    <w:lvl w:ilvl="7" w:tplc="C582B536" w:tentative="1">
      <w:start w:val="1"/>
      <w:numFmt w:val="bullet"/>
      <w:lvlText w:val="o"/>
      <w:lvlJc w:val="left"/>
      <w:pPr>
        <w:ind w:left="5760" w:hanging="360"/>
      </w:pPr>
      <w:rPr>
        <w:rFonts w:ascii="Courier New" w:hAnsi="Courier New" w:cs="Courier New" w:hint="default"/>
      </w:rPr>
    </w:lvl>
    <w:lvl w:ilvl="8" w:tplc="6F0690AC" w:tentative="1">
      <w:start w:val="1"/>
      <w:numFmt w:val="bullet"/>
      <w:lvlText w:val=""/>
      <w:lvlJc w:val="left"/>
      <w:pPr>
        <w:ind w:left="6480" w:hanging="360"/>
      </w:pPr>
      <w:rPr>
        <w:rFonts w:ascii="Wingdings" w:hAnsi="Wingdings" w:hint="default"/>
      </w:rPr>
    </w:lvl>
  </w:abstractNum>
  <w:abstractNum w:abstractNumId="34">
    <w:nsid w:val="662204B5"/>
    <w:multiLevelType w:val="hybridMultilevel"/>
    <w:tmpl w:val="A52E4E16"/>
    <w:lvl w:ilvl="0" w:tplc="E3FCC276">
      <w:start w:val="1"/>
      <w:numFmt w:val="lowerLetter"/>
      <w:lvlText w:val="(%1)"/>
      <w:lvlJc w:val="left"/>
      <w:pPr>
        <w:ind w:left="1684" w:hanging="360"/>
      </w:pPr>
      <w:rPr>
        <w:rFonts w:hint="default"/>
      </w:rPr>
    </w:lvl>
    <w:lvl w:ilvl="1" w:tplc="BFB4D0F0">
      <w:start w:val="1"/>
      <w:numFmt w:val="lowerLetter"/>
      <w:lvlText w:val="(%2)"/>
      <w:lvlJc w:val="left"/>
      <w:pPr>
        <w:ind w:left="1440" w:hanging="360"/>
      </w:pPr>
      <w:rPr>
        <w:rFonts w:hint="default"/>
      </w:rPr>
    </w:lvl>
    <w:lvl w:ilvl="2" w:tplc="2B4EA2C6">
      <w:start w:val="1"/>
      <w:numFmt w:val="lowerRoman"/>
      <w:lvlText w:val="%3."/>
      <w:lvlJc w:val="right"/>
      <w:pPr>
        <w:ind w:left="2160" w:hanging="180"/>
      </w:pPr>
    </w:lvl>
    <w:lvl w:ilvl="3" w:tplc="F48E765E" w:tentative="1">
      <w:start w:val="1"/>
      <w:numFmt w:val="decimal"/>
      <w:lvlText w:val="%4."/>
      <w:lvlJc w:val="left"/>
      <w:pPr>
        <w:ind w:left="2880" w:hanging="360"/>
      </w:pPr>
    </w:lvl>
    <w:lvl w:ilvl="4" w:tplc="81122364" w:tentative="1">
      <w:start w:val="1"/>
      <w:numFmt w:val="lowerLetter"/>
      <w:lvlText w:val="%5."/>
      <w:lvlJc w:val="left"/>
      <w:pPr>
        <w:ind w:left="3600" w:hanging="360"/>
      </w:pPr>
    </w:lvl>
    <w:lvl w:ilvl="5" w:tplc="378448A4" w:tentative="1">
      <w:start w:val="1"/>
      <w:numFmt w:val="lowerRoman"/>
      <w:lvlText w:val="%6."/>
      <w:lvlJc w:val="right"/>
      <w:pPr>
        <w:ind w:left="4320" w:hanging="180"/>
      </w:pPr>
    </w:lvl>
    <w:lvl w:ilvl="6" w:tplc="2B2A4536" w:tentative="1">
      <w:start w:val="1"/>
      <w:numFmt w:val="decimal"/>
      <w:lvlText w:val="%7."/>
      <w:lvlJc w:val="left"/>
      <w:pPr>
        <w:ind w:left="5040" w:hanging="360"/>
      </w:pPr>
    </w:lvl>
    <w:lvl w:ilvl="7" w:tplc="A48C1CF6" w:tentative="1">
      <w:start w:val="1"/>
      <w:numFmt w:val="lowerLetter"/>
      <w:lvlText w:val="%8."/>
      <w:lvlJc w:val="left"/>
      <w:pPr>
        <w:ind w:left="5760" w:hanging="360"/>
      </w:pPr>
    </w:lvl>
    <w:lvl w:ilvl="8" w:tplc="6100A2D6" w:tentative="1">
      <w:start w:val="1"/>
      <w:numFmt w:val="lowerRoman"/>
      <w:lvlText w:val="%9."/>
      <w:lvlJc w:val="right"/>
      <w:pPr>
        <w:ind w:left="6480" w:hanging="180"/>
      </w:pPr>
    </w:lvl>
  </w:abstractNum>
  <w:abstractNum w:abstractNumId="35">
    <w:nsid w:val="670026AA"/>
    <w:multiLevelType w:val="hybridMultilevel"/>
    <w:tmpl w:val="037289CC"/>
    <w:lvl w:ilvl="0" w:tplc="DFCAC752">
      <w:numFmt w:val="bullet"/>
      <w:lvlText w:val="•"/>
      <w:lvlJc w:val="left"/>
      <w:pPr>
        <w:ind w:left="720" w:hanging="360"/>
      </w:pPr>
      <w:rPr>
        <w:rFonts w:ascii="Times New Roman" w:eastAsia="Times New Roman" w:hAnsi="Times New Roman" w:hint="default"/>
      </w:rPr>
    </w:lvl>
    <w:lvl w:ilvl="1" w:tplc="41D4ED26" w:tentative="1">
      <w:start w:val="1"/>
      <w:numFmt w:val="bullet"/>
      <w:lvlText w:val="o"/>
      <w:lvlJc w:val="left"/>
      <w:pPr>
        <w:ind w:left="1440" w:hanging="360"/>
      </w:pPr>
      <w:rPr>
        <w:rFonts w:ascii="Courier New" w:hAnsi="Courier New" w:hint="default"/>
      </w:rPr>
    </w:lvl>
    <w:lvl w:ilvl="2" w:tplc="7F462FAE" w:tentative="1">
      <w:start w:val="1"/>
      <w:numFmt w:val="bullet"/>
      <w:lvlText w:val=""/>
      <w:lvlJc w:val="left"/>
      <w:pPr>
        <w:ind w:left="2160" w:hanging="360"/>
      </w:pPr>
      <w:rPr>
        <w:rFonts w:ascii="Wingdings" w:hAnsi="Wingdings" w:hint="default"/>
      </w:rPr>
    </w:lvl>
    <w:lvl w:ilvl="3" w:tplc="A014C8E2" w:tentative="1">
      <w:start w:val="1"/>
      <w:numFmt w:val="bullet"/>
      <w:lvlText w:val=""/>
      <w:lvlJc w:val="left"/>
      <w:pPr>
        <w:ind w:left="2880" w:hanging="360"/>
      </w:pPr>
      <w:rPr>
        <w:rFonts w:ascii="Symbol" w:hAnsi="Symbol" w:hint="default"/>
      </w:rPr>
    </w:lvl>
    <w:lvl w:ilvl="4" w:tplc="110A13A6" w:tentative="1">
      <w:start w:val="1"/>
      <w:numFmt w:val="bullet"/>
      <w:lvlText w:val="o"/>
      <w:lvlJc w:val="left"/>
      <w:pPr>
        <w:ind w:left="3600" w:hanging="360"/>
      </w:pPr>
      <w:rPr>
        <w:rFonts w:ascii="Courier New" w:hAnsi="Courier New" w:hint="default"/>
      </w:rPr>
    </w:lvl>
    <w:lvl w:ilvl="5" w:tplc="4E4ACFFC" w:tentative="1">
      <w:start w:val="1"/>
      <w:numFmt w:val="bullet"/>
      <w:lvlText w:val=""/>
      <w:lvlJc w:val="left"/>
      <w:pPr>
        <w:ind w:left="4320" w:hanging="360"/>
      </w:pPr>
      <w:rPr>
        <w:rFonts w:ascii="Wingdings" w:hAnsi="Wingdings" w:hint="default"/>
      </w:rPr>
    </w:lvl>
    <w:lvl w:ilvl="6" w:tplc="8C3C47DE" w:tentative="1">
      <w:start w:val="1"/>
      <w:numFmt w:val="bullet"/>
      <w:lvlText w:val=""/>
      <w:lvlJc w:val="left"/>
      <w:pPr>
        <w:ind w:left="5040" w:hanging="360"/>
      </w:pPr>
      <w:rPr>
        <w:rFonts w:ascii="Symbol" w:hAnsi="Symbol" w:hint="default"/>
      </w:rPr>
    </w:lvl>
    <w:lvl w:ilvl="7" w:tplc="66703A98" w:tentative="1">
      <w:start w:val="1"/>
      <w:numFmt w:val="bullet"/>
      <w:lvlText w:val="o"/>
      <w:lvlJc w:val="left"/>
      <w:pPr>
        <w:ind w:left="5760" w:hanging="360"/>
      </w:pPr>
      <w:rPr>
        <w:rFonts w:ascii="Courier New" w:hAnsi="Courier New" w:hint="default"/>
      </w:rPr>
    </w:lvl>
    <w:lvl w:ilvl="8" w:tplc="2D78D194" w:tentative="1">
      <w:start w:val="1"/>
      <w:numFmt w:val="bullet"/>
      <w:lvlText w:val=""/>
      <w:lvlJc w:val="left"/>
      <w:pPr>
        <w:ind w:left="6480" w:hanging="360"/>
      </w:pPr>
      <w:rPr>
        <w:rFonts w:ascii="Wingdings" w:hAnsi="Wingdings" w:hint="default"/>
      </w:rPr>
    </w:lvl>
  </w:abstractNum>
  <w:abstractNum w:abstractNumId="36">
    <w:nsid w:val="692D2279"/>
    <w:multiLevelType w:val="hybridMultilevel"/>
    <w:tmpl w:val="6F58153E"/>
    <w:lvl w:ilvl="0" w:tplc="CBF4DFDE">
      <w:start w:val="1"/>
      <w:numFmt w:val="bullet"/>
      <w:lvlText w:val=""/>
      <w:lvlJc w:val="left"/>
      <w:pPr>
        <w:ind w:left="720" w:hanging="360"/>
      </w:pPr>
      <w:rPr>
        <w:rFonts w:ascii="Symbol" w:hAnsi="Symbol" w:hint="default"/>
      </w:rPr>
    </w:lvl>
    <w:lvl w:ilvl="1" w:tplc="D19E3B74" w:tentative="1">
      <w:start w:val="1"/>
      <w:numFmt w:val="bullet"/>
      <w:lvlText w:val="o"/>
      <w:lvlJc w:val="left"/>
      <w:pPr>
        <w:ind w:left="1440" w:hanging="360"/>
      </w:pPr>
      <w:rPr>
        <w:rFonts w:ascii="Courier New" w:hAnsi="Courier New" w:cs="Courier New" w:hint="default"/>
      </w:rPr>
    </w:lvl>
    <w:lvl w:ilvl="2" w:tplc="55A8686A" w:tentative="1">
      <w:start w:val="1"/>
      <w:numFmt w:val="bullet"/>
      <w:lvlText w:val=""/>
      <w:lvlJc w:val="left"/>
      <w:pPr>
        <w:ind w:left="2160" w:hanging="360"/>
      </w:pPr>
      <w:rPr>
        <w:rFonts w:ascii="Wingdings" w:hAnsi="Wingdings" w:hint="default"/>
      </w:rPr>
    </w:lvl>
    <w:lvl w:ilvl="3" w:tplc="35821360" w:tentative="1">
      <w:start w:val="1"/>
      <w:numFmt w:val="bullet"/>
      <w:lvlText w:val=""/>
      <w:lvlJc w:val="left"/>
      <w:pPr>
        <w:ind w:left="2880" w:hanging="360"/>
      </w:pPr>
      <w:rPr>
        <w:rFonts w:ascii="Symbol" w:hAnsi="Symbol" w:hint="default"/>
      </w:rPr>
    </w:lvl>
    <w:lvl w:ilvl="4" w:tplc="9B14D460" w:tentative="1">
      <w:start w:val="1"/>
      <w:numFmt w:val="bullet"/>
      <w:lvlText w:val="o"/>
      <w:lvlJc w:val="left"/>
      <w:pPr>
        <w:ind w:left="3600" w:hanging="360"/>
      </w:pPr>
      <w:rPr>
        <w:rFonts w:ascii="Courier New" w:hAnsi="Courier New" w:cs="Courier New" w:hint="default"/>
      </w:rPr>
    </w:lvl>
    <w:lvl w:ilvl="5" w:tplc="E6A2941A" w:tentative="1">
      <w:start w:val="1"/>
      <w:numFmt w:val="bullet"/>
      <w:lvlText w:val=""/>
      <w:lvlJc w:val="left"/>
      <w:pPr>
        <w:ind w:left="4320" w:hanging="360"/>
      </w:pPr>
      <w:rPr>
        <w:rFonts w:ascii="Wingdings" w:hAnsi="Wingdings" w:hint="default"/>
      </w:rPr>
    </w:lvl>
    <w:lvl w:ilvl="6" w:tplc="3D0A37E4" w:tentative="1">
      <w:start w:val="1"/>
      <w:numFmt w:val="bullet"/>
      <w:lvlText w:val=""/>
      <w:lvlJc w:val="left"/>
      <w:pPr>
        <w:ind w:left="5040" w:hanging="360"/>
      </w:pPr>
      <w:rPr>
        <w:rFonts w:ascii="Symbol" w:hAnsi="Symbol" w:hint="default"/>
      </w:rPr>
    </w:lvl>
    <w:lvl w:ilvl="7" w:tplc="8B968488" w:tentative="1">
      <w:start w:val="1"/>
      <w:numFmt w:val="bullet"/>
      <w:lvlText w:val="o"/>
      <w:lvlJc w:val="left"/>
      <w:pPr>
        <w:ind w:left="5760" w:hanging="360"/>
      </w:pPr>
      <w:rPr>
        <w:rFonts w:ascii="Courier New" w:hAnsi="Courier New" w:cs="Courier New" w:hint="default"/>
      </w:rPr>
    </w:lvl>
    <w:lvl w:ilvl="8" w:tplc="CF103DEC" w:tentative="1">
      <w:start w:val="1"/>
      <w:numFmt w:val="bullet"/>
      <w:lvlText w:val=""/>
      <w:lvlJc w:val="left"/>
      <w:pPr>
        <w:ind w:left="6480" w:hanging="360"/>
      </w:pPr>
      <w:rPr>
        <w:rFonts w:ascii="Wingdings" w:hAnsi="Wingdings" w:hint="default"/>
      </w:rPr>
    </w:lvl>
  </w:abstractNum>
  <w:abstractNum w:abstractNumId="37">
    <w:nsid w:val="693C7B5D"/>
    <w:multiLevelType w:val="hybridMultilevel"/>
    <w:tmpl w:val="F76CAA66"/>
    <w:name w:val="StandardNumberedList23232"/>
    <w:lvl w:ilvl="0" w:tplc="9F3A2638">
      <w:start w:val="1"/>
      <w:numFmt w:val="bullet"/>
      <w:lvlText w:val=""/>
      <w:lvlJc w:val="left"/>
      <w:pPr>
        <w:ind w:left="1080" w:hanging="360"/>
      </w:pPr>
      <w:rPr>
        <w:rFonts w:ascii="Symbol" w:hAnsi="Symbol" w:hint="default"/>
      </w:rPr>
    </w:lvl>
    <w:lvl w:ilvl="1" w:tplc="8DBA821C" w:tentative="1">
      <w:start w:val="1"/>
      <w:numFmt w:val="bullet"/>
      <w:lvlText w:val="o"/>
      <w:lvlJc w:val="left"/>
      <w:pPr>
        <w:ind w:left="1800" w:hanging="360"/>
      </w:pPr>
      <w:rPr>
        <w:rFonts w:ascii="Courier New" w:hAnsi="Courier New" w:hint="default"/>
      </w:rPr>
    </w:lvl>
    <w:lvl w:ilvl="2" w:tplc="E5DCB66A" w:tentative="1">
      <w:start w:val="1"/>
      <w:numFmt w:val="bullet"/>
      <w:lvlText w:val=""/>
      <w:lvlJc w:val="left"/>
      <w:pPr>
        <w:ind w:left="2520" w:hanging="360"/>
      </w:pPr>
      <w:rPr>
        <w:rFonts w:ascii="Wingdings" w:hAnsi="Wingdings" w:hint="default"/>
      </w:rPr>
    </w:lvl>
    <w:lvl w:ilvl="3" w:tplc="B7FA98A2" w:tentative="1">
      <w:start w:val="1"/>
      <w:numFmt w:val="bullet"/>
      <w:lvlText w:val=""/>
      <w:lvlJc w:val="left"/>
      <w:pPr>
        <w:ind w:left="3240" w:hanging="360"/>
      </w:pPr>
      <w:rPr>
        <w:rFonts w:ascii="Symbol" w:hAnsi="Symbol" w:hint="default"/>
      </w:rPr>
    </w:lvl>
    <w:lvl w:ilvl="4" w:tplc="2D767E9A" w:tentative="1">
      <w:start w:val="1"/>
      <w:numFmt w:val="bullet"/>
      <w:lvlText w:val="o"/>
      <w:lvlJc w:val="left"/>
      <w:pPr>
        <w:ind w:left="3960" w:hanging="360"/>
      </w:pPr>
      <w:rPr>
        <w:rFonts w:ascii="Courier New" w:hAnsi="Courier New" w:hint="default"/>
      </w:rPr>
    </w:lvl>
    <w:lvl w:ilvl="5" w:tplc="444C92FE" w:tentative="1">
      <w:start w:val="1"/>
      <w:numFmt w:val="bullet"/>
      <w:lvlText w:val=""/>
      <w:lvlJc w:val="left"/>
      <w:pPr>
        <w:ind w:left="4680" w:hanging="360"/>
      </w:pPr>
      <w:rPr>
        <w:rFonts w:ascii="Wingdings" w:hAnsi="Wingdings" w:hint="default"/>
      </w:rPr>
    </w:lvl>
    <w:lvl w:ilvl="6" w:tplc="B7C0ECAC" w:tentative="1">
      <w:start w:val="1"/>
      <w:numFmt w:val="bullet"/>
      <w:lvlText w:val=""/>
      <w:lvlJc w:val="left"/>
      <w:pPr>
        <w:ind w:left="5400" w:hanging="360"/>
      </w:pPr>
      <w:rPr>
        <w:rFonts w:ascii="Symbol" w:hAnsi="Symbol" w:hint="default"/>
      </w:rPr>
    </w:lvl>
    <w:lvl w:ilvl="7" w:tplc="0C64976C" w:tentative="1">
      <w:start w:val="1"/>
      <w:numFmt w:val="bullet"/>
      <w:lvlText w:val="o"/>
      <w:lvlJc w:val="left"/>
      <w:pPr>
        <w:ind w:left="6120" w:hanging="360"/>
      </w:pPr>
      <w:rPr>
        <w:rFonts w:ascii="Courier New" w:hAnsi="Courier New" w:hint="default"/>
      </w:rPr>
    </w:lvl>
    <w:lvl w:ilvl="8" w:tplc="8612F0A8" w:tentative="1">
      <w:start w:val="1"/>
      <w:numFmt w:val="bullet"/>
      <w:lvlText w:val=""/>
      <w:lvlJc w:val="left"/>
      <w:pPr>
        <w:ind w:left="6840" w:hanging="360"/>
      </w:pPr>
      <w:rPr>
        <w:rFonts w:ascii="Wingdings" w:hAnsi="Wingdings" w:hint="default"/>
      </w:rPr>
    </w:lvl>
  </w:abstractNum>
  <w:abstractNum w:abstractNumId="38">
    <w:nsid w:val="6CEB3B92"/>
    <w:multiLevelType w:val="hybridMultilevel"/>
    <w:tmpl w:val="30B86108"/>
    <w:lvl w:ilvl="0" w:tplc="CE9CEDAC">
      <w:start w:val="1"/>
      <w:numFmt w:val="decimal"/>
      <w:lvlText w:val="%1."/>
      <w:lvlJc w:val="left"/>
      <w:pPr>
        <w:ind w:left="720" w:hanging="360"/>
      </w:pPr>
    </w:lvl>
    <w:lvl w:ilvl="1" w:tplc="6F7C75E4" w:tentative="1">
      <w:start w:val="1"/>
      <w:numFmt w:val="lowerLetter"/>
      <w:lvlText w:val="%2."/>
      <w:lvlJc w:val="left"/>
      <w:pPr>
        <w:ind w:left="1440" w:hanging="360"/>
      </w:pPr>
    </w:lvl>
    <w:lvl w:ilvl="2" w:tplc="2D905D90" w:tentative="1">
      <w:start w:val="1"/>
      <w:numFmt w:val="lowerRoman"/>
      <w:lvlText w:val="%3."/>
      <w:lvlJc w:val="right"/>
      <w:pPr>
        <w:ind w:left="2160" w:hanging="180"/>
      </w:pPr>
    </w:lvl>
    <w:lvl w:ilvl="3" w:tplc="E56C046A" w:tentative="1">
      <w:start w:val="1"/>
      <w:numFmt w:val="decimal"/>
      <w:lvlText w:val="%4."/>
      <w:lvlJc w:val="left"/>
      <w:pPr>
        <w:ind w:left="2880" w:hanging="360"/>
      </w:pPr>
    </w:lvl>
    <w:lvl w:ilvl="4" w:tplc="9EEC40F6" w:tentative="1">
      <w:start w:val="1"/>
      <w:numFmt w:val="lowerLetter"/>
      <w:lvlText w:val="%5."/>
      <w:lvlJc w:val="left"/>
      <w:pPr>
        <w:ind w:left="3600" w:hanging="360"/>
      </w:pPr>
    </w:lvl>
    <w:lvl w:ilvl="5" w:tplc="8F4A8E48" w:tentative="1">
      <w:start w:val="1"/>
      <w:numFmt w:val="lowerRoman"/>
      <w:lvlText w:val="%6."/>
      <w:lvlJc w:val="right"/>
      <w:pPr>
        <w:ind w:left="4320" w:hanging="180"/>
      </w:pPr>
    </w:lvl>
    <w:lvl w:ilvl="6" w:tplc="D21E65E2" w:tentative="1">
      <w:start w:val="1"/>
      <w:numFmt w:val="decimal"/>
      <w:lvlText w:val="%7."/>
      <w:lvlJc w:val="left"/>
      <w:pPr>
        <w:ind w:left="5040" w:hanging="360"/>
      </w:pPr>
    </w:lvl>
    <w:lvl w:ilvl="7" w:tplc="2C90E582" w:tentative="1">
      <w:start w:val="1"/>
      <w:numFmt w:val="lowerLetter"/>
      <w:lvlText w:val="%8."/>
      <w:lvlJc w:val="left"/>
      <w:pPr>
        <w:ind w:left="5760" w:hanging="360"/>
      </w:pPr>
    </w:lvl>
    <w:lvl w:ilvl="8" w:tplc="4B72ED3A" w:tentative="1">
      <w:start w:val="1"/>
      <w:numFmt w:val="lowerRoman"/>
      <w:lvlText w:val="%9."/>
      <w:lvlJc w:val="right"/>
      <w:pPr>
        <w:ind w:left="6480" w:hanging="180"/>
      </w:pPr>
    </w:lvl>
  </w:abstractNum>
  <w:abstractNum w:abstractNumId="39">
    <w:nsid w:val="6EA61A71"/>
    <w:multiLevelType w:val="hybridMultilevel"/>
    <w:tmpl w:val="1A0C979E"/>
    <w:lvl w:ilvl="0" w:tplc="C7467710">
      <w:start w:val="1"/>
      <w:numFmt w:val="bullet"/>
      <w:lvlText w:val=""/>
      <w:lvlJc w:val="left"/>
      <w:pPr>
        <w:ind w:left="825" w:hanging="360"/>
      </w:pPr>
      <w:rPr>
        <w:rFonts w:ascii="Symbol" w:hAnsi="Symbol" w:hint="default"/>
      </w:rPr>
    </w:lvl>
    <w:lvl w:ilvl="1" w:tplc="23DC098E" w:tentative="1">
      <w:start w:val="1"/>
      <w:numFmt w:val="bullet"/>
      <w:lvlText w:val="o"/>
      <w:lvlJc w:val="left"/>
      <w:pPr>
        <w:ind w:left="1545" w:hanging="360"/>
      </w:pPr>
      <w:rPr>
        <w:rFonts w:ascii="Courier New" w:hAnsi="Courier New" w:cs="Courier New" w:hint="default"/>
      </w:rPr>
    </w:lvl>
    <w:lvl w:ilvl="2" w:tplc="DCA07E0E" w:tentative="1">
      <w:start w:val="1"/>
      <w:numFmt w:val="bullet"/>
      <w:lvlText w:val=""/>
      <w:lvlJc w:val="left"/>
      <w:pPr>
        <w:ind w:left="2265" w:hanging="360"/>
      </w:pPr>
      <w:rPr>
        <w:rFonts w:ascii="Wingdings" w:hAnsi="Wingdings" w:hint="default"/>
      </w:rPr>
    </w:lvl>
    <w:lvl w:ilvl="3" w:tplc="4D64865E" w:tentative="1">
      <w:start w:val="1"/>
      <w:numFmt w:val="bullet"/>
      <w:lvlText w:val=""/>
      <w:lvlJc w:val="left"/>
      <w:pPr>
        <w:ind w:left="2985" w:hanging="360"/>
      </w:pPr>
      <w:rPr>
        <w:rFonts w:ascii="Symbol" w:hAnsi="Symbol" w:hint="default"/>
      </w:rPr>
    </w:lvl>
    <w:lvl w:ilvl="4" w:tplc="477CEF82" w:tentative="1">
      <w:start w:val="1"/>
      <w:numFmt w:val="bullet"/>
      <w:lvlText w:val="o"/>
      <w:lvlJc w:val="left"/>
      <w:pPr>
        <w:ind w:left="3705" w:hanging="360"/>
      </w:pPr>
      <w:rPr>
        <w:rFonts w:ascii="Courier New" w:hAnsi="Courier New" w:cs="Courier New" w:hint="default"/>
      </w:rPr>
    </w:lvl>
    <w:lvl w:ilvl="5" w:tplc="F0B63B50" w:tentative="1">
      <w:start w:val="1"/>
      <w:numFmt w:val="bullet"/>
      <w:lvlText w:val=""/>
      <w:lvlJc w:val="left"/>
      <w:pPr>
        <w:ind w:left="4425" w:hanging="360"/>
      </w:pPr>
      <w:rPr>
        <w:rFonts w:ascii="Wingdings" w:hAnsi="Wingdings" w:hint="default"/>
      </w:rPr>
    </w:lvl>
    <w:lvl w:ilvl="6" w:tplc="C1B48BA8" w:tentative="1">
      <w:start w:val="1"/>
      <w:numFmt w:val="bullet"/>
      <w:lvlText w:val=""/>
      <w:lvlJc w:val="left"/>
      <w:pPr>
        <w:ind w:left="5145" w:hanging="360"/>
      </w:pPr>
      <w:rPr>
        <w:rFonts w:ascii="Symbol" w:hAnsi="Symbol" w:hint="default"/>
      </w:rPr>
    </w:lvl>
    <w:lvl w:ilvl="7" w:tplc="366E703C" w:tentative="1">
      <w:start w:val="1"/>
      <w:numFmt w:val="bullet"/>
      <w:lvlText w:val="o"/>
      <w:lvlJc w:val="left"/>
      <w:pPr>
        <w:ind w:left="5865" w:hanging="360"/>
      </w:pPr>
      <w:rPr>
        <w:rFonts w:ascii="Courier New" w:hAnsi="Courier New" w:cs="Courier New" w:hint="default"/>
      </w:rPr>
    </w:lvl>
    <w:lvl w:ilvl="8" w:tplc="28EAF844" w:tentative="1">
      <w:start w:val="1"/>
      <w:numFmt w:val="bullet"/>
      <w:lvlText w:val=""/>
      <w:lvlJc w:val="left"/>
      <w:pPr>
        <w:ind w:left="6585" w:hanging="360"/>
      </w:pPr>
      <w:rPr>
        <w:rFonts w:ascii="Wingdings" w:hAnsi="Wingdings" w:hint="default"/>
      </w:rPr>
    </w:lvl>
  </w:abstractNum>
  <w:abstractNum w:abstractNumId="40">
    <w:nsid w:val="70595D84"/>
    <w:multiLevelType w:val="hybridMultilevel"/>
    <w:tmpl w:val="B13261F0"/>
    <w:lvl w:ilvl="0" w:tplc="A62C91E2">
      <w:start w:val="1"/>
      <w:numFmt w:val="bullet"/>
      <w:lvlText w:val=""/>
      <w:lvlJc w:val="left"/>
      <w:pPr>
        <w:ind w:left="771" w:hanging="360"/>
      </w:pPr>
      <w:rPr>
        <w:rFonts w:ascii="Symbol" w:hAnsi="Symbol" w:hint="default"/>
      </w:rPr>
    </w:lvl>
    <w:lvl w:ilvl="1" w:tplc="36EEC426">
      <w:start w:val="1"/>
      <w:numFmt w:val="bullet"/>
      <w:lvlText w:val="o"/>
      <w:lvlJc w:val="left"/>
      <w:pPr>
        <w:ind w:left="1491" w:hanging="360"/>
      </w:pPr>
      <w:rPr>
        <w:rFonts w:ascii="Courier New" w:hAnsi="Courier New" w:cs="Courier New" w:hint="default"/>
      </w:rPr>
    </w:lvl>
    <w:lvl w:ilvl="2" w:tplc="740C94E8" w:tentative="1">
      <w:start w:val="1"/>
      <w:numFmt w:val="bullet"/>
      <w:lvlText w:val=""/>
      <w:lvlJc w:val="left"/>
      <w:pPr>
        <w:ind w:left="2211" w:hanging="360"/>
      </w:pPr>
      <w:rPr>
        <w:rFonts w:ascii="Wingdings" w:hAnsi="Wingdings" w:hint="default"/>
      </w:rPr>
    </w:lvl>
    <w:lvl w:ilvl="3" w:tplc="23F611F8" w:tentative="1">
      <w:start w:val="1"/>
      <w:numFmt w:val="bullet"/>
      <w:lvlText w:val=""/>
      <w:lvlJc w:val="left"/>
      <w:pPr>
        <w:ind w:left="2931" w:hanging="360"/>
      </w:pPr>
      <w:rPr>
        <w:rFonts w:ascii="Symbol" w:hAnsi="Symbol" w:hint="default"/>
      </w:rPr>
    </w:lvl>
    <w:lvl w:ilvl="4" w:tplc="9F7A72B4" w:tentative="1">
      <w:start w:val="1"/>
      <w:numFmt w:val="bullet"/>
      <w:lvlText w:val="o"/>
      <w:lvlJc w:val="left"/>
      <w:pPr>
        <w:ind w:left="3651" w:hanging="360"/>
      </w:pPr>
      <w:rPr>
        <w:rFonts w:ascii="Courier New" w:hAnsi="Courier New" w:cs="Courier New" w:hint="default"/>
      </w:rPr>
    </w:lvl>
    <w:lvl w:ilvl="5" w:tplc="EA0C8894" w:tentative="1">
      <w:start w:val="1"/>
      <w:numFmt w:val="bullet"/>
      <w:lvlText w:val=""/>
      <w:lvlJc w:val="left"/>
      <w:pPr>
        <w:ind w:left="4371" w:hanging="360"/>
      </w:pPr>
      <w:rPr>
        <w:rFonts w:ascii="Wingdings" w:hAnsi="Wingdings" w:hint="default"/>
      </w:rPr>
    </w:lvl>
    <w:lvl w:ilvl="6" w:tplc="1ABC1068" w:tentative="1">
      <w:start w:val="1"/>
      <w:numFmt w:val="bullet"/>
      <w:lvlText w:val=""/>
      <w:lvlJc w:val="left"/>
      <w:pPr>
        <w:ind w:left="5091" w:hanging="360"/>
      </w:pPr>
      <w:rPr>
        <w:rFonts w:ascii="Symbol" w:hAnsi="Symbol" w:hint="default"/>
      </w:rPr>
    </w:lvl>
    <w:lvl w:ilvl="7" w:tplc="A2CC1264" w:tentative="1">
      <w:start w:val="1"/>
      <w:numFmt w:val="bullet"/>
      <w:lvlText w:val="o"/>
      <w:lvlJc w:val="left"/>
      <w:pPr>
        <w:ind w:left="5811" w:hanging="360"/>
      </w:pPr>
      <w:rPr>
        <w:rFonts w:ascii="Courier New" w:hAnsi="Courier New" w:cs="Courier New" w:hint="default"/>
      </w:rPr>
    </w:lvl>
    <w:lvl w:ilvl="8" w:tplc="C2D4C3E8" w:tentative="1">
      <w:start w:val="1"/>
      <w:numFmt w:val="bullet"/>
      <w:lvlText w:val=""/>
      <w:lvlJc w:val="left"/>
      <w:pPr>
        <w:ind w:left="6531" w:hanging="360"/>
      </w:pPr>
      <w:rPr>
        <w:rFonts w:ascii="Wingdings" w:hAnsi="Wingdings" w:hint="default"/>
      </w:rPr>
    </w:lvl>
  </w:abstractNum>
  <w:abstractNum w:abstractNumId="41">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2">
    <w:nsid w:val="79B556CC"/>
    <w:multiLevelType w:val="hybridMultilevel"/>
    <w:tmpl w:val="34807756"/>
    <w:lvl w:ilvl="0" w:tplc="EC1C8098">
      <w:start w:val="1"/>
      <w:numFmt w:val="lowerLetter"/>
      <w:lvlText w:val="(%1)"/>
      <w:lvlJc w:val="left"/>
      <w:pPr>
        <w:ind w:left="720" w:hanging="360"/>
      </w:pPr>
      <w:rPr>
        <w:rFonts w:hint="default"/>
      </w:rPr>
    </w:lvl>
    <w:lvl w:ilvl="1" w:tplc="E50C9898" w:tentative="1">
      <w:start w:val="1"/>
      <w:numFmt w:val="lowerLetter"/>
      <w:lvlText w:val="%2."/>
      <w:lvlJc w:val="left"/>
      <w:pPr>
        <w:ind w:left="1440" w:hanging="360"/>
      </w:pPr>
    </w:lvl>
    <w:lvl w:ilvl="2" w:tplc="98E4E4CE" w:tentative="1">
      <w:start w:val="1"/>
      <w:numFmt w:val="lowerRoman"/>
      <w:lvlText w:val="%3."/>
      <w:lvlJc w:val="right"/>
      <w:pPr>
        <w:ind w:left="2160" w:hanging="180"/>
      </w:pPr>
    </w:lvl>
    <w:lvl w:ilvl="3" w:tplc="6358B2D0" w:tentative="1">
      <w:start w:val="1"/>
      <w:numFmt w:val="decimal"/>
      <w:lvlText w:val="%4."/>
      <w:lvlJc w:val="left"/>
      <w:pPr>
        <w:ind w:left="2880" w:hanging="360"/>
      </w:pPr>
    </w:lvl>
    <w:lvl w:ilvl="4" w:tplc="5B6CAF68" w:tentative="1">
      <w:start w:val="1"/>
      <w:numFmt w:val="lowerLetter"/>
      <w:lvlText w:val="%5."/>
      <w:lvlJc w:val="left"/>
      <w:pPr>
        <w:ind w:left="3600" w:hanging="360"/>
      </w:pPr>
    </w:lvl>
    <w:lvl w:ilvl="5" w:tplc="A982711E" w:tentative="1">
      <w:start w:val="1"/>
      <w:numFmt w:val="lowerRoman"/>
      <w:lvlText w:val="%6."/>
      <w:lvlJc w:val="right"/>
      <w:pPr>
        <w:ind w:left="4320" w:hanging="180"/>
      </w:pPr>
    </w:lvl>
    <w:lvl w:ilvl="6" w:tplc="0DD036BA" w:tentative="1">
      <w:start w:val="1"/>
      <w:numFmt w:val="decimal"/>
      <w:lvlText w:val="%7."/>
      <w:lvlJc w:val="left"/>
      <w:pPr>
        <w:ind w:left="5040" w:hanging="360"/>
      </w:pPr>
    </w:lvl>
    <w:lvl w:ilvl="7" w:tplc="F0E2B440" w:tentative="1">
      <w:start w:val="1"/>
      <w:numFmt w:val="lowerLetter"/>
      <w:lvlText w:val="%8."/>
      <w:lvlJc w:val="left"/>
      <w:pPr>
        <w:ind w:left="5760" w:hanging="360"/>
      </w:pPr>
    </w:lvl>
    <w:lvl w:ilvl="8" w:tplc="A7CA978E" w:tentative="1">
      <w:start w:val="1"/>
      <w:numFmt w:val="lowerRoman"/>
      <w:lvlText w:val="%9."/>
      <w:lvlJc w:val="right"/>
      <w:pPr>
        <w:ind w:left="6480" w:hanging="180"/>
      </w:pPr>
    </w:lvl>
  </w:abstractNum>
  <w:num w:numId="1">
    <w:abstractNumId w:val="41"/>
  </w:num>
  <w:num w:numId="2">
    <w:abstractNumId w:val="0"/>
  </w:num>
  <w:num w:numId="3">
    <w:abstractNumId w:val="35"/>
  </w:num>
  <w:num w:numId="4">
    <w:abstractNumId w:val="32"/>
  </w:num>
  <w:num w:numId="5">
    <w:abstractNumId w:val="30"/>
  </w:num>
  <w:num w:numId="6">
    <w:abstractNumId w:val="13"/>
  </w:num>
  <w:num w:numId="7">
    <w:abstractNumId w:val="17"/>
  </w:num>
  <w:num w:numId="8">
    <w:abstractNumId w:val="4"/>
  </w:num>
  <w:num w:numId="9">
    <w:abstractNumId w:val="23"/>
  </w:num>
  <w:num w:numId="10">
    <w:abstractNumId w:val="27"/>
  </w:num>
  <w:num w:numId="11">
    <w:abstractNumId w:val="1"/>
  </w:num>
  <w:num w:numId="12">
    <w:abstractNumId w:val="6"/>
  </w:num>
  <w:num w:numId="13">
    <w:abstractNumId w:val="33"/>
  </w:num>
  <w:num w:numId="14">
    <w:abstractNumId w:val="21"/>
  </w:num>
  <w:num w:numId="15">
    <w:abstractNumId w:val="11"/>
  </w:num>
  <w:num w:numId="16">
    <w:abstractNumId w:val="34"/>
  </w:num>
  <w:num w:numId="17">
    <w:abstractNumId w:val="42"/>
  </w:num>
  <w:num w:numId="18">
    <w:abstractNumId w:val="40"/>
  </w:num>
  <w:num w:numId="19">
    <w:abstractNumId w:val="10"/>
  </w:num>
  <w:num w:numId="20">
    <w:abstractNumId w:val="8"/>
  </w:num>
  <w:num w:numId="21">
    <w:abstractNumId w:val="5"/>
  </w:num>
  <w:num w:numId="22">
    <w:abstractNumId w:val="12"/>
  </w:num>
  <w:num w:numId="23">
    <w:abstractNumId w:val="16"/>
  </w:num>
  <w:num w:numId="24">
    <w:abstractNumId w:val="19"/>
  </w:num>
  <w:num w:numId="25">
    <w:abstractNumId w:val="29"/>
  </w:num>
  <w:num w:numId="26">
    <w:abstractNumId w:val="39"/>
  </w:num>
  <w:num w:numId="27">
    <w:abstractNumId w:val="28"/>
  </w:num>
  <w:num w:numId="28">
    <w:abstractNumId w:val="24"/>
  </w:num>
  <w:num w:numId="29">
    <w:abstractNumId w:val="36"/>
  </w:num>
  <w:num w:numId="30">
    <w:abstractNumId w:val="2"/>
  </w:num>
  <w:num w:numId="31">
    <w:abstractNumId w:val="31"/>
  </w:num>
  <w:num w:numId="32">
    <w:abstractNumId w:val="25"/>
  </w:num>
  <w:num w:numId="33">
    <w:abstractNumId w:val="20"/>
  </w:num>
  <w:num w:numId="34">
    <w:abstractNumId w:val="9"/>
  </w:num>
  <w:num w:numId="35">
    <w:abstractNumId w:val="26"/>
  </w:num>
  <w:num w:numId="36">
    <w:abstractNumId w:val="14"/>
  </w:num>
  <w:num w:numId="37">
    <w:abstractNumId w:val="18"/>
  </w:num>
  <w:num w:numId="38">
    <w:abstractNumId w:val="3"/>
  </w:num>
  <w:num w:numId="39">
    <w:abstractNumId w:val="7"/>
  </w:num>
  <w:num w:numId="40">
    <w:abstractNumId w:val="15"/>
  </w:num>
  <w:num w:numId="41">
    <w:abstractNumId w:val="38"/>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3324"/>
    <w:rsid w:val="000B1607"/>
    <w:rsid w:val="005A5513"/>
    <w:rsid w:val="00883324"/>
    <w:rsid w:val="00F847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hAnsi="Cambria"/>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hAnsi="Cambria"/>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rsid w:val="005B4D4F"/>
    <w:pPr>
      <w:spacing w:after="0" w:line="240" w:lineRule="auto"/>
    </w:pPr>
    <w:rPr>
      <w:sz w:val="20"/>
      <w:szCs w:val="20"/>
    </w:rPr>
  </w:style>
  <w:style w:type="character" w:customStyle="1" w:styleId="FootnoteTextChar">
    <w:name w:val="Footnote Text Char"/>
    <w:basedOn w:val="DefaultParagraphFont"/>
    <w:link w:val="FootnoteText"/>
    <w:locked/>
    <w:rsid w:val="005B4D4F"/>
    <w:rPr>
      <w:rFonts w:ascii="Calibri" w:hAnsi="Calibri" w:cs="Times New Roman"/>
      <w:sz w:val="20"/>
      <w:szCs w:val="20"/>
    </w:rPr>
  </w:style>
  <w:style w:type="character" w:styleId="FootnoteReference">
    <w:name w:val="footnote reference"/>
    <w:basedOn w:val="DefaultParagraphFont"/>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b/>
      <w:bCs/>
      <w:iCs/>
      <w:color w:val="auto"/>
      <w:sz w:val="24"/>
      <w:szCs w:val="26"/>
      <w:lang w:eastAsia="en-AU"/>
    </w:rPr>
  </w:style>
  <w:style w:type="paragraph" w:customStyle="1" w:styleId="tMain">
    <w:name w:val="t_Main"/>
    <w:aliases w:val="ss,subsection"/>
    <w:basedOn w:val="Normal"/>
    <w:link w:val="subsectionChar"/>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hAnsi="Cambria"/>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hAnsi="Cambria"/>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base-text-paragraph">
    <w:name w:val="base-text-paragraph"/>
    <w:basedOn w:val="Normal"/>
    <w:rsid w:val="001831F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referencingstyle">
    <w:name w:val="referencingstyle"/>
    <w:basedOn w:val="DefaultParagraphFont"/>
    <w:rsid w:val="001831FF"/>
  </w:style>
  <w:style w:type="paragraph" w:customStyle="1" w:styleId="paragraph">
    <w:name w:val="paragraph"/>
    <w:aliases w:val="a"/>
    <w:basedOn w:val="Normal"/>
    <w:link w:val="paragraphChar"/>
    <w:rsid w:val="00161CD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paragraphChar">
    <w:name w:val="paragraph Char"/>
    <w:aliases w:val="a Char"/>
    <w:basedOn w:val="DefaultParagraphFont"/>
    <w:link w:val="paragraph"/>
    <w:rsid w:val="00540478"/>
    <w:rPr>
      <w:rFonts w:ascii="Times New Roman" w:eastAsia="Times New Roman" w:hAnsi="Times New Roman"/>
      <w:sz w:val="24"/>
      <w:szCs w:val="24"/>
    </w:rPr>
  </w:style>
  <w:style w:type="paragraph" w:customStyle="1" w:styleId="base-text-paragraphnonumbers">
    <w:name w:val="base-text-paragraph no numbers"/>
    <w:basedOn w:val="Normal"/>
    <w:rsid w:val="00253DD7"/>
    <w:pPr>
      <w:spacing w:before="120" w:after="120" w:line="240" w:lineRule="auto"/>
      <w:ind w:left="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tMain"/>
    <w:locked/>
    <w:rsid w:val="00F670A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gov.au"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nvironment.gov.au/emissions-reduction-fund"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000319011</RecordNumber>
    <Approval xmlns="7d1753f3-b6db-484b-93d6-b74f5ca30d2d" xsi:nil="true"/>
  </documentManagement>
</p:properties>
</file>

<file path=customXml/itemProps1.xml><?xml version="1.0" encoding="utf-8"?>
<ds:datastoreItem xmlns:ds="http://schemas.openxmlformats.org/officeDocument/2006/customXml" ds:itemID="{0A1A7857-585D-4AC7-8858-51803F26B8C5}"/>
</file>

<file path=customXml/itemProps2.xml><?xml version="1.0" encoding="utf-8"?>
<ds:datastoreItem xmlns:ds="http://schemas.openxmlformats.org/officeDocument/2006/customXml" ds:itemID="{0134F2C2-F1BA-4002-97CE-879D416A71EC}"/>
</file>

<file path=customXml/itemProps3.xml><?xml version="1.0" encoding="utf-8"?>
<ds:datastoreItem xmlns:ds="http://schemas.openxmlformats.org/officeDocument/2006/customXml" ds:itemID="{FD712A38-F860-461E-A635-EF7069AE69BF}"/>
</file>

<file path=customXml/itemProps4.xml><?xml version="1.0" encoding="utf-8"?>
<ds:datastoreItem xmlns:ds="http://schemas.openxmlformats.org/officeDocument/2006/customXml" ds:itemID="{EB863D69-1ED5-4AC3-8B16-554AE71C4EAA}"/>
</file>

<file path=customXml/itemProps5.xml><?xml version="1.0" encoding="utf-8"?>
<ds:datastoreItem xmlns:ds="http://schemas.openxmlformats.org/officeDocument/2006/customXml" ds:itemID="{85D23697-D9AE-4E6B-BC37-E188823BA99C}"/>
</file>

<file path=docProps/app.xml><?xml version="1.0" encoding="utf-8"?>
<Properties xmlns="http://schemas.openxmlformats.org/officeDocument/2006/extended-properties" xmlns:vt="http://schemas.openxmlformats.org/officeDocument/2006/docPropsVTypes">
  <Template>Normal</Template>
  <TotalTime>1</TotalTime>
  <Pages>32</Pages>
  <Words>10997</Words>
  <Characters>62687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73537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EMISSIONS REDUCTION FUND: DETERMINATION FOR CONSIDERATION – DESIGNATED VERIFIED CARBON STANDARD PROJECTS</dc:subject>
  <dc:creator>A18034</dc:creator>
  <cp:lastModifiedBy>a15139</cp:lastModifiedBy>
  <cp:revision>2</cp:revision>
  <dcterms:created xsi:type="dcterms:W3CDTF">2015-03-18T23:43:00Z</dcterms:created>
  <dcterms:modified xsi:type="dcterms:W3CDTF">2015-03-18T23:43:00Z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17 March 2015</vt:lpwstr>
  </property>
  <property fmtid="{D5CDD505-2E9C-101B-9397-08002B2CF9AE}" pid="4" name="ClearanceDueDate">
    <vt:lpwstr/>
  </property>
  <property fmtid="{D5CDD505-2E9C-101B-9397-08002B2CF9AE}" pid="5" name="Electorates">
    <vt:lpwstr> </vt:lpwstr>
  </property>
  <property fmtid="{D5CDD505-2E9C-101B-9397-08002B2CF9AE}" pid="6" name="FileNumber">
    <vt:lpwstr/>
  </property>
  <property fmtid="{D5CDD505-2E9C-101B-9397-08002B2CF9AE}" pid="7" name="GroupResponsible">
    <vt:lpwstr>Emissions Reduction Fund</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Mathew Menz</vt:lpwstr>
  </property>
  <property fmtid="{D5CDD505-2E9C-101B-9397-08002B2CF9AE}" pid="11" name="Ministers">
    <vt:lpwstr>Greg Hunt</vt:lpwstr>
  </property>
  <property fmtid="{D5CDD505-2E9C-101B-9397-08002B2CF9AE}" pid="12" name="PdrId">
    <vt:lpwstr>MS15-000604</vt:lpwstr>
  </property>
  <property fmtid="{D5CDD505-2E9C-101B-9397-08002B2CF9AE}" pid="13" name="Principal">
    <vt:lpwstr>Minister</vt:lpwstr>
  </property>
  <property fmtid="{D5CDD505-2E9C-101B-9397-08002B2CF9AE}" pid="14" name="ReasonForSensitivity">
    <vt:lpwstr/>
  </property>
  <property fmtid="{D5CDD505-2E9C-101B-9397-08002B2CF9AE}" pid="15" name="RegisteredDate">
    <vt:lpwstr>10 March 2015</vt:lpwstr>
  </property>
  <property fmtid="{D5CDD505-2E9C-101B-9397-08002B2CF9AE}" pid="16" name="RequestedAction">
    <vt:lpwstr>For Decision</vt:lpwstr>
  </property>
  <property fmtid="{D5CDD505-2E9C-101B-9397-08002B2CF9AE}" pid="17" name="ResponsibleMinister">
    <vt:lpwstr>Greg Hunt</vt:lpwstr>
  </property>
  <property fmtid="{D5CDD505-2E9C-101B-9397-08002B2CF9AE}" pid="18" name="SecurityClassification">
    <vt:lpwstr>UNCLASSIFIED  </vt:lpwstr>
  </property>
  <property fmtid="{D5CDD505-2E9C-101B-9397-08002B2CF9AE}" pid="19" name="SignedDate">
    <vt:lpwstr/>
  </property>
  <property fmtid="{D5CDD505-2E9C-101B-9397-08002B2CF9AE}" pid="20" name="Subject">
    <vt:lpwstr>EMISSIONS REDUCTION FUND: DETERMINATION FOR CONSIDERATION – DESIGNATED VERIFIED CARBON STANDARD PROJECTS</vt:lpwstr>
  </property>
  <property fmtid="{D5CDD505-2E9C-101B-9397-08002B2CF9AE}" pid="21" name="TaskSeqNo">
    <vt:lpwstr>1</vt:lpwstr>
  </property>
  <property fmtid="{D5CDD505-2E9C-101B-9397-08002B2CF9AE}" pid="22" name="TemplateSubType">
    <vt:lpwstr>Standard</vt:lpwstr>
  </property>
  <property fmtid="{D5CDD505-2E9C-101B-9397-08002B2CF9AE}" pid="23" name="TemplateType">
    <vt:lpwstr>Decision Submission</vt:lpwstr>
  </property>
  <property fmtid="{D5CDD505-2E9C-101B-9397-08002B2CF9AE}" pid="24" name="TrustedGroups">
    <vt:lpwstr>Parliamentary Coordinator MS, DLO, Ministerial Staff - Coalition 2013, Business Administrator, Limited Distribution MS</vt:lpwstr>
  </property>
  <property fmtid="{D5CDD505-2E9C-101B-9397-08002B2CF9AE}" pid="25" name="ContentTypeId">
    <vt:lpwstr>0x010100BB2CA5D4910ACE4AADB481B488BD147400FA829B4AF55F244EAE47CDC9BD732406</vt:lpwstr>
  </property>
  <property fmtid="{D5CDD505-2E9C-101B-9397-08002B2CF9AE}" pid="26" name="RecordPoint_WorkflowType">
    <vt:lpwstr>ActiveSubmitStub</vt:lpwstr>
  </property>
  <property fmtid="{D5CDD505-2E9C-101B-9397-08002B2CF9AE}" pid="27" name="RecordPoint_ActiveItemUniqueId">
    <vt:lpwstr>{cd1d16dd-08e8-4d8b-a450-41769a56376c}</vt:lpwstr>
  </property>
  <property fmtid="{D5CDD505-2E9C-101B-9397-08002B2CF9AE}" pid="28" name="RecordPoint_ActiveItemWebId">
    <vt:lpwstr>{7d1753f3-b6db-484b-93d6-b74f5ca30d2d}</vt:lpwstr>
  </property>
  <property fmtid="{D5CDD505-2E9C-101B-9397-08002B2CF9AE}" pid="29" name="RecordPoint_ActiveItemSiteId">
    <vt:lpwstr>{890acc58-830d-4c0f-8f38-0a6dcc0cb92f}</vt:lpwstr>
  </property>
  <property fmtid="{D5CDD505-2E9C-101B-9397-08002B2CF9AE}" pid="30" name="RecordPoint_ActiveItemListId">
    <vt:lpwstr>{8603bb64-ffce-48ca-be1c-084f01c244e0}</vt:lpwstr>
  </property>
  <property fmtid="{D5CDD505-2E9C-101B-9397-08002B2CF9AE}" pid="31" name="RecordPoint_RecordNumberSubmitted">
    <vt:lpwstr>000319011</vt:lpwstr>
  </property>
  <property fmtid="{D5CDD505-2E9C-101B-9397-08002B2CF9AE}" pid="32" name="RecordPoint_SubmissionCompleted">
    <vt:lpwstr>2015-03-19T10:45:55.0382983+11:00</vt:lpwstr>
  </property>
</Properties>
</file>