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0F3BE" w14:textId="77777777" w:rsidR="006C73DE" w:rsidRPr="006C73DE" w:rsidRDefault="006C73DE" w:rsidP="006C73DE">
      <w:pPr>
        <w:autoSpaceDE w:val="0"/>
        <w:autoSpaceDN w:val="0"/>
        <w:adjustRightInd w:val="0"/>
        <w:jc w:val="center"/>
        <w:outlineLvl w:val="0"/>
        <w:rPr>
          <w:b/>
          <w:bCs/>
          <w:color w:val="000000" w:themeColor="text1"/>
          <w:sz w:val="24"/>
          <w:szCs w:val="24"/>
          <w:u w:val="single"/>
        </w:rPr>
      </w:pPr>
      <w:r w:rsidRPr="006C73DE">
        <w:rPr>
          <w:b/>
          <w:bCs/>
          <w:color w:val="000000" w:themeColor="text1"/>
          <w:sz w:val="24"/>
          <w:szCs w:val="24"/>
          <w:u w:val="single"/>
        </w:rPr>
        <w:t>EXPLANATORY STATEMENT</w:t>
      </w:r>
    </w:p>
    <w:p w14:paraId="15E38329" w14:textId="77777777" w:rsidR="006C73DE" w:rsidRPr="006C73DE" w:rsidRDefault="006C73DE" w:rsidP="006C73DE">
      <w:pPr>
        <w:rPr>
          <w:sz w:val="24"/>
        </w:rPr>
      </w:pPr>
    </w:p>
    <w:p w14:paraId="542B8C24" w14:textId="77777777" w:rsidR="006C73DE" w:rsidRPr="006C73DE" w:rsidRDefault="006C73DE" w:rsidP="006C73DE"/>
    <w:p w14:paraId="25AC2F86" w14:textId="77777777" w:rsidR="006C73DE" w:rsidRPr="006C73DE" w:rsidRDefault="006C73DE" w:rsidP="006C73DE">
      <w:pPr>
        <w:keepNext/>
        <w:jc w:val="center"/>
        <w:outlineLvl w:val="0"/>
        <w:rPr>
          <w:b/>
          <w:i/>
          <w:sz w:val="24"/>
        </w:rPr>
      </w:pPr>
      <w:r w:rsidRPr="006C73DE">
        <w:rPr>
          <w:b/>
          <w:i/>
          <w:sz w:val="24"/>
        </w:rPr>
        <w:t>Telecommunications (Consumer Protection and Service Standards) Act 1999</w:t>
      </w:r>
    </w:p>
    <w:p w14:paraId="59A7F77A" w14:textId="77777777" w:rsidR="006C73DE" w:rsidRPr="006C73DE" w:rsidRDefault="006C73DE" w:rsidP="006C73DE">
      <w:pPr>
        <w:rPr>
          <w:b/>
        </w:rPr>
      </w:pPr>
    </w:p>
    <w:p w14:paraId="1BCDEE52" w14:textId="77777777" w:rsidR="006C73DE" w:rsidRPr="006C73DE" w:rsidRDefault="006C73DE" w:rsidP="006C73DE">
      <w:pPr>
        <w:jc w:val="center"/>
        <w:rPr>
          <w:b/>
          <w:i/>
          <w:sz w:val="24"/>
          <w:szCs w:val="24"/>
        </w:rPr>
      </w:pPr>
      <w:r w:rsidRPr="006C73DE">
        <w:rPr>
          <w:b/>
          <w:i/>
          <w:sz w:val="24"/>
          <w:szCs w:val="24"/>
        </w:rPr>
        <w:t xml:space="preserve">Telstra Carrier Charges – Price Control Arrangements, Notification and Disallowance Determination No.1 of 2005 </w:t>
      </w:r>
    </w:p>
    <w:p w14:paraId="463C81F3" w14:textId="4120D0D7" w:rsidR="006C73DE" w:rsidRPr="006C73DE" w:rsidRDefault="0061379C" w:rsidP="006C73DE">
      <w:pPr>
        <w:jc w:val="center"/>
        <w:rPr>
          <w:b/>
          <w:sz w:val="24"/>
          <w:szCs w:val="24"/>
        </w:rPr>
      </w:pPr>
      <w:r>
        <w:rPr>
          <w:b/>
          <w:i/>
          <w:sz w:val="24"/>
          <w:szCs w:val="24"/>
        </w:rPr>
        <w:t>Instrument of Revocation 2015</w:t>
      </w:r>
      <w:r w:rsidR="006C73DE" w:rsidRPr="006C73DE">
        <w:rPr>
          <w:b/>
          <w:i/>
          <w:sz w:val="24"/>
          <w:szCs w:val="24"/>
        </w:rPr>
        <w:t xml:space="preserve"> </w:t>
      </w:r>
    </w:p>
    <w:p w14:paraId="1A523008" w14:textId="77777777" w:rsidR="006C73DE" w:rsidRPr="006C73DE" w:rsidRDefault="006C73DE" w:rsidP="006C73DE">
      <w:pPr>
        <w:rPr>
          <w:sz w:val="24"/>
          <w:u w:val="single"/>
          <w:lang w:val="en-GB" w:eastAsia="en-US"/>
        </w:rPr>
      </w:pPr>
    </w:p>
    <w:p w14:paraId="5E0953D5" w14:textId="77777777" w:rsidR="006C73DE" w:rsidRPr="006C73DE" w:rsidRDefault="006C73DE" w:rsidP="006C73DE">
      <w:pPr>
        <w:jc w:val="center"/>
        <w:rPr>
          <w:sz w:val="24"/>
          <w:szCs w:val="24"/>
        </w:rPr>
      </w:pPr>
      <w:r w:rsidRPr="006C73DE">
        <w:rPr>
          <w:sz w:val="24"/>
          <w:szCs w:val="24"/>
        </w:rPr>
        <w:t>Issued by the Authority of the Minister for Communications</w:t>
      </w:r>
    </w:p>
    <w:p w14:paraId="26E203AC" w14:textId="77777777" w:rsidR="006C73DE" w:rsidRPr="006C73DE" w:rsidRDefault="006C73DE" w:rsidP="006C73DE">
      <w:pPr>
        <w:rPr>
          <w:sz w:val="24"/>
        </w:rPr>
      </w:pPr>
    </w:p>
    <w:p w14:paraId="47B3A989" w14:textId="77777777" w:rsidR="006C73DE" w:rsidRPr="006C73DE" w:rsidRDefault="006C73DE" w:rsidP="006C73DE">
      <w:pPr>
        <w:rPr>
          <w:b/>
          <w:sz w:val="24"/>
        </w:rPr>
      </w:pPr>
      <w:r w:rsidRPr="006C73DE">
        <w:rPr>
          <w:b/>
          <w:sz w:val="24"/>
        </w:rPr>
        <w:t>Legislative Authority</w:t>
      </w:r>
    </w:p>
    <w:p w14:paraId="527BD49F" w14:textId="77777777" w:rsidR="006C73DE" w:rsidRPr="006C73DE" w:rsidRDefault="006C73DE" w:rsidP="006C73DE">
      <w:pPr>
        <w:rPr>
          <w:sz w:val="24"/>
        </w:rPr>
      </w:pPr>
    </w:p>
    <w:p w14:paraId="7398A828" w14:textId="77777777" w:rsidR="006C73DE" w:rsidRPr="006C73DE" w:rsidRDefault="006C73DE" w:rsidP="006C73DE">
      <w:pPr>
        <w:rPr>
          <w:sz w:val="24"/>
        </w:rPr>
      </w:pPr>
      <w:r w:rsidRPr="006C73DE">
        <w:rPr>
          <w:sz w:val="24"/>
        </w:rPr>
        <w:t xml:space="preserve">The </w:t>
      </w:r>
      <w:r w:rsidRPr="006C73DE">
        <w:rPr>
          <w:i/>
          <w:sz w:val="24"/>
        </w:rPr>
        <w:t>Telstra Carrier Charges – Price Control Arrangements, Notification and Disallowance Determination No.1 of 2005</w:t>
      </w:r>
      <w:r w:rsidRPr="006C73DE">
        <w:rPr>
          <w:sz w:val="24"/>
        </w:rPr>
        <w:t xml:space="preserve"> (</w:t>
      </w:r>
      <w:r w:rsidRPr="006C73DE">
        <w:rPr>
          <w:sz w:val="24"/>
          <w:szCs w:val="24"/>
        </w:rPr>
        <w:t xml:space="preserve">the Determination) </w:t>
      </w:r>
      <w:r w:rsidRPr="006C73DE">
        <w:rPr>
          <w:sz w:val="24"/>
        </w:rPr>
        <w:t xml:space="preserve">is made under subsections 154(1), 155(1) and 157(1) of the </w:t>
      </w:r>
      <w:r w:rsidRPr="006C73DE">
        <w:rPr>
          <w:i/>
          <w:sz w:val="24"/>
        </w:rPr>
        <w:t>Telecommunications (Consumer Protection and Service Standards) Act 1999</w:t>
      </w:r>
      <w:r w:rsidRPr="006C73DE">
        <w:rPr>
          <w:sz w:val="24"/>
        </w:rPr>
        <w:t xml:space="preserve"> (the Act). </w:t>
      </w:r>
    </w:p>
    <w:p w14:paraId="427802EA" w14:textId="77777777" w:rsidR="006C73DE" w:rsidRPr="006C73DE" w:rsidRDefault="006C73DE" w:rsidP="006C73DE">
      <w:pPr>
        <w:rPr>
          <w:sz w:val="24"/>
        </w:rPr>
      </w:pPr>
    </w:p>
    <w:p w14:paraId="11149291" w14:textId="77777777" w:rsidR="006C73DE" w:rsidRPr="006C73DE" w:rsidRDefault="006C73DE" w:rsidP="006C73DE">
      <w:pPr>
        <w:rPr>
          <w:sz w:val="24"/>
        </w:rPr>
      </w:pPr>
      <w:r w:rsidRPr="006C73DE">
        <w:rPr>
          <w:sz w:val="24"/>
        </w:rPr>
        <w:t xml:space="preserve">Subsection 154(1) of the Act enables the Minister to determine that specified Telstra Corporation Limited (Telstra) charges are subject to price control arrangements. </w:t>
      </w:r>
    </w:p>
    <w:p w14:paraId="5D478A0F" w14:textId="77777777" w:rsidR="006C73DE" w:rsidRPr="006C73DE" w:rsidRDefault="006C73DE" w:rsidP="006C73DE">
      <w:pPr>
        <w:rPr>
          <w:sz w:val="24"/>
        </w:rPr>
      </w:pPr>
    </w:p>
    <w:p w14:paraId="1C8842EF" w14:textId="77777777" w:rsidR="006C73DE" w:rsidRPr="006C73DE" w:rsidRDefault="006C73DE" w:rsidP="006C73DE">
      <w:pPr>
        <w:rPr>
          <w:sz w:val="24"/>
        </w:rPr>
      </w:pPr>
      <w:r w:rsidRPr="006C73DE">
        <w:rPr>
          <w:sz w:val="24"/>
        </w:rPr>
        <w:t xml:space="preserve">Paragraph 155(1)(a) of the Act enables the Minister to determine price-caps and other price controls to be applied in relation to a Telstra charge subject to price control arrangements. Paragraph 155(1)(b) enables the Minister to determine principles in accordance with which Telstra is to make alterations to charges subject to price control arrangements. Subsection 157(1) of the Act enables the Minister to determine that specified Telstra charges are subject to notification and disallowance. </w:t>
      </w:r>
    </w:p>
    <w:p w14:paraId="327C8A5D" w14:textId="77777777" w:rsidR="006C73DE" w:rsidRPr="006C73DE" w:rsidRDefault="006C73DE" w:rsidP="006C73DE">
      <w:pPr>
        <w:rPr>
          <w:sz w:val="24"/>
        </w:rPr>
      </w:pPr>
    </w:p>
    <w:p w14:paraId="6ED4ECD2" w14:textId="77777777" w:rsidR="006C73DE" w:rsidRPr="006C73DE" w:rsidRDefault="006C73DE" w:rsidP="006C73DE">
      <w:pPr>
        <w:rPr>
          <w:sz w:val="24"/>
        </w:rPr>
      </w:pPr>
      <w:r w:rsidRPr="006C73DE">
        <w:rPr>
          <w:sz w:val="24"/>
        </w:rPr>
        <w:t xml:space="preserve">Subsection 33(3) of the </w:t>
      </w:r>
      <w:r w:rsidRPr="006C73DE">
        <w:rPr>
          <w:i/>
          <w:sz w:val="24"/>
        </w:rPr>
        <w:t>Acts Interpretation Act 1901</w:t>
      </w:r>
      <w:r w:rsidRPr="006C73DE">
        <w:rPr>
          <w:sz w:val="24"/>
        </w:rPr>
        <w:t xml:space="preserve"> provides the Minister with the power to repeal, rescind, revoke, amend or vary any instrument made under the powers conferred by the Act. </w:t>
      </w:r>
    </w:p>
    <w:p w14:paraId="798E28B9" w14:textId="77777777" w:rsidR="006C73DE" w:rsidRPr="006C73DE" w:rsidRDefault="006C73DE" w:rsidP="006C73DE">
      <w:pPr>
        <w:rPr>
          <w:sz w:val="24"/>
        </w:rPr>
      </w:pPr>
    </w:p>
    <w:p w14:paraId="5DBD4BE6" w14:textId="77777777" w:rsidR="006C73DE" w:rsidRPr="006C73DE" w:rsidRDefault="006C73DE" w:rsidP="006C73DE">
      <w:pPr>
        <w:rPr>
          <w:b/>
          <w:sz w:val="24"/>
        </w:rPr>
      </w:pPr>
      <w:r w:rsidRPr="006C73DE">
        <w:rPr>
          <w:b/>
          <w:sz w:val="24"/>
        </w:rPr>
        <w:t xml:space="preserve">Purpose </w:t>
      </w:r>
    </w:p>
    <w:p w14:paraId="421598C9" w14:textId="77777777" w:rsidR="006C73DE" w:rsidRPr="006C73DE" w:rsidRDefault="006C73DE" w:rsidP="006C73DE">
      <w:pPr>
        <w:rPr>
          <w:sz w:val="24"/>
          <w:szCs w:val="24"/>
        </w:rPr>
      </w:pPr>
    </w:p>
    <w:p w14:paraId="519335E1" w14:textId="70A561E3" w:rsidR="006C73DE" w:rsidRPr="006C73DE" w:rsidRDefault="006C73DE" w:rsidP="006C73DE">
      <w:pPr>
        <w:rPr>
          <w:sz w:val="24"/>
          <w:szCs w:val="24"/>
        </w:rPr>
      </w:pPr>
      <w:r w:rsidRPr="006C73DE">
        <w:rPr>
          <w:sz w:val="24"/>
          <w:szCs w:val="24"/>
        </w:rPr>
        <w:t xml:space="preserve">The purpose of the </w:t>
      </w:r>
      <w:r w:rsidRPr="006C73DE">
        <w:rPr>
          <w:i/>
          <w:sz w:val="24"/>
          <w:szCs w:val="24"/>
        </w:rPr>
        <w:t>Telstra Carrier Charges – Price Control Arrangements, Notification and Disallowance Determination No.1 of 20</w:t>
      </w:r>
      <w:r w:rsidR="0061379C">
        <w:rPr>
          <w:i/>
          <w:sz w:val="24"/>
          <w:szCs w:val="24"/>
        </w:rPr>
        <w:t>05 Instrument of Revocation 2015</w:t>
      </w:r>
      <w:r w:rsidRPr="006C73DE">
        <w:rPr>
          <w:sz w:val="24"/>
          <w:szCs w:val="24"/>
        </w:rPr>
        <w:t xml:space="preserve"> (the Revocation Instrument) is to revoke the</w:t>
      </w:r>
      <w:r w:rsidRPr="006C73DE">
        <w:rPr>
          <w:sz w:val="24"/>
        </w:rPr>
        <w:t xml:space="preserve"> Determination as currently in force. </w:t>
      </w:r>
      <w:r w:rsidRPr="006C73DE">
        <w:rPr>
          <w:sz w:val="24"/>
          <w:szCs w:val="24"/>
        </w:rPr>
        <w:t xml:space="preserve"> </w:t>
      </w:r>
    </w:p>
    <w:p w14:paraId="1786D0EF" w14:textId="77777777" w:rsidR="006C73DE" w:rsidRPr="006C73DE" w:rsidRDefault="006C73DE" w:rsidP="006C73DE">
      <w:pPr>
        <w:rPr>
          <w:sz w:val="24"/>
          <w:szCs w:val="24"/>
        </w:rPr>
      </w:pPr>
    </w:p>
    <w:p w14:paraId="2A0A0C49" w14:textId="77777777" w:rsidR="006C73DE" w:rsidRPr="006C73DE" w:rsidRDefault="006C73DE" w:rsidP="006C73DE">
      <w:pPr>
        <w:rPr>
          <w:b/>
          <w:sz w:val="24"/>
        </w:rPr>
      </w:pPr>
      <w:r w:rsidRPr="006C73DE">
        <w:rPr>
          <w:b/>
          <w:sz w:val="24"/>
        </w:rPr>
        <w:t>Background</w:t>
      </w:r>
    </w:p>
    <w:p w14:paraId="5E860D7B" w14:textId="77777777" w:rsidR="006C73DE" w:rsidRPr="006C73DE" w:rsidRDefault="006C73DE" w:rsidP="006C73DE">
      <w:pPr>
        <w:rPr>
          <w:sz w:val="24"/>
        </w:rPr>
      </w:pPr>
    </w:p>
    <w:p w14:paraId="57C01407" w14:textId="77777777" w:rsidR="006C73DE" w:rsidRPr="006C73DE" w:rsidRDefault="006C73DE" w:rsidP="006C73DE">
      <w:pPr>
        <w:rPr>
          <w:sz w:val="24"/>
        </w:rPr>
      </w:pPr>
      <w:r w:rsidRPr="006C73DE">
        <w:rPr>
          <w:sz w:val="24"/>
        </w:rPr>
        <w:t xml:space="preserve">The Determination imposes retail price controls (RPC) on certain services supplied by Telstra. </w:t>
      </w:r>
    </w:p>
    <w:p w14:paraId="7ECD4368" w14:textId="77777777" w:rsidR="006C73DE" w:rsidRPr="006C73DE" w:rsidRDefault="006C73DE" w:rsidP="006C73DE">
      <w:pPr>
        <w:rPr>
          <w:sz w:val="24"/>
        </w:rPr>
      </w:pPr>
    </w:p>
    <w:p w14:paraId="239FD815" w14:textId="77777777" w:rsidR="006C73DE" w:rsidRPr="006C73DE" w:rsidRDefault="006C73DE" w:rsidP="006C73DE">
      <w:pPr>
        <w:rPr>
          <w:sz w:val="24"/>
        </w:rPr>
      </w:pPr>
      <w:r w:rsidRPr="006C73DE">
        <w:rPr>
          <w:sz w:val="24"/>
        </w:rPr>
        <w:t>These arrangements apply price caps to specified ‘baskets’ of fixed-line services supplied by Telstra along with other pricing obligations. The objectives of RPC are to provide parity between metropolitan, rural and regional customers, protect low</w:t>
      </w:r>
      <w:r w:rsidRPr="006C73DE">
        <w:rPr>
          <w:sz w:val="24"/>
        </w:rPr>
        <w:noBreakHyphen/>
        <w:t xml:space="preserve">income consumers and ensure that efficiency benefits are passed on to customers. While Telstra can vary the prices of individual items in a ‘basket’, the total variation must be zero or within the Consumer Price Index (CPI) depending on the ‘basket’, meaning that Telstra must at least absorb any changes in the CPI. </w:t>
      </w:r>
    </w:p>
    <w:p w14:paraId="4631554D" w14:textId="77777777" w:rsidR="006C73DE" w:rsidRPr="006C73DE" w:rsidRDefault="006C73DE" w:rsidP="006C73DE">
      <w:pPr>
        <w:rPr>
          <w:sz w:val="24"/>
        </w:rPr>
      </w:pPr>
    </w:p>
    <w:p w14:paraId="6DA2433C" w14:textId="77777777" w:rsidR="006C73DE" w:rsidRPr="006C73DE" w:rsidRDefault="006C73DE" w:rsidP="006C73DE">
      <w:pPr>
        <w:rPr>
          <w:sz w:val="24"/>
        </w:rPr>
      </w:pPr>
      <w:r w:rsidRPr="006C73DE">
        <w:rPr>
          <w:sz w:val="24"/>
        </w:rPr>
        <w:t>Basket 1 consists of local, STD, fixed to mobile and international calls, and line rentals.  Basket 2 is Telstra’s basic residential line rental product (HomeLine Part) which is capped by the CPI. Basket 3 is Telstra’s basic business and charity line rental product (BusinessLine Part) and also has its price limited by CPI. In addition, there are 10 specified connection services which are subject to price increase caps in line with CPI movements.</w:t>
      </w:r>
    </w:p>
    <w:p w14:paraId="04FA53F4" w14:textId="77777777" w:rsidR="006C73DE" w:rsidRPr="006C73DE" w:rsidRDefault="006C73DE" w:rsidP="006C73DE">
      <w:pPr>
        <w:rPr>
          <w:sz w:val="24"/>
        </w:rPr>
      </w:pPr>
    </w:p>
    <w:p w14:paraId="1273748F" w14:textId="77777777" w:rsidR="006C73DE" w:rsidRPr="006C73DE" w:rsidRDefault="006C73DE" w:rsidP="006C73DE">
      <w:pPr>
        <w:rPr>
          <w:sz w:val="24"/>
        </w:rPr>
      </w:pPr>
      <w:r w:rsidRPr="006C73DE">
        <w:rPr>
          <w:sz w:val="24"/>
        </w:rPr>
        <w:t>Other price controls include the price for untimed local calls which are not to increase above 22 cents and 50 cents from payphones, price parity between metropolitan and regional areas, and line rental to schools at a price at or below that offered to residential customers.</w:t>
      </w:r>
    </w:p>
    <w:p w14:paraId="724B5F46" w14:textId="77777777" w:rsidR="006C73DE" w:rsidRPr="006C73DE" w:rsidRDefault="006C73DE" w:rsidP="006C73DE">
      <w:pPr>
        <w:spacing w:before="100" w:beforeAutospacing="1" w:after="100" w:afterAutospacing="1"/>
        <w:rPr>
          <w:sz w:val="24"/>
          <w:szCs w:val="24"/>
          <w:lang w:val="en"/>
        </w:rPr>
      </w:pPr>
      <w:r w:rsidRPr="006C73DE">
        <w:rPr>
          <w:sz w:val="24"/>
          <w:szCs w:val="24"/>
          <w:lang w:val="en"/>
        </w:rPr>
        <w:t>Price control arrangements of this type have applied to Telstra (or its predecessors, Telecom and the Overseas Telecommunications Corporation) since 1989. They were originally introduced at a time when Telstra was the only telecommunications provider and fixed line telephony was the predominant telecommunications service, giving Telstra significant market position. RPC and other regulatory measures were viewed as means to appropriately balance this dominant market position while the market was deregulated and competition increased through new players and services.</w:t>
      </w:r>
    </w:p>
    <w:p w14:paraId="5092EBA7" w14:textId="77777777" w:rsidR="006C73DE" w:rsidRPr="006C73DE" w:rsidRDefault="006C73DE" w:rsidP="006C73DE">
      <w:pPr>
        <w:spacing w:before="100" w:beforeAutospacing="1" w:after="100" w:afterAutospacing="1"/>
        <w:rPr>
          <w:sz w:val="24"/>
          <w:szCs w:val="24"/>
          <w:lang w:val="en"/>
        </w:rPr>
      </w:pPr>
      <w:r w:rsidRPr="006C73DE">
        <w:rPr>
          <w:sz w:val="24"/>
          <w:szCs w:val="24"/>
          <w:lang w:val="en"/>
        </w:rPr>
        <w:t>RPC have been reviewed every two to three years since their introduction and were kept in place to address poten</w:t>
      </w:r>
      <w:r w:rsidRPr="006C73DE">
        <w:rPr>
          <w:sz w:val="24"/>
          <w:szCs w:val="24"/>
          <w:lang w:val="en"/>
        </w:rPr>
        <w:lastRenderedPageBreak/>
        <w:t xml:space="preserve">tial ongoing structural and social equity issues in the telecommunications market. These issues have declined with improved access to telecommunications infrastructure, including the National Broadband Network (NBN), the increasing availability and use of alternative services to fixed lines (such as mobile services and Internet Protocol telephony) and increased retail competition.       </w:t>
      </w:r>
    </w:p>
    <w:p w14:paraId="2F673CD0" w14:textId="77777777" w:rsidR="006C73DE" w:rsidRPr="006C73DE" w:rsidRDefault="006C73DE" w:rsidP="006C73DE">
      <w:pPr>
        <w:spacing w:before="100" w:beforeAutospacing="1" w:after="100" w:afterAutospacing="1"/>
        <w:rPr>
          <w:sz w:val="24"/>
          <w:szCs w:val="24"/>
          <w:lang w:val="en"/>
        </w:rPr>
      </w:pPr>
      <w:r w:rsidRPr="006C73DE">
        <w:rPr>
          <w:sz w:val="24"/>
          <w:szCs w:val="24"/>
          <w:lang w:val="en"/>
        </w:rPr>
        <w:t xml:space="preserve">The most recent formal review in 2012 by the Department (previous reviews being undertaken by the ACCC) found that there was potentially a valid case for reducing or removing RPC over time and that this should be subject to further analysis in 2014 having regard to the progress of the NBN and the development of competition.  </w:t>
      </w:r>
    </w:p>
    <w:p w14:paraId="2694B48E" w14:textId="77777777" w:rsidR="006C73DE" w:rsidRPr="006C73DE" w:rsidRDefault="006C73DE" w:rsidP="006C73DE">
      <w:pPr>
        <w:rPr>
          <w:bCs/>
          <w:sz w:val="23"/>
          <w:szCs w:val="23"/>
        </w:rPr>
      </w:pPr>
      <w:r w:rsidRPr="006C73DE">
        <w:rPr>
          <w:sz w:val="23"/>
          <w:szCs w:val="23"/>
        </w:rPr>
        <w:t xml:space="preserve">On 26 June 2012, the </w:t>
      </w:r>
      <w:r w:rsidRPr="006C73DE">
        <w:rPr>
          <w:i/>
          <w:sz w:val="23"/>
          <w:szCs w:val="23"/>
        </w:rPr>
        <w:t xml:space="preserve">Telstra Carrier Charges – Price Control Arrangements, Notification and Disallowance Determination </w:t>
      </w:r>
      <w:r w:rsidRPr="006C73DE">
        <w:rPr>
          <w:bCs/>
          <w:i/>
          <w:sz w:val="23"/>
          <w:szCs w:val="23"/>
        </w:rPr>
        <w:t xml:space="preserve">No. 1 of 2005 (Amendment No. 1 of 2012) </w:t>
      </w:r>
      <w:r w:rsidRPr="006C73DE">
        <w:rPr>
          <w:bCs/>
          <w:sz w:val="23"/>
          <w:szCs w:val="23"/>
        </w:rPr>
        <w:t xml:space="preserve">was made, amending the Principal Determination.  This amendment extended the price control arrangements to 30 June 2014, exempting Telstra from price control arrangements over the NBN or equivalent wholesale-only networks and capping individual connection service products in addition to other changes. </w:t>
      </w:r>
    </w:p>
    <w:p w14:paraId="31DF7FE2" w14:textId="77777777" w:rsidR="006C73DE" w:rsidRPr="006C73DE" w:rsidRDefault="006C73DE" w:rsidP="006C73DE">
      <w:pPr>
        <w:rPr>
          <w:rFonts w:asciiTheme="majorHAnsi" w:eastAsiaTheme="majorEastAsia" w:hAnsiTheme="majorHAnsi" w:cstheme="majorBidi"/>
          <w:bCs/>
          <w:color w:val="4F81BD" w:themeColor="accent1"/>
          <w:sz w:val="23"/>
          <w:szCs w:val="23"/>
        </w:rPr>
      </w:pPr>
    </w:p>
    <w:p w14:paraId="6639C1D6" w14:textId="77777777" w:rsidR="006C73DE" w:rsidRPr="006C73DE" w:rsidRDefault="006C73DE" w:rsidP="006C73DE">
      <w:r w:rsidRPr="006C73DE">
        <w:rPr>
          <w:sz w:val="23"/>
          <w:szCs w:val="23"/>
        </w:rPr>
        <w:t>Following targeted consultation with Telstra, the ACCC and the Commonwealth Department of Education in March 2014, Telstra’s RPC were extended for a further 12 months until 1 July 2015 to allow for a regulatory review process and the further analysis foreshadowed in the 2012 review.</w:t>
      </w:r>
    </w:p>
    <w:p w14:paraId="50CE2C8C" w14:textId="77777777" w:rsidR="006C73DE" w:rsidRPr="006C73DE" w:rsidRDefault="006C73DE" w:rsidP="006C73DE">
      <w:pPr>
        <w:rPr>
          <w:rFonts w:asciiTheme="minorHAnsi" w:eastAsiaTheme="minorHAnsi" w:hAnsiTheme="minorHAnsi" w:cstheme="minorBidi"/>
          <w:sz w:val="22"/>
          <w:szCs w:val="22"/>
          <w:lang w:eastAsia="en-US"/>
        </w:rPr>
      </w:pPr>
    </w:p>
    <w:p w14:paraId="108FCFBA" w14:textId="77777777" w:rsidR="006C73DE" w:rsidRPr="006C73DE" w:rsidRDefault="006C73DE" w:rsidP="006C73DE">
      <w:pPr>
        <w:rPr>
          <w:bCs/>
          <w:sz w:val="23"/>
          <w:szCs w:val="23"/>
        </w:rPr>
      </w:pPr>
      <w:r w:rsidRPr="006C73DE">
        <w:rPr>
          <w:sz w:val="23"/>
          <w:szCs w:val="23"/>
        </w:rPr>
        <w:t xml:space="preserve">In February 2014, the Department engaged the Centre for International Economics (CIE) </w:t>
      </w:r>
      <w:r w:rsidRPr="006C73DE">
        <w:rPr>
          <w:bCs/>
          <w:sz w:val="23"/>
          <w:szCs w:val="23"/>
        </w:rPr>
        <w:t>to undertake an economic analysis of Telstra’s RPC to provide advice on the future of price control arrangements in the context of the Government’s broader deregulation agenda.</w:t>
      </w:r>
    </w:p>
    <w:p w14:paraId="7820D661" w14:textId="77777777" w:rsidR="006C73DE" w:rsidRPr="006C73DE" w:rsidRDefault="006C73DE" w:rsidP="006C73DE">
      <w:pPr>
        <w:rPr>
          <w:bCs/>
          <w:sz w:val="23"/>
          <w:szCs w:val="23"/>
        </w:rPr>
      </w:pPr>
    </w:p>
    <w:p w14:paraId="1ECD2FD7" w14:textId="0306FBF2" w:rsidR="006C73DE" w:rsidRPr="006C73DE" w:rsidRDefault="006C73DE" w:rsidP="006C73DE">
      <w:pPr>
        <w:rPr>
          <w:bCs/>
          <w:sz w:val="23"/>
          <w:szCs w:val="23"/>
        </w:rPr>
      </w:pPr>
      <w:r w:rsidRPr="006C73DE">
        <w:rPr>
          <w:bCs/>
          <w:sz w:val="23"/>
          <w:szCs w:val="23"/>
        </w:rPr>
        <w:t xml:space="preserve">CIE found that with the development of a competitive retail market for telecommunications services, RPC are no longer required and that RPC </w:t>
      </w:r>
      <w:r w:rsidR="00D67C0A">
        <w:rPr>
          <w:bCs/>
          <w:sz w:val="23"/>
          <w:szCs w:val="23"/>
        </w:rPr>
        <w:t>are having</w:t>
      </w:r>
      <w:r w:rsidRPr="006C73DE">
        <w:rPr>
          <w:bCs/>
          <w:sz w:val="23"/>
          <w:szCs w:val="23"/>
        </w:rPr>
        <w:t xml:space="preserve"> no impact on prices charged by Telstra. Prices offered by Telstra are below the level required by RPC.</w:t>
      </w:r>
    </w:p>
    <w:p w14:paraId="40B11476" w14:textId="77777777" w:rsidR="006C73DE" w:rsidRPr="006C73DE" w:rsidRDefault="006C73DE" w:rsidP="006C73DE">
      <w:pPr>
        <w:rPr>
          <w:bCs/>
          <w:sz w:val="23"/>
          <w:szCs w:val="23"/>
        </w:rPr>
      </w:pPr>
    </w:p>
    <w:p w14:paraId="646AC609" w14:textId="77777777" w:rsidR="006C73DE" w:rsidRPr="006C73DE" w:rsidRDefault="006C73DE" w:rsidP="006C73DE">
      <w:pPr>
        <w:rPr>
          <w:bCs/>
          <w:sz w:val="23"/>
          <w:szCs w:val="23"/>
        </w:rPr>
      </w:pPr>
      <w:r w:rsidRPr="006C73DE">
        <w:rPr>
          <w:bCs/>
          <w:sz w:val="23"/>
          <w:szCs w:val="23"/>
        </w:rPr>
        <w:t xml:space="preserve">CIE also reported that it is likely that Telstra would have offered nationally consistent prices in the absence of RPC. </w:t>
      </w:r>
    </w:p>
    <w:p w14:paraId="6F3C38EF" w14:textId="77777777" w:rsidR="006C73DE" w:rsidRPr="006C73DE" w:rsidRDefault="006C73DE" w:rsidP="006C73DE">
      <w:pPr>
        <w:rPr>
          <w:bCs/>
          <w:sz w:val="23"/>
          <w:szCs w:val="23"/>
        </w:rPr>
      </w:pPr>
    </w:p>
    <w:p w14:paraId="746117B7" w14:textId="77777777" w:rsidR="006C73DE" w:rsidRPr="006C73DE" w:rsidRDefault="006C73DE" w:rsidP="006C73DE">
      <w:pPr>
        <w:rPr>
          <w:bCs/>
          <w:sz w:val="23"/>
          <w:szCs w:val="23"/>
        </w:rPr>
      </w:pPr>
      <w:r w:rsidRPr="006C73DE">
        <w:rPr>
          <w:bCs/>
          <w:sz w:val="23"/>
          <w:szCs w:val="23"/>
        </w:rPr>
        <w:t xml:space="preserve">The findings of the CIE analysis confirm the trends identified in the Department’s 2012 review and reinforce the decreasing relevance of RPC in the current telecommunications market. </w:t>
      </w:r>
    </w:p>
    <w:p w14:paraId="4BD7C117" w14:textId="77777777" w:rsidR="006C73DE" w:rsidRPr="006C73DE" w:rsidRDefault="006C73DE" w:rsidP="006C73DE">
      <w:pPr>
        <w:rPr>
          <w:bCs/>
          <w:sz w:val="23"/>
          <w:szCs w:val="23"/>
        </w:rPr>
      </w:pPr>
    </w:p>
    <w:p w14:paraId="2F1761B4" w14:textId="13D1E274" w:rsidR="006C73DE" w:rsidRPr="006C73DE" w:rsidRDefault="006C73DE" w:rsidP="006C73DE">
      <w:pPr>
        <w:spacing w:line="256" w:lineRule="auto"/>
        <w:ind w:right="264"/>
        <w:rPr>
          <w:sz w:val="23"/>
          <w:szCs w:val="23"/>
        </w:rPr>
      </w:pPr>
      <w:r w:rsidRPr="006C73DE">
        <w:rPr>
          <w:bCs/>
          <w:sz w:val="23"/>
          <w:szCs w:val="23"/>
        </w:rPr>
        <w:t>In light</w:t>
      </w:r>
      <w:r w:rsidRPr="006C73DE">
        <w:rPr>
          <w:sz w:val="23"/>
          <w:szCs w:val="23"/>
        </w:rPr>
        <w:t xml:space="preserve"> of the findings of the consultation processes, the retail price control arrangements, including the price caps and pricing structure, are no longer considered necessary, thereby justifying the revocation of the Determination in its entirety. It is also considered that revoking the retail price control arrangemen</w:t>
      </w:r>
      <w:r w:rsidR="00D67C0A">
        <w:rPr>
          <w:sz w:val="23"/>
          <w:szCs w:val="23"/>
        </w:rPr>
        <w:t xml:space="preserve">ts would represent a </w:t>
      </w:r>
      <w:r w:rsidRPr="006C73DE">
        <w:rPr>
          <w:sz w:val="23"/>
          <w:szCs w:val="23"/>
        </w:rPr>
        <w:t>reduction in industry reporting requirements for Telstra. The revocation of the determination also aligns with the Government’s broader deregulation agenda.</w:t>
      </w:r>
    </w:p>
    <w:p w14:paraId="2F0C01C5" w14:textId="77777777" w:rsidR="006C73DE" w:rsidRPr="006C73DE" w:rsidRDefault="006C73DE" w:rsidP="006C73DE">
      <w:pPr>
        <w:spacing w:line="256" w:lineRule="auto"/>
        <w:ind w:right="264"/>
        <w:rPr>
          <w:sz w:val="24"/>
        </w:rPr>
      </w:pPr>
    </w:p>
    <w:p w14:paraId="7AACB210" w14:textId="0D913696" w:rsidR="006C73DE" w:rsidRPr="006C73DE" w:rsidRDefault="006C73DE" w:rsidP="006C73DE">
      <w:pPr>
        <w:spacing w:line="256" w:lineRule="auto"/>
        <w:ind w:right="264"/>
        <w:rPr>
          <w:sz w:val="23"/>
          <w:szCs w:val="23"/>
        </w:rPr>
      </w:pPr>
      <w:r w:rsidRPr="006C73DE">
        <w:rPr>
          <w:sz w:val="24"/>
        </w:rPr>
        <w:t>Revoking RP</w:t>
      </w:r>
      <w:r w:rsidR="00D67C0A">
        <w:rPr>
          <w:sz w:val="24"/>
        </w:rPr>
        <w:t xml:space="preserve">C would represent a </w:t>
      </w:r>
      <w:r w:rsidRPr="006C73DE">
        <w:rPr>
          <w:sz w:val="24"/>
        </w:rPr>
        <w:t>reduction in industry reporting requirements for Telstr</w:t>
      </w:r>
      <w:r w:rsidRPr="006C73DE">
        <w:rPr>
          <w:sz w:val="23"/>
          <w:szCs w:val="23"/>
        </w:rPr>
        <w:t>a with no impact on consumers, and deliver a net economic saving of approximately $246,000 per annum due to reduced administration and compliance costs.</w:t>
      </w:r>
    </w:p>
    <w:p w14:paraId="4E38054D" w14:textId="77777777" w:rsidR="006C73DE" w:rsidRPr="006C73DE" w:rsidRDefault="006C73DE" w:rsidP="006C73DE">
      <w:pPr>
        <w:spacing w:line="256" w:lineRule="auto"/>
        <w:ind w:right="264"/>
        <w:rPr>
          <w:sz w:val="23"/>
          <w:szCs w:val="23"/>
        </w:rPr>
      </w:pPr>
    </w:p>
    <w:p w14:paraId="56302D9E" w14:textId="77777777" w:rsidR="006C73DE" w:rsidRPr="006C73DE" w:rsidRDefault="006C73DE" w:rsidP="006C73DE">
      <w:pPr>
        <w:spacing w:line="256" w:lineRule="auto"/>
        <w:ind w:right="264"/>
        <w:rPr>
          <w:sz w:val="23"/>
          <w:szCs w:val="23"/>
        </w:rPr>
      </w:pPr>
      <w:r w:rsidRPr="006C73DE">
        <w:rPr>
          <w:sz w:val="23"/>
          <w:szCs w:val="23"/>
        </w:rPr>
        <w:t>As part of its carrier licence conditions, Telstra will still be required to provide the ‘Access for Everyone’ package, endorsed by low-income consumer advocacy groups through the Low-income Measures Assessment Committee (LIMAC). This package contains products and arrangements that address the needs of a wide range of low</w:t>
      </w:r>
      <w:r w:rsidRPr="006C73DE">
        <w:rPr>
          <w:sz w:val="23"/>
          <w:szCs w:val="23"/>
        </w:rPr>
        <w:noBreakHyphen/>
        <w:t>income consumers.</w:t>
      </w:r>
    </w:p>
    <w:p w14:paraId="1152EDA7" w14:textId="77777777" w:rsidR="006C73DE" w:rsidRPr="006C73DE" w:rsidRDefault="006C73DE" w:rsidP="006C73DE">
      <w:pPr>
        <w:spacing w:line="256" w:lineRule="auto"/>
        <w:ind w:right="264"/>
        <w:rPr>
          <w:sz w:val="23"/>
          <w:szCs w:val="23"/>
        </w:rPr>
      </w:pPr>
    </w:p>
    <w:p w14:paraId="3573DEAF" w14:textId="5EF685E2" w:rsidR="006C73DE" w:rsidRPr="006C73DE" w:rsidRDefault="006C73DE" w:rsidP="006C73DE">
      <w:pPr>
        <w:spacing w:line="256" w:lineRule="auto"/>
        <w:ind w:right="264"/>
        <w:rPr>
          <w:b/>
          <w:color w:val="FF0000"/>
          <w:sz w:val="24"/>
        </w:rPr>
      </w:pPr>
      <w:r w:rsidRPr="006C73DE">
        <w:rPr>
          <w:sz w:val="23"/>
          <w:szCs w:val="23"/>
        </w:rPr>
        <w:t>The legislative power in the</w:t>
      </w:r>
      <w:r w:rsidRPr="006C73DE">
        <w:rPr>
          <w:i/>
          <w:sz w:val="23"/>
          <w:szCs w:val="23"/>
        </w:rPr>
        <w:t xml:space="preserve"> Telecommunications (Consumer Protection and Service Standards) Act 1999 </w:t>
      </w:r>
      <w:r w:rsidRPr="006C73DE">
        <w:rPr>
          <w:sz w:val="23"/>
          <w:szCs w:val="23"/>
        </w:rPr>
        <w:t>will remain in place to reintroduce RPC if requir</w:t>
      </w:r>
      <w:r w:rsidR="00D67C0A">
        <w:rPr>
          <w:sz w:val="23"/>
          <w:szCs w:val="23"/>
        </w:rPr>
        <w:t>ed.</w:t>
      </w:r>
    </w:p>
    <w:p w14:paraId="3932B033" w14:textId="77777777" w:rsidR="006C73DE" w:rsidRPr="006C73DE" w:rsidRDefault="006C73DE" w:rsidP="006C73DE">
      <w:pPr>
        <w:rPr>
          <w:b/>
          <w:sz w:val="24"/>
          <w:szCs w:val="24"/>
        </w:rPr>
      </w:pPr>
    </w:p>
    <w:p w14:paraId="689E5916" w14:textId="77777777" w:rsidR="006C73DE" w:rsidRPr="006C73DE" w:rsidRDefault="006C73DE" w:rsidP="006C73DE">
      <w:pPr>
        <w:rPr>
          <w:b/>
          <w:sz w:val="24"/>
          <w:szCs w:val="24"/>
        </w:rPr>
      </w:pPr>
      <w:r w:rsidRPr="006C73DE">
        <w:rPr>
          <w:b/>
          <w:sz w:val="24"/>
          <w:szCs w:val="24"/>
        </w:rPr>
        <w:t>Consultation</w:t>
      </w:r>
    </w:p>
    <w:p w14:paraId="1DCC828D" w14:textId="77777777" w:rsidR="006C73DE" w:rsidRPr="006C73DE" w:rsidRDefault="006C73DE" w:rsidP="006C73DE">
      <w:pPr>
        <w:rPr>
          <w:color w:val="00B0F0"/>
          <w:sz w:val="24"/>
          <w:szCs w:val="24"/>
        </w:rPr>
      </w:pPr>
    </w:p>
    <w:p w14:paraId="49B921BB" w14:textId="77777777" w:rsidR="006C73DE" w:rsidRPr="006C73DE" w:rsidRDefault="006C73DE" w:rsidP="006C73DE">
      <w:pPr>
        <w:spacing w:line="256" w:lineRule="auto"/>
        <w:ind w:right="264"/>
        <w:rPr>
          <w:sz w:val="23"/>
          <w:szCs w:val="23"/>
        </w:rPr>
      </w:pPr>
      <w:r w:rsidRPr="006C73DE">
        <w:rPr>
          <w:sz w:val="23"/>
          <w:szCs w:val="23"/>
        </w:rPr>
        <w:t>In November 2013, the Government consulted with stakeholders on a number of initial measures, including RPC, for a proposed Telecommunications Deregulation Bill, which sought to reduce telecommunications regulation while maintaining or strengthening important consumer safeguards.</w:t>
      </w:r>
    </w:p>
    <w:p w14:paraId="5E4FD9D9" w14:textId="77777777" w:rsidR="006C73DE" w:rsidRPr="006C73DE" w:rsidRDefault="006C73DE" w:rsidP="006C73DE">
      <w:pPr>
        <w:spacing w:line="256" w:lineRule="auto"/>
        <w:ind w:right="264"/>
        <w:rPr>
          <w:sz w:val="23"/>
          <w:szCs w:val="23"/>
        </w:rPr>
      </w:pPr>
    </w:p>
    <w:p w14:paraId="38654EA5" w14:textId="77777777" w:rsidR="006C73DE" w:rsidRPr="006C73DE" w:rsidRDefault="006C73DE" w:rsidP="006C73DE">
      <w:pPr>
        <w:spacing w:line="256" w:lineRule="auto"/>
        <w:ind w:right="264"/>
        <w:rPr>
          <w:sz w:val="23"/>
          <w:szCs w:val="23"/>
        </w:rPr>
      </w:pPr>
      <w:r w:rsidRPr="006C73DE">
        <w:rPr>
          <w:sz w:val="23"/>
          <w:szCs w:val="23"/>
        </w:rPr>
        <w:t>On 15 April 2014, the Department released a consultation paper outlining proposed deregulatory measures, including RPC. Stakeholders were invited to comment on an online discussion forum on the Department’s website. Submissions were received from Optus, Telstra, the Communications Alliance, the Australian Mobile Telecommunications Association, the Australian Communications Consumer Action Network and the National Farmers’ Federation. All submissions supported repeal of RPC arrangements.</w:t>
      </w:r>
    </w:p>
    <w:p w14:paraId="2186F09A" w14:textId="77777777" w:rsidR="006C73DE" w:rsidRPr="006C73DE" w:rsidRDefault="006C73DE" w:rsidP="006C73DE">
      <w:pPr>
        <w:spacing w:line="256" w:lineRule="auto"/>
        <w:ind w:right="264"/>
        <w:rPr>
          <w:sz w:val="23"/>
          <w:szCs w:val="23"/>
        </w:rPr>
      </w:pPr>
    </w:p>
    <w:p w14:paraId="50C9038F" w14:textId="77777777" w:rsidR="006C73DE" w:rsidRPr="006C73DE" w:rsidRDefault="006C73DE" w:rsidP="006C73DE">
      <w:pPr>
        <w:spacing w:line="256" w:lineRule="auto"/>
        <w:ind w:right="264"/>
        <w:rPr>
          <w:sz w:val="23"/>
          <w:szCs w:val="23"/>
        </w:rPr>
      </w:pPr>
      <w:r w:rsidRPr="006C73DE">
        <w:rPr>
          <w:sz w:val="23"/>
          <w:szCs w:val="23"/>
        </w:rPr>
        <w:lastRenderedPageBreak/>
        <w:t>On 12 May 2014, the Department held a stakeholder forum that sought stakeholder perspectives on a range of proposed deregulatory measures. The forum supported the repeal of RPC.</w:t>
      </w:r>
    </w:p>
    <w:p w14:paraId="4A9A66F5" w14:textId="77777777" w:rsidR="006C73DE" w:rsidRPr="006C73DE" w:rsidRDefault="006C73DE" w:rsidP="006C73DE">
      <w:pPr>
        <w:spacing w:line="256" w:lineRule="auto"/>
        <w:ind w:right="264"/>
        <w:rPr>
          <w:sz w:val="23"/>
          <w:szCs w:val="23"/>
        </w:rPr>
      </w:pPr>
    </w:p>
    <w:p w14:paraId="206C8EF6" w14:textId="77777777" w:rsidR="006C73DE" w:rsidRPr="006C73DE" w:rsidRDefault="006C73DE" w:rsidP="006C73DE">
      <w:pPr>
        <w:spacing w:line="256" w:lineRule="auto"/>
        <w:ind w:right="264"/>
        <w:rPr>
          <w:sz w:val="23"/>
          <w:szCs w:val="23"/>
        </w:rPr>
      </w:pPr>
      <w:r w:rsidRPr="006C73DE">
        <w:rPr>
          <w:sz w:val="23"/>
          <w:szCs w:val="23"/>
        </w:rPr>
        <w:t xml:space="preserve">The Department held a number of consultation rounds as part of the drafting process for the report undertaken by the CIE. This included a number of iterations of the report with Telstra and the ACCC, both supporting the repeal of RPC. </w:t>
      </w:r>
    </w:p>
    <w:p w14:paraId="7FB5318E" w14:textId="77777777" w:rsidR="006C73DE" w:rsidRPr="006C73DE" w:rsidRDefault="006C73DE" w:rsidP="006C73DE">
      <w:pPr>
        <w:spacing w:line="256" w:lineRule="auto"/>
        <w:ind w:right="264"/>
        <w:rPr>
          <w:sz w:val="23"/>
          <w:szCs w:val="23"/>
        </w:rPr>
      </w:pPr>
    </w:p>
    <w:p w14:paraId="653B0BA5" w14:textId="77777777" w:rsidR="006C73DE" w:rsidRPr="006C73DE" w:rsidRDefault="006C73DE" w:rsidP="006C73DE">
      <w:pPr>
        <w:spacing w:line="256" w:lineRule="auto"/>
        <w:ind w:right="264"/>
        <w:rPr>
          <w:sz w:val="23"/>
          <w:szCs w:val="23"/>
        </w:rPr>
      </w:pPr>
      <w:r w:rsidRPr="006C73DE">
        <w:rPr>
          <w:sz w:val="23"/>
          <w:szCs w:val="23"/>
        </w:rPr>
        <w:t xml:space="preserve">Additionally, the Department consulted on the report with the National Farmers’ Federation (NFF) and the New South Wales Farmers’ Association (NSW FA). The NFF supports the repealing of RPCs provided that the legislative power in the </w:t>
      </w:r>
      <w:r w:rsidRPr="006C73DE">
        <w:rPr>
          <w:i/>
          <w:sz w:val="23"/>
          <w:szCs w:val="23"/>
        </w:rPr>
        <w:t xml:space="preserve">Telecommunications (Consumer Protection and Service Standards) Act 1999 </w:t>
      </w:r>
      <w:r w:rsidRPr="006C73DE">
        <w:rPr>
          <w:sz w:val="23"/>
          <w:szCs w:val="23"/>
        </w:rPr>
        <w:t xml:space="preserve">remains in place to reintroduce price control arrangements  if required (as is the case). The NSW FA did not support repeal due to concerns about lack of competition in regional areas resulting in price increases in regional markets. The analysis undertaken by the CIE does not support this view as it demonstrates that retail service providers, not currently subject to RPC, voluntarily price on a uniform national basis, even where they are permitted to have differential pricing (such as the mobile telephone market). </w:t>
      </w:r>
    </w:p>
    <w:p w14:paraId="253AAAE9" w14:textId="77777777" w:rsidR="006C73DE" w:rsidRPr="006C73DE" w:rsidRDefault="006C73DE" w:rsidP="006C73DE">
      <w:pPr>
        <w:rPr>
          <w:sz w:val="24"/>
          <w:szCs w:val="24"/>
        </w:rPr>
      </w:pPr>
    </w:p>
    <w:p w14:paraId="56BB6AAF" w14:textId="77777777" w:rsidR="006C73DE" w:rsidRPr="006C73DE" w:rsidRDefault="006C73DE" w:rsidP="006C73DE">
      <w:pPr>
        <w:rPr>
          <w:b/>
          <w:sz w:val="24"/>
          <w:szCs w:val="24"/>
        </w:rPr>
      </w:pPr>
      <w:r w:rsidRPr="006C73DE">
        <w:rPr>
          <w:b/>
          <w:sz w:val="24"/>
          <w:szCs w:val="24"/>
        </w:rPr>
        <w:t>Regulation Impact</w:t>
      </w:r>
    </w:p>
    <w:p w14:paraId="6EF8A4B2" w14:textId="77777777" w:rsidR="006C73DE" w:rsidRPr="006C73DE" w:rsidRDefault="006C73DE" w:rsidP="00DB1C8C">
      <w:pPr>
        <w:spacing w:before="100" w:beforeAutospacing="1" w:after="120"/>
        <w:rPr>
          <w:color w:val="000000"/>
          <w:sz w:val="24"/>
          <w:szCs w:val="24"/>
        </w:rPr>
      </w:pPr>
      <w:r w:rsidRPr="006C73DE">
        <w:rPr>
          <w:color w:val="000000"/>
          <w:sz w:val="24"/>
          <w:szCs w:val="24"/>
        </w:rPr>
        <w:t>The Office of Best Practice Regulation (OBPR) advised that the Department is compliant with the Government’s Regulation Impact Statement (RIS) requirements on the basis that:</w:t>
      </w:r>
    </w:p>
    <w:p w14:paraId="53D33ACC" w14:textId="77777777" w:rsidR="006C73DE" w:rsidRPr="006C73DE" w:rsidRDefault="006C73DE" w:rsidP="006C73DE">
      <w:pPr>
        <w:numPr>
          <w:ilvl w:val="0"/>
          <w:numId w:val="7"/>
        </w:numPr>
        <w:contextualSpacing/>
        <w:rPr>
          <w:color w:val="000000"/>
          <w:sz w:val="24"/>
          <w:szCs w:val="24"/>
        </w:rPr>
      </w:pPr>
      <w:r w:rsidRPr="006C73DE">
        <w:rPr>
          <w:color w:val="000000"/>
          <w:sz w:val="24"/>
          <w:szCs w:val="24"/>
        </w:rPr>
        <w:t>the Department self-assessed that the policy development process has followed a similar process to that required for a RIS and it adequately addressed all seven RIS questions</w:t>
      </w:r>
    </w:p>
    <w:p w14:paraId="698380F1" w14:textId="77777777" w:rsidR="006C73DE" w:rsidRPr="006C73DE" w:rsidRDefault="006C73DE" w:rsidP="006C73DE">
      <w:pPr>
        <w:numPr>
          <w:ilvl w:val="0"/>
          <w:numId w:val="7"/>
        </w:numPr>
        <w:contextualSpacing/>
        <w:rPr>
          <w:color w:val="000000"/>
          <w:sz w:val="24"/>
          <w:szCs w:val="24"/>
        </w:rPr>
      </w:pPr>
      <w:r w:rsidRPr="006C73DE">
        <w:rPr>
          <w:color w:val="000000"/>
          <w:sz w:val="24"/>
          <w:szCs w:val="24"/>
        </w:rPr>
        <w:t>the regulatory costs have been agreed with OBPR of $246,000 in savings per annum.</w:t>
      </w:r>
    </w:p>
    <w:p w14:paraId="74F69FC6" w14:textId="77777777" w:rsidR="006C73DE" w:rsidRPr="006C73DE" w:rsidRDefault="006C73DE" w:rsidP="006C73DE">
      <w:pPr>
        <w:contextualSpacing/>
        <w:rPr>
          <w:b/>
          <w:color w:val="FF0000"/>
        </w:rPr>
      </w:pPr>
    </w:p>
    <w:p w14:paraId="345C634B" w14:textId="77777777" w:rsidR="006C73DE" w:rsidRPr="006C73DE" w:rsidRDefault="006C73DE" w:rsidP="006C73DE">
      <w:pPr>
        <w:spacing w:before="100" w:beforeAutospacing="1" w:after="100" w:afterAutospacing="1"/>
        <w:rPr>
          <w:color w:val="00B0F0"/>
          <w:sz w:val="24"/>
          <w:szCs w:val="24"/>
        </w:rPr>
      </w:pPr>
      <w:r w:rsidRPr="006C73DE">
        <w:rPr>
          <w:b/>
          <w:sz w:val="24"/>
          <w:szCs w:val="24"/>
        </w:rPr>
        <w:t>Other details</w:t>
      </w:r>
    </w:p>
    <w:p w14:paraId="575A1188" w14:textId="77777777" w:rsidR="006C73DE" w:rsidRPr="006C73DE" w:rsidRDefault="006C73DE" w:rsidP="006C73DE">
      <w:pPr>
        <w:autoSpaceDE w:val="0"/>
        <w:autoSpaceDN w:val="0"/>
        <w:adjustRightInd w:val="0"/>
        <w:rPr>
          <w:sz w:val="24"/>
          <w:szCs w:val="24"/>
        </w:rPr>
      </w:pPr>
      <w:r w:rsidRPr="006C73DE">
        <w:rPr>
          <w:sz w:val="24"/>
          <w:szCs w:val="24"/>
        </w:rPr>
        <w:t xml:space="preserve">The Revocation Instrument is a legislative instrument for the purposes of the </w:t>
      </w:r>
      <w:r w:rsidRPr="006C73DE">
        <w:rPr>
          <w:i/>
          <w:sz w:val="24"/>
          <w:szCs w:val="24"/>
        </w:rPr>
        <w:t>Legislative Instruments Act 2003</w:t>
      </w:r>
      <w:r w:rsidRPr="006C73DE">
        <w:rPr>
          <w:sz w:val="24"/>
          <w:szCs w:val="24"/>
        </w:rPr>
        <w:t xml:space="preserve"> and shall commence on the day after it is registered on the Federal Register of Legislative Instruments.</w:t>
      </w:r>
    </w:p>
    <w:p w14:paraId="355F6DB7" w14:textId="77777777" w:rsidR="006C73DE" w:rsidRPr="006C73DE" w:rsidRDefault="006C73DE" w:rsidP="006C73DE">
      <w:pPr>
        <w:jc w:val="both"/>
        <w:rPr>
          <w:sz w:val="24"/>
          <w:szCs w:val="24"/>
          <w:lang w:val="en-GB"/>
        </w:rPr>
      </w:pPr>
    </w:p>
    <w:p w14:paraId="2900E11F" w14:textId="77777777" w:rsidR="006C73DE" w:rsidRPr="006C73DE" w:rsidRDefault="006C73DE" w:rsidP="006C73DE">
      <w:pPr>
        <w:jc w:val="both"/>
        <w:rPr>
          <w:sz w:val="24"/>
          <w:szCs w:val="24"/>
        </w:rPr>
      </w:pPr>
      <w:r w:rsidRPr="006C73DE">
        <w:rPr>
          <w:sz w:val="24"/>
          <w:szCs w:val="24"/>
          <w:lang w:val="en-GB"/>
        </w:rPr>
        <w:t xml:space="preserve">A statement of compatibility with human rights for the purposes of Part 3 of the </w:t>
      </w:r>
      <w:r w:rsidRPr="006C73DE">
        <w:rPr>
          <w:i/>
          <w:iCs/>
          <w:sz w:val="24"/>
          <w:szCs w:val="24"/>
          <w:lang w:val="en-GB"/>
        </w:rPr>
        <w:t>Human Rights (Parliamentary Scrutiny) Act 2011</w:t>
      </w:r>
      <w:r w:rsidRPr="006C73DE">
        <w:rPr>
          <w:sz w:val="24"/>
          <w:szCs w:val="24"/>
          <w:lang w:val="en-GB"/>
        </w:rPr>
        <w:t xml:space="preserve"> is set out in </w:t>
      </w:r>
      <w:r w:rsidRPr="006C73DE">
        <w:rPr>
          <w:b/>
          <w:sz w:val="24"/>
          <w:szCs w:val="24"/>
          <w:u w:val="single"/>
          <w:lang w:val="en-GB"/>
        </w:rPr>
        <w:t>Attachment 1</w:t>
      </w:r>
      <w:r w:rsidRPr="006C73DE">
        <w:rPr>
          <w:sz w:val="24"/>
          <w:szCs w:val="24"/>
          <w:lang w:val="en-GB"/>
        </w:rPr>
        <w:t>.</w:t>
      </w:r>
    </w:p>
    <w:p w14:paraId="21C91B5C" w14:textId="77777777" w:rsidR="006C73DE" w:rsidRPr="006C73DE" w:rsidRDefault="006C73DE" w:rsidP="006C73DE">
      <w:pPr>
        <w:autoSpaceDE w:val="0"/>
        <w:autoSpaceDN w:val="0"/>
        <w:adjustRightInd w:val="0"/>
        <w:rPr>
          <w:sz w:val="24"/>
          <w:szCs w:val="24"/>
        </w:rPr>
      </w:pPr>
    </w:p>
    <w:p w14:paraId="3B2B5BA2" w14:textId="77777777" w:rsidR="006C73DE" w:rsidRPr="006C73DE" w:rsidRDefault="006C73DE" w:rsidP="006C73DE">
      <w:pPr>
        <w:autoSpaceDE w:val="0"/>
        <w:autoSpaceDN w:val="0"/>
        <w:adjustRightInd w:val="0"/>
        <w:rPr>
          <w:sz w:val="24"/>
          <w:szCs w:val="24"/>
        </w:rPr>
      </w:pPr>
      <w:r w:rsidRPr="006C73DE">
        <w:rPr>
          <w:sz w:val="24"/>
          <w:szCs w:val="24"/>
        </w:rPr>
        <w:t xml:space="preserve">Details of the accompanying Revocation Instrument are set out in </w:t>
      </w:r>
      <w:r w:rsidRPr="006C73DE">
        <w:rPr>
          <w:b/>
          <w:sz w:val="24"/>
          <w:szCs w:val="24"/>
          <w:u w:val="single"/>
        </w:rPr>
        <w:t>Attachment 2</w:t>
      </w:r>
      <w:r w:rsidRPr="006C73DE">
        <w:rPr>
          <w:sz w:val="24"/>
          <w:szCs w:val="24"/>
        </w:rPr>
        <w:t>.</w:t>
      </w:r>
    </w:p>
    <w:p w14:paraId="09672D12" w14:textId="77777777" w:rsidR="006C73DE" w:rsidRPr="006C73DE" w:rsidRDefault="006C73DE" w:rsidP="006C73DE">
      <w:pPr>
        <w:ind w:right="91"/>
        <w:rPr>
          <w:b/>
          <w:sz w:val="24"/>
          <w:szCs w:val="24"/>
        </w:rPr>
      </w:pPr>
      <w:r w:rsidRPr="006C73DE">
        <w:rPr>
          <w:b/>
          <w:sz w:val="24"/>
          <w:szCs w:val="24"/>
        </w:rPr>
        <w:br w:type="page"/>
      </w:r>
    </w:p>
    <w:p w14:paraId="5638CF7F" w14:textId="77777777" w:rsidR="006C73DE" w:rsidRPr="006C73DE" w:rsidRDefault="006C73DE" w:rsidP="006C73DE">
      <w:pPr>
        <w:autoSpaceDE w:val="0"/>
        <w:autoSpaceDN w:val="0"/>
        <w:adjustRightInd w:val="0"/>
        <w:ind w:left="5040" w:firstLine="720"/>
        <w:jc w:val="right"/>
        <w:rPr>
          <w:sz w:val="24"/>
          <w:szCs w:val="24"/>
        </w:rPr>
      </w:pPr>
      <w:r w:rsidRPr="006C73DE">
        <w:rPr>
          <w:b/>
          <w:color w:val="000000" w:themeColor="text1"/>
          <w:sz w:val="24"/>
          <w:szCs w:val="24"/>
          <w:u w:val="single"/>
        </w:rPr>
        <w:lastRenderedPageBreak/>
        <w:t>Attachment 1</w:t>
      </w:r>
    </w:p>
    <w:p w14:paraId="5C7D31AC" w14:textId="77777777" w:rsidR="006C73DE" w:rsidRPr="006C73DE" w:rsidRDefault="006C73DE" w:rsidP="006C73DE">
      <w:pPr>
        <w:spacing w:before="100" w:beforeAutospacing="1" w:after="100" w:afterAutospacing="1"/>
        <w:jc w:val="center"/>
        <w:rPr>
          <w:sz w:val="24"/>
          <w:szCs w:val="24"/>
        </w:rPr>
      </w:pPr>
      <w:r w:rsidRPr="006C73DE">
        <w:rPr>
          <w:b/>
          <w:bCs/>
          <w:sz w:val="24"/>
          <w:szCs w:val="24"/>
          <w:lang w:val="en-GB"/>
        </w:rPr>
        <w:t>Statement of Compatibility with Human Rights</w:t>
      </w:r>
    </w:p>
    <w:p w14:paraId="49E77AF6" w14:textId="77777777" w:rsidR="006C73DE" w:rsidRPr="006C73DE" w:rsidRDefault="006C73DE" w:rsidP="006C73DE">
      <w:pPr>
        <w:jc w:val="center"/>
        <w:rPr>
          <w:i/>
          <w:iCs/>
          <w:sz w:val="24"/>
          <w:szCs w:val="24"/>
          <w:lang w:val="en-GB"/>
        </w:rPr>
      </w:pPr>
      <w:r w:rsidRPr="006C73DE">
        <w:rPr>
          <w:sz w:val="24"/>
          <w:szCs w:val="24"/>
          <w:lang w:val="en-GB"/>
        </w:rPr>
        <w:t xml:space="preserve">Prepared in accordance with Part 3 of the </w:t>
      </w:r>
    </w:p>
    <w:p w14:paraId="50650349" w14:textId="77777777" w:rsidR="006C73DE" w:rsidRPr="006C73DE" w:rsidRDefault="006C73DE" w:rsidP="006C73DE">
      <w:pPr>
        <w:jc w:val="center"/>
        <w:rPr>
          <w:sz w:val="24"/>
          <w:szCs w:val="24"/>
        </w:rPr>
      </w:pPr>
      <w:r w:rsidRPr="006C73DE">
        <w:rPr>
          <w:i/>
          <w:iCs/>
          <w:sz w:val="24"/>
          <w:szCs w:val="24"/>
          <w:lang w:val="en-GB"/>
        </w:rPr>
        <w:t>Human Rights (Parliamentary Scrutiny) Act 2011</w:t>
      </w:r>
    </w:p>
    <w:p w14:paraId="4E3BF224" w14:textId="77777777" w:rsidR="006C73DE" w:rsidRPr="006C73DE" w:rsidRDefault="006C73DE" w:rsidP="006C73DE">
      <w:pPr>
        <w:jc w:val="center"/>
        <w:rPr>
          <w:sz w:val="24"/>
          <w:szCs w:val="24"/>
        </w:rPr>
      </w:pPr>
      <w:r w:rsidRPr="006C73DE">
        <w:rPr>
          <w:rFonts w:ascii="Arial" w:hAnsi="Arial" w:cs="Arial"/>
          <w:sz w:val="24"/>
          <w:szCs w:val="24"/>
          <w:lang w:val="en-GB"/>
        </w:rPr>
        <w:t> </w:t>
      </w:r>
    </w:p>
    <w:p w14:paraId="6CC53B1F" w14:textId="1641CB70" w:rsidR="006C73DE" w:rsidRPr="006C73DE" w:rsidRDefault="006C73DE" w:rsidP="006C73DE">
      <w:pPr>
        <w:autoSpaceDE w:val="0"/>
        <w:autoSpaceDN w:val="0"/>
        <w:adjustRightInd w:val="0"/>
        <w:jc w:val="center"/>
        <w:outlineLvl w:val="0"/>
        <w:rPr>
          <w:b/>
          <w:bCs/>
          <w:i/>
          <w:iCs/>
          <w:color w:val="000000" w:themeColor="text1"/>
          <w:sz w:val="24"/>
          <w:szCs w:val="24"/>
        </w:rPr>
      </w:pPr>
      <w:r w:rsidRPr="006C73DE">
        <w:rPr>
          <w:b/>
          <w:bCs/>
          <w:i/>
          <w:iCs/>
          <w:color w:val="000000" w:themeColor="text1"/>
          <w:sz w:val="24"/>
          <w:szCs w:val="24"/>
        </w:rPr>
        <w:t>Telstra Carrier Charges – Price Control Arrangements, Notification and Disallowance Determination No.1 of 20</w:t>
      </w:r>
      <w:r w:rsidR="0061379C">
        <w:rPr>
          <w:b/>
          <w:bCs/>
          <w:i/>
          <w:iCs/>
          <w:color w:val="000000" w:themeColor="text1"/>
          <w:sz w:val="24"/>
          <w:szCs w:val="24"/>
        </w:rPr>
        <w:t>05 Instrument of Revocation 2015</w:t>
      </w:r>
      <w:r w:rsidRPr="006C73DE">
        <w:rPr>
          <w:b/>
          <w:bCs/>
          <w:i/>
          <w:iCs/>
          <w:color w:val="000000" w:themeColor="text1"/>
          <w:sz w:val="24"/>
          <w:szCs w:val="24"/>
        </w:rPr>
        <w:br/>
      </w:r>
    </w:p>
    <w:p w14:paraId="657A119D" w14:textId="56FFC78E" w:rsidR="006C73DE" w:rsidRPr="006C73DE" w:rsidRDefault="006C73DE" w:rsidP="006C73DE">
      <w:pPr>
        <w:spacing w:before="120" w:after="100" w:afterAutospacing="1"/>
        <w:rPr>
          <w:sz w:val="24"/>
          <w:szCs w:val="24"/>
        </w:rPr>
      </w:pPr>
      <w:r w:rsidRPr="006C73DE">
        <w:rPr>
          <w:sz w:val="24"/>
          <w:szCs w:val="24"/>
          <w:lang w:val="en-GB"/>
        </w:rPr>
        <w:t xml:space="preserve">The </w:t>
      </w:r>
      <w:r w:rsidRPr="006C73DE">
        <w:rPr>
          <w:bCs/>
          <w:i/>
          <w:iCs/>
          <w:color w:val="000000" w:themeColor="text1"/>
          <w:sz w:val="24"/>
          <w:szCs w:val="24"/>
        </w:rPr>
        <w:t>Telstra Carrier Charges – Price Control Arrangements, Notification and Disallowance Determination No.1 of 20</w:t>
      </w:r>
      <w:r w:rsidR="0061379C">
        <w:rPr>
          <w:bCs/>
          <w:i/>
          <w:iCs/>
          <w:color w:val="000000" w:themeColor="text1"/>
          <w:sz w:val="24"/>
          <w:szCs w:val="24"/>
        </w:rPr>
        <w:t>05 Instrument of Revocation 2015</w:t>
      </w:r>
      <w:r w:rsidRPr="006C73DE" w:rsidDel="008C7E6B">
        <w:rPr>
          <w:i/>
          <w:sz w:val="24"/>
          <w:szCs w:val="24"/>
          <w:lang w:val="en-GB"/>
        </w:rPr>
        <w:t xml:space="preserve"> </w:t>
      </w:r>
      <w:r w:rsidRPr="006C73DE">
        <w:rPr>
          <w:sz w:val="24"/>
          <w:szCs w:val="24"/>
          <w:lang w:val="en-GB"/>
        </w:rPr>
        <w:t xml:space="preserve">(the Revocation Instrument) is compatible with the human rights and freedoms recognised or declared in the international instruments listed in section 3 of the </w:t>
      </w:r>
      <w:r w:rsidRPr="006C73DE">
        <w:rPr>
          <w:i/>
          <w:iCs/>
          <w:sz w:val="24"/>
          <w:szCs w:val="24"/>
          <w:lang w:val="en-GB"/>
        </w:rPr>
        <w:t>Human Rights (Parliamentary Scrutiny) Act 2011</w:t>
      </w:r>
      <w:r w:rsidRPr="006C73DE">
        <w:rPr>
          <w:sz w:val="24"/>
          <w:szCs w:val="24"/>
          <w:lang w:val="en-GB"/>
        </w:rPr>
        <w:t>.</w:t>
      </w:r>
    </w:p>
    <w:p w14:paraId="1702AFE5" w14:textId="77777777" w:rsidR="006C73DE" w:rsidRPr="006C73DE" w:rsidRDefault="006C73DE" w:rsidP="006C73DE">
      <w:pPr>
        <w:spacing w:before="120" w:after="100" w:afterAutospacing="1"/>
        <w:rPr>
          <w:sz w:val="24"/>
          <w:szCs w:val="24"/>
        </w:rPr>
      </w:pPr>
      <w:r w:rsidRPr="006C73DE">
        <w:rPr>
          <w:b/>
          <w:bCs/>
          <w:sz w:val="24"/>
          <w:szCs w:val="24"/>
          <w:lang w:val="en-GB"/>
        </w:rPr>
        <w:t> Overview of the Revocation Instrument</w:t>
      </w:r>
    </w:p>
    <w:p w14:paraId="5D22A155" w14:textId="77777777" w:rsidR="006C73DE" w:rsidRPr="006C73DE" w:rsidRDefault="006C73DE" w:rsidP="006C73DE">
      <w:pPr>
        <w:rPr>
          <w:sz w:val="24"/>
          <w:szCs w:val="24"/>
        </w:rPr>
      </w:pPr>
      <w:r w:rsidRPr="006C73DE">
        <w:rPr>
          <w:sz w:val="24"/>
          <w:szCs w:val="24"/>
        </w:rPr>
        <w:t xml:space="preserve">The </w:t>
      </w:r>
      <w:r w:rsidRPr="006C73DE">
        <w:rPr>
          <w:i/>
          <w:sz w:val="24"/>
          <w:szCs w:val="24"/>
        </w:rPr>
        <w:t>Telstra Carrier Charges – Price Control Arrangements, Notific</w:t>
      </w:r>
      <w:bookmarkStart w:id="0" w:name="_GoBack"/>
      <w:bookmarkEnd w:id="0"/>
      <w:r w:rsidRPr="006C73DE">
        <w:rPr>
          <w:i/>
          <w:sz w:val="24"/>
          <w:szCs w:val="24"/>
        </w:rPr>
        <w:t>ation and Disallowance Determination No.1 of 2005</w:t>
      </w:r>
      <w:r w:rsidRPr="006C73DE">
        <w:rPr>
          <w:sz w:val="24"/>
          <w:szCs w:val="24"/>
        </w:rPr>
        <w:t xml:space="preserve"> (the Determination) currently in force sets out price control arrangements for specified retail carriage services provided by Telstra Corporation Limited (Telstra). The arrangements are mainly by way of caps and apply to 'baskets' of services, such as monthly line rental, untimed local calls for residential and pay phones, and generally only permit price increases in line with CPI movements. Price control arrangements of this type have applied to Telstra (or its predecessors, Telecom and the Overseas Telecommunications Corporation) since 1989. </w:t>
      </w:r>
    </w:p>
    <w:p w14:paraId="14941C1D" w14:textId="77777777" w:rsidR="006C73DE" w:rsidRPr="006C73DE" w:rsidRDefault="006C73DE" w:rsidP="006C73DE">
      <w:pPr>
        <w:rPr>
          <w:sz w:val="24"/>
          <w:szCs w:val="24"/>
        </w:rPr>
      </w:pPr>
    </w:p>
    <w:p w14:paraId="11073D09" w14:textId="2747BC78" w:rsidR="006C73DE" w:rsidRPr="006C73DE" w:rsidRDefault="006C73DE" w:rsidP="006C73DE">
      <w:pPr>
        <w:rPr>
          <w:sz w:val="24"/>
          <w:szCs w:val="24"/>
        </w:rPr>
      </w:pPr>
      <w:r w:rsidRPr="006C73DE">
        <w:rPr>
          <w:sz w:val="24"/>
          <w:szCs w:val="24"/>
        </w:rPr>
        <w:t>Due to improved access to telecommunications infrastructure, including the National Broadband Network, the increasing availability and use of alternative services to fixed lines, e.g. mobile services and Internet Protocol telephony</w:t>
      </w:r>
      <w:r w:rsidR="003427CD">
        <w:rPr>
          <w:sz w:val="24"/>
          <w:szCs w:val="24"/>
        </w:rPr>
        <w:t>,</w:t>
      </w:r>
      <w:r w:rsidRPr="006C73DE">
        <w:rPr>
          <w:sz w:val="24"/>
          <w:szCs w:val="24"/>
        </w:rPr>
        <w:t xml:space="preserve"> and increased retail competition, </w:t>
      </w:r>
      <w:r w:rsidRPr="006C73DE">
        <w:rPr>
          <w:bCs/>
          <w:sz w:val="23"/>
          <w:szCs w:val="23"/>
        </w:rPr>
        <w:t xml:space="preserve">retail price controls no longer have an impact on prices charged by Telstra. Prices offered by Telstra are below the level required by the retail price controls which are estimated to have a net economic cost of approximately $246,000 per annum. As such, </w:t>
      </w:r>
      <w:r w:rsidRPr="006C73DE">
        <w:rPr>
          <w:sz w:val="24"/>
          <w:szCs w:val="24"/>
        </w:rPr>
        <w:t xml:space="preserve">price control arrangements are no longer required, thereby justifying the revocation of the Determination in its entirety. </w:t>
      </w:r>
    </w:p>
    <w:p w14:paraId="5DBD3418" w14:textId="77777777" w:rsidR="006C73DE" w:rsidRPr="006C73DE" w:rsidRDefault="006C73DE" w:rsidP="006C73DE">
      <w:pPr>
        <w:rPr>
          <w:sz w:val="24"/>
          <w:szCs w:val="24"/>
        </w:rPr>
      </w:pPr>
    </w:p>
    <w:p w14:paraId="3E8474E7" w14:textId="57D8FFC6" w:rsidR="006C73DE" w:rsidRPr="006C73DE" w:rsidRDefault="006C73DE" w:rsidP="006C73DE">
      <w:pPr>
        <w:spacing w:line="256" w:lineRule="auto"/>
        <w:ind w:right="264"/>
        <w:rPr>
          <w:sz w:val="23"/>
          <w:szCs w:val="23"/>
        </w:rPr>
      </w:pPr>
      <w:r w:rsidRPr="006C73DE">
        <w:rPr>
          <w:sz w:val="24"/>
          <w:szCs w:val="24"/>
        </w:rPr>
        <w:lastRenderedPageBreak/>
        <w:t xml:space="preserve">The effect of the Revocation Instrument is that the retail price control arrangements applying to Telstra and the Australian Competition and Consumer Commission (ACCC) are removed. However </w:t>
      </w:r>
      <w:r w:rsidRPr="006C73DE">
        <w:rPr>
          <w:sz w:val="23"/>
          <w:szCs w:val="23"/>
        </w:rPr>
        <w:t>the legislative power in the</w:t>
      </w:r>
      <w:r w:rsidRPr="006C73DE">
        <w:rPr>
          <w:i/>
          <w:sz w:val="23"/>
          <w:szCs w:val="23"/>
        </w:rPr>
        <w:t xml:space="preserve"> Telecommunications (Consumer Protection and Service Standards) Act 1999 </w:t>
      </w:r>
      <w:r w:rsidRPr="006C73DE">
        <w:rPr>
          <w:sz w:val="23"/>
          <w:szCs w:val="23"/>
        </w:rPr>
        <w:t>will remain in place to allow RPC to be reintroduced if</w:t>
      </w:r>
      <w:r w:rsidR="00815C51">
        <w:rPr>
          <w:sz w:val="23"/>
          <w:szCs w:val="23"/>
        </w:rPr>
        <w:t xml:space="preserve"> required.</w:t>
      </w:r>
    </w:p>
    <w:p w14:paraId="7A85A93E" w14:textId="77777777" w:rsidR="006C73DE" w:rsidRPr="006C73DE" w:rsidRDefault="006C73DE" w:rsidP="006C73DE">
      <w:pPr>
        <w:rPr>
          <w:sz w:val="24"/>
          <w:szCs w:val="24"/>
        </w:rPr>
      </w:pPr>
    </w:p>
    <w:p w14:paraId="74BA9BDE" w14:textId="77777777" w:rsidR="006C73DE" w:rsidRPr="006C73DE" w:rsidRDefault="006C73DE" w:rsidP="006C73DE">
      <w:pPr>
        <w:rPr>
          <w:color w:val="000000" w:themeColor="text1"/>
          <w:sz w:val="24"/>
          <w:szCs w:val="24"/>
        </w:rPr>
      </w:pPr>
      <w:r w:rsidRPr="006C73DE">
        <w:rPr>
          <w:color w:val="000000" w:themeColor="text1"/>
          <w:sz w:val="24"/>
          <w:szCs w:val="24"/>
        </w:rPr>
        <w:t>No human rights issues were raised during consultation on the revocation of the Determination</w:t>
      </w:r>
      <w:r w:rsidRPr="006C73DE">
        <w:rPr>
          <w:b/>
          <w:i/>
          <w:color w:val="000000" w:themeColor="text1"/>
          <w:sz w:val="24"/>
          <w:szCs w:val="24"/>
        </w:rPr>
        <w:t xml:space="preserve">. </w:t>
      </w:r>
      <w:r w:rsidRPr="006C73DE">
        <w:rPr>
          <w:color w:val="000000" w:themeColor="text1"/>
          <w:sz w:val="24"/>
          <w:szCs w:val="24"/>
        </w:rPr>
        <w:t xml:space="preserve">The removal of retail price controls, pricing structure and price caps does not raise any human rights issues. </w:t>
      </w:r>
    </w:p>
    <w:p w14:paraId="35FA86AA" w14:textId="77777777" w:rsidR="006C73DE" w:rsidRPr="006C73DE" w:rsidRDefault="006C73DE" w:rsidP="006C73DE">
      <w:pPr>
        <w:spacing w:before="120" w:after="100" w:afterAutospacing="1"/>
        <w:rPr>
          <w:sz w:val="24"/>
          <w:szCs w:val="24"/>
        </w:rPr>
      </w:pPr>
      <w:r w:rsidRPr="006C73DE">
        <w:rPr>
          <w:b/>
          <w:bCs/>
          <w:sz w:val="24"/>
          <w:szCs w:val="24"/>
          <w:lang w:val="en-GB"/>
        </w:rPr>
        <w:br w:type="column"/>
      </w:r>
      <w:r w:rsidRPr="006C73DE">
        <w:rPr>
          <w:b/>
          <w:bCs/>
          <w:sz w:val="24"/>
          <w:szCs w:val="24"/>
          <w:lang w:val="en-GB"/>
        </w:rPr>
        <w:lastRenderedPageBreak/>
        <w:t>Human rights implications</w:t>
      </w:r>
    </w:p>
    <w:p w14:paraId="670CFAB4" w14:textId="77777777" w:rsidR="006C73DE" w:rsidRPr="006C73DE" w:rsidRDefault="006C73DE" w:rsidP="006C73DE">
      <w:pPr>
        <w:rPr>
          <w:rFonts w:asciiTheme="minorHAnsi" w:eastAsiaTheme="minorHAnsi" w:hAnsiTheme="minorHAnsi" w:cstheme="minorBidi"/>
          <w:b/>
          <w:i/>
          <w:color w:val="FF0000"/>
          <w:sz w:val="22"/>
          <w:szCs w:val="22"/>
          <w:lang w:val="en-GB" w:eastAsia="en-US"/>
        </w:rPr>
      </w:pPr>
      <w:r w:rsidRPr="006C73DE">
        <w:rPr>
          <w:rFonts w:eastAsiaTheme="minorHAnsi"/>
          <w:sz w:val="24"/>
          <w:szCs w:val="24"/>
          <w:lang w:val="en-GB" w:eastAsia="en-US"/>
        </w:rPr>
        <w:t xml:space="preserve">This Revocation Instrument does not engage any of the applicable rights or freedoms.  </w:t>
      </w:r>
    </w:p>
    <w:p w14:paraId="77FAA826" w14:textId="77777777" w:rsidR="006C73DE" w:rsidRPr="006C73DE" w:rsidRDefault="006C73DE" w:rsidP="006C73DE">
      <w:pPr>
        <w:rPr>
          <w:rFonts w:asciiTheme="minorHAnsi" w:eastAsiaTheme="minorHAnsi" w:hAnsiTheme="minorHAnsi" w:cstheme="minorBidi"/>
          <w:sz w:val="22"/>
          <w:szCs w:val="22"/>
          <w:lang w:val="en-GB" w:eastAsia="en-US"/>
        </w:rPr>
      </w:pPr>
    </w:p>
    <w:p w14:paraId="6611B50F" w14:textId="77777777" w:rsidR="006C73DE" w:rsidRPr="006C73DE" w:rsidRDefault="006C73DE" w:rsidP="006C73DE">
      <w:pPr>
        <w:spacing w:before="120" w:after="100" w:afterAutospacing="1"/>
        <w:rPr>
          <w:sz w:val="24"/>
          <w:szCs w:val="24"/>
        </w:rPr>
      </w:pPr>
      <w:r w:rsidRPr="006C73DE">
        <w:rPr>
          <w:b/>
          <w:bCs/>
          <w:sz w:val="24"/>
          <w:szCs w:val="24"/>
          <w:lang w:val="en-GB"/>
        </w:rPr>
        <w:t>Conclusion</w:t>
      </w:r>
    </w:p>
    <w:p w14:paraId="505BF902" w14:textId="77777777" w:rsidR="006C73DE" w:rsidRPr="006C73DE" w:rsidRDefault="006C73DE" w:rsidP="006C73DE">
      <w:pPr>
        <w:spacing w:before="120" w:after="100" w:afterAutospacing="1"/>
        <w:rPr>
          <w:sz w:val="24"/>
          <w:szCs w:val="24"/>
          <w:lang w:val="en-GB"/>
        </w:rPr>
      </w:pPr>
      <w:r w:rsidRPr="006C73DE">
        <w:rPr>
          <w:sz w:val="24"/>
          <w:szCs w:val="24"/>
          <w:lang w:val="en-GB"/>
        </w:rPr>
        <w:t>This Revocation Instrument is compatible with human rights as it does not raise any human rights issues.</w:t>
      </w:r>
    </w:p>
    <w:p w14:paraId="736CA587" w14:textId="77777777" w:rsidR="006C73DE" w:rsidRPr="006C73DE" w:rsidRDefault="006C73DE" w:rsidP="006C73DE">
      <w:pPr>
        <w:ind w:right="91"/>
        <w:jc w:val="right"/>
        <w:rPr>
          <w:b/>
          <w:sz w:val="24"/>
          <w:szCs w:val="24"/>
          <w:u w:val="single"/>
        </w:rPr>
      </w:pPr>
    </w:p>
    <w:p w14:paraId="2A172A26" w14:textId="77777777" w:rsidR="006C73DE" w:rsidRPr="006C73DE" w:rsidRDefault="006C73DE" w:rsidP="006C73DE">
      <w:pPr>
        <w:spacing w:after="200" w:line="276" w:lineRule="auto"/>
        <w:rPr>
          <w:b/>
          <w:sz w:val="24"/>
          <w:szCs w:val="24"/>
          <w:u w:val="single"/>
        </w:rPr>
      </w:pPr>
      <w:r w:rsidRPr="006C73DE">
        <w:rPr>
          <w:b/>
          <w:sz w:val="24"/>
          <w:szCs w:val="24"/>
          <w:u w:val="single"/>
        </w:rPr>
        <w:br w:type="page"/>
      </w:r>
    </w:p>
    <w:p w14:paraId="55B8C241" w14:textId="77777777" w:rsidR="006C73DE" w:rsidRPr="006C73DE" w:rsidRDefault="006C73DE" w:rsidP="006C73DE">
      <w:pPr>
        <w:ind w:right="91"/>
        <w:jc w:val="right"/>
        <w:rPr>
          <w:b/>
          <w:sz w:val="24"/>
          <w:szCs w:val="24"/>
          <w:u w:val="single"/>
        </w:rPr>
      </w:pPr>
      <w:r w:rsidRPr="006C73DE">
        <w:rPr>
          <w:b/>
          <w:sz w:val="24"/>
          <w:szCs w:val="24"/>
          <w:u w:val="single"/>
        </w:rPr>
        <w:lastRenderedPageBreak/>
        <w:t>Attachment 2</w:t>
      </w:r>
    </w:p>
    <w:p w14:paraId="2C011846" w14:textId="77777777" w:rsidR="006C73DE" w:rsidRPr="006C73DE" w:rsidRDefault="006C73DE" w:rsidP="006C73DE">
      <w:pPr>
        <w:ind w:right="91"/>
        <w:rPr>
          <w:b/>
          <w:sz w:val="24"/>
          <w:szCs w:val="24"/>
        </w:rPr>
      </w:pPr>
    </w:p>
    <w:p w14:paraId="410CF50B" w14:textId="1C35F124" w:rsidR="006C73DE" w:rsidRPr="006C73DE" w:rsidRDefault="006C73DE" w:rsidP="006C73DE">
      <w:pPr>
        <w:ind w:right="91"/>
        <w:rPr>
          <w:sz w:val="24"/>
          <w:szCs w:val="24"/>
        </w:rPr>
      </w:pPr>
      <w:r w:rsidRPr="006C73DE">
        <w:rPr>
          <w:b/>
          <w:sz w:val="24"/>
          <w:szCs w:val="24"/>
        </w:rPr>
        <w:t xml:space="preserve">Details of the </w:t>
      </w:r>
      <w:r w:rsidRPr="006C73DE">
        <w:rPr>
          <w:b/>
          <w:i/>
          <w:sz w:val="24"/>
          <w:szCs w:val="24"/>
        </w:rPr>
        <w:t>Telstra Carrier Charges – Price Control Arrangements, Notification and Disallowance Determination No.1 of 20</w:t>
      </w:r>
      <w:r w:rsidR="0061379C">
        <w:rPr>
          <w:b/>
          <w:i/>
          <w:sz w:val="24"/>
          <w:szCs w:val="24"/>
        </w:rPr>
        <w:t>05 Instrument of Revocation 201</w:t>
      </w:r>
      <w:r w:rsidR="0061379C">
        <w:rPr>
          <w:sz w:val="24"/>
          <w:szCs w:val="24"/>
        </w:rPr>
        <w:t>5</w:t>
      </w:r>
    </w:p>
    <w:p w14:paraId="29218901" w14:textId="77777777" w:rsidR="006C73DE" w:rsidRPr="006C73DE" w:rsidRDefault="006C73DE" w:rsidP="006C73DE">
      <w:pPr>
        <w:ind w:right="91"/>
        <w:rPr>
          <w:sz w:val="24"/>
          <w:szCs w:val="24"/>
          <w:u w:val="single"/>
        </w:rPr>
      </w:pPr>
    </w:p>
    <w:p w14:paraId="0691B552" w14:textId="77777777" w:rsidR="006C73DE" w:rsidRPr="006C73DE" w:rsidRDefault="006C73DE" w:rsidP="006C73DE">
      <w:pPr>
        <w:ind w:right="91"/>
        <w:rPr>
          <w:b/>
          <w:sz w:val="24"/>
          <w:szCs w:val="24"/>
        </w:rPr>
      </w:pPr>
      <w:r w:rsidRPr="006C73DE">
        <w:rPr>
          <w:b/>
          <w:sz w:val="24"/>
          <w:szCs w:val="24"/>
        </w:rPr>
        <w:t>Section 1 – Name of Instrument</w:t>
      </w:r>
    </w:p>
    <w:p w14:paraId="1EE5C8FB" w14:textId="77777777" w:rsidR="006C73DE" w:rsidRPr="006C73DE" w:rsidRDefault="006C73DE" w:rsidP="006C73DE">
      <w:pPr>
        <w:ind w:right="91"/>
        <w:rPr>
          <w:sz w:val="24"/>
          <w:szCs w:val="24"/>
        </w:rPr>
      </w:pPr>
    </w:p>
    <w:p w14:paraId="705C15E1" w14:textId="50F4DCB5" w:rsidR="006C73DE" w:rsidRPr="006C73DE" w:rsidRDefault="006C73DE" w:rsidP="006C73DE">
      <w:pPr>
        <w:ind w:right="91"/>
        <w:rPr>
          <w:sz w:val="24"/>
          <w:szCs w:val="24"/>
        </w:rPr>
      </w:pPr>
      <w:r w:rsidRPr="006C73DE">
        <w:rPr>
          <w:sz w:val="24"/>
          <w:szCs w:val="24"/>
        </w:rPr>
        <w:t xml:space="preserve">Section 1 of the Revocation Instrument provides that the name of the instrument is the </w:t>
      </w:r>
      <w:r w:rsidRPr="006C73DE">
        <w:rPr>
          <w:bCs/>
          <w:i/>
          <w:iCs/>
          <w:color w:val="000000" w:themeColor="text1"/>
          <w:sz w:val="24"/>
          <w:szCs w:val="24"/>
        </w:rPr>
        <w:t>Telstra Carrier Charges – Price Control Arrangements, Notification and Disallowance Determination No.1 of 20</w:t>
      </w:r>
      <w:r w:rsidR="0061379C">
        <w:rPr>
          <w:bCs/>
          <w:i/>
          <w:iCs/>
          <w:color w:val="000000" w:themeColor="text1"/>
          <w:sz w:val="24"/>
          <w:szCs w:val="24"/>
        </w:rPr>
        <w:t>05 Instrument of Revocation 2015</w:t>
      </w:r>
      <w:r w:rsidRPr="006C73DE">
        <w:rPr>
          <w:sz w:val="24"/>
          <w:szCs w:val="24"/>
        </w:rPr>
        <w:t>.</w:t>
      </w:r>
    </w:p>
    <w:p w14:paraId="17C04AA2" w14:textId="77777777" w:rsidR="006C73DE" w:rsidRPr="006C73DE" w:rsidRDefault="006C73DE" w:rsidP="006C73DE">
      <w:pPr>
        <w:ind w:right="91"/>
        <w:rPr>
          <w:sz w:val="24"/>
          <w:szCs w:val="24"/>
        </w:rPr>
      </w:pPr>
    </w:p>
    <w:p w14:paraId="46FBDFEC" w14:textId="77777777" w:rsidR="006C73DE" w:rsidRPr="006C73DE" w:rsidRDefault="006C73DE" w:rsidP="006C73DE">
      <w:pPr>
        <w:tabs>
          <w:tab w:val="left" w:pos="6825"/>
        </w:tabs>
        <w:rPr>
          <w:b/>
          <w:sz w:val="24"/>
          <w:szCs w:val="24"/>
        </w:rPr>
      </w:pPr>
      <w:r w:rsidRPr="006C73DE">
        <w:rPr>
          <w:b/>
          <w:sz w:val="24"/>
          <w:szCs w:val="24"/>
        </w:rPr>
        <w:t>Section 2 - Commencement</w:t>
      </w:r>
    </w:p>
    <w:p w14:paraId="47CA4DFB" w14:textId="77777777" w:rsidR="006C73DE" w:rsidRPr="006C73DE" w:rsidRDefault="006C73DE" w:rsidP="006C73DE">
      <w:pPr>
        <w:ind w:right="91"/>
        <w:rPr>
          <w:sz w:val="24"/>
          <w:szCs w:val="24"/>
        </w:rPr>
      </w:pPr>
    </w:p>
    <w:p w14:paraId="371E6994" w14:textId="77777777" w:rsidR="006C73DE" w:rsidRPr="006C73DE" w:rsidRDefault="006C73DE" w:rsidP="006C73DE">
      <w:pPr>
        <w:ind w:right="91"/>
        <w:rPr>
          <w:sz w:val="24"/>
          <w:szCs w:val="24"/>
        </w:rPr>
      </w:pPr>
      <w:r w:rsidRPr="006C73DE">
        <w:rPr>
          <w:sz w:val="24"/>
          <w:szCs w:val="24"/>
        </w:rPr>
        <w:t xml:space="preserve">Section 2 provides that the Revocation Instrument commences on the day after it is registered on the Federal Register of Legislative Instruments. </w:t>
      </w:r>
    </w:p>
    <w:p w14:paraId="24C532FA" w14:textId="77777777" w:rsidR="006C73DE" w:rsidRPr="006C73DE" w:rsidRDefault="006C73DE" w:rsidP="006C73DE">
      <w:pPr>
        <w:ind w:right="91"/>
        <w:rPr>
          <w:sz w:val="24"/>
          <w:szCs w:val="24"/>
        </w:rPr>
      </w:pPr>
    </w:p>
    <w:p w14:paraId="3C415CFD" w14:textId="77777777" w:rsidR="006C73DE" w:rsidRPr="006C73DE" w:rsidRDefault="006C73DE" w:rsidP="006C73DE">
      <w:pPr>
        <w:tabs>
          <w:tab w:val="left" w:pos="6825"/>
        </w:tabs>
        <w:rPr>
          <w:b/>
          <w:sz w:val="24"/>
          <w:szCs w:val="24"/>
        </w:rPr>
      </w:pPr>
      <w:r w:rsidRPr="006C73DE">
        <w:rPr>
          <w:b/>
          <w:sz w:val="24"/>
          <w:szCs w:val="24"/>
        </w:rPr>
        <w:t>Section 3 - Revocation</w:t>
      </w:r>
    </w:p>
    <w:p w14:paraId="32992A48" w14:textId="77777777" w:rsidR="006C73DE" w:rsidRPr="006C73DE" w:rsidRDefault="006C73DE" w:rsidP="006C73DE">
      <w:pPr>
        <w:ind w:right="91"/>
        <w:rPr>
          <w:sz w:val="24"/>
          <w:szCs w:val="24"/>
        </w:rPr>
      </w:pPr>
    </w:p>
    <w:p w14:paraId="38F7D3DD" w14:textId="77777777" w:rsidR="006C73DE" w:rsidRPr="006C73DE" w:rsidRDefault="006C73DE" w:rsidP="006C73DE">
      <w:pPr>
        <w:ind w:right="91"/>
        <w:rPr>
          <w:sz w:val="24"/>
          <w:szCs w:val="24"/>
        </w:rPr>
      </w:pPr>
      <w:r w:rsidRPr="006C73DE">
        <w:rPr>
          <w:sz w:val="24"/>
          <w:szCs w:val="24"/>
        </w:rPr>
        <w:t xml:space="preserve">Section 3 provides that the </w:t>
      </w:r>
      <w:r w:rsidRPr="006C73DE">
        <w:rPr>
          <w:bCs/>
          <w:i/>
          <w:iCs/>
          <w:color w:val="000000" w:themeColor="text1"/>
          <w:sz w:val="24"/>
          <w:szCs w:val="24"/>
        </w:rPr>
        <w:t xml:space="preserve">Telstra Carrier Charges – Price Control Arrangements, Notification and Disallowance Determination No.1 of 2005 </w:t>
      </w:r>
      <w:r w:rsidRPr="006C73DE">
        <w:rPr>
          <w:bCs/>
          <w:iCs/>
          <w:color w:val="000000" w:themeColor="text1"/>
          <w:sz w:val="24"/>
          <w:szCs w:val="24"/>
        </w:rPr>
        <w:t>is revoked</w:t>
      </w:r>
      <w:r w:rsidRPr="006C73DE">
        <w:rPr>
          <w:sz w:val="24"/>
          <w:szCs w:val="24"/>
        </w:rPr>
        <w:t xml:space="preserve">. </w:t>
      </w:r>
    </w:p>
    <w:p w14:paraId="1687989C" w14:textId="77777777" w:rsidR="006C73DE" w:rsidRPr="006C73DE" w:rsidRDefault="006C73DE" w:rsidP="006C73DE">
      <w:pPr>
        <w:ind w:right="91"/>
        <w:rPr>
          <w:sz w:val="24"/>
          <w:szCs w:val="24"/>
        </w:rPr>
      </w:pPr>
    </w:p>
    <w:p w14:paraId="6AF64B8C" w14:textId="77777777" w:rsidR="006C73DE" w:rsidRPr="006C73DE" w:rsidRDefault="006C73DE" w:rsidP="006C73DE">
      <w:pPr>
        <w:tabs>
          <w:tab w:val="left" w:pos="6825"/>
        </w:tabs>
        <w:rPr>
          <w:b/>
          <w:sz w:val="24"/>
          <w:szCs w:val="24"/>
        </w:rPr>
      </w:pPr>
      <w:r w:rsidRPr="006C73DE">
        <w:rPr>
          <w:b/>
          <w:sz w:val="24"/>
          <w:szCs w:val="24"/>
        </w:rPr>
        <w:t>Section 4 - Expiry</w:t>
      </w:r>
    </w:p>
    <w:p w14:paraId="05BD2084" w14:textId="77777777" w:rsidR="006C73DE" w:rsidRPr="006C73DE" w:rsidRDefault="006C73DE" w:rsidP="006C73DE">
      <w:pPr>
        <w:ind w:right="91"/>
        <w:rPr>
          <w:sz w:val="24"/>
          <w:szCs w:val="24"/>
        </w:rPr>
      </w:pPr>
    </w:p>
    <w:p w14:paraId="439515BC" w14:textId="77777777" w:rsidR="006C73DE" w:rsidRPr="006C73DE" w:rsidRDefault="006C73DE" w:rsidP="006C73DE">
      <w:pPr>
        <w:rPr>
          <w:sz w:val="24"/>
          <w:szCs w:val="24"/>
        </w:rPr>
      </w:pPr>
      <w:r w:rsidRPr="006C73DE">
        <w:rPr>
          <w:sz w:val="24"/>
          <w:szCs w:val="24"/>
        </w:rPr>
        <w:t>Once the Revocation Instrument comes into effect, it will have fulfilled its purpose (i.e. revoked the Determination). Therefore, the Revocation Instrument itself can be removed from the Federal Register of Legislative Instruments. Accordingly, a self</w:t>
      </w:r>
      <w:r w:rsidRPr="006C73DE">
        <w:rPr>
          <w:sz w:val="24"/>
          <w:szCs w:val="24"/>
        </w:rPr>
        <w:noBreakHyphen/>
        <w:t>expiry provision has been involved at section 4.</w:t>
      </w:r>
    </w:p>
    <w:p w14:paraId="496FA676" w14:textId="77777777" w:rsidR="006C73DE" w:rsidRPr="006C73DE" w:rsidRDefault="006C73DE" w:rsidP="006C73DE">
      <w:pPr>
        <w:rPr>
          <w:sz w:val="24"/>
          <w:szCs w:val="24"/>
        </w:rPr>
      </w:pPr>
    </w:p>
    <w:p w14:paraId="5C07C689" w14:textId="67079FF9" w:rsidR="005141A8" w:rsidRPr="00F42F51" w:rsidRDefault="005141A8" w:rsidP="008E479B">
      <w:pPr>
        <w:jc w:val="right"/>
        <w:rPr>
          <w:sz w:val="24"/>
          <w:szCs w:val="24"/>
        </w:rPr>
      </w:pPr>
    </w:p>
    <w:sectPr w:rsidR="005141A8" w:rsidRPr="00F42F51" w:rsidSect="002F6F12">
      <w:headerReference w:type="default" r:id="rId11"/>
      <w:pgSz w:w="11906" w:h="16838" w:code="9"/>
      <w:pgMar w:top="1440" w:right="1797" w:bottom="1276"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060DD" w14:textId="77777777" w:rsidR="001D1C29" w:rsidRDefault="001D1C29" w:rsidP="009A5536">
      <w:r>
        <w:separator/>
      </w:r>
    </w:p>
  </w:endnote>
  <w:endnote w:type="continuationSeparator" w:id="0">
    <w:p w14:paraId="087E59B3" w14:textId="77777777" w:rsidR="001D1C29" w:rsidRDefault="001D1C29" w:rsidP="009A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2238F" w14:textId="77777777" w:rsidR="001D1C29" w:rsidRDefault="001D1C29" w:rsidP="009A5536">
      <w:r>
        <w:separator/>
      </w:r>
    </w:p>
  </w:footnote>
  <w:footnote w:type="continuationSeparator" w:id="0">
    <w:p w14:paraId="4A044B77" w14:textId="77777777" w:rsidR="001D1C29" w:rsidRDefault="001D1C29" w:rsidP="009A5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7CD55" w14:textId="77777777" w:rsidR="002131AC" w:rsidRDefault="002131AC">
    <w:pPr>
      <w:pStyle w:val="Header"/>
    </w:pPr>
    <w:r>
      <w:tab/>
    </w:r>
    <w:r>
      <w:rPr>
        <w:rStyle w:val="PageNumber"/>
      </w:rPr>
      <w:fldChar w:fldCharType="begin"/>
    </w:r>
    <w:r>
      <w:rPr>
        <w:rStyle w:val="PageNumber"/>
      </w:rPr>
      <w:instrText xml:space="preserve"> PAGE </w:instrText>
    </w:r>
    <w:r>
      <w:rPr>
        <w:rStyle w:val="PageNumber"/>
      </w:rPr>
      <w:fldChar w:fldCharType="separate"/>
    </w:r>
    <w:r w:rsidR="0061379C">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4771A"/>
    <w:multiLevelType w:val="hybridMultilevel"/>
    <w:tmpl w:val="2220A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F361E7"/>
    <w:multiLevelType w:val="hybridMultilevel"/>
    <w:tmpl w:val="2D0EE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8281F85"/>
    <w:multiLevelType w:val="hybridMultilevel"/>
    <w:tmpl w:val="1B307B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32E6FAB"/>
    <w:multiLevelType w:val="hybridMultilevel"/>
    <w:tmpl w:val="FF54F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41C16BF"/>
    <w:multiLevelType w:val="hybridMultilevel"/>
    <w:tmpl w:val="B49C7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58D3F19"/>
    <w:multiLevelType w:val="hybridMultilevel"/>
    <w:tmpl w:val="EE12B7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36A08B3"/>
    <w:multiLevelType w:val="hybridMultilevel"/>
    <w:tmpl w:val="7E60AF14"/>
    <w:lvl w:ilvl="0" w:tplc="DE748EB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D5"/>
    <w:rsid w:val="00005672"/>
    <w:rsid w:val="00014D0F"/>
    <w:rsid w:val="00016B75"/>
    <w:rsid w:val="000205DC"/>
    <w:rsid w:val="000360B5"/>
    <w:rsid w:val="00052478"/>
    <w:rsid w:val="00065CC7"/>
    <w:rsid w:val="000748D2"/>
    <w:rsid w:val="000753E8"/>
    <w:rsid w:val="000839CD"/>
    <w:rsid w:val="0008658E"/>
    <w:rsid w:val="00090590"/>
    <w:rsid w:val="0009720F"/>
    <w:rsid w:val="000A704C"/>
    <w:rsid w:val="000D06DE"/>
    <w:rsid w:val="000E2948"/>
    <w:rsid w:val="000F00D4"/>
    <w:rsid w:val="001013DD"/>
    <w:rsid w:val="001025F0"/>
    <w:rsid w:val="001079F7"/>
    <w:rsid w:val="00113F27"/>
    <w:rsid w:val="0012015C"/>
    <w:rsid w:val="00120DC8"/>
    <w:rsid w:val="0012623C"/>
    <w:rsid w:val="00131A87"/>
    <w:rsid w:val="00134BFE"/>
    <w:rsid w:val="00136308"/>
    <w:rsid w:val="00136D23"/>
    <w:rsid w:val="001525EF"/>
    <w:rsid w:val="00154B96"/>
    <w:rsid w:val="00167F68"/>
    <w:rsid w:val="001A0C5B"/>
    <w:rsid w:val="001A4D94"/>
    <w:rsid w:val="001B1847"/>
    <w:rsid w:val="001B341A"/>
    <w:rsid w:val="001C1979"/>
    <w:rsid w:val="001C6DC2"/>
    <w:rsid w:val="001D1C29"/>
    <w:rsid w:val="001D3DC9"/>
    <w:rsid w:val="001E26DA"/>
    <w:rsid w:val="001F61B6"/>
    <w:rsid w:val="00203EBE"/>
    <w:rsid w:val="002131AC"/>
    <w:rsid w:val="002142BD"/>
    <w:rsid w:val="00221130"/>
    <w:rsid w:val="00230012"/>
    <w:rsid w:val="002309C5"/>
    <w:rsid w:val="00233311"/>
    <w:rsid w:val="00233EA3"/>
    <w:rsid w:val="0026336A"/>
    <w:rsid w:val="0028055B"/>
    <w:rsid w:val="002817A8"/>
    <w:rsid w:val="00290A05"/>
    <w:rsid w:val="00297734"/>
    <w:rsid w:val="002A2C10"/>
    <w:rsid w:val="002C0CD5"/>
    <w:rsid w:val="002C7E13"/>
    <w:rsid w:val="002D1A77"/>
    <w:rsid w:val="002E59BE"/>
    <w:rsid w:val="002F4E99"/>
    <w:rsid w:val="002F6F12"/>
    <w:rsid w:val="00300D7D"/>
    <w:rsid w:val="0030233E"/>
    <w:rsid w:val="003228FE"/>
    <w:rsid w:val="00326F79"/>
    <w:rsid w:val="00341766"/>
    <w:rsid w:val="003427CD"/>
    <w:rsid w:val="0034299C"/>
    <w:rsid w:val="003431F5"/>
    <w:rsid w:val="0034498F"/>
    <w:rsid w:val="003619A4"/>
    <w:rsid w:val="00362FC5"/>
    <w:rsid w:val="00377434"/>
    <w:rsid w:val="00386772"/>
    <w:rsid w:val="00390DE4"/>
    <w:rsid w:val="003A1A35"/>
    <w:rsid w:val="003A39A2"/>
    <w:rsid w:val="003A63AE"/>
    <w:rsid w:val="003B66E7"/>
    <w:rsid w:val="003C5EA2"/>
    <w:rsid w:val="003C61AE"/>
    <w:rsid w:val="003D1CD1"/>
    <w:rsid w:val="003D6754"/>
    <w:rsid w:val="003F2907"/>
    <w:rsid w:val="004055B2"/>
    <w:rsid w:val="00405662"/>
    <w:rsid w:val="0041515F"/>
    <w:rsid w:val="004169BC"/>
    <w:rsid w:val="004222FE"/>
    <w:rsid w:val="004271BE"/>
    <w:rsid w:val="00442A12"/>
    <w:rsid w:val="00443B1F"/>
    <w:rsid w:val="0047601F"/>
    <w:rsid w:val="00485E9A"/>
    <w:rsid w:val="00486BF1"/>
    <w:rsid w:val="00493CD6"/>
    <w:rsid w:val="00493D3C"/>
    <w:rsid w:val="00497F62"/>
    <w:rsid w:val="004A19EE"/>
    <w:rsid w:val="004A5574"/>
    <w:rsid w:val="004B75EA"/>
    <w:rsid w:val="004C756D"/>
    <w:rsid w:val="004D15C1"/>
    <w:rsid w:val="004D5004"/>
    <w:rsid w:val="004E4107"/>
    <w:rsid w:val="004E7837"/>
    <w:rsid w:val="004E789F"/>
    <w:rsid w:val="00501EB5"/>
    <w:rsid w:val="0050455F"/>
    <w:rsid w:val="005141A8"/>
    <w:rsid w:val="00517442"/>
    <w:rsid w:val="00517945"/>
    <w:rsid w:val="00517B36"/>
    <w:rsid w:val="00517BA8"/>
    <w:rsid w:val="0052550D"/>
    <w:rsid w:val="00531F51"/>
    <w:rsid w:val="00533E25"/>
    <w:rsid w:val="0055586C"/>
    <w:rsid w:val="0056157E"/>
    <w:rsid w:val="0056237D"/>
    <w:rsid w:val="005627A9"/>
    <w:rsid w:val="005649F4"/>
    <w:rsid w:val="00565C39"/>
    <w:rsid w:val="005704CF"/>
    <w:rsid w:val="00573EA4"/>
    <w:rsid w:val="0057674B"/>
    <w:rsid w:val="005A03F1"/>
    <w:rsid w:val="005A39C8"/>
    <w:rsid w:val="005B0372"/>
    <w:rsid w:val="005B1E56"/>
    <w:rsid w:val="005B6F63"/>
    <w:rsid w:val="005D4463"/>
    <w:rsid w:val="005D6D6F"/>
    <w:rsid w:val="005E1F0C"/>
    <w:rsid w:val="005E26DD"/>
    <w:rsid w:val="0060350B"/>
    <w:rsid w:val="00605538"/>
    <w:rsid w:val="0061379C"/>
    <w:rsid w:val="006211CB"/>
    <w:rsid w:val="006321F1"/>
    <w:rsid w:val="006405D4"/>
    <w:rsid w:val="00676E9A"/>
    <w:rsid w:val="00676F81"/>
    <w:rsid w:val="00682E8C"/>
    <w:rsid w:val="00683336"/>
    <w:rsid w:val="006A1C17"/>
    <w:rsid w:val="006B0888"/>
    <w:rsid w:val="006B5E6D"/>
    <w:rsid w:val="006C572D"/>
    <w:rsid w:val="006C73DE"/>
    <w:rsid w:val="006D21FB"/>
    <w:rsid w:val="006E201C"/>
    <w:rsid w:val="006F54F7"/>
    <w:rsid w:val="00712A45"/>
    <w:rsid w:val="007206B3"/>
    <w:rsid w:val="00722127"/>
    <w:rsid w:val="00722601"/>
    <w:rsid w:val="007306D4"/>
    <w:rsid w:val="007650B4"/>
    <w:rsid w:val="0076799D"/>
    <w:rsid w:val="007747B8"/>
    <w:rsid w:val="00775701"/>
    <w:rsid w:val="00784BE8"/>
    <w:rsid w:val="00786989"/>
    <w:rsid w:val="007945F3"/>
    <w:rsid w:val="00795426"/>
    <w:rsid w:val="00797AD5"/>
    <w:rsid w:val="007A6680"/>
    <w:rsid w:val="007B2F5A"/>
    <w:rsid w:val="007C6273"/>
    <w:rsid w:val="007D0C63"/>
    <w:rsid w:val="007E0BA1"/>
    <w:rsid w:val="00801F74"/>
    <w:rsid w:val="00806F4C"/>
    <w:rsid w:val="00807748"/>
    <w:rsid w:val="00810F6E"/>
    <w:rsid w:val="00815ABF"/>
    <w:rsid w:val="00815C51"/>
    <w:rsid w:val="00827584"/>
    <w:rsid w:val="00830BBD"/>
    <w:rsid w:val="00851416"/>
    <w:rsid w:val="00857CEF"/>
    <w:rsid w:val="00870B67"/>
    <w:rsid w:val="008839CF"/>
    <w:rsid w:val="00884CA9"/>
    <w:rsid w:val="00886601"/>
    <w:rsid w:val="0088765A"/>
    <w:rsid w:val="00890C86"/>
    <w:rsid w:val="00893980"/>
    <w:rsid w:val="008B1988"/>
    <w:rsid w:val="008B6C95"/>
    <w:rsid w:val="008C054F"/>
    <w:rsid w:val="008C1030"/>
    <w:rsid w:val="008C219A"/>
    <w:rsid w:val="008C4988"/>
    <w:rsid w:val="008C7E6B"/>
    <w:rsid w:val="008D6495"/>
    <w:rsid w:val="008E2FDF"/>
    <w:rsid w:val="008E479B"/>
    <w:rsid w:val="00905707"/>
    <w:rsid w:val="00907575"/>
    <w:rsid w:val="0092013F"/>
    <w:rsid w:val="0092082D"/>
    <w:rsid w:val="009232F6"/>
    <w:rsid w:val="0092415A"/>
    <w:rsid w:val="009302AC"/>
    <w:rsid w:val="00931AE8"/>
    <w:rsid w:val="00951AE3"/>
    <w:rsid w:val="00952E77"/>
    <w:rsid w:val="00956DC1"/>
    <w:rsid w:val="00961A3A"/>
    <w:rsid w:val="00990F64"/>
    <w:rsid w:val="009A1936"/>
    <w:rsid w:val="009A5536"/>
    <w:rsid w:val="009B4C72"/>
    <w:rsid w:val="009B781F"/>
    <w:rsid w:val="009B7AB8"/>
    <w:rsid w:val="009C1FA2"/>
    <w:rsid w:val="009D530C"/>
    <w:rsid w:val="009E3796"/>
    <w:rsid w:val="009F630F"/>
    <w:rsid w:val="00A04D21"/>
    <w:rsid w:val="00A151DB"/>
    <w:rsid w:val="00A2128C"/>
    <w:rsid w:val="00A229C7"/>
    <w:rsid w:val="00A22D9D"/>
    <w:rsid w:val="00A2416B"/>
    <w:rsid w:val="00A63310"/>
    <w:rsid w:val="00A661AA"/>
    <w:rsid w:val="00A72D46"/>
    <w:rsid w:val="00A766AA"/>
    <w:rsid w:val="00A80821"/>
    <w:rsid w:val="00A85F84"/>
    <w:rsid w:val="00A96997"/>
    <w:rsid w:val="00AB243A"/>
    <w:rsid w:val="00AB566B"/>
    <w:rsid w:val="00AC5C72"/>
    <w:rsid w:val="00AC7D99"/>
    <w:rsid w:val="00AD1746"/>
    <w:rsid w:val="00AD1BB4"/>
    <w:rsid w:val="00AD3BE8"/>
    <w:rsid w:val="00AD455A"/>
    <w:rsid w:val="00AE779A"/>
    <w:rsid w:val="00B1639B"/>
    <w:rsid w:val="00B16F4F"/>
    <w:rsid w:val="00B229DE"/>
    <w:rsid w:val="00B33CFF"/>
    <w:rsid w:val="00B45334"/>
    <w:rsid w:val="00B47512"/>
    <w:rsid w:val="00B47A61"/>
    <w:rsid w:val="00B54F84"/>
    <w:rsid w:val="00B61477"/>
    <w:rsid w:val="00B61913"/>
    <w:rsid w:val="00B70928"/>
    <w:rsid w:val="00B818F3"/>
    <w:rsid w:val="00B84057"/>
    <w:rsid w:val="00B84E94"/>
    <w:rsid w:val="00B94CF2"/>
    <w:rsid w:val="00B97930"/>
    <w:rsid w:val="00BA751D"/>
    <w:rsid w:val="00BB3ACB"/>
    <w:rsid w:val="00BB5279"/>
    <w:rsid w:val="00BD4974"/>
    <w:rsid w:val="00BF30B1"/>
    <w:rsid w:val="00BF4247"/>
    <w:rsid w:val="00BF788E"/>
    <w:rsid w:val="00C061D6"/>
    <w:rsid w:val="00C1272C"/>
    <w:rsid w:val="00C305EB"/>
    <w:rsid w:val="00C43C9A"/>
    <w:rsid w:val="00C474E0"/>
    <w:rsid w:val="00C47D42"/>
    <w:rsid w:val="00C527E4"/>
    <w:rsid w:val="00C53D90"/>
    <w:rsid w:val="00C55C56"/>
    <w:rsid w:val="00C66113"/>
    <w:rsid w:val="00C7008B"/>
    <w:rsid w:val="00C70E91"/>
    <w:rsid w:val="00C7563B"/>
    <w:rsid w:val="00C90229"/>
    <w:rsid w:val="00C9128D"/>
    <w:rsid w:val="00C94F0B"/>
    <w:rsid w:val="00CB3661"/>
    <w:rsid w:val="00CC27D8"/>
    <w:rsid w:val="00CD6971"/>
    <w:rsid w:val="00CE05BE"/>
    <w:rsid w:val="00CE21C9"/>
    <w:rsid w:val="00CE58BF"/>
    <w:rsid w:val="00CF585A"/>
    <w:rsid w:val="00D05B39"/>
    <w:rsid w:val="00D062F3"/>
    <w:rsid w:val="00D143D2"/>
    <w:rsid w:val="00D2180E"/>
    <w:rsid w:val="00D2521B"/>
    <w:rsid w:val="00D318B2"/>
    <w:rsid w:val="00D326BF"/>
    <w:rsid w:val="00D505EA"/>
    <w:rsid w:val="00D54AB9"/>
    <w:rsid w:val="00D67C0A"/>
    <w:rsid w:val="00D70261"/>
    <w:rsid w:val="00D75085"/>
    <w:rsid w:val="00D800FE"/>
    <w:rsid w:val="00D8622C"/>
    <w:rsid w:val="00DA72D3"/>
    <w:rsid w:val="00DB1C8C"/>
    <w:rsid w:val="00DB1D2E"/>
    <w:rsid w:val="00DC0A86"/>
    <w:rsid w:val="00DC0F57"/>
    <w:rsid w:val="00DD16B7"/>
    <w:rsid w:val="00DF5427"/>
    <w:rsid w:val="00E00750"/>
    <w:rsid w:val="00E02AEF"/>
    <w:rsid w:val="00E1008D"/>
    <w:rsid w:val="00E10230"/>
    <w:rsid w:val="00E2167F"/>
    <w:rsid w:val="00E366CE"/>
    <w:rsid w:val="00E47933"/>
    <w:rsid w:val="00E50AF2"/>
    <w:rsid w:val="00E65C61"/>
    <w:rsid w:val="00E67C2B"/>
    <w:rsid w:val="00E839B3"/>
    <w:rsid w:val="00E85A7F"/>
    <w:rsid w:val="00E93BDF"/>
    <w:rsid w:val="00EA15B8"/>
    <w:rsid w:val="00EA2482"/>
    <w:rsid w:val="00EA58B4"/>
    <w:rsid w:val="00EA7478"/>
    <w:rsid w:val="00EB02B1"/>
    <w:rsid w:val="00EB258C"/>
    <w:rsid w:val="00EB65B1"/>
    <w:rsid w:val="00EE2A92"/>
    <w:rsid w:val="00EE4315"/>
    <w:rsid w:val="00F00611"/>
    <w:rsid w:val="00F11773"/>
    <w:rsid w:val="00F13E78"/>
    <w:rsid w:val="00F2257C"/>
    <w:rsid w:val="00F40244"/>
    <w:rsid w:val="00F42F51"/>
    <w:rsid w:val="00F475E9"/>
    <w:rsid w:val="00F5065D"/>
    <w:rsid w:val="00F600C5"/>
    <w:rsid w:val="00F670AB"/>
    <w:rsid w:val="00F7460E"/>
    <w:rsid w:val="00F7764C"/>
    <w:rsid w:val="00F7768E"/>
    <w:rsid w:val="00F860B2"/>
    <w:rsid w:val="00F903B4"/>
    <w:rsid w:val="00F930B3"/>
    <w:rsid w:val="00F950BE"/>
    <w:rsid w:val="00F95AFA"/>
    <w:rsid w:val="00FA1467"/>
    <w:rsid w:val="00FA6613"/>
    <w:rsid w:val="00FA7522"/>
    <w:rsid w:val="00FC1B28"/>
    <w:rsid w:val="00FD6285"/>
    <w:rsid w:val="00FE6E75"/>
    <w:rsid w:val="00FF01A2"/>
    <w:rsid w:val="00FF532E"/>
    <w:rsid w:val="00FF7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710C"/>
  <w15:docId w15:val="{7577F0D5-4820-4695-B0A5-46D88937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D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2C0CD5"/>
    <w:pPr>
      <w:keepNext/>
      <w:jc w:val="center"/>
      <w:outlineLvl w:val="0"/>
    </w:pPr>
    <w:rPr>
      <w:i/>
      <w:sz w:val="24"/>
    </w:rPr>
  </w:style>
  <w:style w:type="paragraph" w:styleId="Heading3">
    <w:name w:val="heading 3"/>
    <w:basedOn w:val="Normal"/>
    <w:next w:val="Normal"/>
    <w:link w:val="Heading3Char"/>
    <w:uiPriority w:val="9"/>
    <w:semiHidden/>
    <w:unhideWhenUsed/>
    <w:qFormat/>
    <w:rsid w:val="00B47A6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CD5"/>
    <w:rPr>
      <w:rFonts w:ascii="Times New Roman" w:eastAsia="Times New Roman" w:hAnsi="Times New Roman" w:cs="Times New Roman"/>
      <w:i/>
      <w:sz w:val="24"/>
      <w:szCs w:val="20"/>
      <w:lang w:eastAsia="en-AU"/>
    </w:rPr>
  </w:style>
  <w:style w:type="paragraph" w:styleId="Title">
    <w:name w:val="Title"/>
    <w:basedOn w:val="Normal"/>
    <w:link w:val="TitleChar"/>
    <w:qFormat/>
    <w:rsid w:val="002C0CD5"/>
    <w:pPr>
      <w:jc w:val="center"/>
    </w:pPr>
    <w:rPr>
      <w:b/>
      <w:sz w:val="24"/>
      <w:u w:val="single"/>
      <w:lang w:val="en-GB" w:eastAsia="en-US"/>
    </w:rPr>
  </w:style>
  <w:style w:type="character" w:customStyle="1" w:styleId="TitleChar">
    <w:name w:val="Title Char"/>
    <w:basedOn w:val="DefaultParagraphFont"/>
    <w:link w:val="Title"/>
    <w:rsid w:val="002C0CD5"/>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2C0CD5"/>
    <w:rPr>
      <w:sz w:val="24"/>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2C0CD5"/>
    <w:pPr>
      <w:jc w:val="center"/>
    </w:pPr>
    <w:rPr>
      <w:sz w:val="24"/>
    </w:rPr>
  </w:style>
  <w:style w:type="character" w:customStyle="1" w:styleId="BodyTextChar">
    <w:name w:val="Body Text Char"/>
    <w:basedOn w:val="DefaultParagraphFont"/>
    <w:link w:val="BodyText"/>
    <w:rsid w:val="002C0CD5"/>
    <w:rPr>
      <w:rFonts w:ascii="Times New Roman" w:eastAsia="Times New Roman" w:hAnsi="Times New Roman" w:cs="Times New Roman"/>
      <w:sz w:val="24"/>
      <w:szCs w:val="20"/>
      <w:lang w:eastAsia="en-AU"/>
    </w:rPr>
  </w:style>
  <w:style w:type="paragraph" w:styleId="Header">
    <w:name w:val="header"/>
    <w:basedOn w:val="Normal"/>
    <w:link w:val="HeaderChar"/>
    <w:rsid w:val="002C0CD5"/>
    <w:pPr>
      <w:tabs>
        <w:tab w:val="center" w:pos="4320"/>
        <w:tab w:val="right" w:pos="8640"/>
      </w:tabs>
    </w:pPr>
    <w:rPr>
      <w:sz w:val="24"/>
    </w:rPr>
  </w:style>
  <w:style w:type="character" w:customStyle="1" w:styleId="HeaderChar">
    <w:name w:val="Header Char"/>
    <w:basedOn w:val="DefaultParagraphFont"/>
    <w:link w:val="Header"/>
    <w:rsid w:val="002C0CD5"/>
    <w:rPr>
      <w:rFonts w:ascii="Times New Roman" w:eastAsia="Times New Roman" w:hAnsi="Times New Roman" w:cs="Times New Roman"/>
      <w:sz w:val="24"/>
      <w:szCs w:val="20"/>
      <w:lang w:eastAsia="en-AU"/>
    </w:rPr>
  </w:style>
  <w:style w:type="character" w:styleId="PageNumber">
    <w:name w:val="page number"/>
    <w:basedOn w:val="DefaultParagraphFont"/>
    <w:rsid w:val="002C0CD5"/>
  </w:style>
  <w:style w:type="character" w:styleId="CommentReference">
    <w:name w:val="annotation reference"/>
    <w:basedOn w:val="DefaultParagraphFont"/>
    <w:semiHidden/>
    <w:rsid w:val="002C0CD5"/>
    <w:rPr>
      <w:sz w:val="16"/>
      <w:szCs w:val="16"/>
    </w:rPr>
  </w:style>
  <w:style w:type="paragraph" w:styleId="CommentText">
    <w:name w:val="annotation text"/>
    <w:basedOn w:val="Normal"/>
    <w:link w:val="CommentTextChar"/>
    <w:semiHidden/>
    <w:rsid w:val="002C0CD5"/>
  </w:style>
  <w:style w:type="character" w:customStyle="1" w:styleId="CommentTextChar">
    <w:name w:val="Comment Text Char"/>
    <w:basedOn w:val="DefaultParagraphFont"/>
    <w:link w:val="CommentText"/>
    <w:semiHidden/>
    <w:rsid w:val="002C0CD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C0CD5"/>
    <w:rPr>
      <w:rFonts w:ascii="Tahoma" w:hAnsi="Tahoma" w:cs="Tahoma"/>
      <w:sz w:val="16"/>
      <w:szCs w:val="16"/>
    </w:rPr>
  </w:style>
  <w:style w:type="character" w:customStyle="1" w:styleId="BalloonTextChar">
    <w:name w:val="Balloon Text Char"/>
    <w:basedOn w:val="DefaultParagraphFont"/>
    <w:link w:val="BalloonText"/>
    <w:uiPriority w:val="99"/>
    <w:semiHidden/>
    <w:rsid w:val="002C0CD5"/>
    <w:rPr>
      <w:rFonts w:ascii="Tahoma" w:eastAsia="Times New Roman" w:hAnsi="Tahoma" w:cs="Tahoma"/>
      <w:sz w:val="16"/>
      <w:szCs w:val="16"/>
      <w:lang w:eastAsia="en-AU"/>
    </w:rPr>
  </w:style>
  <w:style w:type="paragraph" w:styleId="Footer">
    <w:name w:val="footer"/>
    <w:basedOn w:val="Normal"/>
    <w:link w:val="FooterChar"/>
    <w:uiPriority w:val="99"/>
    <w:unhideWhenUsed/>
    <w:rsid w:val="00203EBE"/>
    <w:pPr>
      <w:tabs>
        <w:tab w:val="center" w:pos="4513"/>
        <w:tab w:val="right" w:pos="9026"/>
      </w:tabs>
    </w:pPr>
  </w:style>
  <w:style w:type="character" w:customStyle="1" w:styleId="FooterChar">
    <w:name w:val="Footer Char"/>
    <w:basedOn w:val="DefaultParagraphFont"/>
    <w:link w:val="Footer"/>
    <w:uiPriority w:val="99"/>
    <w:rsid w:val="00203EB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1AE3"/>
    <w:rPr>
      <w:b/>
      <w:bCs/>
    </w:rPr>
  </w:style>
  <w:style w:type="character" w:customStyle="1" w:styleId="CommentSubjectChar">
    <w:name w:val="Comment Subject Char"/>
    <w:basedOn w:val="CommentTextChar"/>
    <w:link w:val="CommentSubject"/>
    <w:uiPriority w:val="99"/>
    <w:semiHidden/>
    <w:rsid w:val="00951AE3"/>
    <w:rPr>
      <w:rFonts w:ascii="Times New Roman" w:eastAsia="Times New Roman" w:hAnsi="Times New Roman" w:cs="Times New Roman"/>
      <w:b/>
      <w:bCs/>
      <w:sz w:val="20"/>
      <w:szCs w:val="20"/>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customStyle="1" w:styleId="acmabodytextchar">
    <w:name w:val="acmabodytextchar"/>
    <w:basedOn w:val="Normal"/>
    <w:rsid w:val="00233EA3"/>
    <w:pPr>
      <w:spacing w:before="100" w:beforeAutospacing="1" w:after="100" w:afterAutospacing="1"/>
    </w:pPr>
    <w:rPr>
      <w:sz w:val="24"/>
      <w:szCs w:val="24"/>
    </w:rPr>
  </w:style>
  <w:style w:type="paragraph" w:styleId="ListParagraph">
    <w:name w:val="List Paragraph"/>
    <w:basedOn w:val="Normal"/>
    <w:uiPriority w:val="34"/>
    <w:qFormat/>
    <w:rsid w:val="007650B4"/>
    <w:pPr>
      <w:ind w:left="720"/>
      <w:contextualSpacing/>
    </w:pPr>
  </w:style>
  <w:style w:type="character" w:styleId="Hyperlink">
    <w:name w:val="Hyperlink"/>
    <w:basedOn w:val="DefaultParagraphFont"/>
    <w:uiPriority w:val="99"/>
    <w:unhideWhenUsed/>
    <w:rsid w:val="00E366CE"/>
    <w:rPr>
      <w:color w:val="0000FF" w:themeColor="hyperlink"/>
      <w:u w:val="single"/>
    </w:rPr>
  </w:style>
  <w:style w:type="character" w:styleId="FollowedHyperlink">
    <w:name w:val="FollowedHyperlink"/>
    <w:basedOn w:val="DefaultParagraphFont"/>
    <w:uiPriority w:val="99"/>
    <w:semiHidden/>
    <w:unhideWhenUsed/>
    <w:rsid w:val="00683336"/>
    <w:rPr>
      <w:color w:val="800080" w:themeColor="followedHyperlink"/>
      <w:u w:val="single"/>
    </w:rPr>
  </w:style>
  <w:style w:type="paragraph" w:styleId="NormalWeb">
    <w:name w:val="Normal (Web)"/>
    <w:basedOn w:val="Normal"/>
    <w:uiPriority w:val="99"/>
    <w:unhideWhenUsed/>
    <w:rsid w:val="00851416"/>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B47A61"/>
    <w:rPr>
      <w:rFonts w:asciiTheme="majorHAnsi" w:eastAsiaTheme="majorEastAsia" w:hAnsiTheme="majorHAnsi" w:cstheme="majorBidi"/>
      <w:color w:val="243F60" w:themeColor="accent1" w:themeShade="7F"/>
      <w:sz w:val="24"/>
      <w:szCs w:val="24"/>
      <w:lang w:eastAsia="en-AU"/>
    </w:rPr>
  </w:style>
  <w:style w:type="paragraph" w:styleId="NoSpacing">
    <w:name w:val="No Spacing"/>
    <w:uiPriority w:val="1"/>
    <w:qFormat/>
    <w:rsid w:val="00B47A61"/>
    <w:pPr>
      <w:spacing w:after="0" w:line="240" w:lineRule="auto"/>
    </w:pPr>
  </w:style>
  <w:style w:type="paragraph" w:styleId="Revision">
    <w:name w:val="Revision"/>
    <w:hidden/>
    <w:uiPriority w:val="99"/>
    <w:semiHidden/>
    <w:rsid w:val="00AD455A"/>
    <w:pPr>
      <w:spacing w:after="0" w:line="240" w:lineRule="auto"/>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6986">
      <w:bodyDiv w:val="1"/>
      <w:marLeft w:val="0"/>
      <w:marRight w:val="0"/>
      <w:marTop w:val="0"/>
      <w:marBottom w:val="0"/>
      <w:divBdr>
        <w:top w:val="none" w:sz="0" w:space="0" w:color="auto"/>
        <w:left w:val="none" w:sz="0" w:space="0" w:color="auto"/>
        <w:bottom w:val="none" w:sz="0" w:space="0" w:color="auto"/>
        <w:right w:val="none" w:sz="0" w:space="0" w:color="auto"/>
      </w:divBdr>
      <w:divsChild>
        <w:div w:id="1638687077">
          <w:marLeft w:val="0"/>
          <w:marRight w:val="0"/>
          <w:marTop w:val="0"/>
          <w:marBottom w:val="0"/>
          <w:divBdr>
            <w:top w:val="none" w:sz="0" w:space="0" w:color="auto"/>
            <w:left w:val="none" w:sz="0" w:space="0" w:color="auto"/>
            <w:bottom w:val="none" w:sz="0" w:space="0" w:color="auto"/>
            <w:right w:val="none" w:sz="0" w:space="0" w:color="auto"/>
          </w:divBdr>
          <w:divsChild>
            <w:div w:id="320548970">
              <w:marLeft w:val="0"/>
              <w:marRight w:val="0"/>
              <w:marTop w:val="0"/>
              <w:marBottom w:val="0"/>
              <w:divBdr>
                <w:top w:val="none" w:sz="0" w:space="0" w:color="auto"/>
                <w:left w:val="none" w:sz="0" w:space="0" w:color="auto"/>
                <w:bottom w:val="none" w:sz="0" w:space="0" w:color="auto"/>
                <w:right w:val="none" w:sz="0" w:space="0" w:color="auto"/>
              </w:divBdr>
              <w:divsChild>
                <w:div w:id="1851485315">
                  <w:marLeft w:val="0"/>
                  <w:marRight w:val="0"/>
                  <w:marTop w:val="0"/>
                  <w:marBottom w:val="0"/>
                  <w:divBdr>
                    <w:top w:val="none" w:sz="0" w:space="0" w:color="auto"/>
                    <w:left w:val="none" w:sz="0" w:space="0" w:color="auto"/>
                    <w:bottom w:val="none" w:sz="0" w:space="0" w:color="auto"/>
                    <w:right w:val="none" w:sz="0" w:space="0" w:color="auto"/>
                  </w:divBdr>
                  <w:divsChild>
                    <w:div w:id="838424365">
                      <w:marLeft w:val="0"/>
                      <w:marRight w:val="0"/>
                      <w:marTop w:val="0"/>
                      <w:marBottom w:val="0"/>
                      <w:divBdr>
                        <w:top w:val="none" w:sz="0" w:space="0" w:color="auto"/>
                        <w:left w:val="none" w:sz="0" w:space="0" w:color="auto"/>
                        <w:bottom w:val="none" w:sz="0" w:space="0" w:color="auto"/>
                        <w:right w:val="none" w:sz="0" w:space="0" w:color="auto"/>
                      </w:divBdr>
                      <w:divsChild>
                        <w:div w:id="217210524">
                          <w:marLeft w:val="0"/>
                          <w:marRight w:val="0"/>
                          <w:marTop w:val="0"/>
                          <w:marBottom w:val="0"/>
                          <w:divBdr>
                            <w:top w:val="none" w:sz="0" w:space="0" w:color="auto"/>
                            <w:left w:val="none" w:sz="0" w:space="0" w:color="auto"/>
                            <w:bottom w:val="none" w:sz="0" w:space="0" w:color="auto"/>
                            <w:right w:val="none" w:sz="0" w:space="0" w:color="auto"/>
                          </w:divBdr>
                          <w:divsChild>
                            <w:div w:id="20430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533351809">
      <w:bodyDiv w:val="1"/>
      <w:marLeft w:val="0"/>
      <w:marRight w:val="0"/>
      <w:marTop w:val="0"/>
      <w:marBottom w:val="0"/>
      <w:divBdr>
        <w:top w:val="none" w:sz="0" w:space="0" w:color="auto"/>
        <w:left w:val="none" w:sz="0" w:space="0" w:color="auto"/>
        <w:bottom w:val="none" w:sz="0" w:space="0" w:color="auto"/>
        <w:right w:val="none" w:sz="0" w:space="0" w:color="auto"/>
      </w:divBdr>
      <w:divsChild>
        <w:div w:id="182980763">
          <w:marLeft w:val="0"/>
          <w:marRight w:val="0"/>
          <w:marTop w:val="0"/>
          <w:marBottom w:val="0"/>
          <w:divBdr>
            <w:top w:val="none" w:sz="0" w:space="0" w:color="auto"/>
            <w:left w:val="none" w:sz="0" w:space="0" w:color="auto"/>
            <w:bottom w:val="none" w:sz="0" w:space="0" w:color="auto"/>
            <w:right w:val="none" w:sz="0" w:space="0" w:color="auto"/>
          </w:divBdr>
          <w:divsChild>
            <w:div w:id="1940019296">
              <w:marLeft w:val="0"/>
              <w:marRight w:val="0"/>
              <w:marTop w:val="0"/>
              <w:marBottom w:val="0"/>
              <w:divBdr>
                <w:top w:val="none" w:sz="0" w:space="0" w:color="auto"/>
                <w:left w:val="none" w:sz="0" w:space="0" w:color="auto"/>
                <w:bottom w:val="none" w:sz="0" w:space="0" w:color="auto"/>
                <w:right w:val="none" w:sz="0" w:space="0" w:color="auto"/>
              </w:divBdr>
              <w:divsChild>
                <w:div w:id="460266077">
                  <w:marLeft w:val="0"/>
                  <w:marRight w:val="0"/>
                  <w:marTop w:val="0"/>
                  <w:marBottom w:val="0"/>
                  <w:divBdr>
                    <w:top w:val="none" w:sz="0" w:space="0" w:color="auto"/>
                    <w:left w:val="none" w:sz="0" w:space="0" w:color="auto"/>
                    <w:bottom w:val="none" w:sz="0" w:space="0" w:color="auto"/>
                    <w:right w:val="none" w:sz="0" w:space="0" w:color="auto"/>
                  </w:divBdr>
                  <w:divsChild>
                    <w:div w:id="1121001128">
                      <w:marLeft w:val="0"/>
                      <w:marRight w:val="0"/>
                      <w:marTop w:val="0"/>
                      <w:marBottom w:val="0"/>
                      <w:divBdr>
                        <w:top w:val="none" w:sz="0" w:space="0" w:color="auto"/>
                        <w:left w:val="none" w:sz="0" w:space="0" w:color="auto"/>
                        <w:bottom w:val="none" w:sz="0" w:space="0" w:color="auto"/>
                        <w:right w:val="none" w:sz="0" w:space="0" w:color="auto"/>
                      </w:divBdr>
                      <w:divsChild>
                        <w:div w:id="1294871293">
                          <w:marLeft w:val="-15"/>
                          <w:marRight w:val="0"/>
                          <w:marTop w:val="0"/>
                          <w:marBottom w:val="0"/>
                          <w:divBdr>
                            <w:top w:val="none" w:sz="0" w:space="0" w:color="auto"/>
                            <w:left w:val="none" w:sz="0" w:space="0" w:color="auto"/>
                            <w:bottom w:val="none" w:sz="0" w:space="0" w:color="auto"/>
                            <w:right w:val="none" w:sz="0" w:space="0" w:color="auto"/>
                          </w:divBdr>
                          <w:divsChild>
                            <w:div w:id="256327920">
                              <w:marLeft w:val="0"/>
                              <w:marRight w:val="0"/>
                              <w:marTop w:val="0"/>
                              <w:marBottom w:val="0"/>
                              <w:divBdr>
                                <w:top w:val="none" w:sz="0" w:space="0" w:color="auto"/>
                                <w:left w:val="none" w:sz="0" w:space="0" w:color="auto"/>
                                <w:bottom w:val="none" w:sz="0" w:space="0" w:color="auto"/>
                                <w:right w:val="none" w:sz="0" w:space="0" w:color="auto"/>
                              </w:divBdr>
                              <w:divsChild>
                                <w:div w:id="2042626879">
                                  <w:marLeft w:val="0"/>
                                  <w:marRight w:val="-15"/>
                                  <w:marTop w:val="0"/>
                                  <w:marBottom w:val="0"/>
                                  <w:divBdr>
                                    <w:top w:val="none" w:sz="0" w:space="0" w:color="auto"/>
                                    <w:left w:val="none" w:sz="0" w:space="0" w:color="auto"/>
                                    <w:bottom w:val="none" w:sz="0" w:space="0" w:color="auto"/>
                                    <w:right w:val="none" w:sz="0" w:space="0" w:color="auto"/>
                                  </w:divBdr>
                                  <w:divsChild>
                                    <w:div w:id="2122453650">
                                      <w:marLeft w:val="0"/>
                                      <w:marRight w:val="0"/>
                                      <w:marTop w:val="0"/>
                                      <w:marBottom w:val="0"/>
                                      <w:divBdr>
                                        <w:top w:val="none" w:sz="0" w:space="0" w:color="auto"/>
                                        <w:left w:val="none" w:sz="0" w:space="0" w:color="auto"/>
                                        <w:bottom w:val="none" w:sz="0" w:space="0" w:color="auto"/>
                                        <w:right w:val="none" w:sz="0" w:space="0" w:color="auto"/>
                                      </w:divBdr>
                                      <w:divsChild>
                                        <w:div w:id="1823497226">
                                          <w:marLeft w:val="0"/>
                                          <w:marRight w:val="0"/>
                                          <w:marTop w:val="0"/>
                                          <w:marBottom w:val="0"/>
                                          <w:divBdr>
                                            <w:top w:val="none" w:sz="0" w:space="0" w:color="auto"/>
                                            <w:left w:val="none" w:sz="0" w:space="0" w:color="auto"/>
                                            <w:bottom w:val="none" w:sz="0" w:space="0" w:color="auto"/>
                                            <w:right w:val="none" w:sz="0" w:space="0" w:color="auto"/>
                                          </w:divBdr>
                                          <w:divsChild>
                                            <w:div w:id="1384212734">
                                              <w:marLeft w:val="-270"/>
                                              <w:marRight w:val="0"/>
                                              <w:marTop w:val="0"/>
                                              <w:marBottom w:val="0"/>
                                              <w:divBdr>
                                                <w:top w:val="none" w:sz="0" w:space="0" w:color="auto"/>
                                                <w:left w:val="none" w:sz="0" w:space="0" w:color="auto"/>
                                                <w:bottom w:val="none" w:sz="0" w:space="0" w:color="auto"/>
                                                <w:right w:val="none" w:sz="0" w:space="0" w:color="auto"/>
                                              </w:divBdr>
                                              <w:divsChild>
                                                <w:div w:id="435834637">
                                                  <w:marLeft w:val="0"/>
                                                  <w:marRight w:val="0"/>
                                                  <w:marTop w:val="0"/>
                                                  <w:marBottom w:val="0"/>
                                                  <w:divBdr>
                                                    <w:top w:val="none" w:sz="0" w:space="0" w:color="auto"/>
                                                    <w:left w:val="none" w:sz="0" w:space="0" w:color="auto"/>
                                                    <w:bottom w:val="none" w:sz="0" w:space="0" w:color="auto"/>
                                                    <w:right w:val="none" w:sz="0" w:space="0" w:color="auto"/>
                                                  </w:divBdr>
                                                  <w:divsChild>
                                                    <w:div w:id="1122842872">
                                                      <w:marLeft w:val="0"/>
                                                      <w:marRight w:val="0"/>
                                                      <w:marTop w:val="0"/>
                                                      <w:marBottom w:val="0"/>
                                                      <w:divBdr>
                                                        <w:top w:val="none" w:sz="0" w:space="0" w:color="auto"/>
                                                        <w:left w:val="none" w:sz="0" w:space="0" w:color="auto"/>
                                                        <w:bottom w:val="none" w:sz="0" w:space="0" w:color="auto"/>
                                                        <w:right w:val="none" w:sz="0" w:space="0" w:color="auto"/>
                                                      </w:divBdr>
                                                      <w:divsChild>
                                                        <w:div w:id="1209227125">
                                                          <w:marLeft w:val="0"/>
                                                          <w:marRight w:val="0"/>
                                                          <w:marTop w:val="0"/>
                                                          <w:marBottom w:val="0"/>
                                                          <w:divBdr>
                                                            <w:top w:val="none" w:sz="0" w:space="0" w:color="auto"/>
                                                            <w:left w:val="none" w:sz="0" w:space="0" w:color="auto"/>
                                                            <w:bottom w:val="none" w:sz="0" w:space="0" w:color="auto"/>
                                                            <w:right w:val="none" w:sz="0" w:space="0" w:color="auto"/>
                                                          </w:divBdr>
                                                          <w:divsChild>
                                                            <w:div w:id="1334532818">
                                                              <w:marLeft w:val="0"/>
                                                              <w:marRight w:val="0"/>
                                                              <w:marTop w:val="0"/>
                                                              <w:marBottom w:val="0"/>
                                                              <w:divBdr>
                                                                <w:top w:val="single" w:sz="6" w:space="0" w:color="E9EAED"/>
                                                                <w:left w:val="single" w:sz="6" w:space="0" w:color="DFE0E4"/>
                                                                <w:bottom w:val="single" w:sz="6" w:space="0" w:color="D0D1D5"/>
                                                                <w:right w:val="single" w:sz="6" w:space="0" w:color="DFE0E4"/>
                                                              </w:divBdr>
                                                              <w:divsChild>
                                                                <w:div w:id="785588515">
                                                                  <w:marLeft w:val="0"/>
                                                                  <w:marRight w:val="0"/>
                                                                  <w:marTop w:val="0"/>
                                                                  <w:marBottom w:val="0"/>
                                                                  <w:divBdr>
                                                                    <w:top w:val="none" w:sz="0" w:space="0" w:color="auto"/>
                                                                    <w:left w:val="none" w:sz="0" w:space="0" w:color="auto"/>
                                                                    <w:bottom w:val="none" w:sz="0" w:space="0" w:color="auto"/>
                                                                    <w:right w:val="none" w:sz="0" w:space="0" w:color="auto"/>
                                                                  </w:divBdr>
                                                                  <w:divsChild>
                                                                    <w:div w:id="560209556">
                                                                      <w:marLeft w:val="0"/>
                                                                      <w:marRight w:val="0"/>
                                                                      <w:marTop w:val="0"/>
                                                                      <w:marBottom w:val="0"/>
                                                                      <w:divBdr>
                                                                        <w:top w:val="none" w:sz="0" w:space="0" w:color="auto"/>
                                                                        <w:left w:val="none" w:sz="0" w:space="0" w:color="auto"/>
                                                                        <w:bottom w:val="none" w:sz="0" w:space="0" w:color="auto"/>
                                                                        <w:right w:val="none" w:sz="0" w:space="0" w:color="auto"/>
                                                                      </w:divBdr>
                                                                      <w:divsChild>
                                                                        <w:div w:id="864101763">
                                                                          <w:marLeft w:val="0"/>
                                                                          <w:marRight w:val="0"/>
                                                                          <w:marTop w:val="0"/>
                                                                          <w:marBottom w:val="0"/>
                                                                          <w:divBdr>
                                                                            <w:top w:val="none" w:sz="0" w:space="0" w:color="auto"/>
                                                                            <w:left w:val="none" w:sz="0" w:space="0" w:color="auto"/>
                                                                            <w:bottom w:val="none" w:sz="0" w:space="0" w:color="auto"/>
                                                                            <w:right w:val="none" w:sz="0" w:space="0" w:color="auto"/>
                                                                          </w:divBdr>
                                                                          <w:divsChild>
                                                                            <w:div w:id="1106775756">
                                                                              <w:marLeft w:val="0"/>
                                                                              <w:marRight w:val="0"/>
                                                                              <w:marTop w:val="0"/>
                                                                              <w:marBottom w:val="0"/>
                                                                              <w:divBdr>
                                                                                <w:top w:val="none" w:sz="0" w:space="0" w:color="auto"/>
                                                                                <w:left w:val="none" w:sz="0" w:space="0" w:color="auto"/>
                                                                                <w:bottom w:val="none" w:sz="0" w:space="0" w:color="auto"/>
                                                                                <w:right w:val="none" w:sz="0" w:space="0" w:color="auto"/>
                                                                              </w:divBdr>
                                                                              <w:divsChild>
                                                                                <w:div w:id="1216622150">
                                                                                  <w:marLeft w:val="0"/>
                                                                                  <w:marRight w:val="0"/>
                                                                                  <w:marTop w:val="0"/>
                                                                                  <w:marBottom w:val="0"/>
                                                                                  <w:divBdr>
                                                                                    <w:top w:val="none" w:sz="0" w:space="0" w:color="auto"/>
                                                                                    <w:left w:val="none" w:sz="0" w:space="0" w:color="auto"/>
                                                                                    <w:bottom w:val="none" w:sz="0" w:space="0" w:color="auto"/>
                                                                                    <w:right w:val="none" w:sz="0" w:space="0" w:color="auto"/>
                                                                                  </w:divBdr>
                                                                                  <w:divsChild>
                                                                                    <w:div w:id="276104541">
                                                                                      <w:marLeft w:val="0"/>
                                                                                      <w:marRight w:val="0"/>
                                                                                      <w:marTop w:val="0"/>
                                                                                      <w:marBottom w:val="0"/>
                                                                                      <w:divBdr>
                                                                                        <w:top w:val="none" w:sz="0" w:space="0" w:color="auto"/>
                                                                                        <w:left w:val="none" w:sz="0" w:space="0" w:color="auto"/>
                                                                                        <w:bottom w:val="none" w:sz="0" w:space="0" w:color="auto"/>
                                                                                        <w:right w:val="none" w:sz="0" w:space="0" w:color="auto"/>
                                                                                      </w:divBdr>
                                                                                      <w:divsChild>
                                                                                        <w:div w:id="477382087">
                                                                                          <w:marLeft w:val="0"/>
                                                                                          <w:marRight w:val="0"/>
                                                                                          <w:marTop w:val="0"/>
                                                                                          <w:marBottom w:val="0"/>
                                                                                          <w:divBdr>
                                                                                            <w:top w:val="none" w:sz="0" w:space="0" w:color="auto"/>
                                                                                            <w:left w:val="none" w:sz="0" w:space="0" w:color="auto"/>
                                                                                            <w:bottom w:val="none" w:sz="0" w:space="0" w:color="auto"/>
                                                                                            <w:right w:val="none" w:sz="0" w:space="0" w:color="auto"/>
                                                                                          </w:divBdr>
                                                                                          <w:divsChild>
                                                                                            <w:div w:id="1841001607">
                                                                                              <w:marLeft w:val="0"/>
                                                                                              <w:marRight w:val="0"/>
                                                                                              <w:marTop w:val="0"/>
                                                                                              <w:marBottom w:val="0"/>
                                                                                              <w:divBdr>
                                                                                                <w:top w:val="none" w:sz="0" w:space="0" w:color="auto"/>
                                                                                                <w:left w:val="none" w:sz="0" w:space="0" w:color="auto"/>
                                                                                                <w:bottom w:val="none" w:sz="0" w:space="0" w:color="auto"/>
                                                                                                <w:right w:val="none" w:sz="0" w:space="0" w:color="auto"/>
                                                                                              </w:divBdr>
                                                                                              <w:divsChild>
                                                                                                <w:div w:id="1980498053">
                                                                                                  <w:marLeft w:val="0"/>
                                                                                                  <w:marRight w:val="0"/>
                                                                                                  <w:marTop w:val="0"/>
                                                                                                  <w:marBottom w:val="0"/>
                                                                                                  <w:divBdr>
                                                                                                    <w:top w:val="none" w:sz="0" w:space="0" w:color="auto"/>
                                                                                                    <w:left w:val="none" w:sz="0" w:space="0" w:color="auto"/>
                                                                                                    <w:bottom w:val="none" w:sz="0" w:space="0" w:color="auto"/>
                                                                                                    <w:right w:val="none" w:sz="0" w:space="0" w:color="auto"/>
                                                                                                  </w:divBdr>
                                                                                                  <w:divsChild>
                                                                                                    <w:div w:id="1767112790">
                                                                                                      <w:marLeft w:val="0"/>
                                                                                                      <w:marRight w:val="0"/>
                                                                                                      <w:marTop w:val="0"/>
                                                                                                      <w:marBottom w:val="0"/>
                                                                                                      <w:divBdr>
                                                                                                        <w:top w:val="none" w:sz="0" w:space="0" w:color="auto"/>
                                                                                                        <w:left w:val="none" w:sz="0" w:space="0" w:color="auto"/>
                                                                                                        <w:bottom w:val="none" w:sz="0" w:space="0" w:color="auto"/>
                                                                                                        <w:right w:val="none" w:sz="0" w:space="0" w:color="auto"/>
                                                                                                      </w:divBdr>
                                                                                                      <w:divsChild>
                                                                                                        <w:div w:id="1419912337">
                                                                                                          <w:marLeft w:val="0"/>
                                                                                                          <w:marRight w:val="0"/>
                                                                                                          <w:marTop w:val="0"/>
                                                                                                          <w:marBottom w:val="0"/>
                                                                                                          <w:divBdr>
                                                                                                            <w:top w:val="none" w:sz="0" w:space="0" w:color="auto"/>
                                                                                                            <w:left w:val="none" w:sz="0" w:space="0" w:color="auto"/>
                                                                                                            <w:bottom w:val="none" w:sz="0" w:space="0" w:color="auto"/>
                                                                                                            <w:right w:val="none" w:sz="0" w:space="0" w:color="auto"/>
                                                                                                          </w:divBdr>
                                                                                                          <w:divsChild>
                                                                                                            <w:div w:id="1999573576">
                                                                                                              <w:marLeft w:val="0"/>
                                                                                                              <w:marRight w:val="0"/>
                                                                                                              <w:marTop w:val="0"/>
                                                                                                              <w:marBottom w:val="0"/>
                                                                                                              <w:divBdr>
                                                                                                                <w:top w:val="none" w:sz="0" w:space="0" w:color="auto"/>
                                                                                                                <w:left w:val="none" w:sz="0" w:space="0" w:color="auto"/>
                                                                                                                <w:bottom w:val="none" w:sz="0" w:space="0" w:color="auto"/>
                                                                                                                <w:right w:val="none" w:sz="0" w:space="0" w:color="auto"/>
                                                                                                              </w:divBdr>
                                                                                                              <w:divsChild>
                                                                                                                <w:div w:id="962611198">
                                                                                                                  <w:marLeft w:val="0"/>
                                                                                                                  <w:marRight w:val="0"/>
                                                                                                                  <w:marTop w:val="0"/>
                                                                                                                  <w:marBottom w:val="0"/>
                                                                                                                  <w:divBdr>
                                                                                                                    <w:top w:val="none" w:sz="0" w:space="0" w:color="auto"/>
                                                                                                                    <w:left w:val="none" w:sz="0" w:space="0" w:color="auto"/>
                                                                                                                    <w:bottom w:val="none" w:sz="0" w:space="0" w:color="auto"/>
                                                                                                                    <w:right w:val="none" w:sz="0" w:space="0" w:color="auto"/>
                                                                                                                  </w:divBdr>
                                                                                                                  <w:divsChild>
                                                                                                                    <w:div w:id="100760513">
                                                                                                                      <w:marLeft w:val="0"/>
                                                                                                                      <w:marRight w:val="0"/>
                                                                                                                      <w:marTop w:val="0"/>
                                                                                                                      <w:marBottom w:val="0"/>
                                                                                                                      <w:divBdr>
                                                                                                                        <w:top w:val="none" w:sz="0" w:space="0" w:color="auto"/>
                                                                                                                        <w:left w:val="none" w:sz="0" w:space="0" w:color="auto"/>
                                                                                                                        <w:bottom w:val="none" w:sz="0" w:space="0" w:color="auto"/>
                                                                                                                        <w:right w:val="none" w:sz="0" w:space="0" w:color="auto"/>
                                                                                                                      </w:divBdr>
                                                                                                                      <w:divsChild>
                                                                                                                        <w:div w:id="4416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205943686">
      <w:bodyDiv w:val="1"/>
      <w:marLeft w:val="0"/>
      <w:marRight w:val="0"/>
      <w:marTop w:val="0"/>
      <w:marBottom w:val="0"/>
      <w:divBdr>
        <w:top w:val="none" w:sz="0" w:space="0" w:color="auto"/>
        <w:left w:val="none" w:sz="0" w:space="0" w:color="auto"/>
        <w:bottom w:val="none" w:sz="0" w:space="0" w:color="auto"/>
        <w:right w:val="none" w:sz="0" w:space="0" w:color="auto"/>
      </w:divBdr>
      <w:divsChild>
        <w:div w:id="1237403515">
          <w:marLeft w:val="0"/>
          <w:marRight w:val="0"/>
          <w:marTop w:val="0"/>
          <w:marBottom w:val="0"/>
          <w:divBdr>
            <w:top w:val="none" w:sz="0" w:space="0" w:color="auto"/>
            <w:left w:val="none" w:sz="0" w:space="0" w:color="auto"/>
            <w:bottom w:val="none" w:sz="0" w:space="0" w:color="auto"/>
            <w:right w:val="none" w:sz="0" w:space="0" w:color="auto"/>
          </w:divBdr>
          <w:divsChild>
            <w:div w:id="126553081">
              <w:marLeft w:val="0"/>
              <w:marRight w:val="0"/>
              <w:marTop w:val="0"/>
              <w:marBottom w:val="0"/>
              <w:divBdr>
                <w:top w:val="none" w:sz="0" w:space="0" w:color="auto"/>
                <w:left w:val="none" w:sz="0" w:space="0" w:color="auto"/>
                <w:bottom w:val="none" w:sz="0" w:space="0" w:color="auto"/>
                <w:right w:val="none" w:sz="0" w:space="0" w:color="auto"/>
              </w:divBdr>
              <w:divsChild>
                <w:div w:id="371460944">
                  <w:marLeft w:val="0"/>
                  <w:marRight w:val="0"/>
                  <w:marTop w:val="0"/>
                  <w:marBottom w:val="0"/>
                  <w:divBdr>
                    <w:top w:val="none" w:sz="0" w:space="0" w:color="auto"/>
                    <w:left w:val="none" w:sz="0" w:space="0" w:color="auto"/>
                    <w:bottom w:val="none" w:sz="0" w:space="0" w:color="auto"/>
                    <w:right w:val="none" w:sz="0" w:space="0" w:color="auto"/>
                  </w:divBdr>
                  <w:divsChild>
                    <w:div w:id="1447238738">
                      <w:marLeft w:val="0"/>
                      <w:marRight w:val="0"/>
                      <w:marTop w:val="0"/>
                      <w:marBottom w:val="0"/>
                      <w:divBdr>
                        <w:top w:val="none" w:sz="0" w:space="0" w:color="auto"/>
                        <w:left w:val="none" w:sz="0" w:space="0" w:color="auto"/>
                        <w:bottom w:val="none" w:sz="0" w:space="0" w:color="auto"/>
                        <w:right w:val="none" w:sz="0" w:space="0" w:color="auto"/>
                      </w:divBdr>
                      <w:divsChild>
                        <w:div w:id="1955863986">
                          <w:marLeft w:val="0"/>
                          <w:marRight w:val="0"/>
                          <w:marTop w:val="0"/>
                          <w:marBottom w:val="0"/>
                          <w:divBdr>
                            <w:top w:val="single" w:sz="6" w:space="0" w:color="828282"/>
                            <w:left w:val="single" w:sz="6" w:space="0" w:color="828282"/>
                            <w:bottom w:val="single" w:sz="6" w:space="0" w:color="828282"/>
                            <w:right w:val="single" w:sz="6" w:space="0" w:color="828282"/>
                          </w:divBdr>
                          <w:divsChild>
                            <w:div w:id="1698307848">
                              <w:marLeft w:val="0"/>
                              <w:marRight w:val="0"/>
                              <w:marTop w:val="0"/>
                              <w:marBottom w:val="0"/>
                              <w:divBdr>
                                <w:top w:val="none" w:sz="0" w:space="0" w:color="auto"/>
                                <w:left w:val="none" w:sz="0" w:space="0" w:color="auto"/>
                                <w:bottom w:val="none" w:sz="0" w:space="0" w:color="auto"/>
                                <w:right w:val="none" w:sz="0" w:space="0" w:color="auto"/>
                              </w:divBdr>
                              <w:divsChild>
                                <w:div w:id="383331033">
                                  <w:marLeft w:val="0"/>
                                  <w:marRight w:val="0"/>
                                  <w:marTop w:val="0"/>
                                  <w:marBottom w:val="0"/>
                                  <w:divBdr>
                                    <w:top w:val="none" w:sz="0" w:space="0" w:color="auto"/>
                                    <w:left w:val="none" w:sz="0" w:space="0" w:color="auto"/>
                                    <w:bottom w:val="none" w:sz="0" w:space="0" w:color="auto"/>
                                    <w:right w:val="none" w:sz="0" w:space="0" w:color="auto"/>
                                  </w:divBdr>
                                  <w:divsChild>
                                    <w:div w:id="333724463">
                                      <w:marLeft w:val="0"/>
                                      <w:marRight w:val="0"/>
                                      <w:marTop w:val="0"/>
                                      <w:marBottom w:val="0"/>
                                      <w:divBdr>
                                        <w:top w:val="none" w:sz="0" w:space="0" w:color="auto"/>
                                        <w:left w:val="none" w:sz="0" w:space="0" w:color="auto"/>
                                        <w:bottom w:val="none" w:sz="0" w:space="0" w:color="auto"/>
                                        <w:right w:val="none" w:sz="0" w:space="0" w:color="auto"/>
                                      </w:divBdr>
                                      <w:divsChild>
                                        <w:div w:id="1339237809">
                                          <w:marLeft w:val="0"/>
                                          <w:marRight w:val="0"/>
                                          <w:marTop w:val="0"/>
                                          <w:marBottom w:val="0"/>
                                          <w:divBdr>
                                            <w:top w:val="none" w:sz="0" w:space="0" w:color="auto"/>
                                            <w:left w:val="none" w:sz="0" w:space="0" w:color="auto"/>
                                            <w:bottom w:val="none" w:sz="0" w:space="0" w:color="auto"/>
                                            <w:right w:val="none" w:sz="0" w:space="0" w:color="auto"/>
                                          </w:divBdr>
                                          <w:divsChild>
                                            <w:div w:id="14110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E9F84B6F92D3B748836DA68F8BF8A5FA" ma:contentTypeVersion="18" ma:contentTypeDescription="106" ma:contentTypeScope="" ma:versionID="b8ffad2ae4fdbe01ab5bcdc531711b3e">
  <xsd:schema xmlns:xsd="http://www.w3.org/2001/XMLSchema" xmlns:xs="http://www.w3.org/2001/XMLSchema" xmlns:p="http://schemas.microsoft.com/office/2006/metadata/properties" xmlns:ns2="4597da67-68a3-4e9d-8803-ba3e1787ab6c" targetNamespace="http://schemas.microsoft.com/office/2006/metadata/properties" ma:root="true" ma:fieldsID="7565b05217e68dd819d60f5503df44c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imRootDocACLCanViewDocument xmlns="4597da67-68a3-4e9d-8803-ba3e1787ab6c">Inherit</trimRootDocACLCanViewDocument>
    <trimRootDocNotes xmlns="4597da67-68a3-4e9d-8803-ba3e1787ab6c" xsi:nil="true"/>
    <TrimUDF_String_40 xmlns="4597da67-68a3-4e9d-8803-ba3e1787ab6c" xsi:nil="true"/>
    <TrimUDF_Text_698 xmlns="4597da67-68a3-4e9d-8803-ba3e1787ab6c" xsi:nil="true"/>
    <trimRootDocACLCanUpdateMetadata xmlns="4597da67-68a3-4e9d-8803-ba3e1787ab6c">Inherit</trimRootDocACLCanUpdateMetadata>
    <trimRootDocACLCanModifyAccess xmlns="4597da67-68a3-4e9d-8803-ba3e1787ab6c">Inherit</trimRootDocACLCanModifyAccess>
    <trimRootDocSecurityCaveats xmlns="4597da67-68a3-4e9d-8803-ba3e1787ab6c">
      <Value>Departmental Staff</Value>
    </trimRootDocSecurityCaveats>
    <c1aa94c1bcce43cc9138ccb9c7bf6e69 xmlns="4597da67-68a3-4e9d-8803-ba3e1787ab6c">
      <Terms xmlns="http://schemas.microsoft.com/office/infopath/2007/PartnerControls"/>
    </c1aa94c1bcce43cc9138ccb9c7bf6e69>
    <trimRootDocSecurityLevel xmlns="4597da67-68a3-4e9d-8803-ba3e1787ab6c">For Official Use Only</trimRootDocSecurityLevel>
    <trimRootDocACLCanContributeDocuments xmlns="4597da67-68a3-4e9d-8803-ba3e1787ab6c">Inherit</trimRootDocACLCanContributeDocuments>
    <dd9c7627a75f4720a6ccce58a35e4d75 xmlns="4597da67-68a3-4e9d-8803-ba3e1787ab6c">
      <Terms xmlns="http://schemas.microsoft.com/office/infopath/2007/PartnerControls"/>
    </dd9c7627a75f4720a6ccce58a35e4d75>
    <TaxCatchAll xmlns="4597da67-68a3-4e9d-8803-ba3e1787ab6c">
      <Value>54</Value>
      <Value>55</Value>
    </TaxCatchAll>
    <ie56bdfdc4a44ef997c05b4ed8c67594 xmlns="4597da67-68a3-4e9d-8803-ba3e1787ab6c">
      <Terms xmlns="http://schemas.microsoft.com/office/infopath/2007/PartnerControls"/>
    </ie56bdfdc4a44ef997c05b4ed8c67594>
    <trimRootDocACLCanUpdateDocument xmlns="4597da67-68a3-4e9d-8803-ba3e1787ab6c">Inherit</trimRootDocACLCanUpdateDocument>
    <TrimUDF_String_696 xmlns="4597da67-68a3-4e9d-8803-ba3e1787ab6c" xsi:nil="true"/>
    <me786d0e3c9949dc83d6a9826d3f7afb xmlns="4597da67-68a3-4e9d-8803-ba3e1787ab6c">
      <Terms xmlns="http://schemas.microsoft.com/office/infopath/2007/PartnerControls">
        <TermInfo xmlns="http://schemas.microsoft.com/office/infopath/2007/PartnerControls">
          <TermName xmlns="http://schemas.microsoft.com/office/infopath/2007/PartnerControls">Legal Practice Unit [Organization] [internal] [39804]</TermName>
          <TermId xmlns="http://schemas.microsoft.com/office/infopath/2007/PartnerControls">3601d318-3562-4026-bcf3-e3d37a91abed</TermId>
        </TermInfo>
      </Terms>
    </me786d0e3c9949dc83d6a9826d3f7afb>
    <trimRootDocACLCanViewMetadata xmlns="4597da67-68a3-4e9d-8803-ba3e1787ab6c">Inherit</trimRootDocACLCanViewMetadata>
    <l30152c64bc5409cb0d6af5fc7998329 xmlns="4597da67-68a3-4e9d-8803-ba3e1787ab6c">
      <Terms xmlns="http://schemas.microsoft.com/office/infopath/2007/PartnerControls"/>
    </l30152c64bc5409cb0d6af5fc7998329>
    <TrimUDF_Text_706 xmlns="4597da67-68a3-4e9d-8803-ba3e1787ab6c" xsi:nil="true"/>
    <hab31d4ae2264d5c8e77fd86c07e7635 xmlns="4597da67-68a3-4e9d-8803-ba3e1787ab6c">
      <Terms xmlns="http://schemas.microsoft.com/office/infopath/2007/PartnerControls"/>
    </hab31d4ae2264d5c8e77fd86c07e7635>
    <e65fcc6ef396426b9c231bd6b3bc54de xmlns="4597da67-68a3-4e9d-8803-ba3e1787ab6c">
      <Terms xmlns="http://schemas.microsoft.com/office/infopath/2007/PartnerControls"/>
    </e65fcc6ef396426b9c231bd6b3bc54de>
    <l7f7762656034748af4098221ba10b64 xmlns="4597da67-68a3-4e9d-8803-ba3e1787ab6c">
      <Terms xmlns="http://schemas.microsoft.com/office/infopath/2007/PartnerControls">
        <TermInfo xmlns="http://schemas.microsoft.com/office/infopath/2007/PartnerControls">
          <TermName xmlns="http://schemas.microsoft.com/office/infopath/2007/PartnerControls">Metschke, Bernadette [Person] [inactive] [internal] [23089]</TermName>
          <TermId xmlns="http://schemas.microsoft.com/office/infopath/2007/PartnerControls">14c4c4ea-7d5b-42a0-88f0-64aed0c65d50</TermId>
        </TermInfo>
      </Terms>
    </l7f7762656034748af4098221ba10b64>
    <TrimUDF_String_39 xmlns="4597da67-68a3-4e9d-8803-ba3e1787ab6c" xsi:nil="true"/>
    <e74c999a0f514bafbaad1ae53c56eac2 xmlns="4597da67-68a3-4e9d-8803-ba3e1787ab6c">
      <Terms xmlns="http://schemas.microsoft.com/office/infopath/2007/PartnerControls"/>
    </e74c999a0f514bafbaad1ae53c56eac2>
    <a26f7cb41fae41ebb6c8e377b7c30d71 xmlns="4597da67-68a3-4e9d-8803-ba3e1787ab6c">
      <Terms xmlns="http://schemas.microsoft.com/office/infopath/2007/PartnerControls"/>
    </a26f7cb41fae41ebb6c8e377b7c30d71>
    <trimRootDocURI xmlns="4597da67-68a3-4e9d-8803-ba3e1787ab6c">2948986</trimRootDocURI>
    <trimRootDocParentURI xmlns="4597da67-68a3-4e9d-8803-ba3e1787ab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A611E-9BA5-4EFB-B3C7-F287E1F4B731}"/>
</file>

<file path=customXml/itemProps2.xml><?xml version="1.0" encoding="utf-8"?>
<ds:datastoreItem xmlns:ds="http://schemas.openxmlformats.org/officeDocument/2006/customXml" ds:itemID="{25A2C832-9A17-4DE8-9EE5-78F12A2A5F24}"/>
</file>

<file path=customXml/itemProps3.xml><?xml version="1.0" encoding="utf-8"?>
<ds:datastoreItem xmlns:ds="http://schemas.openxmlformats.org/officeDocument/2006/customXml" ds:itemID="{40D91F81-EDC5-4074-B316-3AF94D2137FB}"/>
</file>

<file path=customXml/itemProps4.xml><?xml version="1.0" encoding="utf-8"?>
<ds:datastoreItem xmlns:ds="http://schemas.openxmlformats.org/officeDocument/2006/customXml" ds:itemID="{37B6E52D-76C8-4E3C-9841-AA120156C07F}"/>
</file>

<file path=docProps/app.xml><?xml version="1.0" encoding="utf-8"?>
<Properties xmlns="http://schemas.openxmlformats.org/officeDocument/2006/extended-properties" xmlns:vt="http://schemas.openxmlformats.org/officeDocument/2006/docPropsVTypes">
  <Template>Normal.dotm</Template>
  <TotalTime>559</TotalTime>
  <Pages>7</Pages>
  <Words>2004</Words>
  <Characters>12191</Characters>
  <Application>Microsoft Office Word</Application>
  <DocSecurity>0</DocSecurity>
  <Lines>358</Lines>
  <Paragraphs>202</Paragraphs>
  <ScaleCrop>false</ScaleCrop>
  <HeadingPairs>
    <vt:vector size="2" baseType="variant">
      <vt:variant>
        <vt:lpstr>Title</vt:lpstr>
      </vt:variant>
      <vt:variant>
        <vt:i4>1</vt:i4>
      </vt:variant>
    </vt:vector>
  </HeadingPairs>
  <TitlesOfParts>
    <vt:vector size="1" baseType="lpstr">
      <vt:lpstr>Repeal RPCs - Explanatory Statement - 26 September 2014 (draft)</vt:lpstr>
    </vt:vector>
  </TitlesOfParts>
  <Company>DBCDE</Company>
  <LinksUpToDate>false</LinksUpToDate>
  <CharactersWithSpaces>13993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Repeal RPCs - Explanatory Statement - 26 September 2014 (draft)</dc:title>
  <dc:creator>bmetschke</dc:creator>
  <cp:lastModifiedBy>Butler, Jane</cp:lastModifiedBy>
  <cp:revision>32</cp:revision>
  <cp:lastPrinted>2014-12-14T23:48:00Z</cp:lastPrinted>
  <dcterms:created xsi:type="dcterms:W3CDTF">2014-10-27T22:13:00Z</dcterms:created>
  <dcterms:modified xsi:type="dcterms:W3CDTF">2015-02-24T04:52:00Z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DEPT DOCUMENT</vt:lpwstr>
  </property>
  <property fmtid="{D5CDD505-2E9C-101B-9397-08002B2CF9AE}" pid="3" name="ContentTypeId">
    <vt:lpwstr>0x010100407620DDFF47524F86BCF55EDD3946430100E9F84B6F92D3B748836DA68F8BF8A5FA</vt:lpwstr>
  </property>
  <property fmtid="{D5CDD505-2E9C-101B-9397-08002B2CF9AE}" pid="4" name="trimRootDocACLCanViewDocument_List">
    <vt:lpwstr/>
  </property>
  <property fmtid="{D5CDD505-2E9C-101B-9397-08002B2CF9AE}" pid="5" name="trimRootDocClassification">
    <vt:lpwstr/>
  </property>
  <property fmtid="{D5CDD505-2E9C-101B-9397-08002B2CF9AE}" pid="6" name="trimRootDocAssigneeLocation">
    <vt:lpwstr>55;#Metschke, Bernadette [Person] [inactive] [internal] [23089]|14c4c4ea-7d5b-42a0-88f0-64aed0c65d50</vt:lpwstr>
  </property>
  <property fmtid="{D5CDD505-2E9C-101B-9397-08002B2CF9AE}" pid="7" name="trimRootDocOwnerLocation">
    <vt:lpwstr>54;#Legal Practice Unit [Organization] [internal] [39804]|3601d318-3562-4026-bcf3-e3d37a91abed</vt:lpwstr>
  </property>
  <property fmtid="{D5CDD505-2E9C-101B-9397-08002B2CF9AE}" pid="8" name="trimRootDocOtherContactLocation">
    <vt:lpwstr/>
  </property>
  <property fmtid="{D5CDD505-2E9C-101B-9397-08002B2CF9AE}" pid="9" name="trimRootDocACLCanUpdateMetadata_List">
    <vt:lpwstr/>
  </property>
  <property fmtid="{D5CDD505-2E9C-101B-9397-08002B2CF9AE}" pid="10" name="trimRootDocACLCanModifyAccess_List">
    <vt:lpwstr/>
  </property>
  <property fmtid="{D5CDD505-2E9C-101B-9397-08002B2CF9AE}" pid="11" name="trimRootDocACLCanContributeDocuments_List">
    <vt:lpwstr/>
  </property>
  <property fmtid="{D5CDD505-2E9C-101B-9397-08002B2CF9AE}" pid="12" name="trimRootDocACLCanUpdateDocument_List">
    <vt:lpwstr/>
  </property>
  <property fmtid="{D5CDD505-2E9C-101B-9397-08002B2CF9AE}" pid="13" name="trimRootDocACLCanViewMetadata_List">
    <vt:lpwstr/>
  </property>
  <property fmtid="{D5CDD505-2E9C-101B-9397-08002B2CF9AE}" pid="14" name="TrimRevisionNumber">
    <vt:i4>28</vt:i4>
  </property>
</Properties>
</file>