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F0" w:rsidRDefault="005E67E9" w:rsidP="00744E6B">
      <w:pPr>
        <w:pStyle w:val="Head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Banking exemption </w:t>
      </w:r>
      <w:r w:rsidR="00F86DAE">
        <w:rPr>
          <w:rFonts w:ascii="Times New Roman" w:hAnsi="Times New Roman" w:cs="Times New Roman"/>
          <w:sz w:val="24"/>
          <w:szCs w:val="24"/>
        </w:rPr>
        <w:t>No</w:t>
      </w:r>
      <w:r w:rsidR="00B92BA9">
        <w:rPr>
          <w:rFonts w:ascii="Times New Roman" w:hAnsi="Times New Roman" w:cs="Times New Roman"/>
          <w:sz w:val="24"/>
          <w:szCs w:val="24"/>
        </w:rPr>
        <w:t>.</w:t>
      </w:r>
      <w:r w:rsidR="00F86DAE">
        <w:rPr>
          <w:rFonts w:ascii="Times New Roman" w:hAnsi="Times New Roman" w:cs="Times New Roman"/>
          <w:sz w:val="24"/>
          <w:szCs w:val="24"/>
        </w:rPr>
        <w:t xml:space="preserve"> </w:t>
      </w:r>
      <w:r w:rsidR="00D200D5">
        <w:rPr>
          <w:rFonts w:ascii="Times New Roman" w:hAnsi="Times New Roman" w:cs="Times New Roman"/>
          <w:sz w:val="24"/>
          <w:szCs w:val="24"/>
        </w:rPr>
        <w:t>1</w:t>
      </w:r>
      <w:r w:rsidR="00F86DAE">
        <w:rPr>
          <w:rFonts w:ascii="Times New Roman" w:hAnsi="Times New Roman" w:cs="Times New Roman"/>
          <w:sz w:val="24"/>
          <w:szCs w:val="24"/>
        </w:rPr>
        <w:t xml:space="preserve"> of 20</w:t>
      </w:r>
      <w:r w:rsidR="00B331AE">
        <w:rPr>
          <w:rFonts w:ascii="Times New Roman" w:hAnsi="Times New Roman" w:cs="Times New Roman"/>
          <w:sz w:val="24"/>
          <w:szCs w:val="24"/>
        </w:rPr>
        <w:t>1</w:t>
      </w:r>
      <w:r w:rsidR="00D200D5">
        <w:rPr>
          <w:rFonts w:ascii="Times New Roman" w:hAnsi="Times New Roman" w:cs="Times New Roman"/>
          <w:sz w:val="24"/>
          <w:szCs w:val="24"/>
        </w:rPr>
        <w:t>5</w:t>
      </w:r>
    </w:p>
    <w:p w:rsidR="005941E1" w:rsidRPr="008B7528" w:rsidRDefault="005941E1" w:rsidP="00D12FBD">
      <w:pPr>
        <w:pStyle w:val="Heading"/>
        <w:jc w:val="center"/>
        <w:rPr>
          <w:rFonts w:ascii="Times New Roman" w:hAnsi="Times New Roman" w:cs="Times New Roman"/>
          <w:sz w:val="24"/>
          <w:szCs w:val="24"/>
          <w:u w:val="single"/>
        </w:rPr>
      </w:pPr>
      <w:bookmarkStart w:id="1" w:name="bkInstrumentSubTitle"/>
      <w:bookmarkStart w:id="2" w:name="bkStart"/>
      <w:bookmarkEnd w:id="1"/>
      <w:bookmarkEnd w:id="2"/>
      <w:r w:rsidRPr="008B7528">
        <w:rPr>
          <w:rFonts w:ascii="Times New Roman" w:hAnsi="Times New Roman" w:cs="Times New Roman"/>
          <w:sz w:val="24"/>
          <w:szCs w:val="24"/>
          <w:u w:val="single"/>
        </w:rPr>
        <w:t>EXPLANATORY STATEMENT</w:t>
      </w:r>
    </w:p>
    <w:p w:rsidR="00102F9E" w:rsidRDefault="005941E1" w:rsidP="005941E1">
      <w:pPr>
        <w:pStyle w:val="Heading"/>
        <w:jc w:val="center"/>
        <w:rPr>
          <w:rFonts w:ascii="Times New Roman" w:hAnsi="Times New Roman" w:cs="Times New Roman"/>
          <w:sz w:val="24"/>
          <w:szCs w:val="24"/>
        </w:rPr>
      </w:pPr>
      <w:r>
        <w:rPr>
          <w:rFonts w:ascii="Times New Roman" w:hAnsi="Times New Roman" w:cs="Times New Roman"/>
          <w:sz w:val="24"/>
          <w:szCs w:val="24"/>
        </w:rPr>
        <w:t>Prepared by the Australian Prudential Regulation Authority</w:t>
      </w:r>
      <w:r w:rsidR="00102F9E">
        <w:rPr>
          <w:rFonts w:ascii="Times New Roman" w:hAnsi="Times New Roman" w:cs="Times New Roman"/>
          <w:sz w:val="24"/>
          <w:szCs w:val="24"/>
        </w:rPr>
        <w:t xml:space="preserve"> </w:t>
      </w:r>
      <w:r w:rsidR="005E67E9">
        <w:rPr>
          <w:rFonts w:ascii="Times New Roman" w:hAnsi="Times New Roman" w:cs="Times New Roman"/>
          <w:sz w:val="24"/>
          <w:szCs w:val="24"/>
        </w:rPr>
        <w:t>(APRA)</w:t>
      </w:r>
    </w:p>
    <w:p w:rsidR="005E67E9" w:rsidRPr="005E67E9" w:rsidRDefault="005E67E9" w:rsidP="00D12FBD">
      <w:pPr>
        <w:pStyle w:val="Heading"/>
        <w:jc w:val="center"/>
        <w:rPr>
          <w:rFonts w:ascii="Times New Roman" w:hAnsi="Times New Roman" w:cs="Times New Roman"/>
          <w:b w:val="0"/>
          <w:color w:val="000000"/>
          <w:sz w:val="24"/>
          <w:szCs w:val="24"/>
        </w:rPr>
      </w:pPr>
      <w:r w:rsidRPr="005E67E9">
        <w:rPr>
          <w:rFonts w:ascii="Times New Roman" w:hAnsi="Times New Roman" w:cs="Times New Roman"/>
          <w:b w:val="0"/>
          <w:i/>
          <w:color w:val="000000"/>
          <w:sz w:val="24"/>
          <w:szCs w:val="24"/>
        </w:rPr>
        <w:t>Banking Act 1959</w:t>
      </w:r>
      <w:r>
        <w:rPr>
          <w:rFonts w:ascii="Times New Roman" w:hAnsi="Times New Roman" w:cs="Times New Roman"/>
          <w:color w:val="000000"/>
          <w:sz w:val="24"/>
          <w:szCs w:val="24"/>
        </w:rPr>
        <w:t>,</w:t>
      </w:r>
      <w:r w:rsidRPr="005E67E9">
        <w:rPr>
          <w:rFonts w:ascii="Times New Roman" w:hAnsi="Times New Roman" w:cs="Times New Roman"/>
          <w:b w:val="0"/>
          <w:i/>
          <w:color w:val="000000"/>
          <w:sz w:val="24"/>
          <w:szCs w:val="24"/>
        </w:rPr>
        <w:t xml:space="preserve"> </w:t>
      </w:r>
      <w:r w:rsidRPr="005E67E9">
        <w:rPr>
          <w:rFonts w:ascii="Times New Roman" w:hAnsi="Times New Roman" w:cs="Times New Roman"/>
          <w:b w:val="0"/>
          <w:color w:val="000000"/>
          <w:sz w:val="24"/>
          <w:szCs w:val="24"/>
        </w:rPr>
        <w:t>subsection 11(</w:t>
      </w:r>
      <w:r w:rsidR="0045045E">
        <w:rPr>
          <w:rFonts w:ascii="Times New Roman" w:hAnsi="Times New Roman" w:cs="Times New Roman"/>
          <w:b w:val="0"/>
          <w:color w:val="000000"/>
          <w:sz w:val="24"/>
          <w:szCs w:val="24"/>
        </w:rPr>
        <w:t>1</w:t>
      </w:r>
      <w:r w:rsidRPr="005E67E9">
        <w:rPr>
          <w:rFonts w:ascii="Times New Roman" w:hAnsi="Times New Roman" w:cs="Times New Roman"/>
          <w:b w:val="0"/>
          <w:color w:val="000000"/>
          <w:sz w:val="24"/>
          <w:szCs w:val="24"/>
        </w:rPr>
        <w:t>)</w:t>
      </w:r>
    </w:p>
    <w:p w:rsidR="00122F4C" w:rsidRDefault="005E67E9" w:rsidP="001C001C">
      <w:pPr>
        <w:pStyle w:val="Heading"/>
        <w:jc w:val="both"/>
        <w:rPr>
          <w:rFonts w:ascii="Times New Roman" w:hAnsi="Times New Roman" w:cs="Times New Roman"/>
          <w:b w:val="0"/>
          <w:color w:val="000000"/>
          <w:sz w:val="24"/>
          <w:szCs w:val="24"/>
        </w:rPr>
      </w:pPr>
      <w:bookmarkStart w:id="3" w:name="bkAct"/>
      <w:bookmarkStart w:id="4" w:name="bkExplanatory"/>
      <w:bookmarkEnd w:id="3"/>
      <w:bookmarkEnd w:id="4"/>
      <w:r w:rsidRPr="00BC7834">
        <w:rPr>
          <w:rFonts w:ascii="Times New Roman" w:hAnsi="Times New Roman" w:cs="Times New Roman"/>
          <w:b w:val="0"/>
          <w:sz w:val="24"/>
          <w:szCs w:val="24"/>
        </w:rPr>
        <w:t xml:space="preserve">Under subsection 11(1) of the </w:t>
      </w:r>
      <w:r w:rsidRPr="00BC7834">
        <w:rPr>
          <w:rFonts w:ascii="Times New Roman" w:hAnsi="Times New Roman" w:cs="Times New Roman"/>
          <w:b w:val="0"/>
          <w:i/>
          <w:color w:val="000000"/>
          <w:sz w:val="24"/>
          <w:szCs w:val="24"/>
        </w:rPr>
        <w:t xml:space="preserve">Banking Act 1959 </w:t>
      </w:r>
      <w:r w:rsidRPr="00BC7834">
        <w:rPr>
          <w:rFonts w:ascii="Times New Roman" w:hAnsi="Times New Roman" w:cs="Times New Roman"/>
          <w:b w:val="0"/>
          <w:color w:val="000000"/>
          <w:sz w:val="24"/>
          <w:szCs w:val="24"/>
        </w:rPr>
        <w:t>(</w:t>
      </w:r>
      <w:r w:rsidR="008B2323">
        <w:rPr>
          <w:rFonts w:ascii="Times New Roman" w:hAnsi="Times New Roman" w:cs="Times New Roman"/>
          <w:color w:val="000000"/>
          <w:sz w:val="24"/>
          <w:szCs w:val="24"/>
        </w:rPr>
        <w:t xml:space="preserve">Banking </w:t>
      </w:r>
      <w:r w:rsidRPr="00BC7834">
        <w:rPr>
          <w:rFonts w:ascii="Times New Roman" w:hAnsi="Times New Roman" w:cs="Times New Roman"/>
          <w:color w:val="000000"/>
          <w:sz w:val="24"/>
          <w:szCs w:val="24"/>
        </w:rPr>
        <w:t>Act</w:t>
      </w:r>
      <w:r w:rsidRPr="00BC7834">
        <w:rPr>
          <w:rFonts w:ascii="Times New Roman" w:hAnsi="Times New Roman" w:cs="Times New Roman"/>
          <w:b w:val="0"/>
          <w:color w:val="000000"/>
          <w:sz w:val="24"/>
          <w:szCs w:val="24"/>
        </w:rPr>
        <w:t xml:space="preserve">), APRA </w:t>
      </w:r>
      <w:r w:rsidR="00F70A13" w:rsidRPr="00145A8A">
        <w:rPr>
          <w:rFonts w:ascii="Times New Roman" w:hAnsi="Times New Roman" w:cs="Times New Roman"/>
          <w:b w:val="0"/>
          <w:sz w:val="24"/>
          <w:szCs w:val="24"/>
        </w:rPr>
        <w:t xml:space="preserve">may, in writing, determine that any or all of the provisions of the </w:t>
      </w:r>
      <w:r w:rsidR="008B2323">
        <w:rPr>
          <w:rFonts w:ascii="Times New Roman" w:hAnsi="Times New Roman" w:cs="Times New Roman"/>
          <w:b w:val="0"/>
          <w:sz w:val="24"/>
          <w:szCs w:val="24"/>
        </w:rPr>
        <w:t xml:space="preserve">Banking </w:t>
      </w:r>
      <w:r w:rsidR="00F70A13" w:rsidRPr="00145A8A">
        <w:rPr>
          <w:rFonts w:ascii="Times New Roman" w:hAnsi="Times New Roman" w:cs="Times New Roman"/>
          <w:b w:val="0"/>
          <w:sz w:val="24"/>
          <w:szCs w:val="24"/>
        </w:rPr>
        <w:t>Act referred to in paragraphs 11(1</w:t>
      </w:r>
      <w:proofErr w:type="gramStart"/>
      <w:r w:rsidR="00F70A13" w:rsidRPr="00145A8A">
        <w:rPr>
          <w:rFonts w:ascii="Times New Roman" w:hAnsi="Times New Roman" w:cs="Times New Roman"/>
          <w:b w:val="0"/>
          <w:sz w:val="24"/>
          <w:szCs w:val="24"/>
        </w:rPr>
        <w:t>)(</w:t>
      </w:r>
      <w:proofErr w:type="gramEnd"/>
      <w:r w:rsidR="00F70A13" w:rsidRPr="00145A8A">
        <w:rPr>
          <w:rFonts w:ascii="Times New Roman" w:hAnsi="Times New Roman" w:cs="Times New Roman"/>
          <w:b w:val="0"/>
          <w:sz w:val="24"/>
          <w:szCs w:val="24"/>
        </w:rPr>
        <w:t>a) to (e) do not apply to a person</w:t>
      </w:r>
      <w:r w:rsidR="00AF7A1C">
        <w:rPr>
          <w:rFonts w:ascii="Times New Roman" w:hAnsi="Times New Roman" w:cs="Times New Roman"/>
          <w:b w:val="0"/>
          <w:sz w:val="24"/>
          <w:szCs w:val="24"/>
        </w:rPr>
        <w:t>, or to a class of persons,</w:t>
      </w:r>
      <w:r w:rsidR="00F70A13" w:rsidRPr="00145A8A">
        <w:rPr>
          <w:rFonts w:ascii="Times New Roman" w:hAnsi="Times New Roman" w:cs="Times New Roman"/>
          <w:b w:val="0"/>
          <w:sz w:val="24"/>
          <w:szCs w:val="24"/>
        </w:rPr>
        <w:t xml:space="preserve"> while the determination is in force</w:t>
      </w:r>
      <w:r w:rsidRPr="00BC7834">
        <w:rPr>
          <w:rFonts w:ascii="Times New Roman" w:hAnsi="Times New Roman" w:cs="Times New Roman"/>
          <w:b w:val="0"/>
          <w:color w:val="000000"/>
          <w:sz w:val="24"/>
          <w:szCs w:val="24"/>
        </w:rPr>
        <w:t xml:space="preserve">. Under subsection 11(4) of the </w:t>
      </w:r>
      <w:r w:rsidR="008B2323">
        <w:rPr>
          <w:rFonts w:ascii="Times New Roman" w:hAnsi="Times New Roman" w:cs="Times New Roman"/>
          <w:b w:val="0"/>
          <w:color w:val="000000"/>
          <w:sz w:val="24"/>
          <w:szCs w:val="24"/>
        </w:rPr>
        <w:t xml:space="preserve">Banking </w:t>
      </w:r>
      <w:r w:rsidRPr="00BC7834">
        <w:rPr>
          <w:rFonts w:ascii="Times New Roman" w:hAnsi="Times New Roman" w:cs="Times New Roman"/>
          <w:b w:val="0"/>
          <w:color w:val="000000"/>
          <w:sz w:val="24"/>
          <w:szCs w:val="24"/>
        </w:rPr>
        <w:t xml:space="preserve">Act, APRA may, </w:t>
      </w:r>
      <w:r w:rsidR="002C3824">
        <w:rPr>
          <w:rFonts w:ascii="Times New Roman" w:hAnsi="Times New Roman" w:cs="Times New Roman"/>
          <w:b w:val="0"/>
          <w:color w:val="000000"/>
          <w:sz w:val="24"/>
          <w:szCs w:val="24"/>
        </w:rPr>
        <w:t>in writing</w:t>
      </w:r>
      <w:r w:rsidRPr="00BC7834">
        <w:rPr>
          <w:rFonts w:ascii="Times New Roman" w:hAnsi="Times New Roman" w:cs="Times New Roman"/>
          <w:b w:val="0"/>
          <w:color w:val="000000"/>
          <w:sz w:val="24"/>
          <w:szCs w:val="24"/>
        </w:rPr>
        <w:t>, vary or revoke a</w:t>
      </w:r>
      <w:r w:rsidR="00126F51">
        <w:rPr>
          <w:rFonts w:ascii="Times New Roman" w:hAnsi="Times New Roman" w:cs="Times New Roman"/>
          <w:b w:val="0"/>
          <w:color w:val="000000"/>
          <w:sz w:val="24"/>
          <w:szCs w:val="24"/>
        </w:rPr>
        <w:t xml:space="preserve"> determination made under </w:t>
      </w:r>
      <w:r w:rsidR="00D100D6">
        <w:rPr>
          <w:rFonts w:ascii="Times New Roman" w:hAnsi="Times New Roman" w:cs="Times New Roman"/>
          <w:b w:val="0"/>
          <w:color w:val="000000"/>
          <w:sz w:val="24"/>
          <w:szCs w:val="24"/>
        </w:rPr>
        <w:t>sub</w:t>
      </w:r>
      <w:r w:rsidR="00126F51">
        <w:rPr>
          <w:rFonts w:ascii="Times New Roman" w:hAnsi="Times New Roman" w:cs="Times New Roman"/>
          <w:b w:val="0"/>
          <w:color w:val="000000"/>
          <w:sz w:val="24"/>
          <w:szCs w:val="24"/>
        </w:rPr>
        <w:t>section 11</w:t>
      </w:r>
      <w:r w:rsidR="00A9578D">
        <w:rPr>
          <w:rFonts w:ascii="Times New Roman" w:hAnsi="Times New Roman" w:cs="Times New Roman"/>
          <w:b w:val="0"/>
          <w:color w:val="000000"/>
          <w:sz w:val="24"/>
          <w:szCs w:val="24"/>
        </w:rPr>
        <w:t>(1)</w:t>
      </w:r>
      <w:r w:rsidR="00122F4C">
        <w:rPr>
          <w:rFonts w:ascii="Times New Roman" w:hAnsi="Times New Roman" w:cs="Times New Roman"/>
          <w:b w:val="0"/>
          <w:color w:val="000000"/>
          <w:sz w:val="24"/>
          <w:szCs w:val="24"/>
        </w:rPr>
        <w:t>.</w:t>
      </w:r>
    </w:p>
    <w:p w:rsidR="003263A2" w:rsidRDefault="007E67DD" w:rsidP="001C001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On </w:t>
      </w:r>
      <w:r w:rsidR="00DE614A">
        <w:rPr>
          <w:rFonts w:ascii="Times New Roman" w:hAnsi="Times New Roman" w:cs="Times New Roman"/>
          <w:b w:val="0"/>
          <w:sz w:val="24"/>
          <w:szCs w:val="24"/>
        </w:rPr>
        <w:t>19 March 2015,</w:t>
      </w:r>
      <w:r>
        <w:rPr>
          <w:rFonts w:ascii="Times New Roman" w:hAnsi="Times New Roman" w:cs="Times New Roman"/>
          <w:b w:val="0"/>
          <w:sz w:val="24"/>
          <w:szCs w:val="24"/>
        </w:rPr>
        <w:t xml:space="preserve"> APRA made </w:t>
      </w:r>
      <w:r w:rsidR="005E67E9" w:rsidRPr="00BC7834">
        <w:rPr>
          <w:rFonts w:ascii="Times New Roman" w:hAnsi="Times New Roman" w:cs="Times New Roman"/>
          <w:b w:val="0"/>
          <w:sz w:val="24"/>
          <w:szCs w:val="24"/>
        </w:rPr>
        <w:t xml:space="preserve">Banking exemption </w:t>
      </w:r>
      <w:r w:rsidR="00D12FBD" w:rsidRPr="00BC7834">
        <w:rPr>
          <w:rFonts w:ascii="Times New Roman" w:hAnsi="Times New Roman" w:cs="Times New Roman"/>
          <w:b w:val="0"/>
          <w:sz w:val="24"/>
          <w:szCs w:val="24"/>
        </w:rPr>
        <w:t>No</w:t>
      </w:r>
      <w:r w:rsidR="00E87CE6" w:rsidRPr="00BC7834">
        <w:rPr>
          <w:rFonts w:ascii="Times New Roman" w:hAnsi="Times New Roman" w:cs="Times New Roman"/>
          <w:b w:val="0"/>
          <w:sz w:val="24"/>
          <w:szCs w:val="24"/>
        </w:rPr>
        <w:t xml:space="preserve">. </w:t>
      </w:r>
      <w:r w:rsidR="00C63AFF">
        <w:rPr>
          <w:rFonts w:ascii="Times New Roman" w:hAnsi="Times New Roman" w:cs="Times New Roman"/>
          <w:b w:val="0"/>
          <w:sz w:val="24"/>
          <w:szCs w:val="24"/>
        </w:rPr>
        <w:t>1</w:t>
      </w:r>
      <w:r w:rsidR="00F86DAE" w:rsidRPr="00BC7834">
        <w:rPr>
          <w:rFonts w:ascii="Times New Roman" w:hAnsi="Times New Roman" w:cs="Times New Roman"/>
          <w:b w:val="0"/>
          <w:sz w:val="24"/>
          <w:szCs w:val="24"/>
        </w:rPr>
        <w:t xml:space="preserve"> of 20</w:t>
      </w:r>
      <w:r w:rsidR="00B331AE">
        <w:rPr>
          <w:rFonts w:ascii="Times New Roman" w:hAnsi="Times New Roman" w:cs="Times New Roman"/>
          <w:b w:val="0"/>
          <w:sz w:val="24"/>
          <w:szCs w:val="24"/>
        </w:rPr>
        <w:t>1</w:t>
      </w:r>
      <w:r w:rsidR="00D200D5">
        <w:rPr>
          <w:rFonts w:ascii="Times New Roman" w:hAnsi="Times New Roman" w:cs="Times New Roman"/>
          <w:b w:val="0"/>
          <w:sz w:val="24"/>
          <w:szCs w:val="24"/>
        </w:rPr>
        <w:t>5</w:t>
      </w:r>
      <w:r w:rsidR="005E67E9" w:rsidRPr="00BC7834">
        <w:rPr>
          <w:rFonts w:ascii="Times New Roman" w:hAnsi="Times New Roman" w:cs="Times New Roman"/>
          <w:b w:val="0"/>
          <w:sz w:val="24"/>
          <w:szCs w:val="24"/>
        </w:rPr>
        <w:t xml:space="preserve"> (</w:t>
      </w:r>
      <w:r w:rsidR="00E60B8F">
        <w:rPr>
          <w:rFonts w:ascii="Times New Roman" w:hAnsi="Times New Roman" w:cs="Times New Roman"/>
          <w:sz w:val="24"/>
          <w:szCs w:val="24"/>
        </w:rPr>
        <w:t>2015 Exemption</w:t>
      </w:r>
      <w:r w:rsidR="005E67E9" w:rsidRPr="00BC7834">
        <w:rPr>
          <w:rFonts w:ascii="Times New Roman" w:hAnsi="Times New Roman" w:cs="Times New Roman"/>
          <w:b w:val="0"/>
          <w:sz w:val="24"/>
          <w:szCs w:val="24"/>
        </w:rPr>
        <w:t xml:space="preserve">) </w:t>
      </w:r>
      <w:r w:rsidR="003263A2">
        <w:rPr>
          <w:rFonts w:ascii="Times New Roman" w:hAnsi="Times New Roman" w:cs="Times New Roman"/>
          <w:b w:val="0"/>
          <w:sz w:val="24"/>
          <w:szCs w:val="24"/>
        </w:rPr>
        <w:t xml:space="preserve">which revokes </w:t>
      </w:r>
      <w:r w:rsidR="003263A2" w:rsidRPr="003263A2">
        <w:rPr>
          <w:rFonts w:ascii="Times New Roman" w:hAnsi="Times New Roman" w:cs="Times New Roman"/>
          <w:b w:val="0"/>
          <w:sz w:val="24"/>
          <w:szCs w:val="24"/>
        </w:rPr>
        <w:t>Banking (Exemption) Order No. 96 dated 22 May 2003</w:t>
      </w:r>
      <w:r w:rsidR="003263A2">
        <w:rPr>
          <w:rFonts w:ascii="Times New Roman" w:hAnsi="Times New Roman" w:cs="Times New Roman"/>
          <w:b w:val="0"/>
          <w:sz w:val="24"/>
          <w:szCs w:val="24"/>
        </w:rPr>
        <w:t xml:space="preserve"> </w:t>
      </w:r>
      <w:r w:rsidR="003263A2" w:rsidRPr="003263A2">
        <w:rPr>
          <w:rFonts w:ascii="Times New Roman" w:hAnsi="Times New Roman" w:cs="Times New Roman"/>
          <w:b w:val="0"/>
          <w:sz w:val="24"/>
          <w:szCs w:val="24"/>
        </w:rPr>
        <w:t>(2003 Exemption)</w:t>
      </w:r>
      <w:r w:rsidR="003263A2">
        <w:rPr>
          <w:rFonts w:ascii="Times New Roman" w:hAnsi="Times New Roman" w:cs="Times New Roman"/>
          <w:b w:val="0"/>
          <w:sz w:val="24"/>
          <w:szCs w:val="24"/>
        </w:rPr>
        <w:t>.</w:t>
      </w:r>
    </w:p>
    <w:p w:rsidR="005E67E9" w:rsidRPr="00BC7834" w:rsidRDefault="003263A2" w:rsidP="001C001C">
      <w:pPr>
        <w:pStyle w:val="Heading"/>
        <w:jc w:val="both"/>
        <w:rPr>
          <w:rFonts w:ascii="Times New Roman" w:hAnsi="Times New Roman" w:cs="Times New Roman"/>
          <w:b w:val="0"/>
          <w:sz w:val="24"/>
          <w:szCs w:val="24"/>
        </w:rPr>
      </w:pPr>
      <w:r>
        <w:rPr>
          <w:rFonts w:ascii="Times New Roman" w:hAnsi="Times New Roman" w:cs="Times New Roman"/>
          <w:b w:val="0"/>
          <w:sz w:val="24"/>
          <w:szCs w:val="24"/>
        </w:rPr>
        <w:t>The 2015 Exemption commences</w:t>
      </w:r>
      <w:r w:rsidR="00A62AE1" w:rsidRPr="005E67E9">
        <w:rPr>
          <w:rFonts w:ascii="Times New Roman" w:hAnsi="Times New Roman" w:cs="Times New Roman"/>
          <w:b w:val="0"/>
          <w:sz w:val="24"/>
          <w:szCs w:val="24"/>
        </w:rPr>
        <w:t xml:space="preserve"> </w:t>
      </w:r>
      <w:r w:rsidR="00A62AE1">
        <w:rPr>
          <w:rFonts w:ascii="Times New Roman" w:hAnsi="Times New Roman" w:cs="Times New Roman"/>
          <w:b w:val="0"/>
          <w:sz w:val="24"/>
          <w:szCs w:val="24"/>
        </w:rPr>
        <w:t>on</w:t>
      </w:r>
      <w:r w:rsidR="00A62AE1" w:rsidRPr="005E67E9">
        <w:rPr>
          <w:rFonts w:ascii="Times New Roman" w:hAnsi="Times New Roman" w:cs="Times New Roman"/>
          <w:b w:val="0"/>
          <w:sz w:val="24"/>
          <w:szCs w:val="24"/>
        </w:rPr>
        <w:t xml:space="preserve"> </w:t>
      </w:r>
      <w:r w:rsidR="00D200D5">
        <w:rPr>
          <w:rFonts w:ascii="Times New Roman" w:hAnsi="Times New Roman" w:cs="Times New Roman"/>
          <w:b w:val="0"/>
          <w:sz w:val="24"/>
          <w:szCs w:val="24"/>
        </w:rPr>
        <w:t xml:space="preserve">the date of </w:t>
      </w:r>
      <w:r w:rsidR="00AF7A1C">
        <w:rPr>
          <w:rFonts w:ascii="Times New Roman" w:hAnsi="Times New Roman" w:cs="Times New Roman"/>
          <w:b w:val="0"/>
          <w:sz w:val="24"/>
          <w:szCs w:val="24"/>
        </w:rPr>
        <w:t xml:space="preserve">its </w:t>
      </w:r>
      <w:r w:rsidR="00D200D5">
        <w:rPr>
          <w:rFonts w:ascii="Times New Roman" w:hAnsi="Times New Roman" w:cs="Times New Roman"/>
          <w:b w:val="0"/>
          <w:sz w:val="24"/>
          <w:szCs w:val="24"/>
        </w:rPr>
        <w:t>registration</w:t>
      </w:r>
      <w:r w:rsidR="00A62AE1" w:rsidRPr="00A62AE1">
        <w:rPr>
          <w:rFonts w:ascii="Times New Roman" w:hAnsi="Times New Roman" w:cs="Times New Roman"/>
          <w:sz w:val="24"/>
          <w:szCs w:val="24"/>
        </w:rPr>
        <w:t>.</w:t>
      </w:r>
    </w:p>
    <w:p w:rsidR="005941E1" w:rsidRPr="00BC7834" w:rsidRDefault="005941E1" w:rsidP="001C001C">
      <w:pPr>
        <w:pStyle w:val="Heading"/>
        <w:numPr>
          <w:ilvl w:val="0"/>
          <w:numId w:val="1"/>
        </w:numPr>
        <w:tabs>
          <w:tab w:val="clear" w:pos="360"/>
        </w:tabs>
        <w:ind w:left="0" w:firstLine="0"/>
        <w:jc w:val="both"/>
        <w:rPr>
          <w:rFonts w:ascii="Times New Roman" w:hAnsi="Times New Roman" w:cs="Times New Roman"/>
          <w:sz w:val="24"/>
          <w:szCs w:val="24"/>
        </w:rPr>
      </w:pPr>
      <w:r w:rsidRPr="00BC7834">
        <w:rPr>
          <w:rFonts w:ascii="Times New Roman" w:hAnsi="Times New Roman" w:cs="Times New Roman"/>
          <w:sz w:val="24"/>
          <w:szCs w:val="24"/>
        </w:rPr>
        <w:t>Background</w:t>
      </w:r>
    </w:p>
    <w:p w:rsidR="00AC56FC" w:rsidRDefault="00AC56FC" w:rsidP="00A62AE1">
      <w:pPr>
        <w:pStyle w:val="Heading"/>
        <w:jc w:val="both"/>
        <w:rPr>
          <w:rFonts w:ascii="Times New Roman" w:hAnsi="Times New Roman" w:cs="Times New Roman"/>
          <w:b w:val="0"/>
          <w:sz w:val="24"/>
          <w:szCs w:val="24"/>
        </w:rPr>
      </w:pPr>
      <w:bookmarkStart w:id="5" w:name="bkBackground"/>
      <w:bookmarkEnd w:id="5"/>
      <w:r>
        <w:rPr>
          <w:rFonts w:ascii="Times New Roman" w:hAnsi="Times New Roman" w:cs="Times New Roman"/>
          <w:b w:val="0"/>
          <w:sz w:val="24"/>
          <w:szCs w:val="24"/>
        </w:rPr>
        <w:t>Under section</w:t>
      </w:r>
      <w:r w:rsidR="0002280F">
        <w:rPr>
          <w:rFonts w:ascii="Times New Roman" w:hAnsi="Times New Roman" w:cs="Times New Roman"/>
          <w:b w:val="0"/>
          <w:sz w:val="24"/>
          <w:szCs w:val="24"/>
        </w:rPr>
        <w:t xml:space="preserve"> 8</w:t>
      </w:r>
      <w:r>
        <w:rPr>
          <w:rFonts w:ascii="Times New Roman" w:hAnsi="Times New Roman" w:cs="Times New Roman"/>
          <w:b w:val="0"/>
          <w:sz w:val="24"/>
          <w:szCs w:val="24"/>
        </w:rPr>
        <w:t xml:space="preserve"> of the Banking Act, it is an offence for a body corporate to carry on banking business in Australia if the body corporate is not an authorised deposit-taking institution or the Reserve Bank, except where there is a determination in force under section 11 </w:t>
      </w:r>
      <w:r w:rsidR="00BE4444">
        <w:rPr>
          <w:rFonts w:ascii="Times New Roman" w:hAnsi="Times New Roman" w:cs="Times New Roman"/>
          <w:b w:val="0"/>
          <w:sz w:val="24"/>
          <w:szCs w:val="24"/>
        </w:rPr>
        <w:t xml:space="preserve">of the Banking Act that section 8 does not apply to the body corporate. </w:t>
      </w:r>
      <w:r>
        <w:rPr>
          <w:rFonts w:ascii="Times New Roman" w:hAnsi="Times New Roman" w:cs="Times New Roman"/>
          <w:b w:val="0"/>
          <w:sz w:val="24"/>
          <w:szCs w:val="24"/>
        </w:rPr>
        <w:t xml:space="preserve"> </w:t>
      </w:r>
    </w:p>
    <w:p w:rsidR="00E60B8F" w:rsidRDefault="003263A2" w:rsidP="00A62AE1">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The </w:t>
      </w:r>
      <w:r w:rsidR="00660B20" w:rsidRPr="007F3DD2">
        <w:rPr>
          <w:rFonts w:ascii="Times New Roman" w:hAnsi="Times New Roman" w:cs="Times New Roman"/>
          <w:b w:val="0"/>
          <w:sz w:val="24"/>
          <w:szCs w:val="24"/>
        </w:rPr>
        <w:t>2003 Exemption</w:t>
      </w:r>
      <w:r w:rsidR="00370648">
        <w:rPr>
          <w:rFonts w:ascii="Times New Roman" w:hAnsi="Times New Roman" w:cs="Times New Roman"/>
          <w:b w:val="0"/>
          <w:sz w:val="24"/>
          <w:szCs w:val="24"/>
        </w:rPr>
        <w:t xml:space="preserve"> </w:t>
      </w:r>
      <w:r w:rsidR="005E3821">
        <w:rPr>
          <w:rFonts w:ascii="Times New Roman" w:hAnsi="Times New Roman" w:cs="Times New Roman"/>
          <w:b w:val="0"/>
          <w:sz w:val="24"/>
          <w:szCs w:val="24"/>
        </w:rPr>
        <w:t>determine</w:t>
      </w:r>
      <w:r w:rsidR="00802231">
        <w:rPr>
          <w:rFonts w:ascii="Times New Roman" w:hAnsi="Times New Roman" w:cs="Times New Roman"/>
          <w:b w:val="0"/>
          <w:sz w:val="24"/>
          <w:szCs w:val="24"/>
        </w:rPr>
        <w:t>d</w:t>
      </w:r>
      <w:r w:rsidR="00A62AE1">
        <w:rPr>
          <w:rFonts w:ascii="Times New Roman" w:hAnsi="Times New Roman" w:cs="Times New Roman"/>
          <w:b w:val="0"/>
          <w:sz w:val="24"/>
          <w:szCs w:val="24"/>
        </w:rPr>
        <w:t xml:space="preserve"> that </w:t>
      </w:r>
      <w:r w:rsidR="00DF780E">
        <w:rPr>
          <w:rFonts w:ascii="Times New Roman" w:hAnsi="Times New Roman" w:cs="Times New Roman"/>
          <w:b w:val="0"/>
          <w:sz w:val="24"/>
          <w:szCs w:val="24"/>
        </w:rPr>
        <w:t>s</w:t>
      </w:r>
      <w:r w:rsidR="00370648">
        <w:rPr>
          <w:rFonts w:ascii="Times New Roman" w:hAnsi="Times New Roman" w:cs="Times New Roman"/>
          <w:b w:val="0"/>
          <w:sz w:val="24"/>
          <w:szCs w:val="24"/>
        </w:rPr>
        <w:t>ection 8 of the Banking Act does not apply to a registered entity</w:t>
      </w:r>
      <w:r w:rsidR="00802231">
        <w:rPr>
          <w:rFonts w:ascii="Times New Roman" w:hAnsi="Times New Roman" w:cs="Times New Roman"/>
          <w:b w:val="0"/>
          <w:sz w:val="24"/>
          <w:szCs w:val="24"/>
        </w:rPr>
        <w:t xml:space="preserve"> under the </w:t>
      </w:r>
      <w:r w:rsidR="00802231" w:rsidRPr="00995BF8">
        <w:rPr>
          <w:rFonts w:ascii="Times New Roman" w:hAnsi="Times New Roman" w:cs="Times New Roman"/>
          <w:b w:val="0"/>
          <w:i/>
          <w:sz w:val="24"/>
          <w:szCs w:val="24"/>
        </w:rPr>
        <w:t>Financial Sector (Collection of Data) Act 2001</w:t>
      </w:r>
      <w:r w:rsidR="00802231">
        <w:rPr>
          <w:rFonts w:ascii="Times New Roman" w:hAnsi="Times New Roman" w:cs="Times New Roman"/>
          <w:b w:val="0"/>
          <w:sz w:val="24"/>
          <w:szCs w:val="24"/>
        </w:rPr>
        <w:t xml:space="preserve"> if the entity complies with certain conditions.</w:t>
      </w:r>
      <w:r w:rsidR="005F30AE">
        <w:rPr>
          <w:rFonts w:ascii="Times New Roman" w:hAnsi="Times New Roman" w:cs="Times New Roman"/>
          <w:b w:val="0"/>
          <w:sz w:val="24"/>
          <w:szCs w:val="24"/>
        </w:rPr>
        <w:t xml:space="preserve"> Those conditions were intended to ensure that if the registered entity takes money on deposit, a</w:t>
      </w:r>
      <w:r w:rsidR="0001369F">
        <w:rPr>
          <w:rFonts w:ascii="Times New Roman" w:hAnsi="Times New Roman" w:cs="Times New Roman"/>
          <w:b w:val="0"/>
          <w:sz w:val="24"/>
          <w:szCs w:val="24"/>
        </w:rPr>
        <w:t>n</w:t>
      </w:r>
      <w:r w:rsidR="005F30AE">
        <w:rPr>
          <w:rFonts w:ascii="Times New Roman" w:hAnsi="Times New Roman" w:cs="Times New Roman"/>
          <w:b w:val="0"/>
          <w:sz w:val="24"/>
          <w:szCs w:val="24"/>
        </w:rPr>
        <w:t xml:space="preserve"> </w:t>
      </w:r>
      <w:r w:rsidR="0001369F">
        <w:rPr>
          <w:rFonts w:ascii="Times New Roman" w:hAnsi="Times New Roman" w:cs="Times New Roman"/>
          <w:b w:val="0"/>
          <w:sz w:val="24"/>
          <w:szCs w:val="24"/>
        </w:rPr>
        <w:t>invest</w:t>
      </w:r>
      <w:r w:rsidR="005F30AE">
        <w:rPr>
          <w:rFonts w:ascii="Times New Roman" w:hAnsi="Times New Roman" w:cs="Times New Roman"/>
          <w:b w:val="0"/>
          <w:sz w:val="24"/>
          <w:szCs w:val="24"/>
        </w:rPr>
        <w:t>or would be provided with a prudential supervision warning. Th</w:t>
      </w:r>
      <w:r w:rsidR="00983DB6">
        <w:rPr>
          <w:rFonts w:ascii="Times New Roman" w:hAnsi="Times New Roman" w:cs="Times New Roman"/>
          <w:b w:val="0"/>
          <w:sz w:val="24"/>
          <w:szCs w:val="24"/>
        </w:rPr>
        <w:t>e</w:t>
      </w:r>
      <w:r w:rsidR="005F30AE">
        <w:rPr>
          <w:rFonts w:ascii="Times New Roman" w:hAnsi="Times New Roman" w:cs="Times New Roman"/>
          <w:b w:val="0"/>
          <w:sz w:val="24"/>
          <w:szCs w:val="24"/>
        </w:rPr>
        <w:t xml:space="preserve"> warning serves to inform the investor that the investment is provided by an entity that is not registered under the Banking Act, and </w:t>
      </w:r>
      <w:r w:rsidR="0041431D">
        <w:rPr>
          <w:rFonts w:ascii="Times New Roman" w:hAnsi="Times New Roman" w:cs="Times New Roman"/>
          <w:b w:val="0"/>
          <w:sz w:val="24"/>
          <w:szCs w:val="24"/>
        </w:rPr>
        <w:t xml:space="preserve">is not supervised by APRA, and that the investment will not be covered by the depositor protection provisions set out in section 13A of the Banking Act. </w:t>
      </w:r>
    </w:p>
    <w:p w:rsidR="005F30AE" w:rsidRDefault="00E60B8F" w:rsidP="00A62AE1">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The 2015 Exemption </w:t>
      </w:r>
      <w:r w:rsidR="0001369F">
        <w:rPr>
          <w:rFonts w:ascii="Times New Roman" w:hAnsi="Times New Roman" w:cs="Times New Roman"/>
          <w:b w:val="0"/>
          <w:sz w:val="24"/>
          <w:szCs w:val="24"/>
        </w:rPr>
        <w:t>imposes a number of new</w:t>
      </w:r>
      <w:r>
        <w:rPr>
          <w:rFonts w:ascii="Times New Roman" w:hAnsi="Times New Roman" w:cs="Times New Roman"/>
          <w:b w:val="0"/>
          <w:sz w:val="24"/>
          <w:szCs w:val="24"/>
        </w:rPr>
        <w:t xml:space="preserve"> conditions </w:t>
      </w:r>
      <w:r w:rsidR="00653485">
        <w:rPr>
          <w:rFonts w:ascii="Times New Roman" w:hAnsi="Times New Roman" w:cs="Times New Roman"/>
          <w:b w:val="0"/>
          <w:sz w:val="24"/>
          <w:szCs w:val="24"/>
        </w:rPr>
        <w:t>designed to</w:t>
      </w:r>
      <w:r w:rsidR="00DE614A">
        <w:rPr>
          <w:rFonts w:ascii="Times New Roman" w:hAnsi="Times New Roman" w:cs="Times New Roman"/>
          <w:b w:val="0"/>
          <w:sz w:val="24"/>
          <w:szCs w:val="24"/>
        </w:rPr>
        <w:t xml:space="preserve"> clearly distinguish products offered by RFCs to retail investors from banking products</w:t>
      </w:r>
      <w:r>
        <w:rPr>
          <w:rFonts w:ascii="Times New Roman" w:hAnsi="Times New Roman" w:cs="Times New Roman"/>
          <w:b w:val="0"/>
          <w:sz w:val="24"/>
          <w:szCs w:val="24"/>
        </w:rPr>
        <w:t xml:space="preserve">. </w:t>
      </w:r>
    </w:p>
    <w:p w:rsidR="005E67E9" w:rsidRDefault="008B7528" w:rsidP="001C001C">
      <w:pPr>
        <w:pStyle w:val="Heading"/>
        <w:numPr>
          <w:ilvl w:val="0"/>
          <w:numId w:val="1"/>
        </w:numPr>
        <w:tabs>
          <w:tab w:val="clear" w:pos="360"/>
          <w:tab w:val="num" w:pos="0"/>
        </w:tabs>
        <w:ind w:left="0" w:firstLine="0"/>
        <w:jc w:val="both"/>
        <w:rPr>
          <w:rFonts w:ascii="Times New Roman" w:hAnsi="Times New Roman" w:cs="Times New Roman"/>
          <w:sz w:val="24"/>
          <w:szCs w:val="24"/>
        </w:rPr>
      </w:pPr>
      <w:r w:rsidRPr="00BC7834">
        <w:rPr>
          <w:rFonts w:ascii="Times New Roman" w:hAnsi="Times New Roman" w:cs="Times New Roman"/>
          <w:sz w:val="24"/>
          <w:szCs w:val="24"/>
        </w:rPr>
        <w:t xml:space="preserve">Purpose of </w:t>
      </w:r>
      <w:r w:rsidR="00D07DD9">
        <w:rPr>
          <w:rFonts w:ascii="Times New Roman" w:hAnsi="Times New Roman" w:cs="Times New Roman"/>
          <w:sz w:val="24"/>
          <w:szCs w:val="24"/>
        </w:rPr>
        <w:t>making the</w:t>
      </w:r>
      <w:r w:rsidR="00ED1A15">
        <w:rPr>
          <w:rFonts w:ascii="Times New Roman" w:hAnsi="Times New Roman" w:cs="Times New Roman"/>
          <w:sz w:val="24"/>
          <w:szCs w:val="24"/>
        </w:rPr>
        <w:t xml:space="preserve"> </w:t>
      </w:r>
      <w:r w:rsidRPr="00BC7834">
        <w:rPr>
          <w:rFonts w:ascii="Times New Roman" w:hAnsi="Times New Roman" w:cs="Times New Roman"/>
          <w:sz w:val="24"/>
          <w:szCs w:val="24"/>
        </w:rPr>
        <w:t>instrument</w:t>
      </w:r>
      <w:bookmarkStart w:id="6" w:name="bkPurpose"/>
      <w:bookmarkStart w:id="7" w:name="bkoperation"/>
      <w:bookmarkStart w:id="8" w:name="bkConsultationNo"/>
      <w:bookmarkEnd w:id="6"/>
      <w:bookmarkEnd w:id="7"/>
      <w:bookmarkEnd w:id="8"/>
    </w:p>
    <w:p w:rsidR="000906FC" w:rsidRDefault="000906FC" w:rsidP="00E60B8F">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The purpose of the 2015 Exemption is to continue to exempt registered entities from section 8 of the Banking Act, subject to meeting the conditions set out in the 2015 Exemption. </w:t>
      </w:r>
    </w:p>
    <w:p w:rsidR="00E60B8F" w:rsidRDefault="00E60B8F" w:rsidP="00E60B8F">
      <w:pPr>
        <w:pStyle w:val="Heading"/>
        <w:jc w:val="both"/>
        <w:rPr>
          <w:rFonts w:ascii="Times New Roman" w:hAnsi="Times New Roman" w:cs="Times New Roman"/>
          <w:b w:val="0"/>
          <w:sz w:val="24"/>
          <w:szCs w:val="24"/>
        </w:rPr>
      </w:pPr>
      <w:r>
        <w:rPr>
          <w:rFonts w:ascii="Times New Roman" w:hAnsi="Times New Roman" w:cs="Times New Roman"/>
          <w:b w:val="0"/>
          <w:sz w:val="24"/>
          <w:szCs w:val="24"/>
        </w:rPr>
        <w:t>Since the 2003 Exemption was made, and most notably since 2008, turmoil in the international financial system</w:t>
      </w:r>
      <w:r w:rsidR="000906FC">
        <w:rPr>
          <w:rFonts w:ascii="Times New Roman" w:hAnsi="Times New Roman" w:cs="Times New Roman"/>
          <w:b w:val="0"/>
          <w:sz w:val="24"/>
          <w:szCs w:val="24"/>
        </w:rPr>
        <w:t xml:space="preserve"> and </w:t>
      </w:r>
      <w:r w:rsidR="00FD1E76">
        <w:rPr>
          <w:rFonts w:ascii="Times New Roman" w:hAnsi="Times New Roman" w:cs="Times New Roman"/>
          <w:b w:val="0"/>
          <w:sz w:val="24"/>
          <w:szCs w:val="24"/>
        </w:rPr>
        <w:t xml:space="preserve">the </w:t>
      </w:r>
      <w:r>
        <w:rPr>
          <w:rFonts w:ascii="Times New Roman" w:hAnsi="Times New Roman" w:cs="Times New Roman"/>
          <w:b w:val="0"/>
          <w:sz w:val="24"/>
          <w:szCs w:val="24"/>
        </w:rPr>
        <w:t>non-prudentially regulated financial sector (</w:t>
      </w:r>
      <w:r w:rsidR="004A50EB">
        <w:rPr>
          <w:rFonts w:ascii="Times New Roman" w:hAnsi="Times New Roman" w:cs="Times New Roman"/>
          <w:b w:val="0"/>
          <w:sz w:val="24"/>
          <w:szCs w:val="24"/>
        </w:rPr>
        <w:t xml:space="preserve">or </w:t>
      </w:r>
      <w:r>
        <w:rPr>
          <w:rFonts w:ascii="Times New Roman" w:hAnsi="Times New Roman" w:cs="Times New Roman"/>
          <w:b w:val="0"/>
          <w:sz w:val="24"/>
          <w:szCs w:val="24"/>
        </w:rPr>
        <w:t xml:space="preserve">‘shadow banking’ </w:t>
      </w:r>
      <w:r w:rsidR="00FD1E76">
        <w:rPr>
          <w:rFonts w:ascii="Times New Roman" w:hAnsi="Times New Roman" w:cs="Times New Roman"/>
          <w:b w:val="0"/>
          <w:sz w:val="24"/>
          <w:szCs w:val="24"/>
        </w:rPr>
        <w:t>sector</w:t>
      </w:r>
      <w:r>
        <w:rPr>
          <w:rFonts w:ascii="Times New Roman" w:hAnsi="Times New Roman" w:cs="Times New Roman"/>
          <w:b w:val="0"/>
          <w:sz w:val="24"/>
          <w:szCs w:val="24"/>
        </w:rPr>
        <w:t>), ha</w:t>
      </w:r>
      <w:r w:rsidR="00FD1E76">
        <w:rPr>
          <w:rFonts w:ascii="Times New Roman" w:hAnsi="Times New Roman" w:cs="Times New Roman"/>
          <w:b w:val="0"/>
          <w:sz w:val="24"/>
          <w:szCs w:val="24"/>
        </w:rPr>
        <w:t>s</w:t>
      </w:r>
      <w:r w:rsidR="004A50EB">
        <w:rPr>
          <w:rFonts w:ascii="Times New Roman" w:hAnsi="Times New Roman" w:cs="Times New Roman"/>
          <w:b w:val="0"/>
          <w:sz w:val="24"/>
          <w:szCs w:val="24"/>
        </w:rPr>
        <w:t xml:space="preserve"> demonstrated the need for the operations of shadow banking entities to be reviewed. </w:t>
      </w:r>
      <w:r>
        <w:rPr>
          <w:rFonts w:ascii="Times New Roman" w:hAnsi="Times New Roman" w:cs="Times New Roman"/>
          <w:b w:val="0"/>
          <w:sz w:val="24"/>
          <w:szCs w:val="24"/>
        </w:rPr>
        <w:t>In Australia, there have been a number of failures</w:t>
      </w:r>
      <w:r w:rsidR="004A50EB">
        <w:rPr>
          <w:rFonts w:ascii="Times New Roman" w:hAnsi="Times New Roman" w:cs="Times New Roman"/>
          <w:b w:val="0"/>
          <w:sz w:val="24"/>
          <w:szCs w:val="24"/>
        </w:rPr>
        <w:t xml:space="preserve"> within the </w:t>
      </w:r>
      <w:r w:rsidR="00653485">
        <w:rPr>
          <w:rFonts w:ascii="Times New Roman" w:hAnsi="Times New Roman" w:cs="Times New Roman"/>
          <w:b w:val="0"/>
          <w:sz w:val="24"/>
          <w:szCs w:val="24"/>
        </w:rPr>
        <w:t>non-prudentially regulated</w:t>
      </w:r>
      <w:r w:rsidR="004A50EB">
        <w:rPr>
          <w:rFonts w:ascii="Times New Roman" w:hAnsi="Times New Roman" w:cs="Times New Roman"/>
          <w:b w:val="0"/>
          <w:sz w:val="24"/>
          <w:szCs w:val="24"/>
        </w:rPr>
        <w:t xml:space="preserve"> financial sector</w:t>
      </w:r>
      <w:r>
        <w:rPr>
          <w:rFonts w:ascii="Times New Roman" w:hAnsi="Times New Roman" w:cs="Times New Roman"/>
          <w:b w:val="0"/>
          <w:sz w:val="24"/>
          <w:szCs w:val="24"/>
        </w:rPr>
        <w:t xml:space="preserve">, </w:t>
      </w:r>
      <w:r w:rsidR="00653485">
        <w:rPr>
          <w:rFonts w:ascii="Times New Roman" w:hAnsi="Times New Roman" w:cs="Times New Roman"/>
          <w:b w:val="0"/>
          <w:sz w:val="24"/>
          <w:szCs w:val="24"/>
        </w:rPr>
        <w:t xml:space="preserve">with resultant impacts </w:t>
      </w:r>
      <w:r w:rsidR="004A50EB">
        <w:rPr>
          <w:rFonts w:ascii="Times New Roman" w:hAnsi="Times New Roman" w:cs="Times New Roman"/>
          <w:b w:val="0"/>
          <w:sz w:val="24"/>
          <w:szCs w:val="24"/>
        </w:rPr>
        <w:t xml:space="preserve">on retail investors. </w:t>
      </w:r>
    </w:p>
    <w:p w:rsidR="00E60B8F" w:rsidRDefault="00E60B8F" w:rsidP="00E60B8F">
      <w:pPr>
        <w:pStyle w:val="Heading"/>
        <w:jc w:val="both"/>
        <w:rPr>
          <w:rFonts w:ascii="Times New Roman" w:hAnsi="Times New Roman" w:cs="Times New Roman"/>
          <w:b w:val="0"/>
          <w:sz w:val="24"/>
          <w:szCs w:val="24"/>
        </w:rPr>
      </w:pPr>
      <w:r>
        <w:rPr>
          <w:rFonts w:ascii="Times New Roman" w:hAnsi="Times New Roman" w:cs="Times New Roman"/>
          <w:b w:val="0"/>
          <w:sz w:val="24"/>
          <w:szCs w:val="24"/>
        </w:rPr>
        <w:lastRenderedPageBreak/>
        <w:t>In December 2012, the</w:t>
      </w:r>
      <w:r w:rsidR="004A50EB">
        <w:rPr>
          <w:rFonts w:ascii="Times New Roman" w:hAnsi="Times New Roman" w:cs="Times New Roman"/>
          <w:b w:val="0"/>
          <w:sz w:val="24"/>
          <w:szCs w:val="24"/>
        </w:rPr>
        <w:t xml:space="preserve"> Australian</w:t>
      </w:r>
      <w:r>
        <w:rPr>
          <w:rFonts w:ascii="Times New Roman" w:hAnsi="Times New Roman" w:cs="Times New Roman"/>
          <w:b w:val="0"/>
          <w:sz w:val="24"/>
          <w:szCs w:val="24"/>
        </w:rPr>
        <w:t xml:space="preserve"> Government announced a number of proposals to improve the regulation of</w:t>
      </w:r>
      <w:r w:rsidR="004A50EB">
        <w:rPr>
          <w:rFonts w:ascii="Times New Roman" w:hAnsi="Times New Roman" w:cs="Times New Roman"/>
          <w:b w:val="0"/>
          <w:sz w:val="24"/>
          <w:szCs w:val="24"/>
        </w:rPr>
        <w:t xml:space="preserve"> registered</w:t>
      </w:r>
      <w:r>
        <w:rPr>
          <w:rFonts w:ascii="Times New Roman" w:hAnsi="Times New Roman" w:cs="Times New Roman"/>
          <w:b w:val="0"/>
          <w:sz w:val="24"/>
          <w:szCs w:val="24"/>
        </w:rPr>
        <w:t xml:space="preserve"> entities</w:t>
      </w:r>
      <w:r w:rsidR="004A50EB">
        <w:rPr>
          <w:rFonts w:ascii="Times New Roman" w:hAnsi="Times New Roman" w:cs="Times New Roman"/>
          <w:b w:val="0"/>
          <w:sz w:val="24"/>
          <w:szCs w:val="24"/>
        </w:rPr>
        <w:t xml:space="preserve"> </w:t>
      </w:r>
      <w:r>
        <w:rPr>
          <w:rFonts w:ascii="Times New Roman" w:hAnsi="Times New Roman" w:cs="Times New Roman"/>
          <w:b w:val="0"/>
          <w:sz w:val="24"/>
          <w:szCs w:val="24"/>
        </w:rPr>
        <w:t>that issue debentures to retail investors. T</w:t>
      </w:r>
      <w:r w:rsidR="004A50EB">
        <w:rPr>
          <w:rFonts w:ascii="Times New Roman" w:hAnsi="Times New Roman" w:cs="Times New Roman"/>
          <w:b w:val="0"/>
          <w:sz w:val="24"/>
          <w:szCs w:val="24"/>
        </w:rPr>
        <w:t>hese</w:t>
      </w:r>
      <w:r>
        <w:rPr>
          <w:rFonts w:ascii="Times New Roman" w:hAnsi="Times New Roman" w:cs="Times New Roman"/>
          <w:b w:val="0"/>
          <w:sz w:val="24"/>
          <w:szCs w:val="24"/>
        </w:rPr>
        <w:t xml:space="preserve"> proposals were designed to provide a clearer distinction between debentures</w:t>
      </w:r>
      <w:r w:rsidR="004A50EB">
        <w:rPr>
          <w:rFonts w:ascii="Times New Roman" w:hAnsi="Times New Roman" w:cs="Times New Roman"/>
          <w:b w:val="0"/>
          <w:sz w:val="24"/>
          <w:szCs w:val="24"/>
        </w:rPr>
        <w:t xml:space="preserve"> offered by registered entities</w:t>
      </w:r>
      <w:r>
        <w:rPr>
          <w:rFonts w:ascii="Times New Roman" w:hAnsi="Times New Roman" w:cs="Times New Roman"/>
          <w:b w:val="0"/>
          <w:sz w:val="24"/>
          <w:szCs w:val="24"/>
        </w:rPr>
        <w:t xml:space="preserve"> and deposit products offered by ADIs. APRA consulted on the proposals in April 2013. APRA released its final position on </w:t>
      </w:r>
      <w:r w:rsidR="00D10CE5">
        <w:rPr>
          <w:rFonts w:ascii="Times New Roman" w:hAnsi="Times New Roman" w:cs="Times New Roman"/>
          <w:b w:val="0"/>
          <w:sz w:val="24"/>
          <w:szCs w:val="24"/>
        </w:rPr>
        <w:t xml:space="preserve">changes </w:t>
      </w:r>
      <w:r>
        <w:rPr>
          <w:rFonts w:ascii="Times New Roman" w:hAnsi="Times New Roman" w:cs="Times New Roman"/>
          <w:b w:val="0"/>
          <w:sz w:val="24"/>
          <w:szCs w:val="24"/>
        </w:rPr>
        <w:t>to th</w:t>
      </w:r>
      <w:r w:rsidR="004A50EB">
        <w:rPr>
          <w:rFonts w:ascii="Times New Roman" w:hAnsi="Times New Roman" w:cs="Times New Roman"/>
          <w:b w:val="0"/>
          <w:sz w:val="24"/>
          <w:szCs w:val="24"/>
        </w:rPr>
        <w:t>e 2003 Exemption</w:t>
      </w:r>
      <w:r>
        <w:rPr>
          <w:rFonts w:ascii="Times New Roman" w:hAnsi="Times New Roman" w:cs="Times New Roman"/>
          <w:b w:val="0"/>
          <w:sz w:val="24"/>
          <w:szCs w:val="24"/>
        </w:rPr>
        <w:t xml:space="preserve"> in November 2014. </w:t>
      </w:r>
      <w:r w:rsidR="004A50EB">
        <w:rPr>
          <w:rFonts w:ascii="Times New Roman" w:hAnsi="Times New Roman" w:cs="Times New Roman"/>
          <w:b w:val="0"/>
          <w:sz w:val="24"/>
          <w:szCs w:val="24"/>
        </w:rPr>
        <w:t xml:space="preserve">The proposals and consultation has resulted </w:t>
      </w:r>
      <w:r>
        <w:rPr>
          <w:rFonts w:ascii="Times New Roman" w:hAnsi="Times New Roman" w:cs="Times New Roman"/>
          <w:b w:val="0"/>
          <w:sz w:val="24"/>
          <w:szCs w:val="24"/>
        </w:rPr>
        <w:t>in a number of new or modified conditions including:</w:t>
      </w:r>
    </w:p>
    <w:p w:rsidR="00E60B8F" w:rsidRDefault="004A50EB" w:rsidP="00E60B8F">
      <w:pPr>
        <w:pStyle w:val="Heading"/>
        <w:numPr>
          <w:ilvl w:val="0"/>
          <w:numId w:val="10"/>
        </w:numPr>
        <w:jc w:val="both"/>
        <w:rPr>
          <w:rFonts w:ascii="Times New Roman" w:hAnsi="Times New Roman" w:cs="Times New Roman"/>
          <w:b w:val="0"/>
          <w:sz w:val="24"/>
          <w:szCs w:val="24"/>
        </w:rPr>
      </w:pPr>
      <w:r>
        <w:rPr>
          <w:rFonts w:ascii="Times New Roman" w:hAnsi="Times New Roman" w:cs="Times New Roman"/>
          <w:b w:val="0"/>
          <w:sz w:val="24"/>
          <w:szCs w:val="24"/>
        </w:rPr>
        <w:t>restricting the</w:t>
      </w:r>
      <w:r w:rsidR="00E60B8F">
        <w:rPr>
          <w:rFonts w:ascii="Times New Roman" w:hAnsi="Times New Roman" w:cs="Times New Roman"/>
          <w:b w:val="0"/>
          <w:sz w:val="24"/>
          <w:szCs w:val="24"/>
        </w:rPr>
        <w:t xml:space="preserve"> use of certain terms, including ‘deposit’ and ‘at-call’ by </w:t>
      </w:r>
      <w:r>
        <w:rPr>
          <w:rFonts w:ascii="Times New Roman" w:hAnsi="Times New Roman" w:cs="Times New Roman"/>
          <w:b w:val="0"/>
          <w:sz w:val="24"/>
          <w:szCs w:val="24"/>
        </w:rPr>
        <w:t xml:space="preserve">registered entities </w:t>
      </w:r>
      <w:r w:rsidR="00E60B8F">
        <w:rPr>
          <w:rFonts w:ascii="Times New Roman" w:hAnsi="Times New Roman" w:cs="Times New Roman"/>
          <w:b w:val="0"/>
          <w:sz w:val="24"/>
          <w:szCs w:val="24"/>
        </w:rPr>
        <w:t xml:space="preserve">in connection with investment products </w:t>
      </w:r>
      <w:r w:rsidR="007F3DD2">
        <w:rPr>
          <w:rFonts w:ascii="Times New Roman" w:hAnsi="Times New Roman" w:cs="Times New Roman"/>
          <w:b w:val="0"/>
          <w:sz w:val="24"/>
          <w:szCs w:val="24"/>
        </w:rPr>
        <w:t xml:space="preserve">offered, issued </w:t>
      </w:r>
      <w:r w:rsidR="00E60B8F">
        <w:rPr>
          <w:rFonts w:ascii="Times New Roman" w:hAnsi="Times New Roman" w:cs="Times New Roman"/>
          <w:b w:val="0"/>
          <w:sz w:val="24"/>
          <w:szCs w:val="24"/>
        </w:rPr>
        <w:t>or sold;</w:t>
      </w:r>
    </w:p>
    <w:p w:rsidR="00E60B8F" w:rsidRDefault="0091221E" w:rsidP="00E60B8F">
      <w:pPr>
        <w:pStyle w:val="Heading"/>
        <w:numPr>
          <w:ilvl w:val="0"/>
          <w:numId w:val="10"/>
        </w:numPr>
        <w:jc w:val="both"/>
        <w:rPr>
          <w:rFonts w:ascii="Times New Roman" w:hAnsi="Times New Roman" w:cs="Times New Roman"/>
          <w:b w:val="0"/>
          <w:sz w:val="24"/>
          <w:szCs w:val="24"/>
        </w:rPr>
      </w:pPr>
      <w:proofErr w:type="gramStart"/>
      <w:r>
        <w:rPr>
          <w:rFonts w:ascii="Times New Roman" w:hAnsi="Times New Roman" w:cs="Times New Roman"/>
          <w:b w:val="0"/>
          <w:sz w:val="24"/>
          <w:szCs w:val="24"/>
        </w:rPr>
        <w:t>requiring</w:t>
      </w:r>
      <w:proofErr w:type="gramEnd"/>
      <w:r>
        <w:rPr>
          <w:rFonts w:ascii="Times New Roman" w:hAnsi="Times New Roman" w:cs="Times New Roman"/>
          <w:b w:val="0"/>
          <w:sz w:val="24"/>
          <w:szCs w:val="24"/>
        </w:rPr>
        <w:t xml:space="preserve"> all debentures offered, issued or sold by registered entities</w:t>
      </w:r>
      <w:r w:rsidR="00F857AC">
        <w:rPr>
          <w:rFonts w:ascii="Times New Roman" w:hAnsi="Times New Roman" w:cs="Times New Roman"/>
          <w:b w:val="0"/>
          <w:sz w:val="24"/>
          <w:szCs w:val="24"/>
        </w:rPr>
        <w:t xml:space="preserve"> </w:t>
      </w:r>
      <w:r>
        <w:rPr>
          <w:rFonts w:ascii="Times New Roman" w:hAnsi="Times New Roman" w:cs="Times New Roman"/>
          <w:b w:val="0"/>
          <w:sz w:val="24"/>
          <w:szCs w:val="24"/>
        </w:rPr>
        <w:t xml:space="preserve">to </w:t>
      </w:r>
      <w:r w:rsidR="00E60B8F">
        <w:rPr>
          <w:rFonts w:ascii="Times New Roman" w:hAnsi="Times New Roman" w:cs="Times New Roman"/>
          <w:b w:val="0"/>
          <w:sz w:val="24"/>
          <w:szCs w:val="24"/>
        </w:rPr>
        <w:t>have a minimum 31</w:t>
      </w:r>
      <w:r w:rsidR="00FD1E76">
        <w:rPr>
          <w:rFonts w:ascii="Times New Roman" w:hAnsi="Times New Roman" w:cs="Times New Roman"/>
          <w:b w:val="0"/>
          <w:sz w:val="24"/>
          <w:szCs w:val="24"/>
        </w:rPr>
        <w:t>-</w:t>
      </w:r>
      <w:r w:rsidR="00E60B8F">
        <w:rPr>
          <w:rFonts w:ascii="Times New Roman" w:hAnsi="Times New Roman" w:cs="Times New Roman"/>
          <w:b w:val="0"/>
          <w:sz w:val="24"/>
          <w:szCs w:val="24"/>
        </w:rPr>
        <w:t>day maturity for new business written from 1 July 2015</w:t>
      </w:r>
      <w:r>
        <w:rPr>
          <w:rFonts w:ascii="Times New Roman" w:hAnsi="Times New Roman" w:cs="Times New Roman"/>
          <w:b w:val="0"/>
          <w:sz w:val="24"/>
          <w:szCs w:val="24"/>
        </w:rPr>
        <w:t>.</w:t>
      </w:r>
      <w:r w:rsidR="00E60B8F">
        <w:rPr>
          <w:rFonts w:ascii="Times New Roman" w:hAnsi="Times New Roman" w:cs="Times New Roman"/>
          <w:b w:val="0"/>
          <w:sz w:val="24"/>
          <w:szCs w:val="24"/>
        </w:rPr>
        <w:t xml:space="preserve"> </w:t>
      </w:r>
      <w:r>
        <w:rPr>
          <w:rFonts w:ascii="Times New Roman" w:hAnsi="Times New Roman" w:cs="Times New Roman"/>
          <w:b w:val="0"/>
          <w:sz w:val="24"/>
          <w:szCs w:val="24"/>
        </w:rPr>
        <w:t xml:space="preserve">For </w:t>
      </w:r>
      <w:r w:rsidR="00E60B8F">
        <w:rPr>
          <w:rFonts w:ascii="Times New Roman" w:hAnsi="Times New Roman" w:cs="Times New Roman"/>
          <w:b w:val="0"/>
          <w:sz w:val="24"/>
          <w:szCs w:val="24"/>
        </w:rPr>
        <w:t xml:space="preserve">existing at-call </w:t>
      </w:r>
      <w:r w:rsidR="002F3145">
        <w:rPr>
          <w:rFonts w:ascii="Times New Roman" w:hAnsi="Times New Roman" w:cs="Times New Roman"/>
          <w:b w:val="0"/>
          <w:sz w:val="24"/>
          <w:szCs w:val="24"/>
        </w:rPr>
        <w:t xml:space="preserve">debentures issued or sold </w:t>
      </w:r>
      <w:r w:rsidR="00E60B8F">
        <w:rPr>
          <w:rFonts w:ascii="Times New Roman" w:hAnsi="Times New Roman" w:cs="Times New Roman"/>
          <w:b w:val="0"/>
          <w:sz w:val="24"/>
          <w:szCs w:val="24"/>
        </w:rPr>
        <w:t>prior to that date,</w:t>
      </w:r>
      <w:r w:rsidR="00A1638E">
        <w:rPr>
          <w:rFonts w:ascii="Times New Roman" w:hAnsi="Times New Roman" w:cs="Times New Roman"/>
          <w:b w:val="0"/>
          <w:sz w:val="24"/>
          <w:szCs w:val="24"/>
        </w:rPr>
        <w:t xml:space="preserve"> </w:t>
      </w:r>
      <w:r w:rsidR="002F3145">
        <w:rPr>
          <w:rFonts w:ascii="Times New Roman" w:hAnsi="Times New Roman" w:cs="Times New Roman"/>
          <w:b w:val="0"/>
          <w:sz w:val="24"/>
          <w:szCs w:val="24"/>
        </w:rPr>
        <w:t xml:space="preserve">the debentures </w:t>
      </w:r>
      <w:r w:rsidR="00A1638E">
        <w:rPr>
          <w:rFonts w:ascii="Times New Roman" w:hAnsi="Times New Roman" w:cs="Times New Roman"/>
          <w:b w:val="0"/>
          <w:sz w:val="24"/>
          <w:szCs w:val="24"/>
        </w:rPr>
        <w:t>will need to adhere to the conditions in the 2015 Exemption by not later than 1</w:t>
      </w:r>
      <w:r w:rsidR="005E2DAA">
        <w:rPr>
          <w:rFonts w:ascii="Times New Roman" w:hAnsi="Times New Roman" w:cs="Times New Roman"/>
          <w:b w:val="0"/>
          <w:sz w:val="24"/>
          <w:szCs w:val="24"/>
        </w:rPr>
        <w:t xml:space="preserve"> January</w:t>
      </w:r>
      <w:r w:rsidR="00A1638E">
        <w:rPr>
          <w:rFonts w:ascii="Times New Roman" w:hAnsi="Times New Roman" w:cs="Times New Roman"/>
          <w:b w:val="0"/>
          <w:sz w:val="24"/>
          <w:szCs w:val="24"/>
        </w:rPr>
        <w:t xml:space="preserve"> 2016</w:t>
      </w:r>
      <w:r w:rsidR="00E60B8F">
        <w:rPr>
          <w:rFonts w:ascii="Times New Roman" w:hAnsi="Times New Roman" w:cs="Times New Roman"/>
          <w:b w:val="0"/>
          <w:sz w:val="24"/>
          <w:szCs w:val="24"/>
        </w:rPr>
        <w:t>;</w:t>
      </w:r>
    </w:p>
    <w:p w:rsidR="00E60B8F" w:rsidRDefault="007C3955" w:rsidP="00E60B8F">
      <w:pPr>
        <w:pStyle w:val="Heading"/>
        <w:numPr>
          <w:ilvl w:val="0"/>
          <w:numId w:val="10"/>
        </w:numPr>
        <w:jc w:val="both"/>
        <w:rPr>
          <w:rFonts w:ascii="Times New Roman" w:hAnsi="Times New Roman" w:cs="Times New Roman"/>
          <w:b w:val="0"/>
          <w:sz w:val="24"/>
          <w:szCs w:val="24"/>
        </w:rPr>
      </w:pPr>
      <w:proofErr w:type="gramStart"/>
      <w:r>
        <w:rPr>
          <w:rFonts w:ascii="Times New Roman" w:hAnsi="Times New Roman" w:cs="Times New Roman"/>
          <w:b w:val="0"/>
          <w:sz w:val="24"/>
          <w:szCs w:val="24"/>
        </w:rPr>
        <w:t>o</w:t>
      </w:r>
      <w:r w:rsidR="00E60B8F">
        <w:rPr>
          <w:rFonts w:ascii="Times New Roman" w:hAnsi="Times New Roman" w:cs="Times New Roman"/>
          <w:b w:val="0"/>
          <w:sz w:val="24"/>
          <w:szCs w:val="24"/>
        </w:rPr>
        <w:t>n</w:t>
      </w:r>
      <w:proofErr w:type="gramEnd"/>
      <w:r w:rsidR="00E60B8F">
        <w:rPr>
          <w:rFonts w:ascii="Times New Roman" w:hAnsi="Times New Roman" w:cs="Times New Roman"/>
          <w:b w:val="0"/>
          <w:sz w:val="24"/>
          <w:szCs w:val="24"/>
        </w:rPr>
        <w:t xml:space="preserve"> maturity of a</w:t>
      </w:r>
      <w:r>
        <w:rPr>
          <w:rFonts w:ascii="Times New Roman" w:hAnsi="Times New Roman" w:cs="Times New Roman"/>
          <w:b w:val="0"/>
          <w:sz w:val="24"/>
          <w:szCs w:val="24"/>
        </w:rPr>
        <w:t xml:space="preserve"> debenture</w:t>
      </w:r>
      <w:r w:rsidR="00E60B8F">
        <w:rPr>
          <w:rFonts w:ascii="Times New Roman" w:hAnsi="Times New Roman" w:cs="Times New Roman"/>
          <w:b w:val="0"/>
          <w:sz w:val="24"/>
          <w:szCs w:val="24"/>
        </w:rPr>
        <w:t>, a</w:t>
      </w:r>
      <w:r>
        <w:rPr>
          <w:rFonts w:ascii="Times New Roman" w:hAnsi="Times New Roman" w:cs="Times New Roman"/>
          <w:b w:val="0"/>
          <w:sz w:val="24"/>
          <w:szCs w:val="24"/>
        </w:rPr>
        <w:t xml:space="preserve"> registered entity</w:t>
      </w:r>
      <w:r w:rsidR="00E60B8F">
        <w:rPr>
          <w:rFonts w:ascii="Times New Roman" w:hAnsi="Times New Roman" w:cs="Times New Roman"/>
          <w:b w:val="0"/>
          <w:sz w:val="24"/>
          <w:szCs w:val="24"/>
        </w:rPr>
        <w:t xml:space="preserve"> may roll the investment into another </w:t>
      </w:r>
      <w:r>
        <w:rPr>
          <w:rFonts w:ascii="Times New Roman" w:hAnsi="Times New Roman" w:cs="Times New Roman"/>
          <w:b w:val="0"/>
          <w:sz w:val="24"/>
          <w:szCs w:val="24"/>
        </w:rPr>
        <w:t xml:space="preserve">debenture </w:t>
      </w:r>
      <w:r w:rsidR="00E60B8F">
        <w:rPr>
          <w:rFonts w:ascii="Times New Roman" w:hAnsi="Times New Roman" w:cs="Times New Roman"/>
          <w:b w:val="0"/>
          <w:sz w:val="24"/>
          <w:szCs w:val="24"/>
        </w:rPr>
        <w:t xml:space="preserve">with </w:t>
      </w:r>
      <w:r>
        <w:rPr>
          <w:rFonts w:ascii="Times New Roman" w:hAnsi="Times New Roman" w:cs="Times New Roman"/>
          <w:b w:val="0"/>
          <w:sz w:val="24"/>
          <w:szCs w:val="24"/>
        </w:rPr>
        <w:t>a term to maturity of at least 31 days</w:t>
      </w:r>
      <w:r w:rsidR="00E60B8F">
        <w:rPr>
          <w:rFonts w:ascii="Times New Roman" w:hAnsi="Times New Roman" w:cs="Times New Roman"/>
          <w:b w:val="0"/>
          <w:sz w:val="24"/>
          <w:szCs w:val="24"/>
        </w:rPr>
        <w:t xml:space="preserve">. Rollovers may occur even in the absence of a statement from the investor concerning the proceeds of their investment. Where an investor </w:t>
      </w:r>
      <w:r>
        <w:rPr>
          <w:rFonts w:ascii="Times New Roman" w:hAnsi="Times New Roman" w:cs="Times New Roman"/>
          <w:b w:val="0"/>
          <w:sz w:val="24"/>
          <w:szCs w:val="24"/>
        </w:rPr>
        <w:t>requests</w:t>
      </w:r>
      <w:r w:rsidR="00E60B8F">
        <w:rPr>
          <w:rFonts w:ascii="Times New Roman" w:hAnsi="Times New Roman" w:cs="Times New Roman"/>
          <w:b w:val="0"/>
          <w:sz w:val="24"/>
          <w:szCs w:val="24"/>
        </w:rPr>
        <w:t xml:space="preserve"> to redeem their funds on maturity</w:t>
      </w:r>
      <w:r>
        <w:rPr>
          <w:rFonts w:ascii="Times New Roman" w:hAnsi="Times New Roman" w:cs="Times New Roman"/>
          <w:b w:val="0"/>
          <w:sz w:val="24"/>
          <w:szCs w:val="24"/>
        </w:rPr>
        <w:t xml:space="preserve"> of their investment,</w:t>
      </w:r>
      <w:r w:rsidR="00E60B8F">
        <w:rPr>
          <w:rFonts w:ascii="Times New Roman" w:hAnsi="Times New Roman" w:cs="Times New Roman"/>
          <w:b w:val="0"/>
          <w:sz w:val="24"/>
          <w:szCs w:val="24"/>
        </w:rPr>
        <w:t xml:space="preserve"> they will be able to have their money paid to them as cash, cheque or direct credit to an account at an ADI;</w:t>
      </w:r>
    </w:p>
    <w:p w:rsidR="00E60B8F" w:rsidRDefault="00F857AC" w:rsidP="00E60B8F">
      <w:pPr>
        <w:pStyle w:val="Heading"/>
        <w:numPr>
          <w:ilvl w:val="0"/>
          <w:numId w:val="10"/>
        </w:numPr>
        <w:jc w:val="both"/>
        <w:rPr>
          <w:rFonts w:ascii="Times New Roman" w:hAnsi="Times New Roman" w:cs="Times New Roman"/>
          <w:b w:val="0"/>
          <w:sz w:val="24"/>
          <w:szCs w:val="24"/>
        </w:rPr>
      </w:pPr>
      <w:proofErr w:type="gramStart"/>
      <w:r>
        <w:rPr>
          <w:rFonts w:ascii="Times New Roman" w:hAnsi="Times New Roman" w:cs="Times New Roman"/>
          <w:b w:val="0"/>
          <w:sz w:val="24"/>
          <w:szCs w:val="24"/>
        </w:rPr>
        <w:t>registered</w:t>
      </w:r>
      <w:proofErr w:type="gramEnd"/>
      <w:r>
        <w:rPr>
          <w:rFonts w:ascii="Times New Roman" w:hAnsi="Times New Roman" w:cs="Times New Roman"/>
          <w:b w:val="0"/>
          <w:sz w:val="24"/>
          <w:szCs w:val="24"/>
        </w:rPr>
        <w:t xml:space="preserve"> entities </w:t>
      </w:r>
      <w:r w:rsidR="00E60B8F">
        <w:rPr>
          <w:rFonts w:ascii="Times New Roman" w:hAnsi="Times New Roman" w:cs="Times New Roman"/>
          <w:b w:val="0"/>
          <w:sz w:val="24"/>
          <w:szCs w:val="24"/>
        </w:rPr>
        <w:t>will not be allowed to provide</w:t>
      </w:r>
      <w:r>
        <w:rPr>
          <w:rFonts w:ascii="Times New Roman" w:hAnsi="Times New Roman" w:cs="Times New Roman"/>
          <w:b w:val="0"/>
          <w:sz w:val="24"/>
          <w:szCs w:val="24"/>
        </w:rPr>
        <w:t xml:space="preserve"> </w:t>
      </w:r>
      <w:r w:rsidR="00E60B8F">
        <w:rPr>
          <w:rFonts w:ascii="Times New Roman" w:hAnsi="Times New Roman" w:cs="Times New Roman"/>
          <w:b w:val="0"/>
          <w:sz w:val="24"/>
          <w:szCs w:val="24"/>
        </w:rPr>
        <w:t>certain ‘transactional banking facilities’</w:t>
      </w:r>
      <w:r w:rsidR="00ED5169">
        <w:rPr>
          <w:rFonts w:ascii="Times New Roman" w:hAnsi="Times New Roman" w:cs="Times New Roman"/>
          <w:b w:val="0"/>
          <w:sz w:val="24"/>
          <w:szCs w:val="24"/>
        </w:rPr>
        <w:t>, namely,</w:t>
      </w:r>
      <w:r w:rsidR="00E60B8F">
        <w:rPr>
          <w:rFonts w:ascii="Times New Roman" w:hAnsi="Times New Roman" w:cs="Times New Roman"/>
          <w:b w:val="0"/>
          <w:sz w:val="24"/>
          <w:szCs w:val="24"/>
        </w:rPr>
        <w:t xml:space="preserve"> Automatic Teller Machine (ATM) access, BPAY, Electronic Funds Transfer at Point of Sale (EFTPOS) </w:t>
      </w:r>
      <w:r w:rsidR="00ED5169">
        <w:rPr>
          <w:rFonts w:ascii="Times New Roman" w:hAnsi="Times New Roman" w:cs="Times New Roman"/>
          <w:b w:val="0"/>
          <w:sz w:val="24"/>
          <w:szCs w:val="24"/>
        </w:rPr>
        <w:t>and</w:t>
      </w:r>
      <w:r w:rsidR="00E60B8F">
        <w:rPr>
          <w:rFonts w:ascii="Times New Roman" w:hAnsi="Times New Roman" w:cs="Times New Roman"/>
          <w:b w:val="0"/>
          <w:sz w:val="24"/>
          <w:szCs w:val="24"/>
        </w:rPr>
        <w:t xml:space="preserve"> cheque account facilities.</w:t>
      </w:r>
    </w:p>
    <w:p w:rsidR="00E60B8F" w:rsidRPr="00995BF8" w:rsidRDefault="00E60B8F" w:rsidP="00995BF8">
      <w:pPr>
        <w:pStyle w:val="Heading"/>
        <w:jc w:val="both"/>
        <w:rPr>
          <w:rFonts w:ascii="Times New Roman" w:hAnsi="Times New Roman" w:cs="Times New Roman"/>
          <w:b w:val="0"/>
          <w:sz w:val="24"/>
          <w:szCs w:val="24"/>
        </w:rPr>
      </w:pPr>
      <w:r>
        <w:rPr>
          <w:rFonts w:ascii="Times New Roman" w:hAnsi="Times New Roman" w:cs="Times New Roman"/>
          <w:b w:val="0"/>
          <w:sz w:val="24"/>
          <w:szCs w:val="24"/>
        </w:rPr>
        <w:t>The new conditions only apply with respect to products</w:t>
      </w:r>
      <w:r w:rsidR="00FD1E76">
        <w:rPr>
          <w:rFonts w:ascii="Times New Roman" w:hAnsi="Times New Roman" w:cs="Times New Roman"/>
          <w:b w:val="0"/>
          <w:sz w:val="24"/>
          <w:szCs w:val="24"/>
        </w:rPr>
        <w:t xml:space="preserve"> offered to retail investors</w:t>
      </w:r>
      <w:r>
        <w:rPr>
          <w:rFonts w:ascii="Times New Roman" w:hAnsi="Times New Roman" w:cs="Times New Roman"/>
          <w:b w:val="0"/>
          <w:sz w:val="24"/>
          <w:szCs w:val="24"/>
        </w:rPr>
        <w:t>; there will be no change with respect to products marketed to wholesale investors.</w:t>
      </w:r>
    </w:p>
    <w:p w:rsidR="001C4593" w:rsidRDefault="008B7528" w:rsidP="00995BF8">
      <w:pPr>
        <w:pStyle w:val="Heading"/>
        <w:numPr>
          <w:ilvl w:val="0"/>
          <w:numId w:val="1"/>
        </w:numPr>
        <w:tabs>
          <w:tab w:val="left" w:pos="0"/>
        </w:tabs>
        <w:jc w:val="both"/>
        <w:rPr>
          <w:rFonts w:ascii="Times New Roman" w:hAnsi="Times New Roman" w:cs="Times New Roman"/>
          <w:sz w:val="24"/>
          <w:szCs w:val="24"/>
        </w:rPr>
      </w:pPr>
      <w:r w:rsidRPr="00BC7834">
        <w:rPr>
          <w:rFonts w:ascii="Times New Roman" w:hAnsi="Times New Roman" w:cs="Times New Roman"/>
          <w:sz w:val="24"/>
          <w:szCs w:val="24"/>
        </w:rPr>
        <w:t>Consultation</w:t>
      </w:r>
    </w:p>
    <w:p w:rsidR="001C4593" w:rsidRPr="00995BF8" w:rsidRDefault="001C4593" w:rsidP="00995BF8">
      <w:pPr>
        <w:pStyle w:val="Heading1"/>
        <w:jc w:val="both"/>
        <w:rPr>
          <w:rFonts w:ascii="Times New Roman" w:hAnsi="Times New Roman" w:cs="Times New Roman"/>
          <w:b w:val="0"/>
          <w:sz w:val="24"/>
          <w:szCs w:val="24"/>
        </w:rPr>
      </w:pPr>
      <w:r w:rsidRPr="005E083F">
        <w:rPr>
          <w:rFonts w:ascii="Times New Roman" w:hAnsi="Times New Roman" w:cs="Times New Roman"/>
          <w:b w:val="0"/>
          <w:sz w:val="24"/>
          <w:szCs w:val="24"/>
        </w:rPr>
        <w:t xml:space="preserve">APRA consulted with </w:t>
      </w:r>
      <w:r>
        <w:rPr>
          <w:rFonts w:ascii="Times New Roman" w:hAnsi="Times New Roman" w:cs="Times New Roman"/>
          <w:b w:val="0"/>
          <w:sz w:val="24"/>
          <w:szCs w:val="24"/>
        </w:rPr>
        <w:t xml:space="preserve">registered entities on these proposals through </w:t>
      </w:r>
      <w:r w:rsidR="00ED5169">
        <w:rPr>
          <w:rFonts w:ascii="Times New Roman" w:hAnsi="Times New Roman" w:cs="Times New Roman"/>
          <w:b w:val="0"/>
          <w:sz w:val="24"/>
          <w:szCs w:val="24"/>
        </w:rPr>
        <w:t xml:space="preserve">the </w:t>
      </w:r>
      <w:r>
        <w:rPr>
          <w:rFonts w:ascii="Times New Roman" w:hAnsi="Times New Roman" w:cs="Times New Roman"/>
          <w:b w:val="0"/>
          <w:sz w:val="24"/>
          <w:szCs w:val="24"/>
        </w:rPr>
        <w:t>release of a consultation paper in April 2013 setting out details of the proposals</w:t>
      </w:r>
      <w:r w:rsidR="00D62EDA">
        <w:rPr>
          <w:rFonts w:ascii="Times New Roman" w:hAnsi="Times New Roman" w:cs="Times New Roman"/>
          <w:b w:val="0"/>
          <w:sz w:val="24"/>
          <w:szCs w:val="24"/>
        </w:rPr>
        <w:t>,</w:t>
      </w:r>
      <w:r>
        <w:rPr>
          <w:rFonts w:ascii="Times New Roman" w:hAnsi="Times New Roman" w:cs="Times New Roman"/>
          <w:b w:val="0"/>
          <w:sz w:val="24"/>
          <w:szCs w:val="24"/>
        </w:rPr>
        <w:t xml:space="preserve"> and the publication of a letter on 24 May 2013 providing additional information and clarification on the operation of the transition period in relation to the proposals. </w:t>
      </w:r>
    </w:p>
    <w:p w:rsidR="001C4593" w:rsidRPr="00BC7834" w:rsidRDefault="001C4593" w:rsidP="00995BF8">
      <w:pPr>
        <w:pStyle w:val="Heading"/>
        <w:numPr>
          <w:ilvl w:val="0"/>
          <w:numId w:val="1"/>
        </w:num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Regulation Impact Statement </w:t>
      </w:r>
    </w:p>
    <w:p w:rsidR="001C4593" w:rsidRDefault="00A62AE1" w:rsidP="001C4593">
      <w:pPr>
        <w:pStyle w:val="Heading"/>
        <w:rPr>
          <w:rFonts w:ascii="Times New Roman" w:hAnsi="Times New Roman"/>
          <w:b w:val="0"/>
          <w:sz w:val="24"/>
          <w:szCs w:val="24"/>
        </w:rPr>
      </w:pPr>
      <w:bookmarkStart w:id="9" w:name="bkConsultation"/>
      <w:bookmarkStart w:id="10" w:name="bkRISNO"/>
      <w:bookmarkEnd w:id="9"/>
      <w:bookmarkEnd w:id="10"/>
      <w:r w:rsidRPr="005E083F">
        <w:rPr>
          <w:rFonts w:ascii="Times New Roman" w:hAnsi="Times New Roman" w:cs="Times New Roman"/>
          <w:b w:val="0"/>
          <w:sz w:val="24"/>
          <w:szCs w:val="24"/>
        </w:rPr>
        <w:t>The O</w:t>
      </w:r>
      <w:r w:rsidR="00C072E3">
        <w:rPr>
          <w:rFonts w:ascii="Times New Roman" w:hAnsi="Times New Roman" w:cs="Times New Roman"/>
          <w:b w:val="0"/>
          <w:sz w:val="24"/>
          <w:szCs w:val="24"/>
        </w:rPr>
        <w:t xml:space="preserve">ffice of </w:t>
      </w:r>
      <w:r w:rsidRPr="005E083F">
        <w:rPr>
          <w:rFonts w:ascii="Times New Roman" w:hAnsi="Times New Roman" w:cs="Times New Roman"/>
          <w:b w:val="0"/>
          <w:sz w:val="24"/>
          <w:szCs w:val="24"/>
        </w:rPr>
        <w:t>B</w:t>
      </w:r>
      <w:r w:rsidR="00C072E3">
        <w:rPr>
          <w:rFonts w:ascii="Times New Roman" w:hAnsi="Times New Roman" w:cs="Times New Roman"/>
          <w:b w:val="0"/>
          <w:sz w:val="24"/>
          <w:szCs w:val="24"/>
        </w:rPr>
        <w:t xml:space="preserve">est </w:t>
      </w:r>
      <w:r w:rsidRPr="005E083F">
        <w:rPr>
          <w:rFonts w:ascii="Times New Roman" w:hAnsi="Times New Roman" w:cs="Times New Roman"/>
          <w:b w:val="0"/>
          <w:sz w:val="24"/>
          <w:szCs w:val="24"/>
        </w:rPr>
        <w:t>P</w:t>
      </w:r>
      <w:r w:rsidR="00C072E3">
        <w:rPr>
          <w:rFonts w:ascii="Times New Roman" w:hAnsi="Times New Roman" w:cs="Times New Roman"/>
          <w:b w:val="0"/>
          <w:sz w:val="24"/>
          <w:szCs w:val="24"/>
        </w:rPr>
        <w:t xml:space="preserve">ractice </w:t>
      </w:r>
      <w:r w:rsidRPr="005E083F">
        <w:rPr>
          <w:rFonts w:ascii="Times New Roman" w:hAnsi="Times New Roman" w:cs="Times New Roman"/>
          <w:b w:val="0"/>
          <w:sz w:val="24"/>
          <w:szCs w:val="24"/>
        </w:rPr>
        <w:t>R</w:t>
      </w:r>
      <w:r w:rsidR="00C072E3">
        <w:rPr>
          <w:rFonts w:ascii="Times New Roman" w:hAnsi="Times New Roman" w:cs="Times New Roman"/>
          <w:b w:val="0"/>
          <w:sz w:val="24"/>
          <w:szCs w:val="24"/>
        </w:rPr>
        <w:t>egulation</w:t>
      </w:r>
      <w:r w:rsidRPr="005E083F">
        <w:rPr>
          <w:rFonts w:ascii="Times New Roman" w:hAnsi="Times New Roman" w:cs="Times New Roman"/>
          <w:b w:val="0"/>
          <w:sz w:val="24"/>
          <w:szCs w:val="24"/>
        </w:rPr>
        <w:t xml:space="preserve"> </w:t>
      </w:r>
      <w:r w:rsidR="0007732A">
        <w:rPr>
          <w:rFonts w:ascii="Times New Roman" w:hAnsi="Times New Roman" w:cs="Times New Roman"/>
          <w:b w:val="0"/>
          <w:sz w:val="24"/>
          <w:szCs w:val="24"/>
        </w:rPr>
        <w:t>advised that</w:t>
      </w:r>
      <w:r w:rsidRPr="005E083F">
        <w:rPr>
          <w:rFonts w:ascii="Times New Roman" w:hAnsi="Times New Roman" w:cs="Times New Roman"/>
          <w:b w:val="0"/>
          <w:sz w:val="24"/>
          <w:szCs w:val="24"/>
        </w:rPr>
        <w:t xml:space="preserve"> anal</w:t>
      </w:r>
      <w:r w:rsidR="000A2D14">
        <w:rPr>
          <w:rFonts w:ascii="Times New Roman" w:hAnsi="Times New Roman" w:cs="Times New Roman"/>
          <w:b w:val="0"/>
          <w:sz w:val="24"/>
          <w:szCs w:val="24"/>
        </w:rPr>
        <w:t>ysis in the form of a regulation</w:t>
      </w:r>
      <w:r w:rsidRPr="005E083F">
        <w:rPr>
          <w:rFonts w:ascii="Times New Roman" w:hAnsi="Times New Roman" w:cs="Times New Roman"/>
          <w:b w:val="0"/>
          <w:sz w:val="24"/>
          <w:szCs w:val="24"/>
        </w:rPr>
        <w:t xml:space="preserve"> impact statement </w:t>
      </w:r>
      <w:r w:rsidR="00172A31">
        <w:rPr>
          <w:rFonts w:ascii="Times New Roman" w:hAnsi="Times New Roman" w:cs="Times New Roman"/>
          <w:b w:val="0"/>
          <w:sz w:val="24"/>
          <w:szCs w:val="24"/>
        </w:rPr>
        <w:t xml:space="preserve">(RIS) </w:t>
      </w:r>
      <w:r w:rsidRPr="005E083F">
        <w:rPr>
          <w:rFonts w:ascii="Times New Roman" w:hAnsi="Times New Roman" w:cs="Times New Roman"/>
          <w:b w:val="0"/>
          <w:sz w:val="24"/>
          <w:szCs w:val="24"/>
        </w:rPr>
        <w:t xml:space="preserve">is required </w:t>
      </w:r>
      <w:r w:rsidR="0097061E">
        <w:rPr>
          <w:rFonts w:ascii="Times New Roman" w:hAnsi="Times New Roman" w:cs="Times New Roman"/>
          <w:b w:val="0"/>
          <w:sz w:val="24"/>
          <w:szCs w:val="24"/>
        </w:rPr>
        <w:t xml:space="preserve">given </w:t>
      </w:r>
      <w:r w:rsidR="00FA1B28">
        <w:rPr>
          <w:rFonts w:ascii="Times New Roman" w:hAnsi="Times New Roman" w:cs="Times New Roman"/>
          <w:b w:val="0"/>
          <w:sz w:val="24"/>
          <w:szCs w:val="24"/>
        </w:rPr>
        <w:t>the changes being proposed</w:t>
      </w:r>
      <w:r w:rsidR="0097061E">
        <w:rPr>
          <w:rFonts w:ascii="Times New Roman" w:hAnsi="Times New Roman" w:cs="Times New Roman"/>
          <w:b w:val="0"/>
          <w:sz w:val="24"/>
          <w:szCs w:val="24"/>
        </w:rPr>
        <w:t>.</w:t>
      </w:r>
      <w:r w:rsidR="000A2D14">
        <w:rPr>
          <w:rFonts w:ascii="Times New Roman" w:hAnsi="Times New Roman" w:cs="Times New Roman"/>
          <w:b w:val="0"/>
          <w:sz w:val="24"/>
          <w:szCs w:val="24"/>
        </w:rPr>
        <w:t xml:space="preserve"> </w:t>
      </w:r>
      <w:r w:rsidR="008B0921">
        <w:rPr>
          <w:rFonts w:ascii="Times New Roman" w:hAnsi="Times New Roman" w:cs="Times New Roman"/>
          <w:b w:val="0"/>
          <w:sz w:val="24"/>
          <w:szCs w:val="24"/>
        </w:rPr>
        <w:t>APRA has adhered to this requirement and t</w:t>
      </w:r>
      <w:r w:rsidR="00172A31">
        <w:rPr>
          <w:rFonts w:ascii="Times New Roman" w:hAnsi="Times New Roman" w:cs="Times New Roman"/>
          <w:b w:val="0"/>
          <w:sz w:val="24"/>
          <w:szCs w:val="24"/>
        </w:rPr>
        <w:t>he RIS has been assessed as complying with the Government’s requirements in this regard.</w:t>
      </w:r>
      <w:r w:rsidR="001C4593">
        <w:rPr>
          <w:rFonts w:ascii="Times New Roman" w:hAnsi="Times New Roman" w:cs="Times New Roman"/>
          <w:b w:val="0"/>
          <w:sz w:val="24"/>
          <w:szCs w:val="24"/>
        </w:rPr>
        <w:t xml:space="preserve"> </w:t>
      </w:r>
      <w:r w:rsidR="001C4593">
        <w:rPr>
          <w:rFonts w:ascii="Times New Roman" w:hAnsi="Times New Roman"/>
          <w:b w:val="0"/>
          <w:sz w:val="24"/>
          <w:szCs w:val="24"/>
        </w:rPr>
        <w:t>APRA has lodged a RIS as supporting material.</w:t>
      </w:r>
    </w:p>
    <w:p w:rsidR="00D62EDA" w:rsidRDefault="00D62EDA">
      <w:pPr>
        <w:rPr>
          <w:rFonts w:ascii="Times New Roman" w:hAnsi="Times New Roman" w:cs="Arial"/>
          <w:b/>
          <w:color w:val="000000"/>
          <w:kern w:val="32"/>
          <w:sz w:val="24"/>
        </w:rPr>
      </w:pPr>
      <w:r>
        <w:rPr>
          <w:rFonts w:ascii="Times New Roman" w:hAnsi="Times New Roman"/>
          <w:color w:val="000000"/>
          <w:sz w:val="24"/>
        </w:rPr>
        <w:br w:type="page"/>
      </w:r>
    </w:p>
    <w:p w:rsidR="00A9578D" w:rsidRPr="00DC30D9" w:rsidRDefault="00A9578D" w:rsidP="00995BF8">
      <w:pPr>
        <w:pStyle w:val="Heading"/>
        <w:numPr>
          <w:ilvl w:val="0"/>
          <w:numId w:val="1"/>
        </w:numPr>
      </w:pPr>
      <w:r w:rsidRPr="00DC30D9">
        <w:rPr>
          <w:rFonts w:ascii="Times New Roman" w:hAnsi="Times New Roman"/>
          <w:color w:val="000000"/>
          <w:sz w:val="24"/>
          <w:szCs w:val="24"/>
        </w:rPr>
        <w:lastRenderedPageBreak/>
        <w:t>Statement</w:t>
      </w:r>
      <w:r w:rsidRPr="00DC30D9">
        <w:rPr>
          <w:rFonts w:ascii="Times New Roman" w:hAnsi="Times New Roman"/>
          <w:sz w:val="24"/>
          <w:szCs w:val="24"/>
        </w:rPr>
        <w:t xml:space="preserve"> of compatibility prepared in accordance with Part 3 of the </w:t>
      </w:r>
      <w:r w:rsidRPr="00DC30D9">
        <w:rPr>
          <w:rFonts w:ascii="Times New Roman" w:hAnsi="Times New Roman"/>
          <w:i/>
          <w:sz w:val="24"/>
          <w:szCs w:val="24"/>
        </w:rPr>
        <w:t>Human Rights (Parliamentary Scrutiny) Act 2011</w:t>
      </w:r>
    </w:p>
    <w:p w:rsidR="006726E6" w:rsidRDefault="006726E6" w:rsidP="006726E6">
      <w:pPr>
        <w:pStyle w:val="Heading"/>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rsidR="00D62EDA" w:rsidRDefault="00D62EDA"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1C544E" w:rsidRDefault="001C544E" w:rsidP="00931FB9">
      <w:pPr>
        <w:pStyle w:val="Title"/>
        <w:jc w:val="left"/>
        <w:rPr>
          <w:szCs w:val="24"/>
        </w:rPr>
      </w:pPr>
    </w:p>
    <w:p w:rsidR="00931FB9" w:rsidRDefault="00931FB9" w:rsidP="00931FB9">
      <w:pPr>
        <w:pStyle w:val="Title"/>
        <w:jc w:val="left"/>
        <w:rPr>
          <w:szCs w:val="24"/>
        </w:rPr>
      </w:pPr>
      <w:r>
        <w:rPr>
          <w:szCs w:val="24"/>
        </w:rPr>
        <w:lastRenderedPageBreak/>
        <w:t>Attachment A</w:t>
      </w:r>
    </w:p>
    <w:p w:rsidR="00931FB9" w:rsidRPr="00DA192B" w:rsidRDefault="00931FB9" w:rsidP="00931FB9">
      <w:pPr>
        <w:pStyle w:val="Title"/>
        <w:rPr>
          <w:szCs w:val="24"/>
        </w:rPr>
      </w:pPr>
    </w:p>
    <w:p w:rsidR="00931FB9" w:rsidRPr="00DA192B" w:rsidRDefault="00931FB9" w:rsidP="00931FB9">
      <w:pPr>
        <w:autoSpaceDE w:val="0"/>
        <w:autoSpaceDN w:val="0"/>
        <w:adjustRightInd w:val="0"/>
        <w:jc w:val="center"/>
        <w:rPr>
          <w:rFonts w:ascii="Times New Roman" w:hAnsi="Times New Roman"/>
          <w:b/>
          <w:sz w:val="24"/>
        </w:rPr>
      </w:pPr>
      <w:r w:rsidRPr="00DA192B">
        <w:rPr>
          <w:rFonts w:ascii="Times New Roman" w:hAnsi="Times New Roman"/>
          <w:b/>
          <w:sz w:val="24"/>
        </w:rPr>
        <w:t>Statement of Compatibility with Human Rights</w:t>
      </w:r>
    </w:p>
    <w:p w:rsidR="00931FB9" w:rsidRPr="00DA192B" w:rsidRDefault="00931FB9" w:rsidP="00931FB9">
      <w:pPr>
        <w:autoSpaceDE w:val="0"/>
        <w:autoSpaceDN w:val="0"/>
        <w:adjustRightInd w:val="0"/>
        <w:jc w:val="center"/>
        <w:rPr>
          <w:rFonts w:ascii="Times New Roman" w:hAnsi="Times New Roman"/>
          <w:b/>
          <w:sz w:val="24"/>
        </w:rPr>
      </w:pPr>
    </w:p>
    <w:p w:rsidR="00931FB9" w:rsidRPr="00DA192B" w:rsidRDefault="00931FB9" w:rsidP="00931FB9">
      <w:pPr>
        <w:autoSpaceDE w:val="0"/>
        <w:autoSpaceDN w:val="0"/>
        <w:adjustRightInd w:val="0"/>
        <w:rPr>
          <w:rFonts w:ascii="Times New Roman" w:hAnsi="Times New Roman"/>
          <w:i/>
          <w:sz w:val="24"/>
        </w:rPr>
      </w:pPr>
      <w:r w:rsidRPr="00DA192B">
        <w:rPr>
          <w:rFonts w:ascii="Times New Roman" w:hAnsi="Times New Roman"/>
          <w:i/>
          <w:sz w:val="24"/>
        </w:rPr>
        <w:t>Prepared in accordance with Part 3 of the Human Rights (Parliamentary Scrutiny) Act 2011</w:t>
      </w:r>
    </w:p>
    <w:p w:rsidR="00931FB9" w:rsidRPr="00DA192B" w:rsidRDefault="00931FB9" w:rsidP="00931FB9">
      <w:pPr>
        <w:pStyle w:val="Title"/>
        <w:jc w:val="left"/>
        <w:rPr>
          <w:szCs w:val="24"/>
        </w:rPr>
      </w:pPr>
    </w:p>
    <w:p w:rsidR="00931FB9" w:rsidRPr="00DA192B" w:rsidRDefault="00931FB9" w:rsidP="00931FB9">
      <w:pPr>
        <w:pStyle w:val="Title"/>
      </w:pPr>
      <w:r>
        <w:t xml:space="preserve">Banking exemption No. </w:t>
      </w:r>
      <w:r w:rsidR="004A4C47">
        <w:t>1</w:t>
      </w:r>
      <w:r>
        <w:t xml:space="preserve"> of </w:t>
      </w:r>
      <w:r w:rsidR="004A4C47">
        <w:t>2015</w:t>
      </w:r>
    </w:p>
    <w:p w:rsidR="00931FB9" w:rsidRPr="00DA192B" w:rsidRDefault="00931FB9" w:rsidP="00931FB9">
      <w:pPr>
        <w:pStyle w:val="BodyText"/>
        <w:spacing w:after="0"/>
        <w:rPr>
          <w:szCs w:val="24"/>
        </w:rPr>
      </w:pPr>
    </w:p>
    <w:p w:rsidR="00931FB9" w:rsidRPr="00DA192B" w:rsidRDefault="00931FB9" w:rsidP="00931FB9">
      <w:pPr>
        <w:pStyle w:val="BodyText"/>
        <w:spacing w:after="0"/>
        <w:rPr>
          <w:i/>
          <w:szCs w:val="24"/>
        </w:rPr>
      </w:pPr>
      <w:r w:rsidRPr="00DA192B">
        <w:rPr>
          <w:szCs w:val="24"/>
        </w:rPr>
        <w:t xml:space="preserve">This Legislative Instrument is compatible with the human rights and freedoms recognised or declared in the international instruments listed in section 3 of the </w:t>
      </w:r>
      <w:r w:rsidRPr="00DA192B">
        <w:rPr>
          <w:i/>
          <w:szCs w:val="24"/>
        </w:rPr>
        <w:t>Human Rights (Parliamentary Scrutiny) Act 2011.</w:t>
      </w:r>
    </w:p>
    <w:p w:rsidR="00931FB9" w:rsidRPr="00DA192B" w:rsidRDefault="00931FB9" w:rsidP="00931FB9">
      <w:pPr>
        <w:pStyle w:val="BodyText"/>
        <w:spacing w:after="0"/>
        <w:rPr>
          <w:i/>
          <w:szCs w:val="24"/>
        </w:rPr>
      </w:pPr>
    </w:p>
    <w:p w:rsidR="00931FB9" w:rsidRDefault="00931FB9" w:rsidP="00931FB9">
      <w:pPr>
        <w:pStyle w:val="BodyText"/>
        <w:spacing w:after="0"/>
        <w:rPr>
          <w:b/>
          <w:szCs w:val="24"/>
        </w:rPr>
      </w:pPr>
      <w:r w:rsidRPr="00740541">
        <w:rPr>
          <w:b/>
          <w:szCs w:val="24"/>
        </w:rPr>
        <w:t>Overview of the Legislative Instrument</w:t>
      </w:r>
    </w:p>
    <w:p w:rsidR="00931FB9" w:rsidRDefault="00931FB9" w:rsidP="00931FB9">
      <w:pPr>
        <w:pStyle w:val="BodyText"/>
        <w:spacing w:after="0"/>
        <w:rPr>
          <w:b/>
          <w:szCs w:val="24"/>
        </w:rPr>
      </w:pPr>
    </w:p>
    <w:p w:rsidR="00931FB9" w:rsidRDefault="00931FB9" w:rsidP="00931FB9">
      <w:pPr>
        <w:pStyle w:val="BodyText"/>
        <w:rPr>
          <w:szCs w:val="24"/>
        </w:rPr>
      </w:pPr>
      <w:r w:rsidRPr="005D47AA">
        <w:rPr>
          <w:szCs w:val="24"/>
        </w:rPr>
        <w:t xml:space="preserve">Under section 8 of the Banking Act, it is an offence for a body corporate to carry on banking business in Australia if the body corporate is not an authorised deposit-taking institution or the Reserve Bank, except where there is a determination in force that section 8 does not apply to the body corporate.  </w:t>
      </w:r>
    </w:p>
    <w:p w:rsidR="00931FB9" w:rsidRDefault="00931FB9" w:rsidP="00931FB9">
      <w:pPr>
        <w:pStyle w:val="BodyText"/>
      </w:pPr>
      <w:r>
        <w:t xml:space="preserve">This Legislative Instrument determines that section 8 of the Banking Act does not apply to </w:t>
      </w:r>
      <w:r w:rsidR="00FD1E76">
        <w:t xml:space="preserve">a </w:t>
      </w:r>
      <w:r>
        <w:t>registered entit</w:t>
      </w:r>
      <w:r w:rsidR="00FD1E76">
        <w:t>y</w:t>
      </w:r>
      <w:r>
        <w:t xml:space="preserve"> under the </w:t>
      </w:r>
      <w:r w:rsidRPr="00FD3F46">
        <w:rPr>
          <w:i/>
        </w:rPr>
        <w:t>Financial Sector (Collection of Data) Act 2001</w:t>
      </w:r>
      <w:r w:rsidR="00ED5169">
        <w:t xml:space="preserve"> where the entit</w:t>
      </w:r>
      <w:r w:rsidR="00FD1E76">
        <w:t>y</w:t>
      </w:r>
      <w:r w:rsidR="00ED5169">
        <w:t xml:space="preserve"> take</w:t>
      </w:r>
      <w:r w:rsidR="00FD1E76">
        <w:t>s</w:t>
      </w:r>
      <w:r w:rsidR="00ED5169">
        <w:t xml:space="preserve"> money on deposit</w:t>
      </w:r>
      <w:r>
        <w:t xml:space="preserve">, subject to conditions </w:t>
      </w:r>
      <w:r w:rsidR="00ED5169">
        <w:t xml:space="preserve">including giving a prudential supervision warning to </w:t>
      </w:r>
      <w:r w:rsidR="00FD1E76">
        <w:t xml:space="preserve">an </w:t>
      </w:r>
      <w:r w:rsidR="00ED5169">
        <w:t>investor in certain circumstances</w:t>
      </w:r>
      <w:r w:rsidR="0004443B">
        <w:t>,</w:t>
      </w:r>
      <w:r w:rsidR="00ED5169">
        <w:t xml:space="preserve"> </w:t>
      </w:r>
      <w:r>
        <w:t xml:space="preserve">the nature of investment products and debentures </w:t>
      </w:r>
      <w:r w:rsidR="0004443B">
        <w:t xml:space="preserve">that are </w:t>
      </w:r>
      <w:r>
        <w:t>offered, issued or sold, and any advertising or marketing in connection with such products.</w:t>
      </w:r>
    </w:p>
    <w:p w:rsidR="00931FB9" w:rsidRDefault="00931FB9" w:rsidP="00931FB9">
      <w:pPr>
        <w:pStyle w:val="BodyText"/>
        <w:rPr>
          <w:b/>
        </w:rPr>
      </w:pPr>
      <w:r>
        <w:rPr>
          <w:b/>
        </w:rPr>
        <w:t>Human rights implications</w:t>
      </w:r>
    </w:p>
    <w:p w:rsidR="00931FB9" w:rsidRDefault="00931FB9" w:rsidP="00931FB9">
      <w:pPr>
        <w:pStyle w:val="BodyText"/>
      </w:pPr>
      <w:r>
        <w:t xml:space="preserve">APRA has assessed this Legislative Instrument and is of the view that it does not engage any of the applicable rights or freedoms recognised or declared in the international instruments listed in section 3 of the </w:t>
      </w:r>
      <w:r w:rsidRPr="00792245">
        <w:rPr>
          <w:i/>
        </w:rPr>
        <w:t>Human Rights (Parliamentary Scrutiny) Act 2011</w:t>
      </w:r>
      <w:r>
        <w:t xml:space="preserve">. Accordingly, in APRA’s assessment, the instrument is compatible with human rights. </w:t>
      </w:r>
    </w:p>
    <w:p w:rsidR="00931FB9" w:rsidRDefault="00931FB9" w:rsidP="00931FB9">
      <w:pPr>
        <w:pStyle w:val="BodyText"/>
        <w:rPr>
          <w:b/>
        </w:rPr>
      </w:pPr>
      <w:r>
        <w:rPr>
          <w:b/>
        </w:rPr>
        <w:t>Conclusion</w:t>
      </w:r>
    </w:p>
    <w:p w:rsidR="00931FB9" w:rsidRPr="00740541" w:rsidRDefault="00931FB9" w:rsidP="00931FB9">
      <w:pPr>
        <w:pStyle w:val="BodyText"/>
        <w:rPr>
          <w:szCs w:val="24"/>
        </w:rPr>
      </w:pPr>
      <w:r>
        <w:t>This Legislative Instrument is compatible with human rights as it does not raise any human rights issues.</w:t>
      </w:r>
    </w:p>
    <w:p w:rsidR="00931FB9" w:rsidRDefault="00931FB9" w:rsidP="00A9578D"/>
    <w:p w:rsidR="00A9578D" w:rsidRPr="00A9578D" w:rsidRDefault="00A9578D" w:rsidP="00A9578D"/>
    <w:sectPr w:rsidR="00A9578D" w:rsidRPr="00A9578D" w:rsidSect="002330A5">
      <w:footerReference w:type="even" r:id="rId9"/>
      <w:footerReference w:type="default" r:id="rId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74" w:rsidRDefault="00044574">
      <w:r>
        <w:separator/>
      </w:r>
    </w:p>
  </w:endnote>
  <w:endnote w:type="continuationSeparator" w:id="0">
    <w:p w:rsidR="00044574" w:rsidRDefault="0004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A1" w:rsidRDefault="006272A1"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B8D">
      <w:rPr>
        <w:rStyle w:val="PageNumber"/>
        <w:noProof/>
      </w:rPr>
      <w:t>2</w:t>
    </w:r>
    <w:r>
      <w:rPr>
        <w:rStyle w:val="PageNumber"/>
      </w:rPr>
      <w:fldChar w:fldCharType="end"/>
    </w:r>
  </w:p>
  <w:p w:rsidR="006272A1" w:rsidRDefault="006272A1"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A1" w:rsidRDefault="006272A1" w:rsidP="005C40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74" w:rsidRDefault="00044574">
      <w:r>
        <w:separator/>
      </w:r>
    </w:p>
  </w:footnote>
  <w:footnote w:type="continuationSeparator" w:id="0">
    <w:p w:rsidR="00044574" w:rsidRDefault="00044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1249"/>
    <w:multiLevelType w:val="hybridMultilevel"/>
    <w:tmpl w:val="4B4E69D2"/>
    <w:lvl w:ilvl="0" w:tplc="30A0BD42">
      <w:start w:val="1"/>
      <w:numFmt w:val="decimal"/>
      <w:lvlText w:val="%1."/>
      <w:lvlJc w:val="left"/>
      <w:pPr>
        <w:tabs>
          <w:tab w:val="num" w:pos="360"/>
        </w:tabs>
        <w:ind w:left="360" w:hanging="360"/>
      </w:pPr>
      <w:rPr>
        <w:rFonts w:ascii="Times New Roman" w:hAnsi="Times New Roman" w:cs="Times New Roman" w:hint="default"/>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2">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A9A72C6"/>
    <w:multiLevelType w:val="hybridMultilevel"/>
    <w:tmpl w:val="DD00FE2C"/>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9370EA9"/>
    <w:multiLevelType w:val="hybridMultilevel"/>
    <w:tmpl w:val="49EC3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3"/>
  </w:num>
  <w:num w:numId="6">
    <w:abstractNumId w:val="8"/>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7"/>
    <w:rsid w:val="00000AE6"/>
    <w:rsid w:val="00006B27"/>
    <w:rsid w:val="00012695"/>
    <w:rsid w:val="0001369F"/>
    <w:rsid w:val="000201AE"/>
    <w:rsid w:val="000218B6"/>
    <w:rsid w:val="0002280F"/>
    <w:rsid w:val="00026726"/>
    <w:rsid w:val="0002731C"/>
    <w:rsid w:val="00027386"/>
    <w:rsid w:val="00030BD8"/>
    <w:rsid w:val="000324C9"/>
    <w:rsid w:val="00032E46"/>
    <w:rsid w:val="00033B73"/>
    <w:rsid w:val="00043838"/>
    <w:rsid w:val="0004443B"/>
    <w:rsid w:val="00044574"/>
    <w:rsid w:val="000547F1"/>
    <w:rsid w:val="00054D89"/>
    <w:rsid w:val="00055C1B"/>
    <w:rsid w:val="00056C6C"/>
    <w:rsid w:val="00056DFC"/>
    <w:rsid w:val="000631DA"/>
    <w:rsid w:val="00063B11"/>
    <w:rsid w:val="00076969"/>
    <w:rsid w:val="0007732A"/>
    <w:rsid w:val="00080B55"/>
    <w:rsid w:val="000906FC"/>
    <w:rsid w:val="000A2D14"/>
    <w:rsid w:val="000A579A"/>
    <w:rsid w:val="000B22C3"/>
    <w:rsid w:val="000B244A"/>
    <w:rsid w:val="000B3626"/>
    <w:rsid w:val="000B5532"/>
    <w:rsid w:val="000B59FF"/>
    <w:rsid w:val="000C3A21"/>
    <w:rsid w:val="000C6F92"/>
    <w:rsid w:val="000D046E"/>
    <w:rsid w:val="000D6AC0"/>
    <w:rsid w:val="000E055A"/>
    <w:rsid w:val="000E17D8"/>
    <w:rsid w:val="000E71FC"/>
    <w:rsid w:val="000F0A45"/>
    <w:rsid w:val="000F2451"/>
    <w:rsid w:val="000F309E"/>
    <w:rsid w:val="000F3E1E"/>
    <w:rsid w:val="000F6592"/>
    <w:rsid w:val="00102F9E"/>
    <w:rsid w:val="0010495D"/>
    <w:rsid w:val="00105F5C"/>
    <w:rsid w:val="00110071"/>
    <w:rsid w:val="00112443"/>
    <w:rsid w:val="00122F4C"/>
    <w:rsid w:val="0012491A"/>
    <w:rsid w:val="00124EE2"/>
    <w:rsid w:val="00126BDF"/>
    <w:rsid w:val="00126F51"/>
    <w:rsid w:val="001271A7"/>
    <w:rsid w:val="00134372"/>
    <w:rsid w:val="00145A8A"/>
    <w:rsid w:val="00146362"/>
    <w:rsid w:val="00147418"/>
    <w:rsid w:val="0016350A"/>
    <w:rsid w:val="001636BF"/>
    <w:rsid w:val="00163AE4"/>
    <w:rsid w:val="00172A31"/>
    <w:rsid w:val="001735C0"/>
    <w:rsid w:val="001736CC"/>
    <w:rsid w:val="00176630"/>
    <w:rsid w:val="0018329E"/>
    <w:rsid w:val="00183A1C"/>
    <w:rsid w:val="00191382"/>
    <w:rsid w:val="0019482E"/>
    <w:rsid w:val="001A0790"/>
    <w:rsid w:val="001B2E2A"/>
    <w:rsid w:val="001B5A23"/>
    <w:rsid w:val="001B6E91"/>
    <w:rsid w:val="001B7226"/>
    <w:rsid w:val="001C001C"/>
    <w:rsid w:val="001C0BC5"/>
    <w:rsid w:val="001C4593"/>
    <w:rsid w:val="001C544E"/>
    <w:rsid w:val="001D16A9"/>
    <w:rsid w:val="001D1DC0"/>
    <w:rsid w:val="001E06CB"/>
    <w:rsid w:val="001E2DB0"/>
    <w:rsid w:val="001E54DD"/>
    <w:rsid w:val="001E623B"/>
    <w:rsid w:val="001E6EA4"/>
    <w:rsid w:val="001E781D"/>
    <w:rsid w:val="001F4FB6"/>
    <w:rsid w:val="00203601"/>
    <w:rsid w:val="00210D96"/>
    <w:rsid w:val="002114F1"/>
    <w:rsid w:val="00217AF7"/>
    <w:rsid w:val="00223C69"/>
    <w:rsid w:val="00225921"/>
    <w:rsid w:val="002330A5"/>
    <w:rsid w:val="002341A1"/>
    <w:rsid w:val="002430F8"/>
    <w:rsid w:val="002504E2"/>
    <w:rsid w:val="002529DB"/>
    <w:rsid w:val="00254ED3"/>
    <w:rsid w:val="002642DC"/>
    <w:rsid w:val="00265913"/>
    <w:rsid w:val="002773F5"/>
    <w:rsid w:val="00282B1D"/>
    <w:rsid w:val="00285041"/>
    <w:rsid w:val="002962EE"/>
    <w:rsid w:val="002A0F36"/>
    <w:rsid w:val="002A47FA"/>
    <w:rsid w:val="002B2A6A"/>
    <w:rsid w:val="002B6511"/>
    <w:rsid w:val="002B6780"/>
    <w:rsid w:val="002B6E99"/>
    <w:rsid w:val="002C3824"/>
    <w:rsid w:val="002C3F98"/>
    <w:rsid w:val="002C7D5C"/>
    <w:rsid w:val="002D003A"/>
    <w:rsid w:val="002D15B6"/>
    <w:rsid w:val="002D5680"/>
    <w:rsid w:val="002D628A"/>
    <w:rsid w:val="002D7440"/>
    <w:rsid w:val="002E68FA"/>
    <w:rsid w:val="002F3145"/>
    <w:rsid w:val="002F7201"/>
    <w:rsid w:val="00300114"/>
    <w:rsid w:val="003033E4"/>
    <w:rsid w:val="00314F61"/>
    <w:rsid w:val="003168CC"/>
    <w:rsid w:val="00323DBD"/>
    <w:rsid w:val="003254CC"/>
    <w:rsid w:val="003263A2"/>
    <w:rsid w:val="0034386A"/>
    <w:rsid w:val="00347FCC"/>
    <w:rsid w:val="00356B67"/>
    <w:rsid w:val="0036074D"/>
    <w:rsid w:val="00361A51"/>
    <w:rsid w:val="003664C9"/>
    <w:rsid w:val="003671DF"/>
    <w:rsid w:val="00370648"/>
    <w:rsid w:val="00385EBA"/>
    <w:rsid w:val="003A0FB4"/>
    <w:rsid w:val="003A551B"/>
    <w:rsid w:val="003B047E"/>
    <w:rsid w:val="003B6B84"/>
    <w:rsid w:val="003C1F4C"/>
    <w:rsid w:val="003C3568"/>
    <w:rsid w:val="003C7A4B"/>
    <w:rsid w:val="003D14AA"/>
    <w:rsid w:val="003D671F"/>
    <w:rsid w:val="003E1487"/>
    <w:rsid w:val="003E2F84"/>
    <w:rsid w:val="003E399F"/>
    <w:rsid w:val="003E7F89"/>
    <w:rsid w:val="003F2D0E"/>
    <w:rsid w:val="00403EA8"/>
    <w:rsid w:val="0040568B"/>
    <w:rsid w:val="0041431D"/>
    <w:rsid w:val="00414E21"/>
    <w:rsid w:val="00416296"/>
    <w:rsid w:val="00426F46"/>
    <w:rsid w:val="00427335"/>
    <w:rsid w:val="00436690"/>
    <w:rsid w:val="00440F06"/>
    <w:rsid w:val="00443B03"/>
    <w:rsid w:val="00446793"/>
    <w:rsid w:val="0045045E"/>
    <w:rsid w:val="00452BFF"/>
    <w:rsid w:val="00455CFD"/>
    <w:rsid w:val="00456B13"/>
    <w:rsid w:val="00463269"/>
    <w:rsid w:val="00466BE1"/>
    <w:rsid w:val="00480AB5"/>
    <w:rsid w:val="00483DAC"/>
    <w:rsid w:val="00485359"/>
    <w:rsid w:val="00485782"/>
    <w:rsid w:val="004913BF"/>
    <w:rsid w:val="00491AD1"/>
    <w:rsid w:val="004974E6"/>
    <w:rsid w:val="00497A10"/>
    <w:rsid w:val="004A4C47"/>
    <w:rsid w:val="004A50EB"/>
    <w:rsid w:val="004A7EF8"/>
    <w:rsid w:val="004B004C"/>
    <w:rsid w:val="004B0CCB"/>
    <w:rsid w:val="004B621D"/>
    <w:rsid w:val="004C12C3"/>
    <w:rsid w:val="004C79A4"/>
    <w:rsid w:val="004F0124"/>
    <w:rsid w:val="004F0E6C"/>
    <w:rsid w:val="004F2537"/>
    <w:rsid w:val="004F3053"/>
    <w:rsid w:val="004F4CCA"/>
    <w:rsid w:val="00505C2A"/>
    <w:rsid w:val="00514E54"/>
    <w:rsid w:val="0051573E"/>
    <w:rsid w:val="00523E14"/>
    <w:rsid w:val="005323E9"/>
    <w:rsid w:val="005378DF"/>
    <w:rsid w:val="00544186"/>
    <w:rsid w:val="00544768"/>
    <w:rsid w:val="0054724E"/>
    <w:rsid w:val="005473BA"/>
    <w:rsid w:val="00554D51"/>
    <w:rsid w:val="00561055"/>
    <w:rsid w:val="00562B07"/>
    <w:rsid w:val="00565315"/>
    <w:rsid w:val="00567A9A"/>
    <w:rsid w:val="005718A5"/>
    <w:rsid w:val="00574616"/>
    <w:rsid w:val="005748FE"/>
    <w:rsid w:val="00575F38"/>
    <w:rsid w:val="005833B9"/>
    <w:rsid w:val="00583E07"/>
    <w:rsid w:val="00587962"/>
    <w:rsid w:val="00591630"/>
    <w:rsid w:val="00592576"/>
    <w:rsid w:val="00593BF7"/>
    <w:rsid w:val="005941E1"/>
    <w:rsid w:val="00597FDD"/>
    <w:rsid w:val="005A3ABE"/>
    <w:rsid w:val="005A743A"/>
    <w:rsid w:val="005C37A6"/>
    <w:rsid w:val="005C3C75"/>
    <w:rsid w:val="005C4065"/>
    <w:rsid w:val="005C701A"/>
    <w:rsid w:val="005C7AB3"/>
    <w:rsid w:val="005D0304"/>
    <w:rsid w:val="005D435B"/>
    <w:rsid w:val="005D7020"/>
    <w:rsid w:val="005E2DAA"/>
    <w:rsid w:val="005E3821"/>
    <w:rsid w:val="005E42E4"/>
    <w:rsid w:val="005E67E9"/>
    <w:rsid w:val="005E6DD0"/>
    <w:rsid w:val="005F0577"/>
    <w:rsid w:val="005F30AE"/>
    <w:rsid w:val="005F5DF4"/>
    <w:rsid w:val="005F6BAC"/>
    <w:rsid w:val="005F6F1D"/>
    <w:rsid w:val="005F7292"/>
    <w:rsid w:val="00611A4D"/>
    <w:rsid w:val="0061258F"/>
    <w:rsid w:val="00612C58"/>
    <w:rsid w:val="0062024E"/>
    <w:rsid w:val="006208F9"/>
    <w:rsid w:val="006210C2"/>
    <w:rsid w:val="00624A78"/>
    <w:rsid w:val="00625D6C"/>
    <w:rsid w:val="006272A1"/>
    <w:rsid w:val="00627587"/>
    <w:rsid w:val="00634354"/>
    <w:rsid w:val="00634FF0"/>
    <w:rsid w:val="00635A7C"/>
    <w:rsid w:val="00644F26"/>
    <w:rsid w:val="00645119"/>
    <w:rsid w:val="00647B94"/>
    <w:rsid w:val="00652397"/>
    <w:rsid w:val="00653485"/>
    <w:rsid w:val="006546E5"/>
    <w:rsid w:val="006549FC"/>
    <w:rsid w:val="00660B20"/>
    <w:rsid w:val="00663C9A"/>
    <w:rsid w:val="006726E6"/>
    <w:rsid w:val="00673E01"/>
    <w:rsid w:val="00676E38"/>
    <w:rsid w:val="00685CF1"/>
    <w:rsid w:val="00694F60"/>
    <w:rsid w:val="006967C8"/>
    <w:rsid w:val="006A05FB"/>
    <w:rsid w:val="006A078D"/>
    <w:rsid w:val="006B4444"/>
    <w:rsid w:val="006B6285"/>
    <w:rsid w:val="006C0777"/>
    <w:rsid w:val="006C0888"/>
    <w:rsid w:val="006C6A19"/>
    <w:rsid w:val="006D1265"/>
    <w:rsid w:val="006E15EA"/>
    <w:rsid w:val="006E222F"/>
    <w:rsid w:val="006E5332"/>
    <w:rsid w:val="006F26DC"/>
    <w:rsid w:val="006F671E"/>
    <w:rsid w:val="006F6C05"/>
    <w:rsid w:val="0070194B"/>
    <w:rsid w:val="00702EF7"/>
    <w:rsid w:val="00704E26"/>
    <w:rsid w:val="007060F0"/>
    <w:rsid w:val="00707A6A"/>
    <w:rsid w:val="00712E3F"/>
    <w:rsid w:val="00717A79"/>
    <w:rsid w:val="00723AA5"/>
    <w:rsid w:val="00733B48"/>
    <w:rsid w:val="00743617"/>
    <w:rsid w:val="00744E6B"/>
    <w:rsid w:val="00754B88"/>
    <w:rsid w:val="007561AB"/>
    <w:rsid w:val="00760CF4"/>
    <w:rsid w:val="00770264"/>
    <w:rsid w:val="0078005E"/>
    <w:rsid w:val="00780C75"/>
    <w:rsid w:val="00785B77"/>
    <w:rsid w:val="00796DE0"/>
    <w:rsid w:val="007B093E"/>
    <w:rsid w:val="007B2E50"/>
    <w:rsid w:val="007B49C0"/>
    <w:rsid w:val="007B79AB"/>
    <w:rsid w:val="007C3113"/>
    <w:rsid w:val="007C3365"/>
    <w:rsid w:val="007C3955"/>
    <w:rsid w:val="007C5B42"/>
    <w:rsid w:val="007D0ED2"/>
    <w:rsid w:val="007D7456"/>
    <w:rsid w:val="007E1094"/>
    <w:rsid w:val="007E67DD"/>
    <w:rsid w:val="007F3766"/>
    <w:rsid w:val="007F3DD2"/>
    <w:rsid w:val="007F50A4"/>
    <w:rsid w:val="008015D2"/>
    <w:rsid w:val="00802231"/>
    <w:rsid w:val="0080552D"/>
    <w:rsid w:val="00806B31"/>
    <w:rsid w:val="00807B3F"/>
    <w:rsid w:val="00810A4F"/>
    <w:rsid w:val="00810BAA"/>
    <w:rsid w:val="00810CB3"/>
    <w:rsid w:val="008124F3"/>
    <w:rsid w:val="0082354F"/>
    <w:rsid w:val="00826B4E"/>
    <w:rsid w:val="00830C54"/>
    <w:rsid w:val="00830E90"/>
    <w:rsid w:val="0083482E"/>
    <w:rsid w:val="00837FB3"/>
    <w:rsid w:val="00841672"/>
    <w:rsid w:val="00844445"/>
    <w:rsid w:val="0084490C"/>
    <w:rsid w:val="0084495C"/>
    <w:rsid w:val="00853398"/>
    <w:rsid w:val="008539E3"/>
    <w:rsid w:val="008565C8"/>
    <w:rsid w:val="00860DC0"/>
    <w:rsid w:val="008713A5"/>
    <w:rsid w:val="00881B57"/>
    <w:rsid w:val="008825C2"/>
    <w:rsid w:val="0088539F"/>
    <w:rsid w:val="00885D7C"/>
    <w:rsid w:val="008922AE"/>
    <w:rsid w:val="00894E12"/>
    <w:rsid w:val="008A1A5F"/>
    <w:rsid w:val="008A2D7D"/>
    <w:rsid w:val="008A7848"/>
    <w:rsid w:val="008B0921"/>
    <w:rsid w:val="008B1DD5"/>
    <w:rsid w:val="008B2323"/>
    <w:rsid w:val="008B5B9B"/>
    <w:rsid w:val="008B7528"/>
    <w:rsid w:val="008C0F09"/>
    <w:rsid w:val="008C18E9"/>
    <w:rsid w:val="008C228A"/>
    <w:rsid w:val="008D0E01"/>
    <w:rsid w:val="008E1C9F"/>
    <w:rsid w:val="008E25C7"/>
    <w:rsid w:val="008E445F"/>
    <w:rsid w:val="008F07CE"/>
    <w:rsid w:val="008F6AA0"/>
    <w:rsid w:val="00910F17"/>
    <w:rsid w:val="0091221E"/>
    <w:rsid w:val="00915A33"/>
    <w:rsid w:val="00920EEA"/>
    <w:rsid w:val="00922097"/>
    <w:rsid w:val="0092360F"/>
    <w:rsid w:val="00931FB9"/>
    <w:rsid w:val="00932D57"/>
    <w:rsid w:val="009334DB"/>
    <w:rsid w:val="009403D0"/>
    <w:rsid w:val="00950CA8"/>
    <w:rsid w:val="00953841"/>
    <w:rsid w:val="00956A1C"/>
    <w:rsid w:val="00957450"/>
    <w:rsid w:val="0097061E"/>
    <w:rsid w:val="009732D4"/>
    <w:rsid w:val="009805E2"/>
    <w:rsid w:val="00983DB6"/>
    <w:rsid w:val="00985A96"/>
    <w:rsid w:val="00995BF8"/>
    <w:rsid w:val="00997B46"/>
    <w:rsid w:val="00997B94"/>
    <w:rsid w:val="009B63CF"/>
    <w:rsid w:val="009C19B4"/>
    <w:rsid w:val="009C54D9"/>
    <w:rsid w:val="009D3619"/>
    <w:rsid w:val="009E216B"/>
    <w:rsid w:val="009F2DFF"/>
    <w:rsid w:val="00A03AB9"/>
    <w:rsid w:val="00A047B5"/>
    <w:rsid w:val="00A15209"/>
    <w:rsid w:val="00A1638E"/>
    <w:rsid w:val="00A1674A"/>
    <w:rsid w:val="00A17D9E"/>
    <w:rsid w:val="00A208EB"/>
    <w:rsid w:val="00A32396"/>
    <w:rsid w:val="00A32B98"/>
    <w:rsid w:val="00A40D5C"/>
    <w:rsid w:val="00A43FF9"/>
    <w:rsid w:val="00A51D19"/>
    <w:rsid w:val="00A55057"/>
    <w:rsid w:val="00A62AE1"/>
    <w:rsid w:val="00A66958"/>
    <w:rsid w:val="00A66DF3"/>
    <w:rsid w:val="00A74C60"/>
    <w:rsid w:val="00A81EBF"/>
    <w:rsid w:val="00A82561"/>
    <w:rsid w:val="00A9578D"/>
    <w:rsid w:val="00A963A8"/>
    <w:rsid w:val="00A96F6A"/>
    <w:rsid w:val="00AA08EC"/>
    <w:rsid w:val="00AA14B6"/>
    <w:rsid w:val="00AA2735"/>
    <w:rsid w:val="00AA2B95"/>
    <w:rsid w:val="00AA7013"/>
    <w:rsid w:val="00AB0A7D"/>
    <w:rsid w:val="00AB1F92"/>
    <w:rsid w:val="00AB3FCB"/>
    <w:rsid w:val="00AB533D"/>
    <w:rsid w:val="00AC031B"/>
    <w:rsid w:val="00AC2996"/>
    <w:rsid w:val="00AC3F07"/>
    <w:rsid w:val="00AC56FC"/>
    <w:rsid w:val="00AD31BC"/>
    <w:rsid w:val="00AD56A7"/>
    <w:rsid w:val="00AD62C5"/>
    <w:rsid w:val="00AE287A"/>
    <w:rsid w:val="00AE2AE2"/>
    <w:rsid w:val="00AE2D97"/>
    <w:rsid w:val="00AE7E64"/>
    <w:rsid w:val="00AF3144"/>
    <w:rsid w:val="00AF7A1C"/>
    <w:rsid w:val="00B02043"/>
    <w:rsid w:val="00B12376"/>
    <w:rsid w:val="00B20EEE"/>
    <w:rsid w:val="00B27510"/>
    <w:rsid w:val="00B331AE"/>
    <w:rsid w:val="00B458A3"/>
    <w:rsid w:val="00B46846"/>
    <w:rsid w:val="00B52C31"/>
    <w:rsid w:val="00B57341"/>
    <w:rsid w:val="00B71A97"/>
    <w:rsid w:val="00B77BD4"/>
    <w:rsid w:val="00B84194"/>
    <w:rsid w:val="00B92BA9"/>
    <w:rsid w:val="00B97B6E"/>
    <w:rsid w:val="00BA0BC1"/>
    <w:rsid w:val="00BA3189"/>
    <w:rsid w:val="00BB27C5"/>
    <w:rsid w:val="00BB387D"/>
    <w:rsid w:val="00BC2BFB"/>
    <w:rsid w:val="00BC6A8D"/>
    <w:rsid w:val="00BC7834"/>
    <w:rsid w:val="00BE1348"/>
    <w:rsid w:val="00BE4444"/>
    <w:rsid w:val="00BE5F98"/>
    <w:rsid w:val="00BE6A5B"/>
    <w:rsid w:val="00C007F6"/>
    <w:rsid w:val="00C03925"/>
    <w:rsid w:val="00C047E7"/>
    <w:rsid w:val="00C04A63"/>
    <w:rsid w:val="00C06282"/>
    <w:rsid w:val="00C072E3"/>
    <w:rsid w:val="00C07D4E"/>
    <w:rsid w:val="00C16BD6"/>
    <w:rsid w:val="00C17ED3"/>
    <w:rsid w:val="00C2447B"/>
    <w:rsid w:val="00C27E05"/>
    <w:rsid w:val="00C3432E"/>
    <w:rsid w:val="00C3551A"/>
    <w:rsid w:val="00C41329"/>
    <w:rsid w:val="00C464F8"/>
    <w:rsid w:val="00C57B96"/>
    <w:rsid w:val="00C62FA1"/>
    <w:rsid w:val="00C63AFF"/>
    <w:rsid w:val="00C66F5F"/>
    <w:rsid w:val="00C72F5E"/>
    <w:rsid w:val="00C76906"/>
    <w:rsid w:val="00C802C1"/>
    <w:rsid w:val="00C90010"/>
    <w:rsid w:val="00C94DCF"/>
    <w:rsid w:val="00C9694D"/>
    <w:rsid w:val="00C96E5E"/>
    <w:rsid w:val="00C97019"/>
    <w:rsid w:val="00CA29DB"/>
    <w:rsid w:val="00CA3FE5"/>
    <w:rsid w:val="00CB1E6C"/>
    <w:rsid w:val="00CC1195"/>
    <w:rsid w:val="00CC4BE4"/>
    <w:rsid w:val="00CC793B"/>
    <w:rsid w:val="00CD0116"/>
    <w:rsid w:val="00CD519A"/>
    <w:rsid w:val="00CD7E66"/>
    <w:rsid w:val="00CF6510"/>
    <w:rsid w:val="00CF7B05"/>
    <w:rsid w:val="00D04EA3"/>
    <w:rsid w:val="00D07DD9"/>
    <w:rsid w:val="00D100D6"/>
    <w:rsid w:val="00D10CE5"/>
    <w:rsid w:val="00D11F1D"/>
    <w:rsid w:val="00D12FBD"/>
    <w:rsid w:val="00D161B4"/>
    <w:rsid w:val="00D16D75"/>
    <w:rsid w:val="00D200D5"/>
    <w:rsid w:val="00D2126B"/>
    <w:rsid w:val="00D22D14"/>
    <w:rsid w:val="00D27DE1"/>
    <w:rsid w:val="00D3515D"/>
    <w:rsid w:val="00D4290F"/>
    <w:rsid w:val="00D4387C"/>
    <w:rsid w:val="00D44DB1"/>
    <w:rsid w:val="00D56C0A"/>
    <w:rsid w:val="00D617D8"/>
    <w:rsid w:val="00D62EDA"/>
    <w:rsid w:val="00D6328A"/>
    <w:rsid w:val="00D63690"/>
    <w:rsid w:val="00D66CB2"/>
    <w:rsid w:val="00D7240A"/>
    <w:rsid w:val="00D724D7"/>
    <w:rsid w:val="00D76F75"/>
    <w:rsid w:val="00D77584"/>
    <w:rsid w:val="00D80BBF"/>
    <w:rsid w:val="00D8796B"/>
    <w:rsid w:val="00D94F65"/>
    <w:rsid w:val="00D96744"/>
    <w:rsid w:val="00D96A48"/>
    <w:rsid w:val="00DA3F2E"/>
    <w:rsid w:val="00DA465D"/>
    <w:rsid w:val="00DA5D0D"/>
    <w:rsid w:val="00DB2DC5"/>
    <w:rsid w:val="00DC2B2A"/>
    <w:rsid w:val="00DC30D9"/>
    <w:rsid w:val="00DD3416"/>
    <w:rsid w:val="00DE614A"/>
    <w:rsid w:val="00DE6BEB"/>
    <w:rsid w:val="00DF05AE"/>
    <w:rsid w:val="00DF6C34"/>
    <w:rsid w:val="00DF716C"/>
    <w:rsid w:val="00DF780E"/>
    <w:rsid w:val="00E13541"/>
    <w:rsid w:val="00E14D72"/>
    <w:rsid w:val="00E14D9D"/>
    <w:rsid w:val="00E21E01"/>
    <w:rsid w:val="00E23EB3"/>
    <w:rsid w:val="00E30B8D"/>
    <w:rsid w:val="00E313AF"/>
    <w:rsid w:val="00E33298"/>
    <w:rsid w:val="00E53839"/>
    <w:rsid w:val="00E566E4"/>
    <w:rsid w:val="00E60B70"/>
    <w:rsid w:val="00E60B8F"/>
    <w:rsid w:val="00E60C03"/>
    <w:rsid w:val="00E65CBA"/>
    <w:rsid w:val="00E67C6B"/>
    <w:rsid w:val="00E8014D"/>
    <w:rsid w:val="00E829A2"/>
    <w:rsid w:val="00E83ADE"/>
    <w:rsid w:val="00E854D2"/>
    <w:rsid w:val="00E866D6"/>
    <w:rsid w:val="00E87CE6"/>
    <w:rsid w:val="00E90876"/>
    <w:rsid w:val="00E9434C"/>
    <w:rsid w:val="00EA0357"/>
    <w:rsid w:val="00EA4787"/>
    <w:rsid w:val="00EA6BF0"/>
    <w:rsid w:val="00EB2024"/>
    <w:rsid w:val="00EB366B"/>
    <w:rsid w:val="00EC0016"/>
    <w:rsid w:val="00ED1A15"/>
    <w:rsid w:val="00ED5169"/>
    <w:rsid w:val="00ED6433"/>
    <w:rsid w:val="00ED64E9"/>
    <w:rsid w:val="00ED70BA"/>
    <w:rsid w:val="00EF4430"/>
    <w:rsid w:val="00EF6A2F"/>
    <w:rsid w:val="00F0354E"/>
    <w:rsid w:val="00F101EC"/>
    <w:rsid w:val="00F20846"/>
    <w:rsid w:val="00F221C2"/>
    <w:rsid w:val="00F32CA9"/>
    <w:rsid w:val="00F4269A"/>
    <w:rsid w:val="00F52BC4"/>
    <w:rsid w:val="00F53DE9"/>
    <w:rsid w:val="00F579EC"/>
    <w:rsid w:val="00F62BE0"/>
    <w:rsid w:val="00F62FDB"/>
    <w:rsid w:val="00F70A13"/>
    <w:rsid w:val="00F71B7F"/>
    <w:rsid w:val="00F857AC"/>
    <w:rsid w:val="00F86DAE"/>
    <w:rsid w:val="00F977E1"/>
    <w:rsid w:val="00FA1B28"/>
    <w:rsid w:val="00FA5216"/>
    <w:rsid w:val="00FB4746"/>
    <w:rsid w:val="00FC1DCC"/>
    <w:rsid w:val="00FD1524"/>
    <w:rsid w:val="00FD1E76"/>
    <w:rsid w:val="00FD30EE"/>
    <w:rsid w:val="00FD5583"/>
    <w:rsid w:val="00FE0073"/>
    <w:rsid w:val="00FF19E9"/>
    <w:rsid w:val="00FF2E5E"/>
    <w:rsid w:val="00FF4047"/>
    <w:rsid w:val="00FF47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41"/>
    <w:rPr>
      <w:rFonts w:ascii="Trebuchet MS" w:hAnsi="Trebuchet MS"/>
      <w:sz w:val="22"/>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rsid w:val="00807B3F"/>
    <w:pPr>
      <w:tabs>
        <w:tab w:val="center" w:pos="4153"/>
        <w:tab w:val="right" w:pos="8306"/>
      </w:tabs>
    </w:pPr>
  </w:style>
  <w:style w:type="character" w:styleId="PageNumber">
    <w:name w:val="page number"/>
    <w:basedOn w:val="DefaultParagraphFont"/>
    <w:rsid w:val="00807B3F"/>
  </w:style>
  <w:style w:type="paragraph" w:styleId="BalloonText">
    <w:name w:val="Balloon Text"/>
    <w:basedOn w:val="Normal"/>
    <w:semiHidden/>
    <w:rsid w:val="00F86DAE"/>
    <w:rPr>
      <w:rFonts w:ascii="Tahoma" w:hAnsi="Tahoma" w:cs="Tahoma"/>
      <w:sz w:val="16"/>
      <w:szCs w:val="16"/>
    </w:rPr>
  </w:style>
  <w:style w:type="paragraph" w:styleId="ListParagraph">
    <w:name w:val="List Paragraph"/>
    <w:basedOn w:val="Normal"/>
    <w:uiPriority w:val="34"/>
    <w:rsid w:val="00B92BA9"/>
    <w:pPr>
      <w:spacing w:before="240" w:after="240"/>
      <w:ind w:left="720"/>
      <w:jc w:val="both"/>
    </w:pPr>
    <w:rPr>
      <w:rFonts w:ascii="Garamond" w:hAnsi="Garamond"/>
      <w:sz w:val="24"/>
      <w:lang w:eastAsia="en-AU"/>
    </w:rPr>
  </w:style>
  <w:style w:type="character" w:styleId="CommentReference">
    <w:name w:val="annotation reference"/>
    <w:basedOn w:val="DefaultParagraphFont"/>
    <w:uiPriority w:val="99"/>
    <w:semiHidden/>
    <w:unhideWhenUsed/>
    <w:rsid w:val="00A9578D"/>
    <w:rPr>
      <w:sz w:val="16"/>
      <w:szCs w:val="16"/>
    </w:rPr>
  </w:style>
  <w:style w:type="paragraph" w:styleId="CommentText">
    <w:name w:val="annotation text"/>
    <w:basedOn w:val="Normal"/>
    <w:link w:val="CommentTextChar"/>
    <w:uiPriority w:val="99"/>
    <w:unhideWhenUsed/>
    <w:rsid w:val="00A9578D"/>
    <w:rPr>
      <w:sz w:val="20"/>
      <w:szCs w:val="20"/>
    </w:rPr>
  </w:style>
  <w:style w:type="character" w:customStyle="1" w:styleId="CommentTextChar">
    <w:name w:val="Comment Text Char"/>
    <w:basedOn w:val="DefaultParagraphFont"/>
    <w:link w:val="CommentText"/>
    <w:uiPriority w:val="99"/>
    <w:rsid w:val="00A9578D"/>
    <w:rPr>
      <w:rFonts w:ascii="Trebuchet MS" w:hAnsi="Trebuchet MS"/>
      <w:lang w:eastAsia="en-US"/>
    </w:rPr>
  </w:style>
  <w:style w:type="paragraph" w:styleId="BodyText">
    <w:name w:val="Body Text"/>
    <w:basedOn w:val="Normal"/>
    <w:link w:val="BodyTextChar"/>
    <w:rsid w:val="00A9578D"/>
    <w:pPr>
      <w:spacing w:after="240"/>
    </w:pPr>
    <w:rPr>
      <w:rFonts w:ascii="Times New Roman" w:hAnsi="Times New Roman"/>
      <w:sz w:val="24"/>
      <w:szCs w:val="20"/>
      <w:lang w:eastAsia="en-AU"/>
    </w:rPr>
  </w:style>
  <w:style w:type="character" w:customStyle="1" w:styleId="BodyTextChar">
    <w:name w:val="Body Text Char"/>
    <w:basedOn w:val="DefaultParagraphFont"/>
    <w:link w:val="BodyText"/>
    <w:rsid w:val="00A9578D"/>
    <w:rPr>
      <w:sz w:val="24"/>
    </w:rPr>
  </w:style>
  <w:style w:type="paragraph" w:styleId="CommentSubject">
    <w:name w:val="annotation subject"/>
    <w:basedOn w:val="CommentText"/>
    <w:next w:val="CommentText"/>
    <w:link w:val="CommentSubjectChar"/>
    <w:uiPriority w:val="99"/>
    <w:semiHidden/>
    <w:unhideWhenUsed/>
    <w:rsid w:val="00A9578D"/>
    <w:rPr>
      <w:b/>
      <w:bCs/>
    </w:rPr>
  </w:style>
  <w:style w:type="character" w:customStyle="1" w:styleId="CommentSubjectChar">
    <w:name w:val="Comment Subject Char"/>
    <w:basedOn w:val="CommentTextChar"/>
    <w:link w:val="CommentSubject"/>
    <w:uiPriority w:val="99"/>
    <w:semiHidden/>
    <w:rsid w:val="00A9578D"/>
    <w:rPr>
      <w:rFonts w:ascii="Trebuchet MS" w:hAnsi="Trebuchet MS"/>
      <w:b/>
      <w:bCs/>
      <w:lang w:eastAsia="en-US"/>
    </w:rPr>
  </w:style>
  <w:style w:type="paragraph" w:styleId="Revision">
    <w:name w:val="Revision"/>
    <w:hidden/>
    <w:uiPriority w:val="99"/>
    <w:semiHidden/>
    <w:rsid w:val="00D200D5"/>
    <w:rPr>
      <w:rFonts w:ascii="Trebuchet MS" w:hAnsi="Trebuchet MS"/>
      <w:sz w:val="22"/>
      <w:szCs w:val="24"/>
      <w:lang w:eastAsia="en-US"/>
    </w:rPr>
  </w:style>
  <w:style w:type="paragraph" w:styleId="Title">
    <w:name w:val="Title"/>
    <w:basedOn w:val="Normal"/>
    <w:link w:val="TitleChar"/>
    <w:qFormat/>
    <w:rsid w:val="00931FB9"/>
    <w:pPr>
      <w:jc w:val="center"/>
    </w:pPr>
    <w:rPr>
      <w:rFonts w:ascii="Times New Roman" w:hAnsi="Times New Roman"/>
      <w:b/>
      <w:sz w:val="24"/>
      <w:szCs w:val="20"/>
      <w:lang w:val="en-US" w:eastAsia="en-AU"/>
    </w:rPr>
  </w:style>
  <w:style w:type="character" w:customStyle="1" w:styleId="TitleChar">
    <w:name w:val="Title Char"/>
    <w:basedOn w:val="DefaultParagraphFont"/>
    <w:link w:val="Title"/>
    <w:rsid w:val="00931FB9"/>
    <w:rPr>
      <w:b/>
      <w:sz w:val="24"/>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41"/>
    <w:rPr>
      <w:rFonts w:ascii="Trebuchet MS" w:hAnsi="Trebuchet MS"/>
      <w:sz w:val="22"/>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rsid w:val="00807B3F"/>
    <w:pPr>
      <w:tabs>
        <w:tab w:val="center" w:pos="4153"/>
        <w:tab w:val="right" w:pos="8306"/>
      </w:tabs>
    </w:pPr>
  </w:style>
  <w:style w:type="character" w:styleId="PageNumber">
    <w:name w:val="page number"/>
    <w:basedOn w:val="DefaultParagraphFont"/>
    <w:rsid w:val="00807B3F"/>
  </w:style>
  <w:style w:type="paragraph" w:styleId="BalloonText">
    <w:name w:val="Balloon Text"/>
    <w:basedOn w:val="Normal"/>
    <w:semiHidden/>
    <w:rsid w:val="00F86DAE"/>
    <w:rPr>
      <w:rFonts w:ascii="Tahoma" w:hAnsi="Tahoma" w:cs="Tahoma"/>
      <w:sz w:val="16"/>
      <w:szCs w:val="16"/>
    </w:rPr>
  </w:style>
  <w:style w:type="paragraph" w:styleId="ListParagraph">
    <w:name w:val="List Paragraph"/>
    <w:basedOn w:val="Normal"/>
    <w:uiPriority w:val="34"/>
    <w:rsid w:val="00B92BA9"/>
    <w:pPr>
      <w:spacing w:before="240" w:after="240"/>
      <w:ind w:left="720"/>
      <w:jc w:val="both"/>
    </w:pPr>
    <w:rPr>
      <w:rFonts w:ascii="Garamond" w:hAnsi="Garamond"/>
      <w:sz w:val="24"/>
      <w:lang w:eastAsia="en-AU"/>
    </w:rPr>
  </w:style>
  <w:style w:type="character" w:styleId="CommentReference">
    <w:name w:val="annotation reference"/>
    <w:basedOn w:val="DefaultParagraphFont"/>
    <w:uiPriority w:val="99"/>
    <w:semiHidden/>
    <w:unhideWhenUsed/>
    <w:rsid w:val="00A9578D"/>
    <w:rPr>
      <w:sz w:val="16"/>
      <w:szCs w:val="16"/>
    </w:rPr>
  </w:style>
  <w:style w:type="paragraph" w:styleId="CommentText">
    <w:name w:val="annotation text"/>
    <w:basedOn w:val="Normal"/>
    <w:link w:val="CommentTextChar"/>
    <w:uiPriority w:val="99"/>
    <w:unhideWhenUsed/>
    <w:rsid w:val="00A9578D"/>
    <w:rPr>
      <w:sz w:val="20"/>
      <w:szCs w:val="20"/>
    </w:rPr>
  </w:style>
  <w:style w:type="character" w:customStyle="1" w:styleId="CommentTextChar">
    <w:name w:val="Comment Text Char"/>
    <w:basedOn w:val="DefaultParagraphFont"/>
    <w:link w:val="CommentText"/>
    <w:uiPriority w:val="99"/>
    <w:rsid w:val="00A9578D"/>
    <w:rPr>
      <w:rFonts w:ascii="Trebuchet MS" w:hAnsi="Trebuchet MS"/>
      <w:lang w:eastAsia="en-US"/>
    </w:rPr>
  </w:style>
  <w:style w:type="paragraph" w:styleId="BodyText">
    <w:name w:val="Body Text"/>
    <w:basedOn w:val="Normal"/>
    <w:link w:val="BodyTextChar"/>
    <w:rsid w:val="00A9578D"/>
    <w:pPr>
      <w:spacing w:after="240"/>
    </w:pPr>
    <w:rPr>
      <w:rFonts w:ascii="Times New Roman" w:hAnsi="Times New Roman"/>
      <w:sz w:val="24"/>
      <w:szCs w:val="20"/>
      <w:lang w:eastAsia="en-AU"/>
    </w:rPr>
  </w:style>
  <w:style w:type="character" w:customStyle="1" w:styleId="BodyTextChar">
    <w:name w:val="Body Text Char"/>
    <w:basedOn w:val="DefaultParagraphFont"/>
    <w:link w:val="BodyText"/>
    <w:rsid w:val="00A9578D"/>
    <w:rPr>
      <w:sz w:val="24"/>
    </w:rPr>
  </w:style>
  <w:style w:type="paragraph" w:styleId="CommentSubject">
    <w:name w:val="annotation subject"/>
    <w:basedOn w:val="CommentText"/>
    <w:next w:val="CommentText"/>
    <w:link w:val="CommentSubjectChar"/>
    <w:uiPriority w:val="99"/>
    <w:semiHidden/>
    <w:unhideWhenUsed/>
    <w:rsid w:val="00A9578D"/>
    <w:rPr>
      <w:b/>
      <w:bCs/>
    </w:rPr>
  </w:style>
  <w:style w:type="character" w:customStyle="1" w:styleId="CommentSubjectChar">
    <w:name w:val="Comment Subject Char"/>
    <w:basedOn w:val="CommentTextChar"/>
    <w:link w:val="CommentSubject"/>
    <w:uiPriority w:val="99"/>
    <w:semiHidden/>
    <w:rsid w:val="00A9578D"/>
    <w:rPr>
      <w:rFonts w:ascii="Trebuchet MS" w:hAnsi="Trebuchet MS"/>
      <w:b/>
      <w:bCs/>
      <w:lang w:eastAsia="en-US"/>
    </w:rPr>
  </w:style>
  <w:style w:type="paragraph" w:styleId="Revision">
    <w:name w:val="Revision"/>
    <w:hidden/>
    <w:uiPriority w:val="99"/>
    <w:semiHidden/>
    <w:rsid w:val="00D200D5"/>
    <w:rPr>
      <w:rFonts w:ascii="Trebuchet MS" w:hAnsi="Trebuchet MS"/>
      <w:sz w:val="22"/>
      <w:szCs w:val="24"/>
      <w:lang w:eastAsia="en-US"/>
    </w:rPr>
  </w:style>
  <w:style w:type="paragraph" w:styleId="Title">
    <w:name w:val="Title"/>
    <w:basedOn w:val="Normal"/>
    <w:link w:val="TitleChar"/>
    <w:qFormat/>
    <w:rsid w:val="00931FB9"/>
    <w:pPr>
      <w:jc w:val="center"/>
    </w:pPr>
    <w:rPr>
      <w:rFonts w:ascii="Times New Roman" w:hAnsi="Times New Roman"/>
      <w:b/>
      <w:sz w:val="24"/>
      <w:szCs w:val="20"/>
      <w:lang w:val="en-US" w:eastAsia="en-AU"/>
    </w:rPr>
  </w:style>
  <w:style w:type="character" w:customStyle="1" w:styleId="TitleChar">
    <w:name w:val="Title Char"/>
    <w:basedOn w:val="DefaultParagraphFont"/>
    <w:link w:val="Title"/>
    <w:rsid w:val="00931FB9"/>
    <w:rPr>
      <w:b/>
      <w:sz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BB7D397E-FBE7-4190-A20C-7518966A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&lt;&lt;enter title of instrument, including subtitle (if any)&gt;&gt;</vt:lpstr>
    </vt:vector>
  </TitlesOfParts>
  <Company>APRA</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&lt;&lt;enter title of instrument, including subtitle (if any)&gt;&gt;</dc:title>
  <dc:creator>Jinasena, Oshini</dc:creator>
  <cp:lastModifiedBy>Antonietta Michalis</cp:lastModifiedBy>
  <cp:revision>2</cp:revision>
  <cp:lastPrinted>2015-01-16T03:43:00Z</cp:lastPrinted>
  <dcterms:created xsi:type="dcterms:W3CDTF">2015-03-20T01:08:00Z</dcterms:created>
  <dcterms:modified xsi:type="dcterms:W3CDTF">2015-03-20T01:08:00Z</dcterms:modified>
</cp:coreProperties>
</file>