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8E" w:rsidRDefault="0045788E" w:rsidP="0045788E">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EXPLANATORY STATEMENT</w:t>
      </w:r>
    </w:p>
    <w:p w:rsidR="0045788E" w:rsidRDefault="0045788E" w:rsidP="0045788E">
      <w:pPr>
        <w:rPr>
          <w:rFonts w:ascii="Times New Roman" w:eastAsia="Times New Roman" w:hAnsi="Times New Roman" w:cs="Times New Roman"/>
          <w:sz w:val="24"/>
          <w:szCs w:val="24"/>
          <w:lang w:eastAsia="en-AU"/>
        </w:rPr>
      </w:pPr>
    </w:p>
    <w:p w:rsidR="0045788E" w:rsidRDefault="0045788E" w:rsidP="0045788E">
      <w:pPr>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Issued by the authority of the Minister for Employment </w:t>
      </w:r>
    </w:p>
    <w:p w:rsidR="0045788E" w:rsidRDefault="0045788E" w:rsidP="0045788E">
      <w:pPr>
        <w:jc w:val="center"/>
        <w:rPr>
          <w:rFonts w:ascii="Times New Roman" w:eastAsia="Times New Roman" w:hAnsi="Times New Roman" w:cs="Times New Roman"/>
          <w:sz w:val="24"/>
          <w:szCs w:val="24"/>
          <w:lang w:eastAsia="en-AU"/>
        </w:rPr>
      </w:pPr>
    </w:p>
    <w:p w:rsidR="0045788E" w:rsidRPr="00666005" w:rsidRDefault="00766911" w:rsidP="0045788E">
      <w:pPr>
        <w:jc w:val="center"/>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Seafarers Rehabilitation and Compensation Act 1992</w:t>
      </w:r>
    </w:p>
    <w:p w:rsidR="0045788E" w:rsidRDefault="0045788E" w:rsidP="0045788E">
      <w:pPr>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w:t>
      </w:r>
      <w:proofErr w:type="spellStart"/>
      <w:r w:rsidR="00766911">
        <w:rPr>
          <w:rFonts w:ascii="Times New Roman" w:eastAsia="Times New Roman" w:hAnsi="Times New Roman" w:cs="Times New Roman"/>
          <w:sz w:val="24"/>
          <w:szCs w:val="24"/>
          <w:lang w:eastAsia="en-AU"/>
        </w:rPr>
        <w:t>3A</w:t>
      </w:r>
      <w:proofErr w:type="spellEnd"/>
    </w:p>
    <w:p w:rsidR="0045788E" w:rsidRDefault="0045788E" w:rsidP="0045788E">
      <w:pPr>
        <w:jc w:val="center"/>
        <w:rPr>
          <w:rFonts w:ascii="Times New Roman" w:eastAsia="Times New Roman" w:hAnsi="Times New Roman" w:cs="Times New Roman"/>
          <w:sz w:val="24"/>
          <w:szCs w:val="24"/>
          <w:lang w:eastAsia="en-AU"/>
        </w:rPr>
      </w:pPr>
    </w:p>
    <w:p w:rsidR="0045788E" w:rsidRDefault="00766911" w:rsidP="0045788E">
      <w:pPr>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Seafarers Rehabilitation and Compensation </w:t>
      </w:r>
      <w:r w:rsidR="0045788E">
        <w:rPr>
          <w:rFonts w:ascii="Times New Roman" w:eastAsia="Times New Roman" w:hAnsi="Times New Roman" w:cs="Times New Roman"/>
          <w:i/>
          <w:sz w:val="24"/>
          <w:szCs w:val="24"/>
          <w:lang w:eastAsia="en-AU"/>
        </w:rPr>
        <w:t>(</w:t>
      </w:r>
      <w:r w:rsidR="00666005">
        <w:rPr>
          <w:rFonts w:ascii="Times New Roman" w:eastAsia="Times New Roman" w:hAnsi="Times New Roman" w:cs="Times New Roman"/>
          <w:i/>
          <w:sz w:val="24"/>
          <w:szCs w:val="24"/>
          <w:lang w:eastAsia="en-AU"/>
        </w:rPr>
        <w:t>Prescribed Ship — Intra-State Trade</w:t>
      </w:r>
      <w:r w:rsidR="0045788E">
        <w:rPr>
          <w:rFonts w:ascii="Times New Roman" w:eastAsia="Times New Roman" w:hAnsi="Times New Roman" w:cs="Times New Roman"/>
          <w:i/>
          <w:sz w:val="24"/>
          <w:szCs w:val="24"/>
          <w:lang w:eastAsia="en-AU"/>
        </w:rPr>
        <w:t>)</w:t>
      </w:r>
      <w:r w:rsidR="0045788E">
        <w:rPr>
          <w:rFonts w:ascii="Times New Roman" w:eastAsia="Times New Roman" w:hAnsi="Times New Roman" w:cs="Times New Roman"/>
          <w:sz w:val="24"/>
          <w:szCs w:val="24"/>
          <w:lang w:eastAsia="en-AU"/>
        </w:rPr>
        <w:t xml:space="preserve"> Declaration 201</w:t>
      </w:r>
      <w:r w:rsidR="00666005">
        <w:rPr>
          <w:rFonts w:ascii="Times New Roman" w:eastAsia="Times New Roman" w:hAnsi="Times New Roman" w:cs="Times New Roman"/>
          <w:sz w:val="24"/>
          <w:szCs w:val="24"/>
          <w:lang w:eastAsia="en-AU"/>
        </w:rPr>
        <w:t>5</w:t>
      </w:r>
    </w:p>
    <w:p w:rsidR="0045788E" w:rsidRDefault="0045788E" w:rsidP="0045788E">
      <w:pPr>
        <w:pBdr>
          <w:bottom w:val="single" w:sz="6" w:space="1" w:color="auto"/>
        </w:pBdr>
        <w:rPr>
          <w:rFonts w:ascii="Times New Roman" w:eastAsia="Times New Roman" w:hAnsi="Times New Roman" w:cs="Times New Roman"/>
          <w:sz w:val="24"/>
          <w:szCs w:val="24"/>
          <w:lang w:eastAsia="en-AU"/>
        </w:rPr>
      </w:pPr>
    </w:p>
    <w:p w:rsidR="0045788E" w:rsidRDefault="0045788E" w:rsidP="0045788E">
      <w:pPr>
        <w:rPr>
          <w:rFonts w:ascii="Times New Roman" w:eastAsia="Times New Roman" w:hAnsi="Times New Roman" w:cs="Times New Roman"/>
          <w:sz w:val="24"/>
          <w:szCs w:val="24"/>
          <w:lang w:eastAsia="en-AU"/>
        </w:rPr>
      </w:pPr>
    </w:p>
    <w:p w:rsidR="0045788E" w:rsidRPr="00D027E1" w:rsidRDefault="00D027E1" w:rsidP="0045788E">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Background</w:t>
      </w:r>
    </w:p>
    <w:p w:rsidR="00D027E1" w:rsidRDefault="00D027E1" w:rsidP="0045788E">
      <w:pPr>
        <w:rPr>
          <w:rFonts w:ascii="Times New Roman" w:eastAsia="Times New Roman" w:hAnsi="Times New Roman" w:cs="Times New Roman"/>
          <w:sz w:val="24"/>
          <w:szCs w:val="24"/>
          <w:lang w:eastAsia="en-AU"/>
        </w:rPr>
      </w:pPr>
    </w:p>
    <w:p w:rsidR="00E41235" w:rsidRPr="00714887" w:rsidRDefault="00E41235" w:rsidP="00E41235">
      <w:pPr>
        <w:rPr>
          <w:rFonts w:ascii="Times New Roman" w:eastAsia="Times New Roman" w:hAnsi="Times New Roman" w:cs="Times New Roman"/>
          <w:sz w:val="24"/>
          <w:szCs w:val="24"/>
          <w:lang w:eastAsia="en-AU"/>
        </w:rPr>
      </w:pPr>
      <w:r w:rsidRPr="00E41235">
        <w:rPr>
          <w:rFonts w:ascii="Times New Roman" w:eastAsia="Times New Roman" w:hAnsi="Times New Roman" w:cs="Times New Roman"/>
          <w:sz w:val="24"/>
          <w:szCs w:val="24"/>
          <w:lang w:eastAsia="en-AU"/>
        </w:rPr>
        <w:t xml:space="preserve">The </w:t>
      </w:r>
      <w:r w:rsidRPr="00C437FC">
        <w:rPr>
          <w:rFonts w:ascii="Times New Roman" w:eastAsia="Times New Roman" w:hAnsi="Times New Roman" w:cs="Times New Roman"/>
          <w:i/>
          <w:sz w:val="24"/>
          <w:szCs w:val="24"/>
          <w:lang w:eastAsia="en-AU"/>
        </w:rPr>
        <w:t>Seafarers Rehabilitation and Compensation Act 1992</w:t>
      </w:r>
      <w:r w:rsidRPr="00E41235">
        <w:rPr>
          <w:rFonts w:ascii="Times New Roman" w:eastAsia="Times New Roman" w:hAnsi="Times New Roman" w:cs="Times New Roman"/>
          <w:sz w:val="24"/>
          <w:szCs w:val="24"/>
          <w:lang w:eastAsia="en-AU"/>
        </w:rPr>
        <w:t xml:space="preserve"> (the Seafarers Act) provides workers’ compensation and rehabilitation arrangements for seafarers in a defined part of the Australian maritime industry. The Seafarers Act establishes a privately underwritten workers’ compensation scheme, with employers covered by the Act required to maintain an insurance policy with an approved insurer to cover workers’ compensation claims made under the Act. The Seafarers Act establishes the Seafarers Safety, Rehabilitation and Compensation Authority (the </w:t>
      </w:r>
      <w:proofErr w:type="spellStart"/>
      <w:r w:rsidRPr="00E41235">
        <w:rPr>
          <w:rFonts w:ascii="Times New Roman" w:eastAsia="Times New Roman" w:hAnsi="Times New Roman" w:cs="Times New Roman"/>
          <w:sz w:val="24"/>
          <w:szCs w:val="24"/>
          <w:lang w:eastAsia="en-AU"/>
        </w:rPr>
        <w:t>Seacare</w:t>
      </w:r>
      <w:proofErr w:type="spellEnd"/>
      <w:r w:rsidRPr="00E41235">
        <w:rPr>
          <w:rFonts w:ascii="Times New Roman" w:eastAsia="Times New Roman" w:hAnsi="Times New Roman" w:cs="Times New Roman"/>
          <w:sz w:val="24"/>
          <w:szCs w:val="24"/>
          <w:lang w:eastAsia="en-AU"/>
        </w:rPr>
        <w:t xml:space="preserve"> Authority), which oversees the scheme.</w:t>
      </w:r>
      <w:r w:rsidR="00714887">
        <w:rPr>
          <w:rFonts w:ascii="Times New Roman" w:eastAsia="Times New Roman" w:hAnsi="Times New Roman" w:cs="Times New Roman"/>
          <w:sz w:val="24"/>
          <w:szCs w:val="24"/>
          <w:lang w:eastAsia="en-AU"/>
        </w:rPr>
        <w:t xml:space="preserve">  The Seafarers Act operates in conjunction with the </w:t>
      </w:r>
      <w:r w:rsidR="00714887">
        <w:rPr>
          <w:rFonts w:ascii="Times New Roman" w:eastAsia="Times New Roman" w:hAnsi="Times New Roman" w:cs="Times New Roman"/>
          <w:i/>
          <w:sz w:val="24"/>
          <w:szCs w:val="24"/>
          <w:lang w:eastAsia="en-AU"/>
        </w:rPr>
        <w:t>Occupational Health and Safety (Maritime Industry) Act 1992</w:t>
      </w:r>
      <w:r w:rsidR="00714887">
        <w:rPr>
          <w:rFonts w:ascii="Times New Roman" w:eastAsia="Times New Roman" w:hAnsi="Times New Roman" w:cs="Times New Roman"/>
          <w:sz w:val="24"/>
          <w:szCs w:val="24"/>
          <w:lang w:eastAsia="en-AU"/>
        </w:rPr>
        <w:t xml:space="preserve"> (OHS(MI) Act) to provide a combined work health and safety and workers’ compensation scheme known as the ‘</w:t>
      </w:r>
      <w:proofErr w:type="spellStart"/>
      <w:r w:rsidR="00714887">
        <w:rPr>
          <w:rFonts w:ascii="Times New Roman" w:eastAsia="Times New Roman" w:hAnsi="Times New Roman" w:cs="Times New Roman"/>
          <w:sz w:val="24"/>
          <w:szCs w:val="24"/>
          <w:lang w:eastAsia="en-AU"/>
        </w:rPr>
        <w:t>Seacare</w:t>
      </w:r>
      <w:proofErr w:type="spellEnd"/>
      <w:r w:rsidR="00714887">
        <w:rPr>
          <w:rFonts w:ascii="Times New Roman" w:eastAsia="Times New Roman" w:hAnsi="Times New Roman" w:cs="Times New Roman"/>
          <w:sz w:val="24"/>
          <w:szCs w:val="24"/>
          <w:lang w:eastAsia="en-AU"/>
        </w:rPr>
        <w:t xml:space="preserve"> scheme’.</w:t>
      </w:r>
    </w:p>
    <w:p w:rsidR="009F61EC" w:rsidRDefault="009F61EC" w:rsidP="00E41235">
      <w:pPr>
        <w:rPr>
          <w:rFonts w:ascii="Times New Roman" w:eastAsia="Times New Roman" w:hAnsi="Times New Roman" w:cs="Times New Roman"/>
          <w:sz w:val="24"/>
          <w:szCs w:val="24"/>
          <w:lang w:eastAsia="en-AU"/>
        </w:rPr>
      </w:pPr>
    </w:p>
    <w:p w:rsidR="00A85A97" w:rsidRDefault="00A85A97" w:rsidP="00A85A9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coverage of the </w:t>
      </w:r>
      <w:proofErr w:type="spellStart"/>
      <w:r>
        <w:rPr>
          <w:rFonts w:ascii="Times New Roman" w:eastAsia="Times New Roman" w:hAnsi="Times New Roman" w:cs="Times New Roman"/>
          <w:sz w:val="24"/>
          <w:szCs w:val="24"/>
          <w:lang w:eastAsia="en-AU"/>
        </w:rPr>
        <w:t>Seacare</w:t>
      </w:r>
      <w:proofErr w:type="spellEnd"/>
      <w:r>
        <w:rPr>
          <w:rFonts w:ascii="Times New Roman" w:eastAsia="Times New Roman" w:hAnsi="Times New Roman" w:cs="Times New Roman"/>
          <w:sz w:val="24"/>
          <w:szCs w:val="24"/>
          <w:lang w:eastAsia="en-AU"/>
        </w:rPr>
        <w:t xml:space="preserve"> scheme has historically been understood by maritime industry regulators and participants to operate primarily by reference to the form of trade or commerce being engaged in by a ship. Ships engaged in interstate or international trade or commerce were understood to be covered by the </w:t>
      </w:r>
      <w:proofErr w:type="spellStart"/>
      <w:r>
        <w:rPr>
          <w:rFonts w:ascii="Times New Roman" w:eastAsia="Times New Roman" w:hAnsi="Times New Roman" w:cs="Times New Roman"/>
          <w:sz w:val="24"/>
          <w:szCs w:val="24"/>
          <w:lang w:eastAsia="en-AU"/>
        </w:rPr>
        <w:t>Seacare</w:t>
      </w:r>
      <w:proofErr w:type="spellEnd"/>
      <w:r>
        <w:rPr>
          <w:rFonts w:ascii="Times New Roman" w:eastAsia="Times New Roman" w:hAnsi="Times New Roman" w:cs="Times New Roman"/>
          <w:sz w:val="24"/>
          <w:szCs w:val="24"/>
          <w:lang w:eastAsia="en-AU"/>
        </w:rPr>
        <w:t xml:space="preserve"> Scheme, while ships engaged in intrastate trade or commerce were understood to be covered by the legislation of the state in which they operate. </w:t>
      </w:r>
    </w:p>
    <w:p w:rsidR="00A85A97" w:rsidRDefault="00A85A97" w:rsidP="00A85A97">
      <w:pPr>
        <w:rPr>
          <w:rFonts w:ascii="Times New Roman" w:eastAsia="Times New Roman" w:hAnsi="Times New Roman" w:cs="Times New Roman"/>
          <w:sz w:val="24"/>
          <w:szCs w:val="24"/>
          <w:lang w:eastAsia="en-AU"/>
        </w:rPr>
      </w:pPr>
    </w:p>
    <w:p w:rsidR="00A85A97" w:rsidRDefault="00A85A97" w:rsidP="00A85A9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w:t>
      </w:r>
      <w:r w:rsidRPr="00D027E1">
        <w:rPr>
          <w:rFonts w:ascii="Times New Roman" w:eastAsia="Times New Roman" w:hAnsi="Times New Roman" w:cs="Times New Roman"/>
          <w:i/>
          <w:sz w:val="24"/>
          <w:szCs w:val="24"/>
          <w:lang w:eastAsia="en-AU"/>
        </w:rPr>
        <w:t xml:space="preserve">Samson Maritime Pty Ltd v </w:t>
      </w:r>
      <w:proofErr w:type="spellStart"/>
      <w:r w:rsidRPr="00D027E1">
        <w:rPr>
          <w:rFonts w:ascii="Times New Roman" w:eastAsia="Times New Roman" w:hAnsi="Times New Roman" w:cs="Times New Roman"/>
          <w:i/>
          <w:sz w:val="24"/>
          <w:szCs w:val="24"/>
          <w:lang w:eastAsia="en-AU"/>
        </w:rPr>
        <w:t>Aucote</w:t>
      </w:r>
      <w:proofErr w:type="spellEnd"/>
      <w:r w:rsidRPr="00D027E1">
        <w:rPr>
          <w:rFonts w:ascii="Times New Roman" w:eastAsia="Times New Roman" w:hAnsi="Times New Roman" w:cs="Times New Roman"/>
          <w:i/>
          <w:sz w:val="24"/>
          <w:szCs w:val="24"/>
          <w:lang w:eastAsia="en-AU"/>
        </w:rPr>
        <w:t xml:space="preserve"> </w:t>
      </w:r>
      <w:r w:rsidRPr="00D027E1">
        <w:rPr>
          <w:rFonts w:ascii="Times New Roman" w:eastAsia="Times New Roman" w:hAnsi="Times New Roman" w:cs="Times New Roman"/>
          <w:sz w:val="24"/>
          <w:szCs w:val="24"/>
          <w:lang w:eastAsia="en-AU"/>
        </w:rPr>
        <w:t xml:space="preserve">[2014] </w:t>
      </w:r>
      <w:proofErr w:type="spellStart"/>
      <w:r w:rsidRPr="00D027E1">
        <w:rPr>
          <w:rFonts w:ascii="Times New Roman" w:eastAsia="Times New Roman" w:hAnsi="Times New Roman" w:cs="Times New Roman"/>
          <w:sz w:val="24"/>
          <w:szCs w:val="24"/>
          <w:lang w:eastAsia="en-AU"/>
        </w:rPr>
        <w:t>FCAFC</w:t>
      </w:r>
      <w:proofErr w:type="spellEnd"/>
      <w:r w:rsidRPr="00D027E1">
        <w:rPr>
          <w:rFonts w:ascii="Times New Roman" w:eastAsia="Times New Roman" w:hAnsi="Times New Roman" w:cs="Times New Roman"/>
          <w:sz w:val="24"/>
          <w:szCs w:val="24"/>
          <w:lang w:eastAsia="en-AU"/>
        </w:rPr>
        <w:t xml:space="preserve"> 182, the Full Court of the Federal Court held</w:t>
      </w:r>
      <w:r>
        <w:rPr>
          <w:rFonts w:ascii="Times New Roman" w:eastAsia="Times New Roman" w:hAnsi="Times New Roman" w:cs="Times New Roman"/>
          <w:sz w:val="24"/>
          <w:szCs w:val="24"/>
          <w:lang w:eastAsia="en-AU"/>
        </w:rPr>
        <w:t xml:space="preserve"> that the application provisions of the Seafarers Act operated to apply the Seafarers Act to seafarers employed by a trading, financial or foreign corporation on a prescribed ship, including ships engaged in intrastate trade. This is a substantially broader coverage than what has been historically understood by maritime industry regulators and participants. </w:t>
      </w:r>
    </w:p>
    <w:p w:rsidR="00263B37" w:rsidRDefault="00263B37" w:rsidP="00A85A97">
      <w:pPr>
        <w:rPr>
          <w:rFonts w:ascii="Times New Roman" w:eastAsia="Times New Roman" w:hAnsi="Times New Roman" w:cs="Times New Roman"/>
          <w:sz w:val="24"/>
          <w:szCs w:val="24"/>
          <w:lang w:eastAsia="en-AU"/>
        </w:rPr>
      </w:pPr>
    </w:p>
    <w:p w:rsidR="00263B37" w:rsidRDefault="00263B37" w:rsidP="00A85A9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Seafarers Act will no longer apply to ships affected by this declaration. Those ships will instead be subject to the workers compensation legislation of the state in which they operate.</w:t>
      </w:r>
    </w:p>
    <w:p w:rsidR="00212D85" w:rsidRDefault="00212D85" w:rsidP="00212D85">
      <w:pPr>
        <w:rPr>
          <w:rFonts w:ascii="Times New Roman" w:eastAsia="Times New Roman" w:hAnsi="Times New Roman" w:cs="Times New Roman"/>
          <w:sz w:val="24"/>
          <w:szCs w:val="24"/>
          <w:lang w:eastAsia="en-AU"/>
        </w:rPr>
      </w:pPr>
    </w:p>
    <w:p w:rsidR="00D027E1" w:rsidRPr="00D027E1" w:rsidRDefault="00D027E1" w:rsidP="0045788E">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Legislative Provisions</w:t>
      </w:r>
    </w:p>
    <w:p w:rsidR="00D027E1" w:rsidRDefault="00D027E1" w:rsidP="0045788E">
      <w:pPr>
        <w:rPr>
          <w:rFonts w:ascii="Times New Roman" w:eastAsia="Times New Roman" w:hAnsi="Times New Roman" w:cs="Times New Roman"/>
          <w:sz w:val="24"/>
          <w:szCs w:val="24"/>
          <w:lang w:eastAsia="en-AU"/>
        </w:rPr>
      </w:pPr>
    </w:p>
    <w:p w:rsidR="00D027E1" w:rsidRDefault="00996CEA" w:rsidP="0045788E">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addition to the application provisions discussed above, t</w:t>
      </w:r>
      <w:r w:rsidR="00D027E1">
        <w:rPr>
          <w:rFonts w:ascii="Times New Roman" w:eastAsia="Times New Roman" w:hAnsi="Times New Roman" w:cs="Times New Roman"/>
          <w:sz w:val="24"/>
          <w:szCs w:val="24"/>
          <w:lang w:eastAsia="en-AU"/>
        </w:rPr>
        <w:t xml:space="preserve">he </w:t>
      </w:r>
      <w:r w:rsidR="009F61EC">
        <w:rPr>
          <w:rFonts w:ascii="Times New Roman" w:eastAsia="Times New Roman" w:hAnsi="Times New Roman" w:cs="Times New Roman"/>
          <w:sz w:val="24"/>
          <w:szCs w:val="24"/>
          <w:lang w:eastAsia="en-AU"/>
        </w:rPr>
        <w:t>Seafarers</w:t>
      </w:r>
      <w:r w:rsidR="00D027E1">
        <w:rPr>
          <w:rFonts w:ascii="Times New Roman" w:eastAsia="Times New Roman" w:hAnsi="Times New Roman" w:cs="Times New Roman"/>
          <w:sz w:val="24"/>
          <w:szCs w:val="24"/>
          <w:lang w:eastAsia="en-AU"/>
        </w:rPr>
        <w:t xml:space="preserve"> Act </w:t>
      </w:r>
      <w:r>
        <w:rPr>
          <w:rFonts w:ascii="Times New Roman" w:eastAsia="Times New Roman" w:hAnsi="Times New Roman" w:cs="Times New Roman"/>
          <w:sz w:val="24"/>
          <w:szCs w:val="24"/>
          <w:lang w:eastAsia="en-AU"/>
        </w:rPr>
        <w:t xml:space="preserve">generally only applies to a ship if it is a ‘prescribed ship’ which </w:t>
      </w:r>
      <w:r w:rsidR="009F61EC">
        <w:rPr>
          <w:rFonts w:ascii="Times New Roman" w:eastAsia="Times New Roman" w:hAnsi="Times New Roman" w:cs="Times New Roman"/>
          <w:sz w:val="24"/>
          <w:szCs w:val="24"/>
          <w:lang w:eastAsia="en-AU"/>
        </w:rPr>
        <w:t xml:space="preserve">is a </w:t>
      </w:r>
      <w:r>
        <w:rPr>
          <w:rFonts w:ascii="Times New Roman" w:eastAsia="Times New Roman" w:hAnsi="Times New Roman" w:cs="Times New Roman"/>
          <w:sz w:val="24"/>
          <w:szCs w:val="24"/>
          <w:lang w:eastAsia="en-AU"/>
        </w:rPr>
        <w:t xml:space="preserve">defined term in section </w:t>
      </w:r>
      <w:r w:rsidR="009F61EC">
        <w:rPr>
          <w:rFonts w:ascii="Times New Roman" w:eastAsia="Times New Roman" w:hAnsi="Times New Roman" w:cs="Times New Roman"/>
          <w:sz w:val="24"/>
          <w:szCs w:val="24"/>
          <w:lang w:eastAsia="en-AU"/>
        </w:rPr>
        <w:t>3</w:t>
      </w:r>
      <w:r>
        <w:rPr>
          <w:rFonts w:ascii="Times New Roman" w:eastAsia="Times New Roman" w:hAnsi="Times New Roman" w:cs="Times New Roman"/>
          <w:sz w:val="24"/>
          <w:szCs w:val="24"/>
          <w:lang w:eastAsia="en-AU"/>
        </w:rPr>
        <w:t>.</w:t>
      </w:r>
      <w:r w:rsidR="000204F9">
        <w:rPr>
          <w:rFonts w:ascii="Times New Roman" w:eastAsia="Times New Roman" w:hAnsi="Times New Roman" w:cs="Times New Roman"/>
          <w:sz w:val="24"/>
          <w:szCs w:val="24"/>
          <w:lang w:eastAsia="en-AU"/>
        </w:rPr>
        <w:t xml:space="preserve"> Under s</w:t>
      </w:r>
      <w:r w:rsidR="005C4A0E">
        <w:rPr>
          <w:rFonts w:ascii="Times New Roman" w:eastAsia="Times New Roman" w:hAnsi="Times New Roman" w:cs="Times New Roman"/>
          <w:sz w:val="24"/>
          <w:szCs w:val="24"/>
          <w:lang w:eastAsia="en-AU"/>
        </w:rPr>
        <w:t>ubs</w:t>
      </w:r>
      <w:r w:rsidR="000204F9">
        <w:rPr>
          <w:rFonts w:ascii="Times New Roman" w:eastAsia="Times New Roman" w:hAnsi="Times New Roman" w:cs="Times New Roman"/>
          <w:sz w:val="24"/>
          <w:szCs w:val="24"/>
          <w:lang w:eastAsia="en-AU"/>
        </w:rPr>
        <w:t>ection</w:t>
      </w:r>
      <w:r w:rsidR="00D027E1">
        <w:rPr>
          <w:rFonts w:ascii="Times New Roman" w:eastAsia="Times New Roman" w:hAnsi="Times New Roman" w:cs="Times New Roman"/>
          <w:sz w:val="24"/>
          <w:szCs w:val="24"/>
          <w:lang w:eastAsia="en-AU"/>
        </w:rPr>
        <w:t xml:space="preserve"> </w:t>
      </w:r>
      <w:proofErr w:type="spellStart"/>
      <w:r w:rsidR="009F61EC">
        <w:rPr>
          <w:rFonts w:ascii="Times New Roman" w:eastAsia="Times New Roman" w:hAnsi="Times New Roman" w:cs="Times New Roman"/>
          <w:sz w:val="24"/>
          <w:szCs w:val="24"/>
          <w:lang w:eastAsia="en-AU"/>
        </w:rPr>
        <w:t>3</w:t>
      </w:r>
      <w:r w:rsidR="00D027E1">
        <w:rPr>
          <w:rFonts w:ascii="Times New Roman" w:eastAsia="Times New Roman" w:hAnsi="Times New Roman" w:cs="Times New Roman"/>
          <w:sz w:val="24"/>
          <w:szCs w:val="24"/>
          <w:lang w:eastAsia="en-AU"/>
        </w:rPr>
        <w:t>A</w:t>
      </w:r>
      <w:proofErr w:type="spellEnd"/>
      <w:r w:rsidR="00D027E1">
        <w:rPr>
          <w:rFonts w:ascii="Times New Roman" w:eastAsia="Times New Roman" w:hAnsi="Times New Roman" w:cs="Times New Roman"/>
          <w:sz w:val="24"/>
          <w:szCs w:val="24"/>
          <w:lang w:eastAsia="en-AU"/>
        </w:rPr>
        <w:t xml:space="preserve"> </w:t>
      </w:r>
      <w:r w:rsidR="000204F9">
        <w:rPr>
          <w:rFonts w:ascii="Times New Roman" w:eastAsia="Times New Roman" w:hAnsi="Times New Roman" w:cs="Times New Roman"/>
          <w:sz w:val="24"/>
          <w:szCs w:val="24"/>
          <w:lang w:eastAsia="en-AU"/>
        </w:rPr>
        <w:t>the Minister may declare a ship to</w:t>
      </w:r>
      <w:r w:rsidR="00807516">
        <w:rPr>
          <w:rFonts w:ascii="Times New Roman" w:eastAsia="Times New Roman" w:hAnsi="Times New Roman" w:cs="Times New Roman"/>
          <w:sz w:val="24"/>
          <w:szCs w:val="24"/>
          <w:lang w:eastAsia="en-AU"/>
        </w:rPr>
        <w:t xml:space="preserve"> be or to</w:t>
      </w:r>
      <w:r w:rsidR="000204F9">
        <w:rPr>
          <w:rFonts w:ascii="Times New Roman" w:eastAsia="Times New Roman" w:hAnsi="Times New Roman" w:cs="Times New Roman"/>
          <w:sz w:val="24"/>
          <w:szCs w:val="24"/>
          <w:lang w:eastAsia="en-AU"/>
        </w:rPr>
        <w:t xml:space="preserve"> not be a prescribed ship.</w:t>
      </w:r>
      <w:r w:rsidR="0044399F">
        <w:rPr>
          <w:rFonts w:ascii="Times New Roman" w:eastAsia="Times New Roman" w:hAnsi="Times New Roman" w:cs="Times New Roman"/>
          <w:sz w:val="24"/>
          <w:szCs w:val="24"/>
          <w:lang w:eastAsia="en-AU"/>
        </w:rPr>
        <w:t xml:space="preserve">  </w:t>
      </w:r>
    </w:p>
    <w:p w:rsidR="000204F9" w:rsidRDefault="000204F9" w:rsidP="0045788E">
      <w:pPr>
        <w:rPr>
          <w:rFonts w:ascii="Times New Roman" w:eastAsia="Times New Roman" w:hAnsi="Times New Roman" w:cs="Times New Roman"/>
          <w:sz w:val="24"/>
          <w:szCs w:val="24"/>
          <w:lang w:eastAsia="en-AU"/>
        </w:rPr>
      </w:pPr>
    </w:p>
    <w:p w:rsidR="000204F9" w:rsidRDefault="000204F9" w:rsidP="0045788E">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Effect of Declaration</w:t>
      </w:r>
    </w:p>
    <w:p w:rsidR="000204F9" w:rsidRDefault="000204F9" w:rsidP="0045788E">
      <w:pPr>
        <w:rPr>
          <w:rFonts w:ascii="Times New Roman" w:eastAsia="Times New Roman" w:hAnsi="Times New Roman" w:cs="Times New Roman"/>
          <w:b/>
          <w:sz w:val="24"/>
          <w:szCs w:val="24"/>
          <w:lang w:eastAsia="en-AU"/>
        </w:rPr>
      </w:pPr>
    </w:p>
    <w:p w:rsidR="00E448F7" w:rsidRPr="00E448F7" w:rsidRDefault="000204F9" w:rsidP="00E448F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9F61EC" w:rsidRPr="00C437FC">
        <w:rPr>
          <w:rFonts w:ascii="Times New Roman" w:eastAsia="Times New Roman" w:hAnsi="Times New Roman" w:cs="Times New Roman"/>
          <w:i/>
          <w:sz w:val="24"/>
          <w:szCs w:val="24"/>
          <w:lang w:eastAsia="en-AU"/>
        </w:rPr>
        <w:t>Seafarers Rehabilitation and Compensation (Prescribed ship- Intra-State Trade) Declaration 2015</w:t>
      </w:r>
      <w:r w:rsidR="009F61E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Declaration) declares </w:t>
      </w:r>
      <w:r w:rsidR="00E448F7">
        <w:rPr>
          <w:rFonts w:ascii="Times New Roman" w:eastAsia="Times New Roman" w:hAnsi="Times New Roman" w:cs="Times New Roman"/>
          <w:sz w:val="24"/>
          <w:szCs w:val="24"/>
          <w:lang w:eastAsia="en-AU"/>
        </w:rPr>
        <w:t>t</w:t>
      </w:r>
      <w:r w:rsidR="00E448F7" w:rsidRPr="00E448F7">
        <w:rPr>
          <w:rFonts w:ascii="Times New Roman" w:eastAsia="Times New Roman" w:hAnsi="Times New Roman" w:cs="Times New Roman"/>
          <w:sz w:val="24"/>
          <w:szCs w:val="24"/>
          <w:lang w:eastAsia="en-AU"/>
        </w:rPr>
        <w:t xml:space="preserve">hat a ship that would be covered by paragraph 10(b) or (c) of the </w:t>
      </w:r>
      <w:r w:rsidR="00E448F7" w:rsidRPr="00E448F7">
        <w:rPr>
          <w:rFonts w:ascii="Times New Roman" w:eastAsia="Times New Roman" w:hAnsi="Times New Roman" w:cs="Times New Roman"/>
          <w:i/>
          <w:sz w:val="24"/>
          <w:szCs w:val="24"/>
          <w:lang w:eastAsia="en-AU"/>
        </w:rPr>
        <w:t>Navigation Act 1912</w:t>
      </w:r>
      <w:r w:rsidR="00E448F7" w:rsidRPr="00E448F7">
        <w:rPr>
          <w:rFonts w:ascii="Times New Roman" w:eastAsia="Times New Roman" w:hAnsi="Times New Roman" w:cs="Times New Roman"/>
          <w:sz w:val="24"/>
          <w:szCs w:val="24"/>
          <w:lang w:eastAsia="en-AU"/>
        </w:rPr>
        <w:t xml:space="preserve"> and that would not be covered by paragraph 10(a), if that Act had not been </w:t>
      </w:r>
      <w:r w:rsidR="00A85A97">
        <w:rPr>
          <w:rFonts w:ascii="Times New Roman" w:eastAsia="Times New Roman" w:hAnsi="Times New Roman" w:cs="Times New Roman"/>
          <w:sz w:val="24"/>
          <w:szCs w:val="24"/>
          <w:lang w:eastAsia="en-AU"/>
        </w:rPr>
        <w:t>amended</w:t>
      </w:r>
      <w:r w:rsidR="00E448F7" w:rsidRPr="00E448F7">
        <w:rPr>
          <w:rFonts w:ascii="Times New Roman" w:eastAsia="Times New Roman" w:hAnsi="Times New Roman" w:cs="Times New Roman"/>
          <w:sz w:val="24"/>
          <w:szCs w:val="24"/>
          <w:lang w:eastAsia="en-AU"/>
        </w:rPr>
        <w:t>, which is only engaged in intra-state trade is not a prescribed ship for the purposes of the Act.</w:t>
      </w:r>
      <w:r w:rsidR="00E448F7">
        <w:rPr>
          <w:rFonts w:ascii="Times New Roman" w:eastAsia="Times New Roman" w:hAnsi="Times New Roman" w:cs="Times New Roman"/>
          <w:sz w:val="24"/>
          <w:szCs w:val="24"/>
          <w:lang w:eastAsia="en-AU"/>
        </w:rPr>
        <w:t xml:space="preserve">  </w:t>
      </w:r>
    </w:p>
    <w:p w:rsidR="00E448F7" w:rsidRDefault="00E448F7" w:rsidP="000204F9">
      <w:pPr>
        <w:rPr>
          <w:rFonts w:ascii="Times New Roman" w:eastAsia="Times New Roman" w:hAnsi="Times New Roman" w:cs="Times New Roman"/>
          <w:sz w:val="24"/>
          <w:szCs w:val="24"/>
          <w:lang w:eastAsia="en-AU"/>
        </w:rPr>
      </w:pPr>
    </w:p>
    <w:p w:rsidR="000204F9" w:rsidRDefault="000204F9" w:rsidP="000204F9">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9F61EC">
        <w:rPr>
          <w:rFonts w:ascii="Times New Roman" w:eastAsia="Times New Roman" w:hAnsi="Times New Roman" w:cs="Times New Roman"/>
          <w:sz w:val="24"/>
          <w:szCs w:val="24"/>
          <w:lang w:eastAsia="en-AU"/>
        </w:rPr>
        <w:t>Seafarers</w:t>
      </w:r>
      <w:r>
        <w:rPr>
          <w:rFonts w:ascii="Times New Roman" w:eastAsia="Times New Roman" w:hAnsi="Times New Roman" w:cs="Times New Roman"/>
          <w:sz w:val="24"/>
          <w:szCs w:val="24"/>
          <w:lang w:eastAsia="en-AU"/>
        </w:rPr>
        <w:t xml:space="preserve"> Act will not apply to </w:t>
      </w:r>
      <w:r w:rsidR="00E448F7">
        <w:rPr>
          <w:rFonts w:ascii="Times New Roman" w:eastAsia="Times New Roman" w:hAnsi="Times New Roman" w:cs="Times New Roman"/>
          <w:sz w:val="24"/>
          <w:szCs w:val="24"/>
          <w:lang w:eastAsia="en-AU"/>
        </w:rPr>
        <w:t>these ships, which</w:t>
      </w:r>
      <w:r>
        <w:rPr>
          <w:rFonts w:ascii="Times New Roman" w:eastAsia="Times New Roman" w:hAnsi="Times New Roman" w:cs="Times New Roman"/>
          <w:sz w:val="24"/>
          <w:szCs w:val="24"/>
          <w:lang w:eastAsia="en-AU"/>
        </w:rPr>
        <w:t xml:space="preserve"> will instead be subject </w:t>
      </w:r>
      <w:r w:rsidRPr="00FC67B9">
        <w:rPr>
          <w:rFonts w:ascii="Times New Roman" w:eastAsia="Times New Roman" w:hAnsi="Times New Roman" w:cs="Times New Roman"/>
          <w:sz w:val="24"/>
          <w:szCs w:val="24"/>
          <w:lang w:eastAsia="en-AU"/>
        </w:rPr>
        <w:t>to their</w:t>
      </w:r>
      <w:r w:rsidR="00807516" w:rsidRPr="00FC67B9">
        <w:rPr>
          <w:rFonts w:ascii="Times New Roman" w:eastAsia="Times New Roman" w:hAnsi="Times New Roman" w:cs="Times New Roman"/>
          <w:sz w:val="24"/>
          <w:szCs w:val="24"/>
          <w:lang w:eastAsia="en-AU"/>
        </w:rPr>
        <w:t xml:space="preserve"> relevant</w:t>
      </w:r>
      <w:r w:rsidRPr="00FC67B9">
        <w:rPr>
          <w:rFonts w:ascii="Times New Roman" w:eastAsia="Times New Roman" w:hAnsi="Times New Roman" w:cs="Times New Roman"/>
          <w:sz w:val="24"/>
          <w:szCs w:val="24"/>
          <w:lang w:eastAsia="en-AU"/>
        </w:rPr>
        <w:t xml:space="preserve"> state’s work health and safety legislation.</w:t>
      </w:r>
    </w:p>
    <w:p w:rsidR="0044399F" w:rsidRDefault="0044399F" w:rsidP="000204F9">
      <w:pPr>
        <w:rPr>
          <w:rFonts w:ascii="Times New Roman" w:eastAsia="Times New Roman" w:hAnsi="Times New Roman" w:cs="Times New Roman"/>
          <w:sz w:val="24"/>
          <w:szCs w:val="24"/>
          <w:lang w:eastAsia="en-AU"/>
        </w:rPr>
      </w:pPr>
    </w:p>
    <w:p w:rsidR="002E7780" w:rsidRPr="002E7780" w:rsidRDefault="000204F9" w:rsidP="000204F9">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w:t>
      </w:r>
      <w:r w:rsidR="00FC67B9">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Declaration</w:t>
      </w:r>
      <w:r w:rsidR="0044399F">
        <w:rPr>
          <w:rFonts w:ascii="Times New Roman" w:eastAsia="Times New Roman" w:hAnsi="Times New Roman" w:cs="Times New Roman"/>
          <w:sz w:val="24"/>
          <w:szCs w:val="24"/>
          <w:lang w:eastAsia="en-AU"/>
        </w:rPr>
        <w:t xml:space="preserve"> </w:t>
      </w:r>
      <w:r w:rsidR="00FC67B9">
        <w:rPr>
          <w:rFonts w:ascii="Times New Roman" w:eastAsia="Times New Roman" w:hAnsi="Times New Roman" w:cs="Times New Roman"/>
          <w:sz w:val="24"/>
          <w:szCs w:val="24"/>
          <w:lang w:eastAsia="en-AU"/>
        </w:rPr>
        <w:t>will operate</w:t>
      </w:r>
      <w:r w:rsidR="005133BA">
        <w:rPr>
          <w:rFonts w:ascii="Times New Roman" w:eastAsia="Times New Roman" w:hAnsi="Times New Roman" w:cs="Times New Roman"/>
          <w:sz w:val="24"/>
          <w:szCs w:val="24"/>
          <w:lang w:eastAsia="en-AU"/>
        </w:rPr>
        <w:t xml:space="preserve"> in conjunction</w:t>
      </w:r>
      <w:r>
        <w:rPr>
          <w:rFonts w:ascii="Times New Roman" w:eastAsia="Times New Roman" w:hAnsi="Times New Roman" w:cs="Times New Roman"/>
          <w:sz w:val="24"/>
          <w:szCs w:val="24"/>
          <w:lang w:eastAsia="en-AU"/>
        </w:rPr>
        <w:t xml:space="preserve"> </w:t>
      </w:r>
      <w:r w:rsidR="00FC67B9">
        <w:rPr>
          <w:rFonts w:ascii="Times New Roman" w:eastAsia="Times New Roman" w:hAnsi="Times New Roman" w:cs="Times New Roman"/>
          <w:sz w:val="24"/>
          <w:szCs w:val="24"/>
          <w:lang w:eastAsia="en-AU"/>
        </w:rPr>
        <w:t xml:space="preserve">with a section </w:t>
      </w:r>
      <w:proofErr w:type="spellStart"/>
      <w:r w:rsidR="00FC67B9">
        <w:rPr>
          <w:rFonts w:ascii="Times New Roman" w:eastAsia="Times New Roman" w:hAnsi="Times New Roman" w:cs="Times New Roman"/>
          <w:sz w:val="24"/>
          <w:szCs w:val="24"/>
          <w:lang w:eastAsia="en-AU"/>
        </w:rPr>
        <w:t>20A</w:t>
      </w:r>
      <w:proofErr w:type="spellEnd"/>
      <w:r w:rsidR="00FC67B9">
        <w:rPr>
          <w:rFonts w:ascii="Times New Roman" w:eastAsia="Times New Roman" w:hAnsi="Times New Roman" w:cs="Times New Roman"/>
          <w:sz w:val="24"/>
          <w:szCs w:val="24"/>
          <w:lang w:eastAsia="en-AU"/>
        </w:rPr>
        <w:t xml:space="preserve"> Exemption which has been issued by the </w:t>
      </w:r>
      <w:proofErr w:type="spellStart"/>
      <w:r w:rsidR="00FC67B9">
        <w:rPr>
          <w:rFonts w:ascii="Times New Roman" w:eastAsia="Times New Roman" w:hAnsi="Times New Roman" w:cs="Times New Roman"/>
          <w:sz w:val="24"/>
          <w:szCs w:val="24"/>
          <w:lang w:eastAsia="en-AU"/>
        </w:rPr>
        <w:t>Seacare</w:t>
      </w:r>
      <w:proofErr w:type="spellEnd"/>
      <w:r w:rsidR="00FC67B9">
        <w:rPr>
          <w:rFonts w:ascii="Times New Roman" w:eastAsia="Times New Roman" w:hAnsi="Times New Roman" w:cs="Times New Roman"/>
          <w:sz w:val="24"/>
          <w:szCs w:val="24"/>
          <w:lang w:eastAsia="en-AU"/>
        </w:rPr>
        <w:t xml:space="preserve"> Authority specifying ships which are not covered by the Seafarers Act.  </w:t>
      </w:r>
      <w:r w:rsidR="00714887">
        <w:rPr>
          <w:rFonts w:ascii="Times New Roman" w:eastAsia="Times New Roman" w:hAnsi="Times New Roman" w:cs="Times New Roman"/>
          <w:sz w:val="24"/>
          <w:szCs w:val="24"/>
          <w:lang w:eastAsia="en-AU"/>
        </w:rPr>
        <w:t xml:space="preserve">The exemption is directed at those ships which would be covered by paragraph 10(a) of the </w:t>
      </w:r>
      <w:r w:rsidR="00714887">
        <w:rPr>
          <w:rFonts w:ascii="Times New Roman" w:eastAsia="Times New Roman" w:hAnsi="Times New Roman" w:cs="Times New Roman"/>
          <w:i/>
          <w:sz w:val="24"/>
          <w:szCs w:val="24"/>
          <w:lang w:eastAsia="en-AU"/>
        </w:rPr>
        <w:t xml:space="preserve">Navigation Act </w:t>
      </w:r>
      <w:r w:rsidR="00714887" w:rsidRPr="00714887">
        <w:rPr>
          <w:rFonts w:ascii="Times New Roman" w:eastAsia="Times New Roman" w:hAnsi="Times New Roman" w:cs="Times New Roman"/>
          <w:sz w:val="24"/>
          <w:szCs w:val="24"/>
          <w:lang w:eastAsia="en-AU"/>
        </w:rPr>
        <w:t>1912</w:t>
      </w:r>
      <w:r w:rsidR="00714887">
        <w:rPr>
          <w:rFonts w:ascii="Times New Roman" w:eastAsia="Times New Roman" w:hAnsi="Times New Roman" w:cs="Times New Roman"/>
          <w:sz w:val="24"/>
          <w:szCs w:val="24"/>
          <w:lang w:eastAsia="en-AU"/>
        </w:rPr>
        <w:t xml:space="preserve"> had it not been amended.  </w:t>
      </w:r>
      <w:r w:rsidR="00FC67B9" w:rsidRPr="00714887">
        <w:rPr>
          <w:rFonts w:ascii="Times New Roman" w:eastAsia="Times New Roman" w:hAnsi="Times New Roman" w:cs="Times New Roman"/>
          <w:sz w:val="24"/>
          <w:szCs w:val="24"/>
          <w:lang w:eastAsia="en-AU"/>
        </w:rPr>
        <w:t>The</w:t>
      </w:r>
      <w:r w:rsidR="00021D05">
        <w:rPr>
          <w:rFonts w:ascii="Times New Roman" w:eastAsia="Times New Roman" w:hAnsi="Times New Roman" w:cs="Times New Roman"/>
          <w:sz w:val="24"/>
          <w:szCs w:val="24"/>
          <w:lang w:eastAsia="en-AU"/>
        </w:rPr>
        <w:t xml:space="preserve"> combined</w:t>
      </w:r>
      <w:r w:rsidR="00FC67B9">
        <w:rPr>
          <w:rFonts w:ascii="Times New Roman" w:eastAsia="Times New Roman" w:hAnsi="Times New Roman" w:cs="Times New Roman"/>
          <w:sz w:val="24"/>
          <w:szCs w:val="24"/>
          <w:lang w:eastAsia="en-AU"/>
        </w:rPr>
        <w:t xml:space="preserve"> effect of the </w:t>
      </w:r>
      <w:r w:rsidR="002F3B6B">
        <w:rPr>
          <w:rFonts w:ascii="Times New Roman" w:eastAsia="Times New Roman" w:hAnsi="Times New Roman" w:cs="Times New Roman"/>
          <w:sz w:val="24"/>
          <w:szCs w:val="24"/>
          <w:lang w:eastAsia="en-AU"/>
        </w:rPr>
        <w:t>D</w:t>
      </w:r>
      <w:r w:rsidR="00FC67B9">
        <w:rPr>
          <w:rFonts w:ascii="Times New Roman" w:eastAsia="Times New Roman" w:hAnsi="Times New Roman" w:cs="Times New Roman"/>
          <w:sz w:val="24"/>
          <w:szCs w:val="24"/>
          <w:lang w:eastAsia="en-AU"/>
        </w:rPr>
        <w:t>eclaration</w:t>
      </w:r>
      <w:r w:rsidR="002F3B6B">
        <w:rPr>
          <w:rFonts w:ascii="Times New Roman" w:eastAsia="Times New Roman" w:hAnsi="Times New Roman" w:cs="Times New Roman"/>
          <w:sz w:val="24"/>
          <w:szCs w:val="24"/>
          <w:lang w:eastAsia="en-AU"/>
        </w:rPr>
        <w:t xml:space="preserve"> and Exemption</w:t>
      </w:r>
      <w:r w:rsidR="00FC67B9">
        <w:rPr>
          <w:rFonts w:ascii="Times New Roman" w:eastAsia="Times New Roman" w:hAnsi="Times New Roman" w:cs="Times New Roman"/>
          <w:sz w:val="24"/>
          <w:szCs w:val="24"/>
          <w:lang w:eastAsia="en-AU"/>
        </w:rPr>
        <w:t xml:space="preserve"> </w:t>
      </w:r>
      <w:r w:rsidR="002E7780">
        <w:rPr>
          <w:rFonts w:ascii="Times New Roman" w:eastAsia="Times New Roman" w:hAnsi="Times New Roman" w:cs="Times New Roman"/>
          <w:sz w:val="24"/>
          <w:szCs w:val="24"/>
          <w:lang w:eastAsia="en-AU"/>
        </w:rPr>
        <w:t xml:space="preserve">is that ships which </w:t>
      </w:r>
      <w:r w:rsidR="005C4A0E">
        <w:rPr>
          <w:rFonts w:ascii="Times New Roman" w:eastAsia="Times New Roman" w:hAnsi="Times New Roman" w:cs="Times New Roman"/>
          <w:sz w:val="24"/>
          <w:szCs w:val="24"/>
          <w:lang w:eastAsia="en-AU"/>
        </w:rPr>
        <w:t>had been understood to be outside the coverage of the</w:t>
      </w:r>
      <w:r w:rsidR="002E7780">
        <w:rPr>
          <w:rFonts w:ascii="Times New Roman" w:eastAsia="Times New Roman" w:hAnsi="Times New Roman" w:cs="Times New Roman"/>
          <w:sz w:val="24"/>
          <w:szCs w:val="24"/>
          <w:lang w:eastAsia="en-AU"/>
        </w:rPr>
        <w:t xml:space="preserve"> </w:t>
      </w:r>
      <w:r w:rsidR="009F61EC">
        <w:rPr>
          <w:rFonts w:ascii="Times New Roman" w:eastAsia="Times New Roman" w:hAnsi="Times New Roman" w:cs="Times New Roman"/>
          <w:sz w:val="24"/>
          <w:szCs w:val="24"/>
          <w:lang w:eastAsia="en-AU"/>
        </w:rPr>
        <w:t>Seafarers</w:t>
      </w:r>
      <w:r w:rsidR="002E7780">
        <w:rPr>
          <w:rFonts w:ascii="Times New Roman" w:eastAsia="Times New Roman" w:hAnsi="Times New Roman" w:cs="Times New Roman"/>
          <w:sz w:val="24"/>
          <w:szCs w:val="24"/>
          <w:lang w:eastAsia="en-AU"/>
        </w:rPr>
        <w:t xml:space="preserve"> Act prior to the Federal Court’s </w:t>
      </w:r>
      <w:proofErr w:type="spellStart"/>
      <w:r w:rsidR="002E7780">
        <w:rPr>
          <w:rFonts w:ascii="Times New Roman" w:eastAsia="Times New Roman" w:hAnsi="Times New Roman" w:cs="Times New Roman"/>
          <w:i/>
          <w:sz w:val="24"/>
          <w:szCs w:val="24"/>
          <w:lang w:eastAsia="en-AU"/>
        </w:rPr>
        <w:t>Aucote</w:t>
      </w:r>
      <w:proofErr w:type="spellEnd"/>
      <w:r w:rsidR="002E7780">
        <w:rPr>
          <w:rFonts w:ascii="Times New Roman" w:eastAsia="Times New Roman" w:hAnsi="Times New Roman" w:cs="Times New Roman"/>
          <w:sz w:val="24"/>
          <w:szCs w:val="24"/>
          <w:lang w:eastAsia="en-AU"/>
        </w:rPr>
        <w:t xml:space="preserve"> decision will no longer be covered by the </w:t>
      </w:r>
      <w:r w:rsidR="009F61EC">
        <w:rPr>
          <w:rFonts w:ascii="Times New Roman" w:eastAsia="Times New Roman" w:hAnsi="Times New Roman" w:cs="Times New Roman"/>
          <w:sz w:val="24"/>
          <w:szCs w:val="24"/>
          <w:lang w:eastAsia="en-AU"/>
        </w:rPr>
        <w:t>Seafarers</w:t>
      </w:r>
      <w:r w:rsidR="00A734A0">
        <w:rPr>
          <w:rFonts w:ascii="Times New Roman" w:eastAsia="Times New Roman" w:hAnsi="Times New Roman" w:cs="Times New Roman"/>
          <w:sz w:val="24"/>
          <w:szCs w:val="24"/>
          <w:lang w:eastAsia="en-AU"/>
        </w:rPr>
        <w:t xml:space="preserve"> Act</w:t>
      </w:r>
      <w:r w:rsidR="002E7780">
        <w:rPr>
          <w:rFonts w:ascii="Times New Roman" w:eastAsia="Times New Roman" w:hAnsi="Times New Roman" w:cs="Times New Roman"/>
          <w:sz w:val="24"/>
          <w:szCs w:val="24"/>
          <w:lang w:eastAsia="en-AU"/>
        </w:rPr>
        <w:t>. As such, the Declaration</w:t>
      </w:r>
      <w:r w:rsidR="0044399F">
        <w:rPr>
          <w:rFonts w:ascii="Times New Roman" w:eastAsia="Times New Roman" w:hAnsi="Times New Roman" w:cs="Times New Roman"/>
          <w:sz w:val="24"/>
          <w:szCs w:val="24"/>
          <w:lang w:eastAsia="en-AU"/>
        </w:rPr>
        <w:t xml:space="preserve"> and Exemption</w:t>
      </w:r>
      <w:r w:rsidR="002E7780">
        <w:rPr>
          <w:rFonts w:ascii="Times New Roman" w:eastAsia="Times New Roman" w:hAnsi="Times New Roman" w:cs="Times New Roman"/>
          <w:sz w:val="24"/>
          <w:szCs w:val="24"/>
          <w:lang w:eastAsia="en-AU"/>
        </w:rPr>
        <w:t xml:space="preserve"> will re-align the application of the </w:t>
      </w:r>
      <w:r w:rsidR="009F61EC">
        <w:rPr>
          <w:rFonts w:ascii="Times New Roman" w:eastAsia="Times New Roman" w:hAnsi="Times New Roman" w:cs="Times New Roman"/>
          <w:sz w:val="24"/>
          <w:szCs w:val="24"/>
          <w:lang w:eastAsia="en-AU"/>
        </w:rPr>
        <w:t>Seafarers</w:t>
      </w:r>
      <w:r w:rsidR="002E7780">
        <w:rPr>
          <w:rFonts w:ascii="Times New Roman" w:eastAsia="Times New Roman" w:hAnsi="Times New Roman" w:cs="Times New Roman"/>
          <w:sz w:val="24"/>
          <w:szCs w:val="24"/>
          <w:lang w:eastAsia="en-AU"/>
        </w:rPr>
        <w:t xml:space="preserve"> Act with how it has been historically understood by regulators and scheme participants.</w:t>
      </w:r>
    </w:p>
    <w:p w:rsidR="005133BA" w:rsidRDefault="005133BA" w:rsidP="005133BA">
      <w:pPr>
        <w:rPr>
          <w:rFonts w:ascii="Times New Roman" w:eastAsia="Times New Roman" w:hAnsi="Times New Roman" w:cs="Times New Roman"/>
          <w:sz w:val="24"/>
          <w:szCs w:val="24"/>
          <w:lang w:eastAsia="en-AU"/>
        </w:rPr>
      </w:pPr>
    </w:p>
    <w:p w:rsidR="005133BA" w:rsidRDefault="005133BA" w:rsidP="005133B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Office of Best Practice Regulation was consulted regarding this declaration and indicated that a Regulation Impact Statement was not required for this declaration (</w:t>
      </w:r>
      <w:proofErr w:type="spellStart"/>
      <w:r>
        <w:rPr>
          <w:rFonts w:ascii="Times New Roman" w:eastAsia="Times New Roman" w:hAnsi="Times New Roman" w:cs="Times New Roman"/>
          <w:sz w:val="24"/>
          <w:szCs w:val="24"/>
          <w:lang w:eastAsia="en-AU"/>
        </w:rPr>
        <w:t>OBPR</w:t>
      </w:r>
      <w:proofErr w:type="spellEnd"/>
      <w:r>
        <w:rPr>
          <w:rFonts w:ascii="Times New Roman" w:eastAsia="Times New Roman" w:hAnsi="Times New Roman" w:cs="Times New Roman"/>
          <w:sz w:val="24"/>
          <w:szCs w:val="24"/>
          <w:lang w:eastAsia="en-AU"/>
        </w:rPr>
        <w:t xml:space="preserve"> ID</w:t>
      </w:r>
      <w:r w:rsidR="002F3B6B">
        <w:rPr>
          <w:rFonts w:ascii="Times New Roman" w:eastAsia="Times New Roman" w:hAnsi="Times New Roman" w:cs="Times New Roman"/>
          <w:sz w:val="24"/>
          <w:szCs w:val="24"/>
          <w:lang w:eastAsia="en-AU"/>
        </w:rPr>
        <w:t xml:space="preserve"> 18393)</w:t>
      </w:r>
      <w:r>
        <w:rPr>
          <w:rFonts w:ascii="Times New Roman" w:eastAsia="Times New Roman" w:hAnsi="Times New Roman" w:cs="Times New Roman"/>
          <w:sz w:val="24"/>
          <w:szCs w:val="24"/>
          <w:lang w:eastAsia="en-AU"/>
        </w:rPr>
        <w:t>.</w:t>
      </w:r>
    </w:p>
    <w:p w:rsidR="00306F1C" w:rsidRDefault="00306F1C" w:rsidP="00306F1C">
      <w:pPr>
        <w:spacing w:before="100" w:beforeAutospacing="1" w:after="100" w:afterAutospacing="1"/>
        <w:rPr>
          <w:rFonts w:ascii="Times New Roman" w:eastAsia="Times New Roman" w:hAnsi="Times New Roman" w:cs="Times New Roman"/>
          <w:sz w:val="24"/>
          <w:szCs w:val="24"/>
          <w:lang w:eastAsia="en-AU"/>
        </w:rPr>
      </w:pPr>
      <w:r w:rsidRPr="00306F1C">
        <w:rPr>
          <w:rFonts w:ascii="Times New Roman" w:eastAsia="Times New Roman" w:hAnsi="Times New Roman" w:cs="Times New Roman"/>
          <w:sz w:val="24"/>
          <w:szCs w:val="24"/>
          <w:lang w:eastAsia="en-AU"/>
        </w:rPr>
        <w:t>The instrument will take effect from the day after it is registered on the Federal Register of Legislative Instruments.</w:t>
      </w:r>
      <w:r w:rsidR="00A734A0">
        <w:rPr>
          <w:rFonts w:ascii="Times New Roman" w:eastAsia="Times New Roman" w:hAnsi="Times New Roman" w:cs="Times New Roman"/>
          <w:sz w:val="24"/>
          <w:szCs w:val="24"/>
          <w:lang w:eastAsia="en-AU"/>
        </w:rPr>
        <w:t xml:space="preserve"> </w:t>
      </w:r>
      <w:r w:rsidR="005133BA">
        <w:rPr>
          <w:rFonts w:ascii="Times New Roman" w:eastAsia="Times New Roman" w:hAnsi="Times New Roman" w:cs="Times New Roman"/>
          <w:sz w:val="24"/>
          <w:szCs w:val="24"/>
          <w:lang w:eastAsia="en-AU"/>
        </w:rPr>
        <w:t xml:space="preserve"> </w:t>
      </w:r>
      <w:r w:rsidR="00A85A97">
        <w:rPr>
          <w:rFonts w:ascii="Times New Roman" w:eastAsia="Times New Roman" w:hAnsi="Times New Roman" w:cs="Times New Roman"/>
          <w:sz w:val="24"/>
          <w:szCs w:val="24"/>
          <w:lang w:eastAsia="en-AU"/>
        </w:rPr>
        <w:t xml:space="preserve">The declaration will sunset two years from the date on which it takes effect. </w:t>
      </w:r>
    </w:p>
    <w:p w:rsidR="00A77E77" w:rsidRPr="00A77E77" w:rsidRDefault="00A77E77" w:rsidP="00A77E77">
      <w:pPr>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Consultation</w:t>
      </w:r>
    </w:p>
    <w:p w:rsidR="00A77E77" w:rsidRPr="00306F1C" w:rsidRDefault="00A77E77" w:rsidP="00A77E77">
      <w:pPr>
        <w:rPr>
          <w:rFonts w:ascii="Times New Roman" w:eastAsia="Times New Roman" w:hAnsi="Times New Roman" w:cs="Times New Roman"/>
          <w:sz w:val="24"/>
          <w:szCs w:val="24"/>
          <w:lang w:eastAsia="en-AU"/>
        </w:rPr>
      </w:pPr>
      <w:r w:rsidRPr="00A77E77">
        <w:rPr>
          <w:rFonts w:ascii="Times New Roman" w:eastAsia="Times New Roman" w:hAnsi="Times New Roman" w:cs="Times New Roman"/>
          <w:sz w:val="24"/>
          <w:szCs w:val="24"/>
          <w:lang w:eastAsia="en-AU"/>
        </w:rPr>
        <w:t xml:space="preserve">The co-regulators of the </w:t>
      </w:r>
      <w:proofErr w:type="spellStart"/>
      <w:r w:rsidRPr="00A77E77">
        <w:rPr>
          <w:rFonts w:ascii="Times New Roman" w:eastAsia="Times New Roman" w:hAnsi="Times New Roman" w:cs="Times New Roman"/>
          <w:sz w:val="24"/>
          <w:szCs w:val="24"/>
          <w:lang w:eastAsia="en-AU"/>
        </w:rPr>
        <w:t>Seacare</w:t>
      </w:r>
      <w:proofErr w:type="spellEnd"/>
      <w:r w:rsidRPr="00A77E77">
        <w:rPr>
          <w:rFonts w:ascii="Times New Roman" w:eastAsia="Times New Roman" w:hAnsi="Times New Roman" w:cs="Times New Roman"/>
          <w:sz w:val="24"/>
          <w:szCs w:val="24"/>
          <w:lang w:eastAsia="en-AU"/>
        </w:rPr>
        <w:t xml:space="preserve"> scheme – being </w:t>
      </w:r>
      <w:proofErr w:type="spellStart"/>
      <w:r w:rsidRPr="00A77E77">
        <w:rPr>
          <w:rFonts w:ascii="Times New Roman" w:eastAsia="Times New Roman" w:hAnsi="Times New Roman" w:cs="Times New Roman"/>
          <w:sz w:val="24"/>
          <w:szCs w:val="24"/>
          <w:lang w:eastAsia="en-AU"/>
        </w:rPr>
        <w:t>Comcare</w:t>
      </w:r>
      <w:proofErr w:type="spellEnd"/>
      <w:r w:rsidRPr="00A77E77">
        <w:rPr>
          <w:rFonts w:ascii="Times New Roman" w:eastAsia="Times New Roman" w:hAnsi="Times New Roman" w:cs="Times New Roman"/>
          <w:sz w:val="24"/>
          <w:szCs w:val="24"/>
          <w:lang w:eastAsia="en-AU"/>
        </w:rPr>
        <w:t xml:space="preserve"> and the Australian Maritime Safety Authority – were consulted in drafting this declaration regarding the scope of the declaration and the likely view of industry participants.</w:t>
      </w:r>
    </w:p>
    <w:p w:rsidR="00306F1C" w:rsidRPr="000204F9" w:rsidRDefault="00306F1C" w:rsidP="0045788E">
      <w:pPr>
        <w:rPr>
          <w:rFonts w:ascii="Times New Roman" w:eastAsia="Times New Roman" w:hAnsi="Times New Roman" w:cs="Times New Roman"/>
          <w:sz w:val="24"/>
          <w:szCs w:val="24"/>
          <w:lang w:eastAsia="en-AU"/>
        </w:rPr>
      </w:pPr>
    </w:p>
    <w:p w:rsidR="0045788E" w:rsidRDefault="0045788E" w:rsidP="0045788E">
      <w:pPr>
        <w:spacing w:after="220"/>
        <w:jc w:val="center"/>
        <w:rPr>
          <w:rFonts w:ascii="Times New Roman" w:hAnsi="Times New Roman" w:cs="Times New Roman"/>
          <w:b/>
          <w:sz w:val="24"/>
          <w:szCs w:val="24"/>
        </w:rPr>
      </w:pPr>
      <w:r>
        <w:rPr>
          <w:rFonts w:ascii="Times New Roman" w:hAnsi="Times New Roman" w:cs="Times New Roman"/>
          <w:b/>
          <w:sz w:val="24"/>
          <w:szCs w:val="24"/>
        </w:rPr>
        <w:br w:type="page"/>
        <w:t>Statement of Compatibility with Human Rights</w:t>
      </w:r>
    </w:p>
    <w:p w:rsidR="0045788E" w:rsidRDefault="0045788E" w:rsidP="0045788E">
      <w:pPr>
        <w:spacing w:after="220"/>
        <w:jc w:val="center"/>
        <w:rPr>
          <w:rFonts w:ascii="Times New Roman" w:hAnsi="Times New Roman" w:cs="Times New Roman"/>
          <w:sz w:val="24"/>
          <w:szCs w:val="24"/>
        </w:rPr>
      </w:pPr>
      <w:r>
        <w:rPr>
          <w:rFonts w:ascii="Times New Roman" w:hAnsi="Times New Roman" w:cs="Times New Roman"/>
          <w:i/>
          <w:sz w:val="24"/>
          <w:szCs w:val="24"/>
        </w:rPr>
        <w:t>Prepared in accordance with Part 3 of the Human Rights (Parliamentary Scrutiny) Act 2011</w:t>
      </w:r>
    </w:p>
    <w:p w:rsidR="0045788E" w:rsidRPr="002E7780" w:rsidRDefault="00212D85" w:rsidP="0045788E">
      <w:pPr>
        <w:spacing w:after="220"/>
        <w:jc w:val="center"/>
        <w:rPr>
          <w:rFonts w:ascii="Times New Roman" w:hAnsi="Times New Roman" w:cs="Times New Roman"/>
          <w:b/>
          <w:bCs/>
          <w:i/>
          <w:iCs/>
          <w:sz w:val="24"/>
          <w:szCs w:val="24"/>
        </w:rPr>
      </w:pPr>
      <w:r>
        <w:rPr>
          <w:rFonts w:ascii="Times New Roman" w:eastAsia="Times New Roman" w:hAnsi="Times New Roman" w:cs="Times New Roman"/>
          <w:b/>
          <w:sz w:val="24"/>
          <w:szCs w:val="24"/>
          <w:lang w:eastAsia="en-AU"/>
        </w:rPr>
        <w:t xml:space="preserve">Seafarers Rehabilitation and Compensation </w:t>
      </w:r>
      <w:r w:rsidR="002E7780" w:rsidRPr="002E7780">
        <w:rPr>
          <w:rFonts w:ascii="Times New Roman" w:eastAsia="Times New Roman" w:hAnsi="Times New Roman" w:cs="Times New Roman"/>
          <w:b/>
          <w:sz w:val="24"/>
          <w:szCs w:val="24"/>
          <w:lang w:eastAsia="en-AU"/>
        </w:rPr>
        <w:t xml:space="preserve"> </w:t>
      </w:r>
      <w:r w:rsidR="002E7780" w:rsidRPr="002E7780">
        <w:rPr>
          <w:rFonts w:ascii="Times New Roman" w:eastAsia="Times New Roman" w:hAnsi="Times New Roman" w:cs="Times New Roman"/>
          <w:b/>
          <w:i/>
          <w:sz w:val="24"/>
          <w:szCs w:val="24"/>
          <w:lang w:eastAsia="en-AU"/>
        </w:rPr>
        <w:t>(Prescribed Ship — Intra-State Trade)</w:t>
      </w:r>
      <w:r w:rsidR="002E7780" w:rsidRPr="002E7780">
        <w:rPr>
          <w:rFonts w:ascii="Times New Roman" w:eastAsia="Times New Roman" w:hAnsi="Times New Roman" w:cs="Times New Roman"/>
          <w:b/>
          <w:sz w:val="24"/>
          <w:szCs w:val="24"/>
          <w:lang w:eastAsia="en-AU"/>
        </w:rPr>
        <w:t xml:space="preserve"> Declaration 2015</w:t>
      </w:r>
    </w:p>
    <w:p w:rsidR="0045788E" w:rsidRDefault="0045788E" w:rsidP="00FA53C6">
      <w:pPr>
        <w:spacing w:after="220"/>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45788E" w:rsidRDefault="0045788E" w:rsidP="0045788E">
      <w:pPr>
        <w:spacing w:after="220"/>
        <w:rPr>
          <w:rFonts w:ascii="Times New Roman" w:hAnsi="Times New Roman" w:cs="Times New Roman"/>
          <w:b/>
          <w:sz w:val="24"/>
          <w:szCs w:val="24"/>
        </w:rPr>
      </w:pPr>
      <w:r>
        <w:rPr>
          <w:rFonts w:ascii="Times New Roman" w:hAnsi="Times New Roman" w:cs="Times New Roman"/>
          <w:b/>
          <w:sz w:val="24"/>
          <w:szCs w:val="24"/>
        </w:rPr>
        <w:t>Overview of the Legislative Instrument</w:t>
      </w:r>
    </w:p>
    <w:p w:rsidR="00212D85" w:rsidRPr="00E41235" w:rsidRDefault="00212D85" w:rsidP="00212D85">
      <w:pPr>
        <w:rPr>
          <w:rFonts w:ascii="Times New Roman" w:eastAsia="Times New Roman" w:hAnsi="Times New Roman" w:cs="Times New Roman"/>
          <w:sz w:val="24"/>
          <w:szCs w:val="24"/>
          <w:lang w:eastAsia="en-AU"/>
        </w:rPr>
      </w:pPr>
      <w:r w:rsidRPr="00E41235">
        <w:rPr>
          <w:rFonts w:ascii="Times New Roman" w:eastAsia="Times New Roman" w:hAnsi="Times New Roman" w:cs="Times New Roman"/>
          <w:sz w:val="24"/>
          <w:szCs w:val="24"/>
          <w:lang w:eastAsia="en-AU"/>
        </w:rPr>
        <w:t xml:space="preserve">The </w:t>
      </w:r>
      <w:r w:rsidRPr="00C437FC">
        <w:rPr>
          <w:rFonts w:ascii="Times New Roman" w:eastAsia="Times New Roman" w:hAnsi="Times New Roman" w:cs="Times New Roman"/>
          <w:i/>
          <w:sz w:val="24"/>
          <w:szCs w:val="24"/>
          <w:lang w:eastAsia="en-AU"/>
        </w:rPr>
        <w:t>Seafarers Rehabilitation and Compensation Act 1992</w:t>
      </w:r>
      <w:r w:rsidRPr="00E41235">
        <w:rPr>
          <w:rFonts w:ascii="Times New Roman" w:eastAsia="Times New Roman" w:hAnsi="Times New Roman" w:cs="Times New Roman"/>
          <w:sz w:val="24"/>
          <w:szCs w:val="24"/>
          <w:lang w:eastAsia="en-AU"/>
        </w:rPr>
        <w:t xml:space="preserve"> (the Seafarers Act) provides workers’ compensation and rehabilitation arrangements for seafarers in a defined part of the Australian maritime industry. The Seafarers Act establishes a privately underwritten workers’ compensation scheme, with employers covered by the Act required to maintain an insurance policy with an approved insurer to cover workers’ compensation claims made under the Act. The Seafarers Act establishes the Seafarers Safety, Rehabilitation and Compensation Authority (the </w:t>
      </w:r>
      <w:proofErr w:type="spellStart"/>
      <w:r w:rsidRPr="00E41235">
        <w:rPr>
          <w:rFonts w:ascii="Times New Roman" w:eastAsia="Times New Roman" w:hAnsi="Times New Roman" w:cs="Times New Roman"/>
          <w:sz w:val="24"/>
          <w:szCs w:val="24"/>
          <w:lang w:eastAsia="en-AU"/>
        </w:rPr>
        <w:t>Seacare</w:t>
      </w:r>
      <w:proofErr w:type="spellEnd"/>
      <w:r w:rsidRPr="00E41235">
        <w:rPr>
          <w:rFonts w:ascii="Times New Roman" w:eastAsia="Times New Roman" w:hAnsi="Times New Roman" w:cs="Times New Roman"/>
          <w:sz w:val="24"/>
          <w:szCs w:val="24"/>
          <w:lang w:eastAsia="en-AU"/>
        </w:rPr>
        <w:t xml:space="preserve"> Authority), which oversees the scheme.</w:t>
      </w:r>
    </w:p>
    <w:p w:rsidR="00A85A97" w:rsidRDefault="00A85A97" w:rsidP="00A85A97">
      <w:pPr>
        <w:rPr>
          <w:rFonts w:ascii="Times New Roman" w:eastAsia="Times New Roman" w:hAnsi="Times New Roman" w:cs="Times New Roman"/>
          <w:sz w:val="24"/>
          <w:szCs w:val="24"/>
          <w:lang w:eastAsia="en-AU"/>
        </w:rPr>
      </w:pPr>
    </w:p>
    <w:p w:rsidR="00A85A97" w:rsidRDefault="00A85A97" w:rsidP="00A85A9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coverage of the </w:t>
      </w:r>
      <w:proofErr w:type="spellStart"/>
      <w:r>
        <w:rPr>
          <w:rFonts w:ascii="Times New Roman" w:eastAsia="Times New Roman" w:hAnsi="Times New Roman" w:cs="Times New Roman"/>
          <w:sz w:val="24"/>
          <w:szCs w:val="24"/>
          <w:lang w:eastAsia="en-AU"/>
        </w:rPr>
        <w:t>Seacare</w:t>
      </w:r>
      <w:proofErr w:type="spellEnd"/>
      <w:r>
        <w:rPr>
          <w:rFonts w:ascii="Times New Roman" w:eastAsia="Times New Roman" w:hAnsi="Times New Roman" w:cs="Times New Roman"/>
          <w:sz w:val="24"/>
          <w:szCs w:val="24"/>
          <w:lang w:eastAsia="en-AU"/>
        </w:rPr>
        <w:t xml:space="preserve"> scheme has historically been understood by maritime industry regulators and participants to operate primarily by reference to the form of trade or commerce being engaged in by a ship. Ships engaged in interstate or international trade or commerce were understood to be covered by the </w:t>
      </w:r>
      <w:proofErr w:type="spellStart"/>
      <w:r>
        <w:rPr>
          <w:rFonts w:ascii="Times New Roman" w:eastAsia="Times New Roman" w:hAnsi="Times New Roman" w:cs="Times New Roman"/>
          <w:sz w:val="24"/>
          <w:szCs w:val="24"/>
          <w:lang w:eastAsia="en-AU"/>
        </w:rPr>
        <w:t>Seacare</w:t>
      </w:r>
      <w:proofErr w:type="spellEnd"/>
      <w:r>
        <w:rPr>
          <w:rFonts w:ascii="Times New Roman" w:eastAsia="Times New Roman" w:hAnsi="Times New Roman" w:cs="Times New Roman"/>
          <w:sz w:val="24"/>
          <w:szCs w:val="24"/>
          <w:lang w:eastAsia="en-AU"/>
        </w:rPr>
        <w:t xml:space="preserve"> Scheme, while ships engaged in intrastate trade or commerce were understood to be covered by the legislation of the state in which they operate. </w:t>
      </w:r>
    </w:p>
    <w:p w:rsidR="00A85A97" w:rsidRDefault="00A85A97" w:rsidP="00A85A97">
      <w:pPr>
        <w:rPr>
          <w:rFonts w:ascii="Times New Roman" w:eastAsia="Times New Roman" w:hAnsi="Times New Roman" w:cs="Times New Roman"/>
          <w:sz w:val="24"/>
          <w:szCs w:val="24"/>
          <w:lang w:eastAsia="en-AU"/>
        </w:rPr>
      </w:pPr>
    </w:p>
    <w:p w:rsidR="00A85A97" w:rsidRDefault="00A85A97" w:rsidP="00A85A9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w:t>
      </w:r>
      <w:r w:rsidRPr="00D027E1">
        <w:rPr>
          <w:rFonts w:ascii="Times New Roman" w:eastAsia="Times New Roman" w:hAnsi="Times New Roman" w:cs="Times New Roman"/>
          <w:i/>
          <w:sz w:val="24"/>
          <w:szCs w:val="24"/>
          <w:lang w:eastAsia="en-AU"/>
        </w:rPr>
        <w:t xml:space="preserve">Samson Maritime Pty Ltd v </w:t>
      </w:r>
      <w:proofErr w:type="spellStart"/>
      <w:r w:rsidRPr="00D027E1">
        <w:rPr>
          <w:rFonts w:ascii="Times New Roman" w:eastAsia="Times New Roman" w:hAnsi="Times New Roman" w:cs="Times New Roman"/>
          <w:i/>
          <w:sz w:val="24"/>
          <w:szCs w:val="24"/>
          <w:lang w:eastAsia="en-AU"/>
        </w:rPr>
        <w:t>Aucote</w:t>
      </w:r>
      <w:proofErr w:type="spellEnd"/>
      <w:r w:rsidRPr="00D027E1">
        <w:rPr>
          <w:rFonts w:ascii="Times New Roman" w:eastAsia="Times New Roman" w:hAnsi="Times New Roman" w:cs="Times New Roman"/>
          <w:i/>
          <w:sz w:val="24"/>
          <w:szCs w:val="24"/>
          <w:lang w:eastAsia="en-AU"/>
        </w:rPr>
        <w:t xml:space="preserve"> </w:t>
      </w:r>
      <w:r w:rsidRPr="00D027E1">
        <w:rPr>
          <w:rFonts w:ascii="Times New Roman" w:eastAsia="Times New Roman" w:hAnsi="Times New Roman" w:cs="Times New Roman"/>
          <w:sz w:val="24"/>
          <w:szCs w:val="24"/>
          <w:lang w:eastAsia="en-AU"/>
        </w:rPr>
        <w:t xml:space="preserve">[2014] </w:t>
      </w:r>
      <w:proofErr w:type="spellStart"/>
      <w:r w:rsidRPr="00D027E1">
        <w:rPr>
          <w:rFonts w:ascii="Times New Roman" w:eastAsia="Times New Roman" w:hAnsi="Times New Roman" w:cs="Times New Roman"/>
          <w:sz w:val="24"/>
          <w:szCs w:val="24"/>
          <w:lang w:eastAsia="en-AU"/>
        </w:rPr>
        <w:t>FCAFC</w:t>
      </w:r>
      <w:proofErr w:type="spellEnd"/>
      <w:r w:rsidRPr="00D027E1">
        <w:rPr>
          <w:rFonts w:ascii="Times New Roman" w:eastAsia="Times New Roman" w:hAnsi="Times New Roman" w:cs="Times New Roman"/>
          <w:sz w:val="24"/>
          <w:szCs w:val="24"/>
          <w:lang w:eastAsia="en-AU"/>
        </w:rPr>
        <w:t xml:space="preserve"> 182, the Full Court of the Federal Court held</w:t>
      </w:r>
      <w:r>
        <w:rPr>
          <w:rFonts w:ascii="Times New Roman" w:eastAsia="Times New Roman" w:hAnsi="Times New Roman" w:cs="Times New Roman"/>
          <w:sz w:val="24"/>
          <w:szCs w:val="24"/>
          <w:lang w:eastAsia="en-AU"/>
        </w:rPr>
        <w:t xml:space="preserve"> that the application provisions of the Seafarers Act operated to apply the Seafarers Act to seafarers employed by a trading, financial or foreign corporation on a prescribed ship, including ships engaged in intrastate trade. This is a substantially broader coverage than what has been historically understood by maritime industry regulators and participants. Because of the similarity of the application provisions in the Seafarers Act and the OHS(MI) Act, the decision has potential implications for the coverage of the OHS(MI) Act.</w:t>
      </w:r>
    </w:p>
    <w:p w:rsidR="00413FF2" w:rsidRDefault="00413FF2" w:rsidP="00413FF2">
      <w:pPr>
        <w:rPr>
          <w:rFonts w:ascii="Times New Roman" w:eastAsia="Times New Roman" w:hAnsi="Times New Roman" w:cs="Times New Roman"/>
          <w:sz w:val="24"/>
          <w:szCs w:val="24"/>
          <w:lang w:eastAsia="en-AU"/>
        </w:rPr>
      </w:pPr>
    </w:p>
    <w:p w:rsidR="00A85A97" w:rsidRPr="00E448F7" w:rsidRDefault="001F1302" w:rsidP="00A85A9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proofErr w:type="spellStart"/>
      <w:r>
        <w:rPr>
          <w:rFonts w:ascii="Times New Roman" w:eastAsia="Times New Roman" w:hAnsi="Times New Roman" w:cs="Times New Roman"/>
          <w:sz w:val="24"/>
          <w:szCs w:val="24"/>
          <w:lang w:eastAsia="en-AU"/>
        </w:rPr>
        <w:t>Seacare</w:t>
      </w:r>
      <w:proofErr w:type="spellEnd"/>
      <w:r>
        <w:rPr>
          <w:rFonts w:ascii="Times New Roman" w:eastAsia="Times New Roman" w:hAnsi="Times New Roman" w:cs="Times New Roman"/>
          <w:sz w:val="24"/>
          <w:szCs w:val="24"/>
          <w:lang w:eastAsia="en-AU"/>
        </w:rPr>
        <w:t xml:space="preserve"> Authority has issued </w:t>
      </w:r>
      <w:r w:rsidR="00212D85">
        <w:rPr>
          <w:rFonts w:ascii="Times New Roman" w:eastAsia="Times New Roman" w:hAnsi="Times New Roman" w:cs="Times New Roman"/>
          <w:sz w:val="24"/>
          <w:szCs w:val="24"/>
          <w:lang w:eastAsia="en-AU"/>
        </w:rPr>
        <w:t xml:space="preserve">a section </w:t>
      </w:r>
      <w:proofErr w:type="spellStart"/>
      <w:r w:rsidR="00212D85">
        <w:rPr>
          <w:rFonts w:ascii="Times New Roman" w:eastAsia="Times New Roman" w:hAnsi="Times New Roman" w:cs="Times New Roman"/>
          <w:sz w:val="24"/>
          <w:szCs w:val="24"/>
          <w:lang w:eastAsia="en-AU"/>
        </w:rPr>
        <w:t>20A</w:t>
      </w:r>
      <w:proofErr w:type="spellEnd"/>
      <w:r w:rsidR="00212D85">
        <w:rPr>
          <w:rFonts w:ascii="Times New Roman" w:eastAsia="Times New Roman" w:hAnsi="Times New Roman" w:cs="Times New Roman"/>
          <w:sz w:val="24"/>
          <w:szCs w:val="24"/>
          <w:lang w:eastAsia="en-AU"/>
        </w:rPr>
        <w:t xml:space="preserve"> exemption under the </w:t>
      </w:r>
      <w:r w:rsidR="00212D85">
        <w:rPr>
          <w:rFonts w:ascii="Times New Roman" w:eastAsia="Times New Roman" w:hAnsi="Times New Roman" w:cs="Times New Roman"/>
          <w:i/>
          <w:sz w:val="24"/>
          <w:szCs w:val="24"/>
          <w:lang w:eastAsia="en-AU"/>
        </w:rPr>
        <w:t>Seafarers Rehabilitation and Compensation Act 1992</w:t>
      </w:r>
      <w:r w:rsidR="00212D85">
        <w:rPr>
          <w:rFonts w:ascii="Times New Roman" w:eastAsia="Times New Roman" w:hAnsi="Times New Roman" w:cs="Times New Roman"/>
          <w:sz w:val="24"/>
          <w:szCs w:val="24"/>
          <w:lang w:eastAsia="en-AU"/>
        </w:rPr>
        <w:t xml:space="preserve"> to exclude prescribed ships engaged in </w:t>
      </w:r>
      <w:proofErr w:type="spellStart"/>
      <w:r w:rsidR="00212D85">
        <w:rPr>
          <w:rFonts w:ascii="Times New Roman" w:eastAsia="Times New Roman" w:hAnsi="Times New Roman" w:cs="Times New Roman"/>
          <w:sz w:val="24"/>
          <w:szCs w:val="24"/>
          <w:lang w:eastAsia="en-AU"/>
        </w:rPr>
        <w:t>instrastate</w:t>
      </w:r>
      <w:proofErr w:type="spellEnd"/>
      <w:r w:rsidR="00212D85">
        <w:rPr>
          <w:rFonts w:ascii="Times New Roman" w:eastAsia="Times New Roman" w:hAnsi="Times New Roman" w:cs="Times New Roman"/>
          <w:sz w:val="24"/>
          <w:szCs w:val="24"/>
          <w:lang w:eastAsia="en-AU"/>
        </w:rPr>
        <w:t xml:space="preserve"> voyages.  This declaration provides that </w:t>
      </w:r>
      <w:r w:rsidR="00A85A97" w:rsidRPr="00E448F7">
        <w:rPr>
          <w:rFonts w:ascii="Times New Roman" w:eastAsia="Times New Roman" w:hAnsi="Times New Roman" w:cs="Times New Roman"/>
          <w:sz w:val="24"/>
          <w:szCs w:val="24"/>
          <w:lang w:eastAsia="en-AU"/>
        </w:rPr>
        <w:t xml:space="preserve">a ship that would be covered by paragraph 10(b) or (c) of the </w:t>
      </w:r>
      <w:r w:rsidR="00A85A97" w:rsidRPr="00E448F7">
        <w:rPr>
          <w:rFonts w:ascii="Times New Roman" w:eastAsia="Times New Roman" w:hAnsi="Times New Roman" w:cs="Times New Roman"/>
          <w:i/>
          <w:sz w:val="24"/>
          <w:szCs w:val="24"/>
          <w:lang w:eastAsia="en-AU"/>
        </w:rPr>
        <w:t>Navigation Act 1912</w:t>
      </w:r>
      <w:r w:rsidR="00A85A97" w:rsidRPr="00E448F7">
        <w:rPr>
          <w:rFonts w:ascii="Times New Roman" w:eastAsia="Times New Roman" w:hAnsi="Times New Roman" w:cs="Times New Roman"/>
          <w:sz w:val="24"/>
          <w:szCs w:val="24"/>
          <w:lang w:eastAsia="en-AU"/>
        </w:rPr>
        <w:t xml:space="preserve"> and that would not be covered by paragraph 10(a), if that Act had not been </w:t>
      </w:r>
      <w:r w:rsidR="00714887">
        <w:rPr>
          <w:rFonts w:ascii="Times New Roman" w:eastAsia="Times New Roman" w:hAnsi="Times New Roman" w:cs="Times New Roman"/>
          <w:sz w:val="24"/>
          <w:szCs w:val="24"/>
          <w:lang w:eastAsia="en-AU"/>
        </w:rPr>
        <w:t>amended</w:t>
      </w:r>
      <w:r w:rsidR="00A85A97" w:rsidRPr="00E448F7">
        <w:rPr>
          <w:rFonts w:ascii="Times New Roman" w:eastAsia="Times New Roman" w:hAnsi="Times New Roman" w:cs="Times New Roman"/>
          <w:sz w:val="24"/>
          <w:szCs w:val="24"/>
          <w:lang w:eastAsia="en-AU"/>
        </w:rPr>
        <w:t>, which is only engaged in intra-state trade is not a prescribed ship for the purposes of the Act.</w:t>
      </w:r>
      <w:r w:rsidR="00A85A97">
        <w:rPr>
          <w:rFonts w:ascii="Times New Roman" w:eastAsia="Times New Roman" w:hAnsi="Times New Roman" w:cs="Times New Roman"/>
          <w:sz w:val="24"/>
          <w:szCs w:val="24"/>
          <w:lang w:eastAsia="en-AU"/>
        </w:rPr>
        <w:t xml:space="preserve">  It will operate in conjunction with the exemption.  </w:t>
      </w:r>
    </w:p>
    <w:p w:rsidR="00413FF2" w:rsidRPr="00212D85" w:rsidRDefault="00413FF2" w:rsidP="00413FF2">
      <w:pPr>
        <w:rPr>
          <w:rFonts w:ascii="Times New Roman" w:eastAsia="Times New Roman" w:hAnsi="Times New Roman" w:cs="Times New Roman"/>
          <w:sz w:val="24"/>
          <w:szCs w:val="24"/>
          <w:lang w:eastAsia="en-AU"/>
        </w:rPr>
      </w:pPr>
    </w:p>
    <w:p w:rsidR="001F1302" w:rsidRDefault="001F1302" w:rsidP="00413FF2">
      <w:pPr>
        <w:rPr>
          <w:rFonts w:ascii="Times New Roman" w:eastAsia="Times New Roman" w:hAnsi="Times New Roman" w:cs="Times New Roman"/>
          <w:sz w:val="24"/>
          <w:szCs w:val="24"/>
          <w:lang w:eastAsia="en-AU"/>
        </w:rPr>
      </w:pPr>
    </w:p>
    <w:p w:rsidR="0045788E" w:rsidRDefault="0045788E" w:rsidP="0045788E">
      <w:pPr>
        <w:spacing w:after="220"/>
        <w:rPr>
          <w:rFonts w:ascii="Times New Roman" w:hAnsi="Times New Roman" w:cs="Times New Roman"/>
          <w:b/>
          <w:sz w:val="24"/>
          <w:szCs w:val="24"/>
        </w:rPr>
      </w:pPr>
      <w:r>
        <w:rPr>
          <w:rFonts w:ascii="Times New Roman" w:hAnsi="Times New Roman" w:cs="Times New Roman"/>
          <w:b/>
          <w:sz w:val="24"/>
          <w:szCs w:val="24"/>
        </w:rPr>
        <w:t>Human rights implications</w:t>
      </w:r>
    </w:p>
    <w:p w:rsidR="00FB0B44" w:rsidRPr="00FB0B44" w:rsidRDefault="00FB0B44" w:rsidP="00FB0B44">
      <w:pPr>
        <w:spacing w:after="240"/>
        <w:rPr>
          <w:rFonts w:ascii="Times New Roman" w:eastAsia="Times New Roman" w:hAnsi="Times New Roman" w:cs="Times New Roman"/>
          <w:sz w:val="24"/>
          <w:szCs w:val="24"/>
          <w:u w:val="single"/>
          <w:lang w:eastAsia="en-AU"/>
        </w:rPr>
      </w:pPr>
      <w:r w:rsidRPr="00FB0B44">
        <w:rPr>
          <w:rFonts w:ascii="Times New Roman" w:eastAsia="Times New Roman" w:hAnsi="Times New Roman" w:cs="Times New Roman"/>
          <w:sz w:val="24"/>
          <w:szCs w:val="24"/>
          <w:u w:val="single"/>
          <w:lang w:eastAsia="en-AU"/>
        </w:rPr>
        <w:t>Rights to social security and to work and rehabilitation</w:t>
      </w:r>
    </w:p>
    <w:p w:rsidR="00FB0B44" w:rsidRPr="00FB0B44" w:rsidRDefault="00FB0B44" w:rsidP="00FB0B44">
      <w:pPr>
        <w:spacing w:after="240"/>
        <w:rPr>
          <w:rFonts w:ascii="Times New Roman" w:eastAsia="Times New Roman" w:hAnsi="Times New Roman" w:cs="Times New Roman"/>
          <w:sz w:val="24"/>
          <w:szCs w:val="24"/>
          <w:lang w:eastAsia="en-AU"/>
        </w:rPr>
      </w:pPr>
      <w:r w:rsidRPr="00FB0B44">
        <w:rPr>
          <w:rFonts w:ascii="Times New Roman" w:eastAsia="Times New Roman" w:hAnsi="Times New Roman" w:cs="Times New Roman"/>
          <w:sz w:val="24"/>
          <w:szCs w:val="24"/>
          <w:lang w:eastAsia="en-AU"/>
        </w:rPr>
        <w:t xml:space="preserve">Article 9 of </w:t>
      </w:r>
      <w:proofErr w:type="spellStart"/>
      <w:r w:rsidRPr="00FB0B44">
        <w:rPr>
          <w:rFonts w:ascii="Times New Roman" w:eastAsia="Times New Roman" w:hAnsi="Times New Roman" w:cs="Times New Roman"/>
          <w:sz w:val="24"/>
          <w:szCs w:val="24"/>
          <w:lang w:eastAsia="en-AU"/>
        </w:rPr>
        <w:t>ICESCR</w:t>
      </w:r>
      <w:proofErr w:type="spellEnd"/>
      <w:r w:rsidRPr="00FB0B44">
        <w:rPr>
          <w:rFonts w:ascii="Times New Roman" w:eastAsia="Times New Roman" w:hAnsi="Times New Roman" w:cs="Times New Roman"/>
          <w:sz w:val="24"/>
          <w:szCs w:val="24"/>
          <w:lang w:eastAsia="en-AU"/>
        </w:rPr>
        <w:t xml:space="preserve"> states that ‘States Parties … recognize the right of everyone to social security’. General Comment 19 by the Committee on Economic, Social and Cultural Rights sets out the essential elements of the right to social security, including that ‘States parties should … ensure the protection of workers who are injured in the course of employment or other productive work’.</w:t>
      </w:r>
      <w:r w:rsidR="0044399F">
        <w:rPr>
          <w:rFonts w:ascii="Times New Roman" w:eastAsia="Times New Roman" w:hAnsi="Times New Roman" w:cs="Times New Roman"/>
          <w:sz w:val="24"/>
          <w:szCs w:val="24"/>
          <w:lang w:eastAsia="en-AU"/>
        </w:rPr>
        <w:t>(</w:t>
      </w:r>
      <w:r w:rsidRPr="00FB0B44">
        <w:rPr>
          <w:rFonts w:ascii="Times New Roman" w:eastAsia="Times New Roman" w:hAnsi="Times New Roman" w:cs="Times New Roman"/>
          <w:sz w:val="24"/>
          <w:szCs w:val="24"/>
          <w:lang w:eastAsia="en-AU"/>
        </w:rPr>
        <w:footnoteReference w:id="1"/>
      </w:r>
      <w:r w:rsidR="0044399F">
        <w:rPr>
          <w:rFonts w:ascii="Times New Roman" w:eastAsia="Times New Roman" w:hAnsi="Times New Roman" w:cs="Times New Roman"/>
          <w:sz w:val="24"/>
          <w:szCs w:val="24"/>
          <w:lang w:eastAsia="en-AU"/>
        </w:rPr>
        <w:t>)</w:t>
      </w:r>
    </w:p>
    <w:p w:rsidR="00FB0B44" w:rsidRPr="00FB0B44" w:rsidRDefault="00FB0B44" w:rsidP="00FB0B44">
      <w:pPr>
        <w:spacing w:after="240"/>
        <w:rPr>
          <w:rFonts w:ascii="Times New Roman" w:eastAsia="Times New Roman" w:hAnsi="Times New Roman" w:cs="Times New Roman"/>
          <w:sz w:val="24"/>
          <w:szCs w:val="24"/>
          <w:lang w:eastAsia="en-AU"/>
        </w:rPr>
      </w:pPr>
      <w:r w:rsidRPr="00FB0B44">
        <w:rPr>
          <w:rFonts w:ascii="Times New Roman" w:eastAsia="Times New Roman" w:hAnsi="Times New Roman" w:cs="Times New Roman"/>
          <w:sz w:val="24"/>
          <w:szCs w:val="24"/>
          <w:lang w:eastAsia="en-AU"/>
        </w:rPr>
        <w:t>General Comment 19 also notes that the right to social security has a close relationship with the aspects of the right to work which require States Parties to provide social services for the rehabilitation of the injured and persons with disabilities.</w:t>
      </w:r>
      <w:r w:rsidR="0044399F">
        <w:rPr>
          <w:rFonts w:ascii="Times New Roman" w:eastAsia="Times New Roman" w:hAnsi="Times New Roman" w:cs="Times New Roman"/>
          <w:sz w:val="24"/>
          <w:szCs w:val="24"/>
          <w:lang w:eastAsia="en-AU"/>
        </w:rPr>
        <w:t>(</w:t>
      </w:r>
      <w:r w:rsidRPr="00FB0B44">
        <w:rPr>
          <w:rFonts w:ascii="Times New Roman" w:eastAsia="Times New Roman" w:hAnsi="Times New Roman" w:cs="Times New Roman"/>
          <w:sz w:val="24"/>
          <w:szCs w:val="24"/>
          <w:lang w:eastAsia="en-AU"/>
        </w:rPr>
        <w:footnoteReference w:id="2"/>
      </w:r>
      <w:r w:rsidR="0044399F">
        <w:rPr>
          <w:rFonts w:ascii="Times New Roman" w:eastAsia="Times New Roman" w:hAnsi="Times New Roman" w:cs="Times New Roman"/>
          <w:sz w:val="24"/>
          <w:szCs w:val="24"/>
          <w:lang w:eastAsia="en-AU"/>
        </w:rPr>
        <w:t>)</w:t>
      </w:r>
      <w:r w:rsidRPr="00FB0B44">
        <w:rPr>
          <w:rFonts w:ascii="Times New Roman" w:eastAsia="Times New Roman" w:hAnsi="Times New Roman" w:cs="Times New Roman"/>
          <w:sz w:val="24"/>
          <w:szCs w:val="24"/>
          <w:lang w:eastAsia="en-AU"/>
        </w:rPr>
        <w:t xml:space="preserve"> As such, the Bill’s interaction with the right to social security and the right to work, particularly the rights of persons with disabilities to rehabilitation and to work and employment, are best discussed together. </w:t>
      </w:r>
    </w:p>
    <w:p w:rsidR="00FB0B44" w:rsidRPr="00FB0B44" w:rsidRDefault="00FB0B44" w:rsidP="00FB0B44">
      <w:pPr>
        <w:spacing w:after="240"/>
        <w:rPr>
          <w:rFonts w:ascii="Times New Roman" w:eastAsia="Times New Roman" w:hAnsi="Times New Roman" w:cs="Times New Roman"/>
          <w:sz w:val="24"/>
          <w:szCs w:val="24"/>
          <w:lang w:eastAsia="en-AU"/>
        </w:rPr>
      </w:pPr>
      <w:r w:rsidRPr="00FB0B44">
        <w:rPr>
          <w:rFonts w:ascii="Times New Roman" w:eastAsia="Times New Roman" w:hAnsi="Times New Roman" w:cs="Times New Roman"/>
          <w:sz w:val="24"/>
          <w:szCs w:val="24"/>
          <w:lang w:eastAsia="en-AU"/>
        </w:rPr>
        <w:t>The Seafarers Act provides support for seafarers who have been injured at work by way of compensation payments, payment of medical expenses, permanent impairment benefits and other benefits, such as access to rehabilitation support. The Seafarers Act is part of a broader system of (primarily state) legislation which ensures all Australian employees have access to workers’ compensation when injured at work. Workers’ compensation represents just one avenue of social security that is available to injured employees and, where an injury is not covered by workers’ compensation legislation, other safety nets exist to meet medical and living costs.</w:t>
      </w:r>
    </w:p>
    <w:p w:rsidR="00FB0B44" w:rsidRPr="00FB0B44" w:rsidRDefault="00FB0B44" w:rsidP="00FB0B44">
      <w:pPr>
        <w:spacing w:after="240"/>
        <w:rPr>
          <w:rFonts w:ascii="Times New Roman" w:eastAsia="Times New Roman" w:hAnsi="Times New Roman" w:cs="Times New Roman"/>
          <w:sz w:val="24"/>
          <w:szCs w:val="24"/>
          <w:lang w:eastAsia="en-AU"/>
        </w:rPr>
      </w:pPr>
      <w:r w:rsidRPr="00FB0B44">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declaration </w:t>
      </w:r>
      <w:r w:rsidRPr="00FB0B44">
        <w:rPr>
          <w:rFonts w:ascii="Times New Roman" w:eastAsia="Times New Roman" w:hAnsi="Times New Roman" w:cs="Times New Roman"/>
          <w:sz w:val="24"/>
          <w:szCs w:val="24"/>
          <w:lang w:eastAsia="en-AU"/>
        </w:rPr>
        <w:t>will</w:t>
      </w:r>
      <w:r w:rsidR="001F1302">
        <w:rPr>
          <w:rFonts w:ascii="Times New Roman" w:eastAsia="Times New Roman" w:hAnsi="Times New Roman" w:cs="Times New Roman"/>
          <w:sz w:val="24"/>
          <w:szCs w:val="24"/>
          <w:lang w:eastAsia="en-AU"/>
        </w:rPr>
        <w:t xml:space="preserve"> operate along with </w:t>
      </w:r>
      <w:r w:rsidR="006D320D">
        <w:rPr>
          <w:rFonts w:ascii="Times New Roman" w:eastAsia="Times New Roman" w:hAnsi="Times New Roman" w:cs="Times New Roman"/>
          <w:sz w:val="24"/>
          <w:szCs w:val="24"/>
          <w:lang w:eastAsia="en-AU"/>
        </w:rPr>
        <w:t>a</w:t>
      </w:r>
      <w:r w:rsidR="001F1302">
        <w:rPr>
          <w:rFonts w:ascii="Times New Roman" w:eastAsia="Times New Roman" w:hAnsi="Times New Roman" w:cs="Times New Roman"/>
          <w:sz w:val="24"/>
          <w:szCs w:val="24"/>
          <w:lang w:eastAsia="en-AU"/>
        </w:rPr>
        <w:t xml:space="preserve"> section </w:t>
      </w:r>
      <w:proofErr w:type="spellStart"/>
      <w:r w:rsidR="001F1302">
        <w:rPr>
          <w:rFonts w:ascii="Times New Roman" w:eastAsia="Times New Roman" w:hAnsi="Times New Roman" w:cs="Times New Roman"/>
          <w:sz w:val="24"/>
          <w:szCs w:val="24"/>
          <w:lang w:eastAsia="en-AU"/>
        </w:rPr>
        <w:t>20A</w:t>
      </w:r>
      <w:proofErr w:type="spellEnd"/>
      <w:r w:rsidR="001F1302">
        <w:rPr>
          <w:rFonts w:ascii="Times New Roman" w:eastAsia="Times New Roman" w:hAnsi="Times New Roman" w:cs="Times New Roman"/>
          <w:sz w:val="24"/>
          <w:szCs w:val="24"/>
          <w:lang w:eastAsia="en-AU"/>
        </w:rPr>
        <w:t xml:space="preserve"> exemption under the </w:t>
      </w:r>
      <w:r w:rsidR="001F1302">
        <w:rPr>
          <w:rFonts w:ascii="Times New Roman" w:eastAsia="Times New Roman" w:hAnsi="Times New Roman" w:cs="Times New Roman"/>
          <w:i/>
          <w:sz w:val="24"/>
          <w:szCs w:val="24"/>
          <w:lang w:eastAsia="en-AU"/>
        </w:rPr>
        <w:t>Seafarers Rehabilitation and Compensation Act 1992</w:t>
      </w:r>
      <w:r w:rsidR="001F1302">
        <w:rPr>
          <w:rFonts w:ascii="Times New Roman" w:eastAsia="Times New Roman" w:hAnsi="Times New Roman" w:cs="Times New Roman"/>
          <w:sz w:val="24"/>
          <w:szCs w:val="24"/>
          <w:lang w:eastAsia="en-AU"/>
        </w:rPr>
        <w:t xml:space="preserve"> (Exemption- multiple vessels) to</w:t>
      </w:r>
      <w:r w:rsidRPr="00FB0B44">
        <w:rPr>
          <w:rFonts w:ascii="Times New Roman" w:eastAsia="Times New Roman" w:hAnsi="Times New Roman" w:cs="Times New Roman"/>
          <w:sz w:val="24"/>
          <w:szCs w:val="24"/>
          <w:lang w:eastAsia="en-AU"/>
        </w:rPr>
        <w:t xml:space="preserve"> alter the coverage of persons who may be eligible for workers’ compensation entitlements under the Seafarers Act, in order to align the coverage of the Act with the shared understanding of scheme participants prior to the </w:t>
      </w:r>
      <w:proofErr w:type="spellStart"/>
      <w:r w:rsidRPr="00FB0B44">
        <w:rPr>
          <w:rFonts w:ascii="Times New Roman" w:eastAsia="Times New Roman" w:hAnsi="Times New Roman" w:cs="Times New Roman"/>
          <w:sz w:val="24"/>
          <w:szCs w:val="24"/>
          <w:lang w:eastAsia="en-AU"/>
        </w:rPr>
        <w:t>Aucote</w:t>
      </w:r>
      <w:proofErr w:type="spellEnd"/>
      <w:r w:rsidRPr="00FB0B44">
        <w:rPr>
          <w:rFonts w:ascii="Times New Roman" w:eastAsia="Times New Roman" w:hAnsi="Times New Roman" w:cs="Times New Roman"/>
          <w:sz w:val="24"/>
          <w:szCs w:val="24"/>
          <w:lang w:eastAsia="en-AU"/>
        </w:rPr>
        <w:t xml:space="preserve"> decision. A consequence of these changes is that some individuals who may have entitlements to workers’ compensation under the Seafarers Act following the </w:t>
      </w:r>
      <w:proofErr w:type="spellStart"/>
      <w:r w:rsidRPr="00FB0B44">
        <w:rPr>
          <w:rFonts w:ascii="Times New Roman" w:eastAsia="Times New Roman" w:hAnsi="Times New Roman" w:cs="Times New Roman"/>
          <w:sz w:val="24"/>
          <w:szCs w:val="24"/>
          <w:lang w:eastAsia="en-AU"/>
        </w:rPr>
        <w:t>Aucote</w:t>
      </w:r>
      <w:proofErr w:type="spellEnd"/>
      <w:r w:rsidRPr="00FB0B44">
        <w:rPr>
          <w:rFonts w:ascii="Times New Roman" w:eastAsia="Times New Roman" w:hAnsi="Times New Roman" w:cs="Times New Roman"/>
          <w:sz w:val="24"/>
          <w:szCs w:val="24"/>
          <w:lang w:eastAsia="en-AU"/>
        </w:rPr>
        <w:t xml:space="preserve"> decision will no longer have an entitlement to compensation under that Act. These changes to coverage could be said to limit the right to social security. Any such limitations are, however, reasonable and proportionate, as affected employees will retain entitlements to compensation</w:t>
      </w:r>
      <w:r w:rsidR="00EE0BD9">
        <w:rPr>
          <w:rFonts w:ascii="Times New Roman" w:eastAsia="Times New Roman" w:hAnsi="Times New Roman" w:cs="Times New Roman"/>
          <w:sz w:val="24"/>
          <w:szCs w:val="24"/>
          <w:lang w:eastAsia="en-AU"/>
        </w:rPr>
        <w:t xml:space="preserve"> under state legislation</w:t>
      </w:r>
      <w:r w:rsidRPr="00FB0B44">
        <w:rPr>
          <w:rFonts w:ascii="Times New Roman" w:eastAsia="Times New Roman" w:hAnsi="Times New Roman" w:cs="Times New Roman"/>
          <w:sz w:val="24"/>
          <w:szCs w:val="24"/>
          <w:lang w:eastAsia="en-AU"/>
        </w:rPr>
        <w:t xml:space="preserve"> and any limitations are necessary to achieve the legitimate objective of ensuring the long-term viability of maritime industry employers and sustainability of the </w:t>
      </w:r>
      <w:proofErr w:type="spellStart"/>
      <w:r w:rsidRPr="00FB0B44">
        <w:rPr>
          <w:rFonts w:ascii="Times New Roman" w:eastAsia="Times New Roman" w:hAnsi="Times New Roman" w:cs="Times New Roman"/>
          <w:sz w:val="24"/>
          <w:szCs w:val="24"/>
          <w:lang w:eastAsia="en-AU"/>
        </w:rPr>
        <w:t>Seacare</w:t>
      </w:r>
      <w:proofErr w:type="spellEnd"/>
      <w:r w:rsidRPr="00FB0B44">
        <w:rPr>
          <w:rFonts w:ascii="Times New Roman" w:eastAsia="Times New Roman" w:hAnsi="Times New Roman" w:cs="Times New Roman"/>
          <w:sz w:val="24"/>
          <w:szCs w:val="24"/>
          <w:lang w:eastAsia="en-AU"/>
        </w:rPr>
        <w:t xml:space="preserve"> scheme.</w:t>
      </w:r>
    </w:p>
    <w:p w:rsidR="00FB0B44" w:rsidRPr="00FB0B44" w:rsidRDefault="00FB0B44" w:rsidP="00FB0B44">
      <w:pPr>
        <w:spacing w:after="240"/>
        <w:rPr>
          <w:rFonts w:ascii="Times New Roman" w:eastAsia="Times New Roman" w:hAnsi="Times New Roman" w:cs="Times New Roman"/>
          <w:sz w:val="24"/>
          <w:szCs w:val="24"/>
          <w:lang w:eastAsia="en-AU"/>
        </w:rPr>
      </w:pPr>
      <w:r w:rsidRPr="00FB0B44">
        <w:rPr>
          <w:rFonts w:ascii="Times New Roman" w:eastAsia="Times New Roman" w:hAnsi="Times New Roman" w:cs="Times New Roman"/>
          <w:sz w:val="24"/>
          <w:szCs w:val="24"/>
          <w:lang w:eastAsia="en-AU"/>
        </w:rPr>
        <w:t xml:space="preserve">By aligning the coverage of the Seafarers Act with the shared understanding of scheme participants, employees on purely intra-state voyages will no longer be covered by the Seafarers Act. These employees will continue to be covered by the workers compensation legislation of the state in which they work — as they had been understood to be, prior to the </w:t>
      </w:r>
      <w:proofErr w:type="spellStart"/>
      <w:r w:rsidRPr="00FB0B44">
        <w:rPr>
          <w:rFonts w:ascii="Times New Roman" w:eastAsia="Times New Roman" w:hAnsi="Times New Roman" w:cs="Times New Roman"/>
          <w:sz w:val="24"/>
          <w:szCs w:val="24"/>
          <w:lang w:eastAsia="en-AU"/>
        </w:rPr>
        <w:t>Aucote</w:t>
      </w:r>
      <w:proofErr w:type="spellEnd"/>
      <w:r w:rsidRPr="00FB0B44">
        <w:rPr>
          <w:rFonts w:ascii="Times New Roman" w:eastAsia="Times New Roman" w:hAnsi="Times New Roman" w:cs="Times New Roman"/>
          <w:sz w:val="24"/>
          <w:szCs w:val="24"/>
          <w:lang w:eastAsia="en-AU"/>
        </w:rPr>
        <w:t xml:space="preserve"> decision. While the precise quantum of entitlements available under each scheme varies, every workers’ compensation scheme in Australia provides protection and support to injured employees, as required by the right to social security. Further, the change to the rights of these employees to workers’ compensation will align their actual rights with those which had been understood to have had prior to the </w:t>
      </w:r>
      <w:proofErr w:type="spellStart"/>
      <w:r w:rsidRPr="00FB0B44">
        <w:rPr>
          <w:rFonts w:ascii="Times New Roman" w:eastAsia="Times New Roman" w:hAnsi="Times New Roman" w:cs="Times New Roman"/>
          <w:sz w:val="24"/>
          <w:szCs w:val="24"/>
          <w:lang w:eastAsia="en-AU"/>
        </w:rPr>
        <w:t>Aucote</w:t>
      </w:r>
      <w:proofErr w:type="spellEnd"/>
      <w:r w:rsidRPr="00FB0B44">
        <w:rPr>
          <w:rFonts w:ascii="Times New Roman" w:eastAsia="Times New Roman" w:hAnsi="Times New Roman" w:cs="Times New Roman"/>
          <w:sz w:val="24"/>
          <w:szCs w:val="24"/>
          <w:lang w:eastAsia="en-AU"/>
        </w:rPr>
        <w:t xml:space="preserve"> decision. As such, any limitation to the right to social security which results from this change would be reasonable and proportionate. </w:t>
      </w:r>
    </w:p>
    <w:p w:rsidR="00FB0B44" w:rsidRPr="00FB0B44" w:rsidRDefault="00FB0B44" w:rsidP="00FB0B44">
      <w:pPr>
        <w:spacing w:after="240"/>
        <w:rPr>
          <w:rFonts w:ascii="Times New Roman" w:eastAsia="Times New Roman" w:hAnsi="Times New Roman" w:cs="Times New Roman"/>
          <w:sz w:val="24"/>
          <w:szCs w:val="24"/>
          <w:lang w:eastAsia="en-AU"/>
        </w:rPr>
      </w:pPr>
      <w:r w:rsidRPr="00FB0B44">
        <w:rPr>
          <w:rFonts w:ascii="Times New Roman" w:eastAsia="Times New Roman" w:hAnsi="Times New Roman" w:cs="Times New Roman"/>
          <w:sz w:val="24"/>
          <w:szCs w:val="24"/>
          <w:lang w:eastAsia="en-AU"/>
        </w:rPr>
        <w:t xml:space="preserve">Any limitations to the right to social security are necessary to achieve the legitimate objective of ensuring the long-term viability of maritime industry employers and sustainability of the </w:t>
      </w:r>
      <w:proofErr w:type="spellStart"/>
      <w:r w:rsidRPr="00FB0B44">
        <w:rPr>
          <w:rFonts w:ascii="Times New Roman" w:eastAsia="Times New Roman" w:hAnsi="Times New Roman" w:cs="Times New Roman"/>
          <w:sz w:val="24"/>
          <w:szCs w:val="24"/>
          <w:lang w:eastAsia="en-AU"/>
        </w:rPr>
        <w:t>Seacare</w:t>
      </w:r>
      <w:proofErr w:type="spellEnd"/>
      <w:r w:rsidRPr="00FB0B44">
        <w:rPr>
          <w:rFonts w:ascii="Times New Roman" w:eastAsia="Times New Roman" w:hAnsi="Times New Roman" w:cs="Times New Roman"/>
          <w:sz w:val="24"/>
          <w:szCs w:val="24"/>
          <w:lang w:eastAsia="en-AU"/>
        </w:rPr>
        <w:t xml:space="preserve"> scheme. As noted by General Comment 19, an important aspect of the right to social security is ensuring that schemes are sustainable, ‘in order to ensure that the right can be realized for present and future generations’.</w:t>
      </w:r>
      <w:r w:rsidR="0044399F">
        <w:rPr>
          <w:rFonts w:ascii="Times New Roman" w:eastAsia="Times New Roman" w:hAnsi="Times New Roman" w:cs="Times New Roman"/>
          <w:sz w:val="24"/>
          <w:szCs w:val="24"/>
          <w:lang w:eastAsia="en-AU"/>
        </w:rPr>
        <w:t>(</w:t>
      </w:r>
      <w:r w:rsidRPr="00FB0B44">
        <w:rPr>
          <w:rFonts w:ascii="Times New Roman" w:eastAsia="Times New Roman" w:hAnsi="Times New Roman" w:cs="Times New Roman"/>
          <w:sz w:val="24"/>
          <w:szCs w:val="24"/>
          <w:lang w:eastAsia="en-AU"/>
        </w:rPr>
        <w:footnoteReference w:id="3"/>
      </w:r>
      <w:r w:rsidR="0044399F">
        <w:rPr>
          <w:rFonts w:ascii="Times New Roman" w:eastAsia="Times New Roman" w:hAnsi="Times New Roman" w:cs="Times New Roman"/>
          <w:sz w:val="24"/>
          <w:szCs w:val="24"/>
          <w:lang w:eastAsia="en-AU"/>
        </w:rPr>
        <w:t>)</w:t>
      </w:r>
    </w:p>
    <w:p w:rsidR="00FB0B44" w:rsidRPr="00FB0B44" w:rsidRDefault="00FB0B44" w:rsidP="00FB0B44">
      <w:pPr>
        <w:spacing w:after="240"/>
        <w:rPr>
          <w:rFonts w:ascii="Times New Roman" w:eastAsia="Times New Roman" w:hAnsi="Times New Roman" w:cs="Times New Roman"/>
          <w:sz w:val="24"/>
          <w:szCs w:val="24"/>
          <w:lang w:eastAsia="en-AU"/>
        </w:rPr>
      </w:pPr>
      <w:r w:rsidRPr="00FB0B44">
        <w:rPr>
          <w:rFonts w:ascii="Times New Roman" w:eastAsia="Times New Roman" w:hAnsi="Times New Roman" w:cs="Times New Roman"/>
          <w:sz w:val="24"/>
          <w:szCs w:val="24"/>
          <w:lang w:eastAsia="en-AU"/>
        </w:rPr>
        <w:t xml:space="preserve">The workers’ compensation scheme established by the Seafarers Act is privately underwritten, with employers purchasing insurance policies from approved insurers under the terms of the Act. Prior to the </w:t>
      </w:r>
      <w:proofErr w:type="spellStart"/>
      <w:r w:rsidRPr="00FB0B44">
        <w:rPr>
          <w:rFonts w:ascii="Times New Roman" w:eastAsia="Times New Roman" w:hAnsi="Times New Roman" w:cs="Times New Roman"/>
          <w:sz w:val="24"/>
          <w:szCs w:val="24"/>
          <w:lang w:eastAsia="en-AU"/>
        </w:rPr>
        <w:t>Aucote</w:t>
      </w:r>
      <w:proofErr w:type="spellEnd"/>
      <w:r w:rsidRPr="00FB0B44">
        <w:rPr>
          <w:rFonts w:ascii="Times New Roman" w:eastAsia="Times New Roman" w:hAnsi="Times New Roman" w:cs="Times New Roman"/>
          <w:sz w:val="24"/>
          <w:szCs w:val="24"/>
          <w:lang w:eastAsia="en-AU"/>
        </w:rPr>
        <w:t xml:space="preserve"> decision, the shared understanding of regulators, maritime industry employers and employees was that the coverage of the Seafarers Act did not extend to intra-state voyages. Employers who had acted on  the basis they were not covered by the Seafarers Act will not have insurance policies under the Act, and will have instead paid insurance premiums (or purchased insurance policies) under the workers compensation laws of the state in which they operated. Workers’ compensation premiums under the </w:t>
      </w:r>
      <w:proofErr w:type="spellStart"/>
      <w:r w:rsidRPr="00FB0B44">
        <w:rPr>
          <w:rFonts w:ascii="Times New Roman" w:eastAsia="Times New Roman" w:hAnsi="Times New Roman" w:cs="Times New Roman"/>
          <w:sz w:val="24"/>
          <w:szCs w:val="24"/>
          <w:lang w:eastAsia="en-AU"/>
        </w:rPr>
        <w:t>Seacare</w:t>
      </w:r>
      <w:proofErr w:type="spellEnd"/>
      <w:r w:rsidRPr="00FB0B44">
        <w:rPr>
          <w:rFonts w:ascii="Times New Roman" w:eastAsia="Times New Roman" w:hAnsi="Times New Roman" w:cs="Times New Roman"/>
          <w:sz w:val="24"/>
          <w:szCs w:val="24"/>
          <w:lang w:eastAsia="en-AU"/>
        </w:rPr>
        <w:t xml:space="preserve"> scheme are, on average, significantly more expensive than those of state and territory workers’ compensation schemes.</w:t>
      </w:r>
    </w:p>
    <w:p w:rsidR="00FB0B44" w:rsidRPr="00FB0B44" w:rsidRDefault="00FB0B44" w:rsidP="00FB0B44">
      <w:pPr>
        <w:spacing w:after="240"/>
        <w:rPr>
          <w:rFonts w:ascii="Times New Roman" w:eastAsia="Times New Roman" w:hAnsi="Times New Roman" w:cs="Times New Roman"/>
          <w:sz w:val="24"/>
          <w:szCs w:val="24"/>
          <w:lang w:eastAsia="en-AU"/>
        </w:rPr>
      </w:pPr>
      <w:r w:rsidRPr="00FB0B44">
        <w:rPr>
          <w:rFonts w:ascii="Times New Roman" w:eastAsia="Times New Roman" w:hAnsi="Times New Roman" w:cs="Times New Roman"/>
          <w:sz w:val="24"/>
          <w:szCs w:val="24"/>
          <w:lang w:eastAsia="en-AU"/>
        </w:rPr>
        <w:t>Th</w:t>
      </w:r>
      <w:r w:rsidR="00714887">
        <w:rPr>
          <w:rFonts w:ascii="Times New Roman" w:eastAsia="Times New Roman" w:hAnsi="Times New Roman" w:cs="Times New Roman"/>
          <w:sz w:val="24"/>
          <w:szCs w:val="24"/>
          <w:lang w:eastAsia="en-AU"/>
        </w:rPr>
        <w:t xml:space="preserve">is declaration </w:t>
      </w:r>
      <w:r w:rsidRPr="00FB0B44">
        <w:rPr>
          <w:rFonts w:ascii="Times New Roman" w:eastAsia="Times New Roman" w:hAnsi="Times New Roman" w:cs="Times New Roman"/>
          <w:sz w:val="24"/>
          <w:szCs w:val="24"/>
          <w:lang w:eastAsia="en-AU"/>
        </w:rPr>
        <w:t>protect</w:t>
      </w:r>
      <w:r w:rsidR="00714887">
        <w:rPr>
          <w:rFonts w:ascii="Times New Roman" w:eastAsia="Times New Roman" w:hAnsi="Times New Roman" w:cs="Times New Roman"/>
          <w:sz w:val="24"/>
          <w:szCs w:val="24"/>
          <w:lang w:eastAsia="en-AU"/>
        </w:rPr>
        <w:t>s</w:t>
      </w:r>
      <w:r w:rsidRPr="00FB0B44">
        <w:rPr>
          <w:rFonts w:ascii="Times New Roman" w:eastAsia="Times New Roman" w:hAnsi="Times New Roman" w:cs="Times New Roman"/>
          <w:sz w:val="24"/>
          <w:szCs w:val="24"/>
          <w:lang w:eastAsia="en-AU"/>
        </w:rPr>
        <w:t xml:space="preserve"> the long-term viability of maritime industry employers and the long-term sustainability of the scheme. Without the </w:t>
      </w:r>
      <w:r w:rsidR="00714887">
        <w:rPr>
          <w:rFonts w:ascii="Times New Roman" w:eastAsia="Times New Roman" w:hAnsi="Times New Roman" w:cs="Times New Roman"/>
          <w:sz w:val="24"/>
          <w:szCs w:val="24"/>
          <w:lang w:eastAsia="en-AU"/>
        </w:rPr>
        <w:t>exclusion of these ships</w:t>
      </w:r>
      <w:r w:rsidRPr="00FB0B44">
        <w:rPr>
          <w:rFonts w:ascii="Times New Roman" w:eastAsia="Times New Roman" w:hAnsi="Times New Roman" w:cs="Times New Roman"/>
          <w:sz w:val="24"/>
          <w:szCs w:val="24"/>
          <w:lang w:eastAsia="en-AU"/>
        </w:rPr>
        <w:t xml:space="preserve">, the viability of maritime industry employers would be jeopardised because employers may be exposed to workers’ compensation claims under the Seafarers Act for which they are not insured, because they did not know that they were covered by the Act. The financial viability of employers in the maritime industry is vital to promoting and protecting the right to work for their employees. The financial sustainability of the scheme and availability of affordable workers’ compensation insurance would be jeopardised if the </w:t>
      </w:r>
      <w:proofErr w:type="spellStart"/>
      <w:r w:rsidRPr="00FB0B44">
        <w:rPr>
          <w:rFonts w:ascii="Times New Roman" w:eastAsia="Times New Roman" w:hAnsi="Times New Roman" w:cs="Times New Roman"/>
          <w:sz w:val="24"/>
          <w:szCs w:val="24"/>
          <w:lang w:eastAsia="en-AU"/>
        </w:rPr>
        <w:t>Seacare</w:t>
      </w:r>
      <w:proofErr w:type="spellEnd"/>
      <w:r w:rsidRPr="00FB0B44">
        <w:rPr>
          <w:rFonts w:ascii="Times New Roman" w:eastAsia="Times New Roman" w:hAnsi="Times New Roman" w:cs="Times New Roman"/>
          <w:sz w:val="24"/>
          <w:szCs w:val="24"/>
          <w:lang w:eastAsia="en-AU"/>
        </w:rPr>
        <w:t xml:space="preserve"> scheme were to operate with such an expanded application.</w:t>
      </w:r>
    </w:p>
    <w:p w:rsidR="00FB0B44" w:rsidRPr="00FB0B44" w:rsidRDefault="00FB0B44" w:rsidP="00FB0B44">
      <w:pPr>
        <w:spacing w:after="240"/>
        <w:rPr>
          <w:rFonts w:ascii="Times New Roman" w:eastAsia="Times New Roman" w:hAnsi="Times New Roman" w:cs="Times New Roman"/>
          <w:sz w:val="24"/>
          <w:szCs w:val="24"/>
          <w:lang w:eastAsia="en-AU"/>
        </w:rPr>
      </w:pPr>
      <w:r w:rsidRPr="00FB0B44">
        <w:rPr>
          <w:rFonts w:ascii="Times New Roman" w:eastAsia="Times New Roman" w:hAnsi="Times New Roman" w:cs="Times New Roman"/>
          <w:sz w:val="24"/>
          <w:szCs w:val="24"/>
          <w:lang w:eastAsia="en-AU"/>
        </w:rPr>
        <w:t xml:space="preserve">A centralised fund, known as the Safety Net Fund, is also managed by the Commonwealth and exists to cover claims where an employer has become insolvent or is otherwise unable to pay a claim. The Safety Net Fund is maintained through levies on </w:t>
      </w:r>
      <w:proofErr w:type="spellStart"/>
      <w:r w:rsidRPr="00FB0B44">
        <w:rPr>
          <w:rFonts w:ascii="Times New Roman" w:eastAsia="Times New Roman" w:hAnsi="Times New Roman" w:cs="Times New Roman"/>
          <w:sz w:val="24"/>
          <w:szCs w:val="24"/>
          <w:lang w:eastAsia="en-AU"/>
        </w:rPr>
        <w:t>Seacare</w:t>
      </w:r>
      <w:proofErr w:type="spellEnd"/>
      <w:r w:rsidRPr="00FB0B44">
        <w:rPr>
          <w:rFonts w:ascii="Times New Roman" w:eastAsia="Times New Roman" w:hAnsi="Times New Roman" w:cs="Times New Roman"/>
          <w:sz w:val="24"/>
          <w:szCs w:val="24"/>
          <w:lang w:eastAsia="en-AU"/>
        </w:rPr>
        <w:t xml:space="preserve"> scheme employers. The sustainability of the Safety Net Fund would be jeopardised without any changes because of an increase in the number of calls on the Fund, in many cases from employees for whom levies have never been paid, that exceed the reserves held in the Fund.</w:t>
      </w:r>
    </w:p>
    <w:p w:rsidR="0045788E" w:rsidRDefault="0045788E" w:rsidP="0045788E">
      <w:pPr>
        <w:keepNext/>
        <w:spacing w:after="220"/>
        <w:rPr>
          <w:rFonts w:ascii="Times New Roman" w:hAnsi="Times New Roman" w:cs="Times New Roman"/>
          <w:b/>
          <w:sz w:val="24"/>
          <w:szCs w:val="24"/>
        </w:rPr>
      </w:pPr>
      <w:r>
        <w:rPr>
          <w:rFonts w:ascii="Times New Roman" w:hAnsi="Times New Roman" w:cs="Times New Roman"/>
          <w:b/>
          <w:sz w:val="24"/>
          <w:szCs w:val="24"/>
        </w:rPr>
        <w:t>Conclusion</w:t>
      </w:r>
    </w:p>
    <w:p w:rsidR="0045788E" w:rsidRDefault="0045788E" w:rsidP="0045788E">
      <w:pPr>
        <w:spacing w:after="220"/>
        <w:rPr>
          <w:rFonts w:ascii="Times New Roman" w:hAnsi="Times New Roman" w:cs="Times New Roman"/>
          <w:sz w:val="24"/>
          <w:szCs w:val="24"/>
        </w:rPr>
      </w:pPr>
      <w:r>
        <w:rPr>
          <w:rFonts w:ascii="Times New Roman" w:hAnsi="Times New Roman" w:cs="Times New Roman"/>
          <w:sz w:val="24"/>
          <w:szCs w:val="24"/>
        </w:rPr>
        <w:t>The Legislative Instrument is compatible with human rights because it does not negatively impact on human rights.</w:t>
      </w:r>
    </w:p>
    <w:p w:rsidR="0045788E" w:rsidRDefault="0045788E" w:rsidP="0045788E">
      <w:pPr>
        <w:spacing w:after="220"/>
        <w:jc w:val="center"/>
        <w:rPr>
          <w:rFonts w:ascii="Times New Roman" w:hAnsi="Times New Roman" w:cs="Times New Roman"/>
          <w:b/>
          <w:sz w:val="24"/>
          <w:szCs w:val="24"/>
        </w:rPr>
      </w:pPr>
      <w:r>
        <w:rPr>
          <w:rFonts w:ascii="Times New Roman" w:hAnsi="Times New Roman" w:cs="Times New Roman"/>
          <w:b/>
          <w:sz w:val="24"/>
          <w:szCs w:val="24"/>
        </w:rPr>
        <w:t xml:space="preserve">Senator the Hon. Eric Abetz </w:t>
      </w:r>
    </w:p>
    <w:p w:rsidR="0045788E" w:rsidRDefault="0045788E" w:rsidP="0045788E">
      <w:pPr>
        <w:jc w:val="center"/>
        <w:rPr>
          <w:rFonts w:ascii="Times New Roman" w:hAnsi="Times New Roman" w:cs="Times New Roman"/>
          <w:sz w:val="24"/>
          <w:szCs w:val="24"/>
        </w:rPr>
      </w:pPr>
      <w:r>
        <w:rPr>
          <w:rFonts w:ascii="Times New Roman" w:hAnsi="Times New Roman" w:cs="Times New Roman"/>
          <w:sz w:val="24"/>
          <w:szCs w:val="24"/>
        </w:rPr>
        <w:t>Minister for Employment</w:t>
      </w:r>
    </w:p>
    <w:p w:rsidR="0045788E" w:rsidRDefault="0045788E" w:rsidP="0045788E">
      <w:pPr>
        <w:jc w:val="center"/>
        <w:rPr>
          <w:rFonts w:ascii="Times New Roman" w:hAnsi="Times New Roman" w:cs="Times New Roman"/>
          <w:sz w:val="24"/>
          <w:szCs w:val="24"/>
        </w:rPr>
      </w:pPr>
    </w:p>
    <w:p w:rsidR="002579ED" w:rsidRDefault="002579ED"/>
    <w:sectPr w:rsidR="002579ED" w:rsidSect="005368B6">
      <w:headerReference w:type="even" r:id="rId12"/>
      <w:headerReference w:type="default" r:id="rId13"/>
      <w:footerReference w:type="even" r:id="rId14"/>
      <w:footerReference w:type="default" r:id="rId15"/>
      <w:headerReference w:type="first" r:id="rId16"/>
      <w:footerReference w:type="first" r:id="rId17"/>
      <w:pgSz w:w="11906" w:h="16838"/>
      <w:pgMar w:top="851" w:right="1276" w:bottom="851" w:left="1276" w:header="28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DEA" w:rsidRDefault="00FD6DEA" w:rsidP="0045788E">
      <w:r>
        <w:separator/>
      </w:r>
    </w:p>
  </w:endnote>
  <w:endnote w:type="continuationSeparator" w:id="0">
    <w:p w:rsidR="00FD6DEA" w:rsidRDefault="00FD6DEA" w:rsidP="0045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97" w:rsidRDefault="001876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97" w:rsidRDefault="001876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97" w:rsidRDefault="00187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DEA" w:rsidRDefault="00FD6DEA" w:rsidP="0045788E">
      <w:r>
        <w:separator/>
      </w:r>
    </w:p>
  </w:footnote>
  <w:footnote w:type="continuationSeparator" w:id="0">
    <w:p w:rsidR="00FD6DEA" w:rsidRDefault="00FD6DEA" w:rsidP="0045788E">
      <w:r>
        <w:continuationSeparator/>
      </w:r>
    </w:p>
  </w:footnote>
  <w:footnote w:id="1">
    <w:p w:rsidR="00FB0B44" w:rsidRDefault="00FB0B44" w:rsidP="00FB0B44">
      <w:pPr>
        <w:pStyle w:val="FootnoteText"/>
      </w:pPr>
      <w:r>
        <w:rPr>
          <w:rStyle w:val="FootnoteReference"/>
        </w:rPr>
        <w:footnoteRef/>
      </w:r>
      <w:r>
        <w:t xml:space="preserve"> Committee on Economic, Social and Cultural Rights, </w:t>
      </w:r>
      <w:r>
        <w:rPr>
          <w:i/>
        </w:rPr>
        <w:t>General Comment 19: The Right to Social Security (art. 9)</w:t>
      </w:r>
      <w:r>
        <w:t>, U.N. Doc E/</w:t>
      </w:r>
      <w:proofErr w:type="spellStart"/>
      <w:r>
        <w:t>C.12</w:t>
      </w:r>
      <w:proofErr w:type="spellEnd"/>
      <w:r>
        <w:t>/GC/19 (2008), [17].</w:t>
      </w:r>
    </w:p>
  </w:footnote>
  <w:footnote w:id="2">
    <w:p w:rsidR="00FB0B44" w:rsidRDefault="00FB0B44" w:rsidP="00FB0B44">
      <w:pPr>
        <w:pStyle w:val="FootnoteText"/>
      </w:pPr>
      <w:r>
        <w:rPr>
          <w:rStyle w:val="FootnoteReference"/>
        </w:rPr>
        <w:footnoteRef/>
      </w:r>
      <w:r>
        <w:t xml:space="preserve"> Ibid [28].</w:t>
      </w:r>
    </w:p>
  </w:footnote>
  <w:footnote w:id="3">
    <w:p w:rsidR="00FB0B44" w:rsidRDefault="00FB0B44" w:rsidP="00FB0B44">
      <w:pPr>
        <w:pStyle w:val="FootnoteText"/>
      </w:pPr>
      <w:r>
        <w:rPr>
          <w:rStyle w:val="FootnoteReference"/>
        </w:rPr>
        <w:footnoteRef/>
      </w:r>
      <w:r>
        <w:t xml:space="preserve"> Ibid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97" w:rsidRDefault="00187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97" w:rsidRDefault="001876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97" w:rsidRDefault="00187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240D"/>
    <w:multiLevelType w:val="hybridMultilevel"/>
    <w:tmpl w:val="1B70E348"/>
    <w:lvl w:ilvl="0" w:tplc="C206F356">
      <w:start w:val="1"/>
      <w:numFmt w:val="lowerLetter"/>
      <w:lvlText w:val="(%1)"/>
      <w:lvlJc w:val="left"/>
      <w:pPr>
        <w:tabs>
          <w:tab w:val="num" w:pos="720"/>
        </w:tabs>
        <w:ind w:left="720" w:hanging="360"/>
      </w:pPr>
    </w:lvl>
    <w:lvl w:ilvl="1" w:tplc="E7F8D008">
      <w:start w:val="1"/>
      <w:numFmt w:val="lowerLetter"/>
      <w:lvlText w:val="%2."/>
      <w:lvlJc w:val="left"/>
      <w:pPr>
        <w:tabs>
          <w:tab w:val="num" w:pos="1440"/>
        </w:tabs>
        <w:ind w:left="1440" w:hanging="360"/>
      </w:pPr>
    </w:lvl>
    <w:lvl w:ilvl="2" w:tplc="69E4D0C0">
      <w:start w:val="1"/>
      <w:numFmt w:val="lowerRoman"/>
      <w:lvlText w:val="%3."/>
      <w:lvlJc w:val="right"/>
      <w:pPr>
        <w:tabs>
          <w:tab w:val="num" w:pos="2160"/>
        </w:tabs>
        <w:ind w:left="2160" w:hanging="180"/>
      </w:pPr>
    </w:lvl>
    <w:lvl w:ilvl="3" w:tplc="00B8DC40">
      <w:start w:val="1"/>
      <w:numFmt w:val="decimal"/>
      <w:lvlText w:val="%4."/>
      <w:lvlJc w:val="left"/>
      <w:pPr>
        <w:tabs>
          <w:tab w:val="num" w:pos="2880"/>
        </w:tabs>
        <w:ind w:left="2880" w:hanging="360"/>
      </w:pPr>
    </w:lvl>
    <w:lvl w:ilvl="4" w:tplc="1A5EDAB4">
      <w:start w:val="1"/>
      <w:numFmt w:val="lowerLetter"/>
      <w:lvlText w:val="%5."/>
      <w:lvlJc w:val="left"/>
      <w:pPr>
        <w:tabs>
          <w:tab w:val="num" w:pos="3600"/>
        </w:tabs>
        <w:ind w:left="3600" w:hanging="360"/>
      </w:pPr>
    </w:lvl>
    <w:lvl w:ilvl="5" w:tplc="DDB87154">
      <w:start w:val="1"/>
      <w:numFmt w:val="lowerRoman"/>
      <w:lvlText w:val="%6."/>
      <w:lvlJc w:val="right"/>
      <w:pPr>
        <w:tabs>
          <w:tab w:val="num" w:pos="4320"/>
        </w:tabs>
        <w:ind w:left="4320" w:hanging="180"/>
      </w:pPr>
    </w:lvl>
    <w:lvl w:ilvl="6" w:tplc="0322B258">
      <w:start w:val="1"/>
      <w:numFmt w:val="decimal"/>
      <w:lvlText w:val="%7."/>
      <w:lvlJc w:val="left"/>
      <w:pPr>
        <w:tabs>
          <w:tab w:val="num" w:pos="5040"/>
        </w:tabs>
        <w:ind w:left="5040" w:hanging="360"/>
      </w:pPr>
    </w:lvl>
    <w:lvl w:ilvl="7" w:tplc="7ED8A748">
      <w:start w:val="1"/>
      <w:numFmt w:val="lowerLetter"/>
      <w:lvlText w:val="%8."/>
      <w:lvlJc w:val="left"/>
      <w:pPr>
        <w:tabs>
          <w:tab w:val="num" w:pos="5760"/>
        </w:tabs>
        <w:ind w:left="5760" w:hanging="360"/>
      </w:pPr>
    </w:lvl>
    <w:lvl w:ilvl="8" w:tplc="0E8EC042">
      <w:start w:val="1"/>
      <w:numFmt w:val="lowerRoman"/>
      <w:lvlText w:val="%9."/>
      <w:lvlJc w:val="right"/>
      <w:pPr>
        <w:tabs>
          <w:tab w:val="num" w:pos="6480"/>
        </w:tabs>
        <w:ind w:left="6480" w:hanging="180"/>
      </w:pPr>
    </w:lvl>
  </w:abstractNum>
  <w:abstractNum w:abstractNumId="1">
    <w:nsid w:val="080266F1"/>
    <w:multiLevelType w:val="hybridMultilevel"/>
    <w:tmpl w:val="F5CA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0334D4"/>
    <w:multiLevelType w:val="hybridMultilevel"/>
    <w:tmpl w:val="D8084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2B4071"/>
    <w:multiLevelType w:val="hybridMultilevel"/>
    <w:tmpl w:val="1B70E348"/>
    <w:lvl w:ilvl="0" w:tplc="C206F356">
      <w:start w:val="1"/>
      <w:numFmt w:val="lowerLetter"/>
      <w:lvlText w:val="(%1)"/>
      <w:lvlJc w:val="left"/>
      <w:pPr>
        <w:tabs>
          <w:tab w:val="num" w:pos="720"/>
        </w:tabs>
        <w:ind w:left="720" w:hanging="360"/>
      </w:pPr>
    </w:lvl>
    <w:lvl w:ilvl="1" w:tplc="E7F8D008">
      <w:start w:val="1"/>
      <w:numFmt w:val="lowerLetter"/>
      <w:lvlText w:val="%2."/>
      <w:lvlJc w:val="left"/>
      <w:pPr>
        <w:tabs>
          <w:tab w:val="num" w:pos="1440"/>
        </w:tabs>
        <w:ind w:left="1440" w:hanging="360"/>
      </w:pPr>
    </w:lvl>
    <w:lvl w:ilvl="2" w:tplc="69E4D0C0">
      <w:start w:val="1"/>
      <w:numFmt w:val="lowerRoman"/>
      <w:lvlText w:val="%3."/>
      <w:lvlJc w:val="right"/>
      <w:pPr>
        <w:tabs>
          <w:tab w:val="num" w:pos="2160"/>
        </w:tabs>
        <w:ind w:left="2160" w:hanging="180"/>
      </w:pPr>
    </w:lvl>
    <w:lvl w:ilvl="3" w:tplc="00B8DC40">
      <w:start w:val="1"/>
      <w:numFmt w:val="decimal"/>
      <w:lvlText w:val="%4."/>
      <w:lvlJc w:val="left"/>
      <w:pPr>
        <w:tabs>
          <w:tab w:val="num" w:pos="2880"/>
        </w:tabs>
        <w:ind w:left="2880" w:hanging="360"/>
      </w:pPr>
    </w:lvl>
    <w:lvl w:ilvl="4" w:tplc="1A5EDAB4">
      <w:start w:val="1"/>
      <w:numFmt w:val="lowerLetter"/>
      <w:lvlText w:val="%5."/>
      <w:lvlJc w:val="left"/>
      <w:pPr>
        <w:tabs>
          <w:tab w:val="num" w:pos="3600"/>
        </w:tabs>
        <w:ind w:left="3600" w:hanging="360"/>
      </w:pPr>
    </w:lvl>
    <w:lvl w:ilvl="5" w:tplc="DDB87154">
      <w:start w:val="1"/>
      <w:numFmt w:val="lowerRoman"/>
      <w:lvlText w:val="%6."/>
      <w:lvlJc w:val="right"/>
      <w:pPr>
        <w:tabs>
          <w:tab w:val="num" w:pos="4320"/>
        </w:tabs>
        <w:ind w:left="4320" w:hanging="180"/>
      </w:pPr>
    </w:lvl>
    <w:lvl w:ilvl="6" w:tplc="0322B258">
      <w:start w:val="1"/>
      <w:numFmt w:val="decimal"/>
      <w:lvlText w:val="%7."/>
      <w:lvlJc w:val="left"/>
      <w:pPr>
        <w:tabs>
          <w:tab w:val="num" w:pos="5040"/>
        </w:tabs>
        <w:ind w:left="5040" w:hanging="360"/>
      </w:pPr>
    </w:lvl>
    <w:lvl w:ilvl="7" w:tplc="7ED8A748">
      <w:start w:val="1"/>
      <w:numFmt w:val="lowerLetter"/>
      <w:lvlText w:val="%8."/>
      <w:lvlJc w:val="left"/>
      <w:pPr>
        <w:tabs>
          <w:tab w:val="num" w:pos="5760"/>
        </w:tabs>
        <w:ind w:left="5760" w:hanging="360"/>
      </w:pPr>
    </w:lvl>
    <w:lvl w:ilvl="8" w:tplc="0E8EC042">
      <w:start w:val="1"/>
      <w:numFmt w:val="lowerRoman"/>
      <w:lvlText w:val="%9."/>
      <w:lvlJc w:val="right"/>
      <w:pPr>
        <w:tabs>
          <w:tab w:val="num" w:pos="6480"/>
        </w:tabs>
        <w:ind w:left="6480" w:hanging="180"/>
      </w:pPr>
    </w:lvl>
  </w:abstractNum>
  <w:abstractNum w:abstractNumId="4">
    <w:nsid w:val="468D50FF"/>
    <w:multiLevelType w:val="hybridMultilevel"/>
    <w:tmpl w:val="F6141DE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7D8400AE"/>
    <w:multiLevelType w:val="hybridMultilevel"/>
    <w:tmpl w:val="8FF67292"/>
    <w:lvl w:ilvl="0" w:tplc="36ACEE0E">
      <w:start w:val="1"/>
      <w:numFmt w:val="lowerLetter"/>
      <w:lvlText w:val="(%1)"/>
      <w:lvlJc w:val="left"/>
      <w:pPr>
        <w:tabs>
          <w:tab w:val="num" w:pos="360"/>
        </w:tabs>
        <w:ind w:left="360" w:hanging="360"/>
      </w:pPr>
    </w:lvl>
    <w:lvl w:ilvl="1" w:tplc="28746120">
      <w:start w:val="1"/>
      <w:numFmt w:val="lowerLetter"/>
      <w:lvlText w:val="%2."/>
      <w:lvlJc w:val="left"/>
      <w:pPr>
        <w:tabs>
          <w:tab w:val="num" w:pos="1440"/>
        </w:tabs>
        <w:ind w:left="1440" w:hanging="360"/>
      </w:pPr>
    </w:lvl>
    <w:lvl w:ilvl="2" w:tplc="A118BF92">
      <w:start w:val="1"/>
      <w:numFmt w:val="lowerRoman"/>
      <w:lvlText w:val="%3."/>
      <w:lvlJc w:val="right"/>
      <w:pPr>
        <w:tabs>
          <w:tab w:val="num" w:pos="2160"/>
        </w:tabs>
        <w:ind w:left="2160" w:hanging="180"/>
      </w:pPr>
    </w:lvl>
    <w:lvl w:ilvl="3" w:tplc="D096B926">
      <w:start w:val="1"/>
      <w:numFmt w:val="decimal"/>
      <w:lvlText w:val="%4."/>
      <w:lvlJc w:val="left"/>
      <w:pPr>
        <w:tabs>
          <w:tab w:val="num" w:pos="2880"/>
        </w:tabs>
        <w:ind w:left="2880" w:hanging="360"/>
      </w:pPr>
    </w:lvl>
    <w:lvl w:ilvl="4" w:tplc="9A8A1F56">
      <w:start w:val="1"/>
      <w:numFmt w:val="lowerLetter"/>
      <w:lvlText w:val="%5."/>
      <w:lvlJc w:val="left"/>
      <w:pPr>
        <w:tabs>
          <w:tab w:val="num" w:pos="3600"/>
        </w:tabs>
        <w:ind w:left="3600" w:hanging="360"/>
      </w:pPr>
    </w:lvl>
    <w:lvl w:ilvl="5" w:tplc="9E86E93A">
      <w:start w:val="1"/>
      <w:numFmt w:val="lowerRoman"/>
      <w:lvlText w:val="%6."/>
      <w:lvlJc w:val="right"/>
      <w:pPr>
        <w:tabs>
          <w:tab w:val="num" w:pos="4320"/>
        </w:tabs>
        <w:ind w:left="4320" w:hanging="180"/>
      </w:pPr>
    </w:lvl>
    <w:lvl w:ilvl="6" w:tplc="1728C30A">
      <w:start w:val="1"/>
      <w:numFmt w:val="decimal"/>
      <w:lvlText w:val="%7."/>
      <w:lvlJc w:val="left"/>
      <w:pPr>
        <w:tabs>
          <w:tab w:val="num" w:pos="5040"/>
        </w:tabs>
        <w:ind w:left="5040" w:hanging="360"/>
      </w:pPr>
    </w:lvl>
    <w:lvl w:ilvl="7" w:tplc="E30E429A">
      <w:start w:val="1"/>
      <w:numFmt w:val="lowerLetter"/>
      <w:lvlText w:val="%8."/>
      <w:lvlJc w:val="left"/>
      <w:pPr>
        <w:tabs>
          <w:tab w:val="num" w:pos="5760"/>
        </w:tabs>
        <w:ind w:left="5760" w:hanging="360"/>
      </w:pPr>
    </w:lvl>
    <w:lvl w:ilvl="8" w:tplc="8A601F24">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8E"/>
    <w:rsid w:val="000101A6"/>
    <w:rsid w:val="000204F9"/>
    <w:rsid w:val="00021D05"/>
    <w:rsid w:val="00070850"/>
    <w:rsid w:val="000D2404"/>
    <w:rsid w:val="000E5286"/>
    <w:rsid w:val="00165441"/>
    <w:rsid w:val="00180405"/>
    <w:rsid w:val="00187697"/>
    <w:rsid w:val="001F1302"/>
    <w:rsid w:val="00212D85"/>
    <w:rsid w:val="00237504"/>
    <w:rsid w:val="002579ED"/>
    <w:rsid w:val="00263B37"/>
    <w:rsid w:val="002E7780"/>
    <w:rsid w:val="002F3B6B"/>
    <w:rsid w:val="00306F1C"/>
    <w:rsid w:val="00390080"/>
    <w:rsid w:val="00400A89"/>
    <w:rsid w:val="00413FF2"/>
    <w:rsid w:val="0044399F"/>
    <w:rsid w:val="0045788E"/>
    <w:rsid w:val="00465810"/>
    <w:rsid w:val="00466AF7"/>
    <w:rsid w:val="00502706"/>
    <w:rsid w:val="005133BA"/>
    <w:rsid w:val="005368B6"/>
    <w:rsid w:val="00545D30"/>
    <w:rsid w:val="005C4A0E"/>
    <w:rsid w:val="0060035A"/>
    <w:rsid w:val="00625D76"/>
    <w:rsid w:val="00666005"/>
    <w:rsid w:val="00676766"/>
    <w:rsid w:val="006B2C09"/>
    <w:rsid w:val="006D320D"/>
    <w:rsid w:val="00714887"/>
    <w:rsid w:val="00716B8D"/>
    <w:rsid w:val="00766911"/>
    <w:rsid w:val="007A662A"/>
    <w:rsid w:val="00807516"/>
    <w:rsid w:val="00883EC0"/>
    <w:rsid w:val="008F5DC0"/>
    <w:rsid w:val="009340F2"/>
    <w:rsid w:val="00996CEA"/>
    <w:rsid w:val="009A6883"/>
    <w:rsid w:val="009B1A4F"/>
    <w:rsid w:val="009F61EC"/>
    <w:rsid w:val="00A44E8E"/>
    <w:rsid w:val="00A734A0"/>
    <w:rsid w:val="00A77E77"/>
    <w:rsid w:val="00A85A97"/>
    <w:rsid w:val="00AE56A7"/>
    <w:rsid w:val="00AF53C2"/>
    <w:rsid w:val="00B45E13"/>
    <w:rsid w:val="00B83E07"/>
    <w:rsid w:val="00BE2EFA"/>
    <w:rsid w:val="00C437FC"/>
    <w:rsid w:val="00CA302C"/>
    <w:rsid w:val="00CB1D59"/>
    <w:rsid w:val="00D027E1"/>
    <w:rsid w:val="00DD4CEF"/>
    <w:rsid w:val="00E41235"/>
    <w:rsid w:val="00E448F7"/>
    <w:rsid w:val="00ED7A79"/>
    <w:rsid w:val="00EE0BD9"/>
    <w:rsid w:val="00F15FB8"/>
    <w:rsid w:val="00FA53C6"/>
    <w:rsid w:val="00FB0B44"/>
    <w:rsid w:val="00FB2D2E"/>
    <w:rsid w:val="00FB3F4F"/>
    <w:rsid w:val="00FC67B9"/>
    <w:rsid w:val="00FD6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8E"/>
    <w:pPr>
      <w:spacing w:after="0" w:line="240" w:lineRule="auto"/>
    </w:pPr>
    <w:rPr>
      <w:rFonts w:ascii="Arial" w:eastAsia="Calibri" w:hAnsi="Arial" w:cs="Arial"/>
    </w:rPr>
  </w:style>
  <w:style w:type="paragraph" w:styleId="Heading3">
    <w:name w:val="heading 3"/>
    <w:basedOn w:val="Normal"/>
    <w:link w:val="Heading3Char"/>
    <w:qFormat/>
    <w:rsid w:val="0045788E"/>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788E"/>
    <w:rPr>
      <w:rFonts w:ascii="Times New Roman" w:eastAsia="Times New Roman" w:hAnsi="Times New Roman" w:cs="Times New Roman"/>
      <w:b/>
      <w:bCs/>
      <w:sz w:val="27"/>
      <w:szCs w:val="27"/>
      <w:lang w:eastAsia="en-AU"/>
    </w:rPr>
  </w:style>
  <w:style w:type="paragraph" w:styleId="FootnoteText">
    <w:name w:val="footnote text"/>
    <w:basedOn w:val="Normal"/>
    <w:link w:val="FootnoteTextChar"/>
    <w:uiPriority w:val="99"/>
    <w:qFormat/>
    <w:rsid w:val="0045788E"/>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45788E"/>
    <w:rPr>
      <w:rFonts w:ascii="Times New Roman" w:eastAsia="Times New Roman" w:hAnsi="Times New Roman" w:cs="Times New Roman"/>
      <w:sz w:val="20"/>
      <w:szCs w:val="20"/>
      <w:lang w:eastAsia="en-AU"/>
    </w:rPr>
  </w:style>
  <w:style w:type="character" w:styleId="FootnoteReference">
    <w:name w:val="footnote reference"/>
    <w:uiPriority w:val="99"/>
    <w:rsid w:val="0045788E"/>
    <w:rPr>
      <w:vertAlign w:val="superscript"/>
    </w:rPr>
  </w:style>
  <w:style w:type="paragraph" w:styleId="Header">
    <w:name w:val="header"/>
    <w:basedOn w:val="Normal"/>
    <w:link w:val="HeaderChar"/>
    <w:uiPriority w:val="99"/>
    <w:unhideWhenUsed/>
    <w:rsid w:val="0045788E"/>
    <w:pPr>
      <w:tabs>
        <w:tab w:val="center" w:pos="4513"/>
        <w:tab w:val="right" w:pos="9026"/>
      </w:tabs>
    </w:pPr>
  </w:style>
  <w:style w:type="character" w:customStyle="1" w:styleId="HeaderChar">
    <w:name w:val="Header Char"/>
    <w:basedOn w:val="DefaultParagraphFont"/>
    <w:link w:val="Header"/>
    <w:uiPriority w:val="99"/>
    <w:rsid w:val="0045788E"/>
    <w:rPr>
      <w:rFonts w:ascii="Arial" w:eastAsia="Calibri" w:hAnsi="Arial" w:cs="Arial"/>
    </w:rPr>
  </w:style>
  <w:style w:type="paragraph" w:styleId="Footer">
    <w:name w:val="footer"/>
    <w:basedOn w:val="Normal"/>
    <w:link w:val="FooterChar"/>
    <w:uiPriority w:val="99"/>
    <w:unhideWhenUsed/>
    <w:rsid w:val="0045788E"/>
    <w:pPr>
      <w:tabs>
        <w:tab w:val="center" w:pos="4513"/>
        <w:tab w:val="right" w:pos="9026"/>
      </w:tabs>
    </w:pPr>
  </w:style>
  <w:style w:type="character" w:customStyle="1" w:styleId="FooterChar">
    <w:name w:val="Footer Char"/>
    <w:basedOn w:val="DefaultParagraphFont"/>
    <w:link w:val="Footer"/>
    <w:uiPriority w:val="99"/>
    <w:rsid w:val="0045788E"/>
    <w:rPr>
      <w:rFonts w:ascii="Arial" w:eastAsia="Calibri" w:hAnsi="Arial" w:cs="Arial"/>
    </w:rPr>
  </w:style>
  <w:style w:type="paragraph" w:customStyle="1" w:styleId="Default">
    <w:name w:val="Default"/>
    <w:rsid w:val="0023750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340F2"/>
    <w:rPr>
      <w:rFonts w:ascii="Tahoma" w:hAnsi="Tahoma" w:cs="Tahoma"/>
      <w:sz w:val="16"/>
      <w:szCs w:val="16"/>
    </w:rPr>
  </w:style>
  <w:style w:type="character" w:customStyle="1" w:styleId="BalloonTextChar">
    <w:name w:val="Balloon Text Char"/>
    <w:basedOn w:val="DefaultParagraphFont"/>
    <w:link w:val="BalloonText"/>
    <w:uiPriority w:val="99"/>
    <w:semiHidden/>
    <w:rsid w:val="009340F2"/>
    <w:rPr>
      <w:rFonts w:ascii="Tahoma" w:eastAsia="Calibri" w:hAnsi="Tahoma" w:cs="Tahoma"/>
      <w:sz w:val="16"/>
      <w:szCs w:val="16"/>
    </w:rPr>
  </w:style>
  <w:style w:type="paragraph" w:styleId="ListParagraph">
    <w:name w:val="List Paragraph"/>
    <w:basedOn w:val="Normal"/>
    <w:uiPriority w:val="34"/>
    <w:qFormat/>
    <w:rsid w:val="00E448F7"/>
    <w:pPr>
      <w:spacing w:after="240"/>
      <w:ind w:left="720"/>
      <w:contextualSpacing/>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8E"/>
    <w:pPr>
      <w:spacing w:after="0" w:line="240" w:lineRule="auto"/>
    </w:pPr>
    <w:rPr>
      <w:rFonts w:ascii="Arial" w:eastAsia="Calibri" w:hAnsi="Arial" w:cs="Arial"/>
    </w:rPr>
  </w:style>
  <w:style w:type="paragraph" w:styleId="Heading3">
    <w:name w:val="heading 3"/>
    <w:basedOn w:val="Normal"/>
    <w:link w:val="Heading3Char"/>
    <w:qFormat/>
    <w:rsid w:val="0045788E"/>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788E"/>
    <w:rPr>
      <w:rFonts w:ascii="Times New Roman" w:eastAsia="Times New Roman" w:hAnsi="Times New Roman" w:cs="Times New Roman"/>
      <w:b/>
      <w:bCs/>
      <w:sz w:val="27"/>
      <w:szCs w:val="27"/>
      <w:lang w:eastAsia="en-AU"/>
    </w:rPr>
  </w:style>
  <w:style w:type="paragraph" w:styleId="FootnoteText">
    <w:name w:val="footnote text"/>
    <w:basedOn w:val="Normal"/>
    <w:link w:val="FootnoteTextChar"/>
    <w:uiPriority w:val="99"/>
    <w:qFormat/>
    <w:rsid w:val="0045788E"/>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45788E"/>
    <w:rPr>
      <w:rFonts w:ascii="Times New Roman" w:eastAsia="Times New Roman" w:hAnsi="Times New Roman" w:cs="Times New Roman"/>
      <w:sz w:val="20"/>
      <w:szCs w:val="20"/>
      <w:lang w:eastAsia="en-AU"/>
    </w:rPr>
  </w:style>
  <w:style w:type="character" w:styleId="FootnoteReference">
    <w:name w:val="footnote reference"/>
    <w:uiPriority w:val="99"/>
    <w:rsid w:val="0045788E"/>
    <w:rPr>
      <w:vertAlign w:val="superscript"/>
    </w:rPr>
  </w:style>
  <w:style w:type="paragraph" w:styleId="Header">
    <w:name w:val="header"/>
    <w:basedOn w:val="Normal"/>
    <w:link w:val="HeaderChar"/>
    <w:uiPriority w:val="99"/>
    <w:unhideWhenUsed/>
    <w:rsid w:val="0045788E"/>
    <w:pPr>
      <w:tabs>
        <w:tab w:val="center" w:pos="4513"/>
        <w:tab w:val="right" w:pos="9026"/>
      </w:tabs>
    </w:pPr>
  </w:style>
  <w:style w:type="character" w:customStyle="1" w:styleId="HeaderChar">
    <w:name w:val="Header Char"/>
    <w:basedOn w:val="DefaultParagraphFont"/>
    <w:link w:val="Header"/>
    <w:uiPriority w:val="99"/>
    <w:rsid w:val="0045788E"/>
    <w:rPr>
      <w:rFonts w:ascii="Arial" w:eastAsia="Calibri" w:hAnsi="Arial" w:cs="Arial"/>
    </w:rPr>
  </w:style>
  <w:style w:type="paragraph" w:styleId="Footer">
    <w:name w:val="footer"/>
    <w:basedOn w:val="Normal"/>
    <w:link w:val="FooterChar"/>
    <w:uiPriority w:val="99"/>
    <w:unhideWhenUsed/>
    <w:rsid w:val="0045788E"/>
    <w:pPr>
      <w:tabs>
        <w:tab w:val="center" w:pos="4513"/>
        <w:tab w:val="right" w:pos="9026"/>
      </w:tabs>
    </w:pPr>
  </w:style>
  <w:style w:type="character" w:customStyle="1" w:styleId="FooterChar">
    <w:name w:val="Footer Char"/>
    <w:basedOn w:val="DefaultParagraphFont"/>
    <w:link w:val="Footer"/>
    <w:uiPriority w:val="99"/>
    <w:rsid w:val="0045788E"/>
    <w:rPr>
      <w:rFonts w:ascii="Arial" w:eastAsia="Calibri" w:hAnsi="Arial" w:cs="Arial"/>
    </w:rPr>
  </w:style>
  <w:style w:type="paragraph" w:customStyle="1" w:styleId="Default">
    <w:name w:val="Default"/>
    <w:rsid w:val="0023750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340F2"/>
    <w:rPr>
      <w:rFonts w:ascii="Tahoma" w:hAnsi="Tahoma" w:cs="Tahoma"/>
      <w:sz w:val="16"/>
      <w:szCs w:val="16"/>
    </w:rPr>
  </w:style>
  <w:style w:type="character" w:customStyle="1" w:styleId="BalloonTextChar">
    <w:name w:val="Balloon Text Char"/>
    <w:basedOn w:val="DefaultParagraphFont"/>
    <w:link w:val="BalloonText"/>
    <w:uiPriority w:val="99"/>
    <w:semiHidden/>
    <w:rsid w:val="009340F2"/>
    <w:rPr>
      <w:rFonts w:ascii="Tahoma" w:eastAsia="Calibri" w:hAnsi="Tahoma" w:cs="Tahoma"/>
      <w:sz w:val="16"/>
      <w:szCs w:val="16"/>
    </w:rPr>
  </w:style>
  <w:style w:type="paragraph" w:styleId="ListParagraph">
    <w:name w:val="List Paragraph"/>
    <w:basedOn w:val="Normal"/>
    <w:uiPriority w:val="34"/>
    <w:qFormat/>
    <w:rsid w:val="00E448F7"/>
    <w:pPr>
      <w:spacing w:after="240"/>
      <w:ind w:left="720"/>
      <w:contextualSpacing/>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3585">
      <w:bodyDiv w:val="1"/>
      <w:marLeft w:val="0"/>
      <w:marRight w:val="0"/>
      <w:marTop w:val="0"/>
      <w:marBottom w:val="0"/>
      <w:divBdr>
        <w:top w:val="none" w:sz="0" w:space="0" w:color="auto"/>
        <w:left w:val="none" w:sz="0" w:space="0" w:color="auto"/>
        <w:bottom w:val="none" w:sz="0" w:space="0" w:color="auto"/>
        <w:right w:val="none" w:sz="0" w:space="0" w:color="auto"/>
      </w:divBdr>
    </w:div>
    <w:div w:id="196743715">
      <w:bodyDiv w:val="1"/>
      <w:marLeft w:val="0"/>
      <w:marRight w:val="0"/>
      <w:marTop w:val="0"/>
      <w:marBottom w:val="0"/>
      <w:divBdr>
        <w:top w:val="none" w:sz="0" w:space="0" w:color="auto"/>
        <w:left w:val="none" w:sz="0" w:space="0" w:color="auto"/>
        <w:bottom w:val="none" w:sz="0" w:space="0" w:color="auto"/>
        <w:right w:val="none" w:sz="0" w:space="0" w:color="auto"/>
      </w:divBdr>
    </w:div>
    <w:div w:id="997805886">
      <w:bodyDiv w:val="1"/>
      <w:marLeft w:val="0"/>
      <w:marRight w:val="0"/>
      <w:marTop w:val="0"/>
      <w:marBottom w:val="0"/>
      <w:divBdr>
        <w:top w:val="none" w:sz="0" w:space="0" w:color="auto"/>
        <w:left w:val="none" w:sz="0" w:space="0" w:color="auto"/>
        <w:bottom w:val="none" w:sz="0" w:space="0" w:color="auto"/>
        <w:right w:val="none" w:sz="0" w:space="0" w:color="auto"/>
      </w:divBdr>
      <w:divsChild>
        <w:div w:id="28917365">
          <w:marLeft w:val="0"/>
          <w:marRight w:val="0"/>
          <w:marTop w:val="0"/>
          <w:marBottom w:val="0"/>
          <w:divBdr>
            <w:top w:val="none" w:sz="0" w:space="0" w:color="auto"/>
            <w:left w:val="none" w:sz="0" w:space="0" w:color="auto"/>
            <w:bottom w:val="none" w:sz="0" w:space="0" w:color="auto"/>
            <w:right w:val="none" w:sz="0" w:space="0" w:color="auto"/>
          </w:divBdr>
          <w:divsChild>
            <w:div w:id="773592466">
              <w:marLeft w:val="0"/>
              <w:marRight w:val="0"/>
              <w:marTop w:val="0"/>
              <w:marBottom w:val="0"/>
              <w:divBdr>
                <w:top w:val="none" w:sz="0" w:space="0" w:color="auto"/>
                <w:left w:val="none" w:sz="0" w:space="0" w:color="auto"/>
                <w:bottom w:val="none" w:sz="0" w:space="0" w:color="auto"/>
                <w:right w:val="none" w:sz="0" w:space="0" w:color="auto"/>
              </w:divBdr>
              <w:divsChild>
                <w:div w:id="351106407">
                  <w:marLeft w:val="0"/>
                  <w:marRight w:val="0"/>
                  <w:marTop w:val="0"/>
                  <w:marBottom w:val="0"/>
                  <w:divBdr>
                    <w:top w:val="none" w:sz="0" w:space="0" w:color="auto"/>
                    <w:left w:val="none" w:sz="0" w:space="0" w:color="auto"/>
                    <w:bottom w:val="none" w:sz="0" w:space="0" w:color="auto"/>
                    <w:right w:val="none" w:sz="0" w:space="0" w:color="auto"/>
                  </w:divBdr>
                  <w:divsChild>
                    <w:div w:id="1052076413">
                      <w:marLeft w:val="0"/>
                      <w:marRight w:val="0"/>
                      <w:marTop w:val="0"/>
                      <w:marBottom w:val="0"/>
                      <w:divBdr>
                        <w:top w:val="none" w:sz="0" w:space="0" w:color="auto"/>
                        <w:left w:val="none" w:sz="0" w:space="0" w:color="auto"/>
                        <w:bottom w:val="none" w:sz="0" w:space="0" w:color="auto"/>
                        <w:right w:val="none" w:sz="0" w:space="0" w:color="auto"/>
                      </w:divBdr>
                      <w:divsChild>
                        <w:div w:id="560599440">
                          <w:marLeft w:val="0"/>
                          <w:marRight w:val="0"/>
                          <w:marTop w:val="0"/>
                          <w:marBottom w:val="0"/>
                          <w:divBdr>
                            <w:top w:val="single" w:sz="6" w:space="0" w:color="828282"/>
                            <w:left w:val="single" w:sz="6" w:space="0" w:color="828282"/>
                            <w:bottom w:val="single" w:sz="6" w:space="0" w:color="828282"/>
                            <w:right w:val="single" w:sz="6" w:space="0" w:color="828282"/>
                          </w:divBdr>
                          <w:divsChild>
                            <w:div w:id="1463115944">
                              <w:marLeft w:val="0"/>
                              <w:marRight w:val="0"/>
                              <w:marTop w:val="0"/>
                              <w:marBottom w:val="0"/>
                              <w:divBdr>
                                <w:top w:val="none" w:sz="0" w:space="0" w:color="auto"/>
                                <w:left w:val="none" w:sz="0" w:space="0" w:color="auto"/>
                                <w:bottom w:val="none" w:sz="0" w:space="0" w:color="auto"/>
                                <w:right w:val="none" w:sz="0" w:space="0" w:color="auto"/>
                              </w:divBdr>
                              <w:divsChild>
                                <w:div w:id="815033020">
                                  <w:marLeft w:val="0"/>
                                  <w:marRight w:val="0"/>
                                  <w:marTop w:val="0"/>
                                  <w:marBottom w:val="0"/>
                                  <w:divBdr>
                                    <w:top w:val="none" w:sz="0" w:space="0" w:color="auto"/>
                                    <w:left w:val="none" w:sz="0" w:space="0" w:color="auto"/>
                                    <w:bottom w:val="none" w:sz="0" w:space="0" w:color="auto"/>
                                    <w:right w:val="none" w:sz="0" w:space="0" w:color="auto"/>
                                  </w:divBdr>
                                  <w:divsChild>
                                    <w:div w:id="3939968">
                                      <w:marLeft w:val="0"/>
                                      <w:marRight w:val="0"/>
                                      <w:marTop w:val="0"/>
                                      <w:marBottom w:val="0"/>
                                      <w:divBdr>
                                        <w:top w:val="none" w:sz="0" w:space="0" w:color="auto"/>
                                        <w:left w:val="none" w:sz="0" w:space="0" w:color="auto"/>
                                        <w:bottom w:val="none" w:sz="0" w:space="0" w:color="auto"/>
                                        <w:right w:val="none" w:sz="0" w:space="0" w:color="auto"/>
                                      </w:divBdr>
                                      <w:divsChild>
                                        <w:div w:id="20054402">
                                          <w:marLeft w:val="0"/>
                                          <w:marRight w:val="0"/>
                                          <w:marTop w:val="0"/>
                                          <w:marBottom w:val="0"/>
                                          <w:divBdr>
                                            <w:top w:val="none" w:sz="0" w:space="0" w:color="auto"/>
                                            <w:left w:val="none" w:sz="0" w:space="0" w:color="auto"/>
                                            <w:bottom w:val="none" w:sz="0" w:space="0" w:color="auto"/>
                                            <w:right w:val="none" w:sz="0" w:space="0" w:color="auto"/>
                                          </w:divBdr>
                                          <w:divsChild>
                                            <w:div w:id="101144622">
                                              <w:marLeft w:val="0"/>
                                              <w:marRight w:val="0"/>
                                              <w:marTop w:val="0"/>
                                              <w:marBottom w:val="0"/>
                                              <w:divBdr>
                                                <w:top w:val="none" w:sz="0" w:space="0" w:color="auto"/>
                                                <w:left w:val="none" w:sz="0" w:space="0" w:color="auto"/>
                                                <w:bottom w:val="none" w:sz="0" w:space="0" w:color="auto"/>
                                                <w:right w:val="none" w:sz="0" w:space="0" w:color="auto"/>
                                              </w:divBdr>
                                              <w:divsChild>
                                                <w:div w:id="1954939697">
                                                  <w:marLeft w:val="0"/>
                                                  <w:marRight w:val="0"/>
                                                  <w:marTop w:val="0"/>
                                                  <w:marBottom w:val="0"/>
                                                  <w:divBdr>
                                                    <w:top w:val="none" w:sz="0" w:space="0" w:color="auto"/>
                                                    <w:left w:val="none" w:sz="0" w:space="0" w:color="auto"/>
                                                    <w:bottom w:val="none" w:sz="0" w:space="0" w:color="auto"/>
                                                    <w:right w:val="none" w:sz="0" w:space="0" w:color="auto"/>
                                                  </w:divBdr>
                                                  <w:divsChild>
                                                    <w:div w:id="468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PIIRA, Alan</pdms_AttachedBy>
    <pdms_Reason xmlns="c333f3cd-b422-4a40-91d9-beb381af04eb">Further explanation concerning Medibank Health Solutions declaration</pdms_Rea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354D-1E23-44BD-A978-22DA765E8273}">
  <ds:schemaRefs>
    <ds:schemaRef ds:uri="http://schemas.microsoft.com/office/2006/metadata/properties"/>
    <ds:schemaRef ds:uri="http://schemas.microsoft.com/office/infopath/2007/PartnerControls"/>
    <ds:schemaRef ds:uri="c333f3cd-b422-4a40-91d9-beb381af04eb"/>
  </ds:schemaRefs>
</ds:datastoreItem>
</file>

<file path=customXml/itemProps2.xml><?xml version="1.0" encoding="utf-8"?>
<ds:datastoreItem xmlns:ds="http://schemas.openxmlformats.org/officeDocument/2006/customXml" ds:itemID="{2AE08ED8-D0E4-4A4D-BA38-8F094F5D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DC4BA-0ECF-4464-B08B-97945AA39A0B}">
  <ds:schemaRefs>
    <ds:schemaRef ds:uri="http://schemas.microsoft.com/sharepoint/v3/contenttype/forms"/>
  </ds:schemaRefs>
</ds:datastoreItem>
</file>

<file path=customXml/itemProps4.xml><?xml version="1.0" encoding="utf-8"?>
<ds:datastoreItem xmlns:ds="http://schemas.openxmlformats.org/officeDocument/2006/customXml" ds:itemID="{D7674B60-EA62-4544-8979-898CC6E1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B9283BF6.dotm</Template>
  <TotalTime>0</TotalTime>
  <Pages>1</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Attachment C2 - Medibank Health Solutions explanatory and human rights compatibility statements</vt:lpstr>
    </vt:vector>
  </TitlesOfParts>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C2 - Medibank Health Solutions explanatory and human rights compatibility statements</dc:title>
  <dc:creator/>
  <cp:lastModifiedBy/>
  <cp:revision>1</cp:revision>
  <dcterms:created xsi:type="dcterms:W3CDTF">2015-03-23T22:19:00Z</dcterms:created>
  <dcterms:modified xsi:type="dcterms:W3CDTF">2015-03-23T22:19:00Z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0x010100680D04B59B68B44B8C486292E41EC499</vt:lpwstr>
  </property>
</Properties>
</file>