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87" w:rsidRPr="009C4D2A" w:rsidRDefault="00AA2387" w:rsidP="005D0CE4">
      <w:pPr>
        <w:pStyle w:val="ESHeadingstyle"/>
        <w:tabs>
          <w:tab w:val="left" w:pos="3402"/>
        </w:tabs>
      </w:pPr>
      <w:r w:rsidRPr="009C4D2A">
        <w:t>EXPLANATORY STATEMENT</w:t>
      </w:r>
    </w:p>
    <w:p w:rsidR="00AA2387" w:rsidRPr="009C4D2A" w:rsidRDefault="00AA2387" w:rsidP="00813648">
      <w:pPr>
        <w:pStyle w:val="ESLegislationstyle"/>
      </w:pPr>
      <w:r w:rsidRPr="009C4D2A">
        <w:t>Carbon Credits (Carbon Farming Initiative) Act 2011</w:t>
      </w:r>
    </w:p>
    <w:p w:rsidR="00803EDE" w:rsidRPr="009C4D2A" w:rsidRDefault="00803EDE" w:rsidP="00813648">
      <w:pPr>
        <w:pStyle w:val="ESLegislationstyle"/>
      </w:pPr>
      <w:r w:rsidRPr="009C4D2A">
        <w:t>Carbon Credits (Carbon Farming Initiative</w:t>
      </w:r>
      <w:r w:rsidR="00BC6D87" w:rsidRPr="009C4D2A">
        <w:t>—Avoided Deforestation</w:t>
      </w:r>
      <w:r w:rsidR="00E55B4F" w:rsidRPr="009C4D2A">
        <w:t xml:space="preserve"> </w:t>
      </w:r>
      <w:r w:rsidR="00366F14" w:rsidRPr="009C4D2A">
        <w:t>1.1</w:t>
      </w:r>
      <w:r w:rsidRPr="009C4D2A">
        <w:t xml:space="preserve">) Methodology Determination </w:t>
      </w:r>
      <w:r w:rsidR="00E55B4F" w:rsidRPr="009C4D2A">
        <w:t>2015</w:t>
      </w:r>
    </w:p>
    <w:p w:rsidR="00AA2387" w:rsidRPr="009C4D2A" w:rsidRDefault="00AA2387" w:rsidP="00736CC3">
      <w:pPr>
        <w:pStyle w:val="Majorheadingstyle"/>
      </w:pPr>
      <w:r w:rsidRPr="009C4D2A">
        <w:t>Background: Emissions Reduction Fund</w:t>
      </w:r>
    </w:p>
    <w:p w:rsidR="00AA2387" w:rsidRPr="009C4D2A" w:rsidRDefault="00AA2387" w:rsidP="003553A2">
      <w:pPr>
        <w:pStyle w:val="EStext"/>
      </w:pPr>
      <w:r w:rsidRPr="009C4D2A">
        <w:t xml:space="preserve">The </w:t>
      </w:r>
      <w:r w:rsidRPr="009C4D2A">
        <w:rPr>
          <w:i/>
        </w:rPr>
        <w:t>Carbon Credits (Carbon Farming Initiative) Act 2011</w:t>
      </w:r>
      <w:r w:rsidRPr="009C4D2A">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AA2387" w:rsidRPr="009C4D2A" w:rsidRDefault="00AA2387" w:rsidP="003553A2">
      <w:pPr>
        <w:pStyle w:val="EStext"/>
      </w:pPr>
      <w:r w:rsidRPr="009C4D2A">
        <w:t xml:space="preserve">In 2014, the </w:t>
      </w:r>
      <w:r w:rsidR="00E55B4F" w:rsidRPr="009C4D2A">
        <w:t xml:space="preserve">Act was amended by </w:t>
      </w:r>
      <w:r w:rsidRPr="009C4D2A">
        <w:t>the Carbon</w:t>
      </w:r>
      <w:r w:rsidRPr="009C4D2A">
        <w:rPr>
          <w:i/>
          <w:iCs/>
        </w:rPr>
        <w:t xml:space="preserve"> Farming Initiative Amendment </w:t>
      </w:r>
      <w:r w:rsidR="00E55B4F" w:rsidRPr="009C4D2A">
        <w:rPr>
          <w:i/>
          <w:iCs/>
        </w:rPr>
        <w:t xml:space="preserve">Act </w:t>
      </w:r>
      <w:r w:rsidRPr="009C4D2A">
        <w:rPr>
          <w:i/>
          <w:iCs/>
        </w:rPr>
        <w:t>2014</w:t>
      </w:r>
      <w:r w:rsidR="002D5C2A" w:rsidRPr="009C4D2A">
        <w:rPr>
          <w:i/>
          <w:iCs/>
        </w:rPr>
        <w:t xml:space="preserve"> </w:t>
      </w:r>
      <w:r w:rsidR="002D5C2A" w:rsidRPr="009C4D2A">
        <w:rPr>
          <w:iCs/>
        </w:rPr>
        <w:t>(the amending Act)</w:t>
      </w:r>
      <w:r w:rsidRPr="009C4D2A">
        <w:t>, which establishes the Emissions Reduction Fund (ERF). The ERF expands on the Carbon Farming Initiative (CFI) by extending the scope of eligible emissions reduction activities and by streamlining existing processes. The ERF has three elements: crediting emissions reductions, purchasing emissions reductions, and safeguarding emissions reductions.</w:t>
      </w:r>
    </w:p>
    <w:p w:rsidR="00AA2387" w:rsidRPr="009C4D2A" w:rsidRDefault="00AA2387" w:rsidP="003553A2">
      <w:pPr>
        <w:pStyle w:val="EStext"/>
      </w:pPr>
      <w:r w:rsidRPr="009C4D2A">
        <w:t>Emissions reduction activities are undertaken as offsets projects. The process involved in establishing an offsets project is set out in Part 3 of the Act. An offsets project must be covered by, and undertaken in accordance with, a methodology determination.</w:t>
      </w:r>
    </w:p>
    <w:p w:rsidR="00AA2387" w:rsidRPr="009C4D2A" w:rsidRDefault="00AA2387" w:rsidP="003553A2">
      <w:pPr>
        <w:pStyle w:val="EStext"/>
      </w:pPr>
      <w:r w:rsidRPr="009C4D2A">
        <w:t xml:space="preserve">Subsection 106(1) of the Act empowers the Minister to make, by legislative instrument, a methodology determination. The purpose of a methodology determination is to establish procedures for estimating abatement (emissions reductions and sequestration) and rules for monitoring, record keeping and reporting. These </w:t>
      </w:r>
      <w:r w:rsidR="00E55B4F" w:rsidRPr="009C4D2A">
        <w:t xml:space="preserve">determinations </w:t>
      </w:r>
      <w:r w:rsidRPr="009C4D2A">
        <w:t>will ensure that emissions reductions are genuine—that they are both real and additional to business as usual.</w:t>
      </w:r>
    </w:p>
    <w:p w:rsidR="00AA2387" w:rsidRPr="009C4D2A" w:rsidRDefault="00AA2387" w:rsidP="003553A2">
      <w:pPr>
        <w:pStyle w:val="EStext"/>
      </w:pPr>
      <w:r w:rsidRPr="009C4D2A">
        <w:t>In deciding to make a methodology determination</w:t>
      </w:r>
      <w:r w:rsidR="002D5C2A" w:rsidRPr="009C4D2A">
        <w:t>,</w:t>
      </w:r>
      <w:r w:rsidRPr="009C4D2A">
        <w:t xml:space="preserve"> the Minister must have regard to the advice </w:t>
      </w:r>
      <w:r w:rsidRPr="009C4D2A">
        <w:rPr>
          <w:sz w:val="22"/>
          <w:szCs w:val="22"/>
        </w:rPr>
        <w:t>of</w:t>
      </w:r>
      <w:r w:rsidRPr="009C4D2A">
        <w:t xml:space="preserve"> the Emissions Reduction Assurance Committee (ERAC), an independent expert panel established to advise the Minister on proposals for methodology determinations. The Minister will also consider</w:t>
      </w:r>
      <w:r w:rsidR="002D5C2A" w:rsidRPr="009C4D2A">
        <w:t xml:space="preserve"> whether</w:t>
      </w:r>
      <w:r w:rsidRPr="009C4D2A">
        <w:t xml:space="preserve"> any adverse environmental, economic or social impacts </w:t>
      </w:r>
      <w:r w:rsidR="002D5C2A" w:rsidRPr="009C4D2A">
        <w:t xml:space="preserve">are </w:t>
      </w:r>
      <w:r w:rsidRPr="009C4D2A">
        <w:t>likely to arise as a result of projects to which the determination applies.</w:t>
      </w:r>
    </w:p>
    <w:p w:rsidR="00AA2387" w:rsidRPr="009C4D2A" w:rsidRDefault="00AA2387" w:rsidP="003553A2">
      <w:pPr>
        <w:pStyle w:val="EStext"/>
      </w:pPr>
      <w:r w:rsidRPr="009C4D2A">
        <w:t>The ERAC must include in its advice to the Minister the Committee’s opinion on whether the proposed determination complies with the offsets integrity standards set out in section 133 of the Act. The offsets integrity standards require</w:t>
      </w:r>
      <w:r w:rsidR="007C46A2" w:rsidRPr="009C4D2A">
        <w:t>, among other things,</w:t>
      </w:r>
      <w:r w:rsidRPr="009C4D2A">
        <w:t xml:space="preserve"> that an eligible project should result in carbon abatement that is unlikely to occur in the ordinary course of events and is eligible carbon abatement under the Act. In summary, the offsets integrity standards also include requirements that: </w:t>
      </w:r>
    </w:p>
    <w:p w:rsidR="00AA2387" w:rsidRPr="009C4D2A" w:rsidRDefault="00AA2387" w:rsidP="00391A4A">
      <w:pPr>
        <w:pStyle w:val="bullet1"/>
        <w:rPr>
          <w:color w:val="auto"/>
        </w:rPr>
      </w:pPr>
      <w:r w:rsidRPr="009C4D2A">
        <w:rPr>
          <w:color w:val="auto"/>
        </w:rPr>
        <w:t>amounts are measurable and capable of being verified</w:t>
      </w:r>
    </w:p>
    <w:p w:rsidR="00AA2387" w:rsidRPr="009C4D2A" w:rsidRDefault="00AA2387" w:rsidP="00391A4A">
      <w:pPr>
        <w:pStyle w:val="bullet1"/>
        <w:rPr>
          <w:color w:val="auto"/>
        </w:rPr>
      </w:pPr>
      <w:r w:rsidRPr="009C4D2A">
        <w:rPr>
          <w:color w:val="auto"/>
        </w:rPr>
        <w:t>the methods used are supported by clear and convincing evidence</w:t>
      </w:r>
    </w:p>
    <w:p w:rsidR="00AA2387" w:rsidRPr="009C4D2A" w:rsidRDefault="00AA2387" w:rsidP="00391A4A">
      <w:pPr>
        <w:pStyle w:val="bullet1"/>
        <w:rPr>
          <w:color w:val="auto"/>
        </w:rPr>
      </w:pPr>
      <w:r w:rsidRPr="009C4D2A">
        <w:rPr>
          <w:color w:val="auto"/>
        </w:rPr>
        <w:t>material emissions which are a direct consequence of the project are deducted, and</w:t>
      </w:r>
    </w:p>
    <w:p w:rsidR="00AA2387" w:rsidRPr="009C4D2A" w:rsidRDefault="00AA2387" w:rsidP="00391A4A">
      <w:pPr>
        <w:pStyle w:val="bullet1"/>
        <w:rPr>
          <w:color w:val="auto"/>
        </w:rPr>
      </w:pPr>
      <w:r w:rsidRPr="009C4D2A">
        <w:rPr>
          <w:color w:val="auto"/>
        </w:rPr>
        <w:lastRenderedPageBreak/>
        <w:t xml:space="preserve">estimates, assumptions or projections used in the determination should be conservative.  </w:t>
      </w:r>
    </w:p>
    <w:p w:rsidR="00AA2387" w:rsidRPr="009C4D2A" w:rsidRDefault="00AA2387" w:rsidP="003553A2">
      <w:pPr>
        <w:pStyle w:val="EStext"/>
      </w:pPr>
      <w:r w:rsidRPr="009C4D2A">
        <w:t>Offsets projects that are undertaken in accordance with a methodology determination and approved by the Clean Energy Regulator (the Regulator) can generate Australian Carbon Credit Units (ACCUs), representing emissions reductions from the project.</w:t>
      </w:r>
    </w:p>
    <w:p w:rsidR="00AA2387" w:rsidRPr="009C4D2A" w:rsidRDefault="00AA2387" w:rsidP="003553A2">
      <w:pPr>
        <w:pStyle w:val="EStext"/>
      </w:pPr>
      <w:r w:rsidRPr="009C4D2A">
        <w:t>Project proponents can receive funding from the ERF by submitting their projects into a competitive auction run by the Regulator. The Government will enter into contracts with successful proponents, which will guarantee the price and payment for the future delivery of emissions reductions.</w:t>
      </w:r>
    </w:p>
    <w:p w:rsidR="00AA2387" w:rsidRPr="009C4D2A" w:rsidRDefault="00AA2387" w:rsidP="003553A2">
      <w:pPr>
        <w:pStyle w:val="EStext"/>
        <w:rPr>
          <w:b/>
        </w:rPr>
      </w:pPr>
      <w:r w:rsidRPr="009C4D2A">
        <w:t xml:space="preserve">Further Information on the Emissions Reduction Fund is available at: </w:t>
      </w:r>
      <w:hyperlink r:id="rId13" w:history="1">
        <w:r w:rsidRPr="009C4D2A">
          <w:rPr>
            <w:rStyle w:val="Hyperlink"/>
            <w:color w:val="auto"/>
          </w:rPr>
          <w:t>www.environment.gov.au/emissions-reduction-fund</w:t>
        </w:r>
      </w:hyperlink>
      <w:r w:rsidRPr="009C4D2A">
        <w:rPr>
          <w:sz w:val="28"/>
        </w:rPr>
        <w:t>.</w:t>
      </w:r>
    </w:p>
    <w:p w:rsidR="00AA2387" w:rsidRPr="009C4D2A" w:rsidRDefault="00AA2387" w:rsidP="00391A4A">
      <w:pPr>
        <w:pStyle w:val="Majorheadingstyle"/>
      </w:pPr>
      <w:r w:rsidRPr="009C4D2A">
        <w:t xml:space="preserve">Application of the </w:t>
      </w:r>
      <w:r w:rsidR="0010747D" w:rsidRPr="009C4D2A">
        <w:t>Determination</w:t>
      </w:r>
    </w:p>
    <w:p w:rsidR="00AA2387" w:rsidRPr="009C4D2A" w:rsidRDefault="00AA2387" w:rsidP="003553A2">
      <w:pPr>
        <w:pStyle w:val="EStext"/>
      </w:pPr>
      <w:r w:rsidRPr="009C4D2A">
        <w:t xml:space="preserve">The </w:t>
      </w:r>
      <w:r w:rsidR="00366F14" w:rsidRPr="009C4D2A">
        <w:rPr>
          <w:i/>
        </w:rPr>
        <w:t>Carbon Credits (Carbon Farming I</w:t>
      </w:r>
      <w:r w:rsidR="00077F54" w:rsidRPr="009C4D2A">
        <w:rPr>
          <w:i/>
        </w:rPr>
        <w:t>nitiative—Avoided Deforestation</w:t>
      </w:r>
      <w:r w:rsidR="00F31125" w:rsidRPr="009C4D2A">
        <w:rPr>
          <w:i/>
        </w:rPr>
        <w:t xml:space="preserve"> </w:t>
      </w:r>
      <w:r w:rsidR="00366F14" w:rsidRPr="009C4D2A">
        <w:rPr>
          <w:i/>
        </w:rPr>
        <w:t xml:space="preserve">1.1) Methodology Determination </w:t>
      </w:r>
      <w:r w:rsidR="00F31125" w:rsidRPr="009C4D2A">
        <w:rPr>
          <w:i/>
        </w:rPr>
        <w:t xml:space="preserve">2015 </w:t>
      </w:r>
      <w:r w:rsidR="00366F14" w:rsidRPr="009C4D2A">
        <w:t>(</w:t>
      </w:r>
      <w:r w:rsidRPr="009C4D2A">
        <w:t xml:space="preserve">the </w:t>
      </w:r>
      <w:r w:rsidR="0010747D" w:rsidRPr="009C4D2A">
        <w:t>Determination</w:t>
      </w:r>
      <w:r w:rsidRPr="009C4D2A">
        <w:t>) sets out the detailed rules for implementing and monitoring offsets projects that avoid emissions by not clearing native forest</w:t>
      </w:r>
      <w:r w:rsidR="00F31125" w:rsidRPr="009C4D2A">
        <w:t xml:space="preserve">, </w:t>
      </w:r>
      <w:r w:rsidRPr="009C4D2A">
        <w:t xml:space="preserve">and </w:t>
      </w:r>
      <w:r w:rsidR="00F31125" w:rsidRPr="009C4D2A">
        <w:t xml:space="preserve">which </w:t>
      </w:r>
      <w:r w:rsidRPr="009C4D2A">
        <w:t>meet the eligibility requirements in Part 2</w:t>
      </w:r>
      <w:r w:rsidR="00F31125" w:rsidRPr="009C4D2A">
        <w:t xml:space="preserve"> of the Determination</w:t>
      </w:r>
      <w:r w:rsidRPr="009C4D2A">
        <w:t>. These rules have been designed to reflect the requirements of the offsets integrity standards</w:t>
      </w:r>
      <w:r w:rsidR="00F31125" w:rsidRPr="009C4D2A">
        <w:t>, including to</w:t>
      </w:r>
      <w:r w:rsidRPr="009C4D2A">
        <w:t xml:space="preserve"> ensure that emissions reductions are real and additional to business as usual.</w:t>
      </w:r>
    </w:p>
    <w:p w:rsidR="00AA2387" w:rsidRPr="009C4D2A" w:rsidRDefault="00AA2387" w:rsidP="003553A2">
      <w:pPr>
        <w:pStyle w:val="EStext"/>
      </w:pPr>
      <w:r w:rsidRPr="009C4D2A">
        <w:t xml:space="preserve">A project proponent wishing to implement the </w:t>
      </w:r>
      <w:r w:rsidR="0010747D" w:rsidRPr="009C4D2A">
        <w:t>Determination</w:t>
      </w:r>
      <w:r w:rsidRPr="009C4D2A">
        <w:t xml:space="preserve"> must make an application to the Clean Energy Regulator (the Regulator) under section 22 of the Act and meet the general eligibility requirements for an offsets project set out in subsection 27(4), which include compliance with the rules set out in the </w:t>
      </w:r>
      <w:r w:rsidR="00342E43">
        <w:t>D</w:t>
      </w:r>
      <w:r w:rsidRPr="009C4D2A">
        <w:t>etermination, and the additionality requirements in subsection 27(4A) of the Act. The additionality requirements are:</w:t>
      </w:r>
    </w:p>
    <w:p w:rsidR="00AA2387" w:rsidRPr="009C4D2A" w:rsidRDefault="00AA2387" w:rsidP="00391A4A">
      <w:pPr>
        <w:pStyle w:val="bullet1"/>
        <w:rPr>
          <w:color w:val="auto"/>
        </w:rPr>
      </w:pPr>
      <w:r w:rsidRPr="009C4D2A">
        <w:rPr>
          <w:color w:val="auto"/>
        </w:rPr>
        <w:t>the newness requirement</w:t>
      </w:r>
    </w:p>
    <w:p w:rsidR="00AA2387" w:rsidRPr="009C4D2A" w:rsidRDefault="00AA2387" w:rsidP="00391A4A">
      <w:pPr>
        <w:pStyle w:val="bullet1"/>
        <w:rPr>
          <w:color w:val="auto"/>
        </w:rPr>
      </w:pPr>
      <w:r w:rsidRPr="009C4D2A">
        <w:rPr>
          <w:color w:val="auto"/>
        </w:rPr>
        <w:t>the regulatory additionality requirement, and</w:t>
      </w:r>
    </w:p>
    <w:p w:rsidR="00AA2387" w:rsidRPr="009C4D2A" w:rsidRDefault="00AA2387" w:rsidP="00391A4A">
      <w:pPr>
        <w:pStyle w:val="bullet1"/>
        <w:rPr>
          <w:color w:val="auto"/>
        </w:rPr>
      </w:pPr>
      <w:r w:rsidRPr="009C4D2A">
        <w:rPr>
          <w:color w:val="auto"/>
        </w:rPr>
        <w:t>the government program requirement.</w:t>
      </w:r>
    </w:p>
    <w:p w:rsidR="00AA2387" w:rsidRPr="009C4D2A" w:rsidRDefault="00342E43" w:rsidP="003553A2">
      <w:pPr>
        <w:pStyle w:val="EStext"/>
      </w:pPr>
      <w:r>
        <w:t xml:space="preserve">The government program requirement is provided for in the </w:t>
      </w:r>
      <w:r>
        <w:rPr>
          <w:i/>
          <w:iCs/>
        </w:rPr>
        <w:t>Carbon Credits (Carbon Farming Initiative) Rule 2015</w:t>
      </w:r>
      <w:r>
        <w:t xml:space="preserve">. </w:t>
      </w:r>
      <w:r w:rsidR="00AA2387" w:rsidRPr="009C4D2A">
        <w:t xml:space="preserve">Subsection 27(4A) </w:t>
      </w:r>
      <w:r>
        <w:t xml:space="preserve">of the Act </w:t>
      </w:r>
      <w:r w:rsidR="00AA2387" w:rsidRPr="009C4D2A">
        <w:t xml:space="preserve">provides that a methodology determination that covers the project may specify requirements in lieu of </w:t>
      </w:r>
      <w:r>
        <w:t>the Act’s newness requirement or the regulatory additionality requirement. T</w:t>
      </w:r>
      <w:r w:rsidR="00AA2387" w:rsidRPr="009C4D2A">
        <w:t>he determination does not specify a</w:t>
      </w:r>
      <w:r>
        <w:t xml:space="preserve">ny requirements in lieu, and the newness and regulatory additionality requirements in the Act </w:t>
      </w:r>
      <w:r w:rsidR="00AA2387" w:rsidRPr="009C4D2A">
        <w:t xml:space="preserve">apply to projects under the </w:t>
      </w:r>
      <w:r w:rsidR="00F31125" w:rsidRPr="009C4D2A">
        <w:t>Determination</w:t>
      </w:r>
      <w:r w:rsidR="00AA2387" w:rsidRPr="009C4D2A">
        <w:t>.</w:t>
      </w:r>
    </w:p>
    <w:p w:rsidR="00AA2387" w:rsidRPr="009C4D2A" w:rsidRDefault="00AA2387" w:rsidP="003553A2">
      <w:pPr>
        <w:pStyle w:val="EStext"/>
      </w:pPr>
      <w:r w:rsidRPr="009C4D2A">
        <w:t xml:space="preserve">Section 23 of the Act provides that, if a project is a sequestration offsets project, an application to the Regulator under section 22 must include a request that the project be </w:t>
      </w:r>
      <w:r w:rsidR="0088570E" w:rsidRPr="009C4D2A">
        <w:t xml:space="preserve">treated as </w:t>
      </w:r>
      <w:r w:rsidRPr="009C4D2A">
        <w:t>either a 100-year or 25-year permanence period</w:t>
      </w:r>
      <w:r w:rsidR="0088570E" w:rsidRPr="009C4D2A">
        <w:t xml:space="preserve"> project</w:t>
      </w:r>
      <w:r w:rsidRPr="009C4D2A">
        <w:t xml:space="preserve">. Then, if the Regulator declares that the project is an eligible offsets project, the Regulator will declare that the project is </w:t>
      </w:r>
      <w:r w:rsidR="0088570E" w:rsidRPr="009C4D2A">
        <w:t>a 100-year or 25-year permanence period project, as appropriate</w:t>
      </w:r>
      <w:r w:rsidRPr="009C4D2A">
        <w:t xml:space="preserve">. Once declared, the permanence period is fixed </w:t>
      </w:r>
      <w:r w:rsidR="0088570E" w:rsidRPr="009C4D2A">
        <w:t xml:space="preserve">at either 100 years or 25 years, </w:t>
      </w:r>
      <w:r w:rsidRPr="009C4D2A">
        <w:t xml:space="preserve">and it will not be possible for </w:t>
      </w:r>
      <w:r w:rsidRPr="009C4D2A">
        <w:lastRenderedPageBreak/>
        <w:t>projects to ‘move between’ permanence periods.</w:t>
      </w:r>
      <w:r w:rsidR="0088570E" w:rsidRPr="009C4D2A">
        <w:t xml:space="preserve"> (However, it is possible for the regulations or legislative rules to </w:t>
      </w:r>
      <w:r w:rsidR="00087EDB" w:rsidRPr="009C4D2A">
        <w:t>specify</w:t>
      </w:r>
      <w:r w:rsidR="0088570E" w:rsidRPr="009C4D2A">
        <w:t xml:space="preserve"> a period </w:t>
      </w:r>
      <w:r w:rsidR="00087EDB" w:rsidRPr="009C4D2A">
        <w:t xml:space="preserve">that is longer or shorter than </w:t>
      </w:r>
      <w:r w:rsidR="0088570E" w:rsidRPr="009C4D2A">
        <w:t>100 years</w:t>
      </w:r>
      <w:r w:rsidR="00087EDB" w:rsidRPr="009C4D2A">
        <w:t xml:space="preserve"> </w:t>
      </w:r>
      <w:r w:rsidR="0088570E" w:rsidRPr="009C4D2A">
        <w:t>– section 87 of the Act.)</w:t>
      </w:r>
    </w:p>
    <w:p w:rsidR="00AA2387" w:rsidRPr="009C4D2A" w:rsidRDefault="00AA2387" w:rsidP="003553A2">
      <w:pPr>
        <w:pStyle w:val="EStext"/>
      </w:pPr>
      <w:r w:rsidRPr="009C4D2A">
        <w:t>If the project proponent elects a 25-year permanence period, a permanence discount applies in accordance with section 16 of the Act. The permanence discount is 20</w:t>
      </w:r>
      <w:r w:rsidR="00543313" w:rsidRPr="009C4D2A">
        <w:t xml:space="preserve"> per cent</w:t>
      </w:r>
      <w:r w:rsidRPr="009C4D2A">
        <w:t xml:space="preserve"> of the net abatement number unless another percentage is specified in accordance with the </w:t>
      </w:r>
      <w:r w:rsidR="005F242D" w:rsidRPr="009C4D2A">
        <w:t>legislative rules</w:t>
      </w:r>
      <w:r w:rsidRPr="009C4D2A">
        <w:t>.</w:t>
      </w:r>
    </w:p>
    <w:p w:rsidR="00AA2387" w:rsidRPr="009C4D2A" w:rsidRDefault="00AA2387" w:rsidP="003553A2">
      <w:pPr>
        <w:pStyle w:val="EStext"/>
      </w:pPr>
      <w:r w:rsidRPr="009C4D2A">
        <w:t xml:space="preserve">As they are sequestration offsets projects under section 54 of the Act, projects undertaken in accordance with the </w:t>
      </w:r>
      <w:r w:rsidR="005F242D" w:rsidRPr="009C4D2A">
        <w:t xml:space="preserve">Determination </w:t>
      </w:r>
      <w:r w:rsidRPr="009C4D2A">
        <w:t>are subject to a risk of reversal buffer, as provided by section 16 of the Act.</w:t>
      </w:r>
    </w:p>
    <w:p w:rsidR="00AA2387" w:rsidRPr="009C4D2A" w:rsidRDefault="00AA2387" w:rsidP="003553A2">
      <w:pPr>
        <w:pStyle w:val="EStext"/>
      </w:pPr>
      <w:r w:rsidRPr="009C4D2A">
        <w:t xml:space="preserve">The </w:t>
      </w:r>
      <w:r w:rsidR="0010747D" w:rsidRPr="009C4D2A">
        <w:t>Determination</w:t>
      </w:r>
      <w:r w:rsidRPr="009C4D2A">
        <w:t xml:space="preserve"> is </w:t>
      </w:r>
      <w:r w:rsidR="00366F14" w:rsidRPr="009C4D2A">
        <w:t xml:space="preserve">derived from </w:t>
      </w:r>
      <w:r w:rsidRPr="009C4D2A">
        <w:t xml:space="preserve">the </w:t>
      </w:r>
      <w:r w:rsidRPr="009C4D2A">
        <w:rPr>
          <w:i/>
        </w:rPr>
        <w:t>Carbon Credits (Carbon Farming Initiative) (Avoided Deforestation) Methodology Determination 2013</w:t>
      </w:r>
      <w:r w:rsidR="00F41DF6" w:rsidRPr="009C4D2A">
        <w:rPr>
          <w:i/>
        </w:rPr>
        <w:t xml:space="preserve">, </w:t>
      </w:r>
      <w:r w:rsidR="00115189" w:rsidRPr="009C4D2A">
        <w:t>referred</w:t>
      </w:r>
      <w:r w:rsidR="00F41DF6" w:rsidRPr="009C4D2A">
        <w:t xml:space="preserve"> to as</w:t>
      </w:r>
      <w:r w:rsidR="00440C6C" w:rsidRPr="009C4D2A">
        <w:t xml:space="preserve"> the original</w:t>
      </w:r>
      <w:r w:rsidR="00F41DF6" w:rsidRPr="009C4D2A">
        <w:rPr>
          <w:i/>
        </w:rPr>
        <w:t xml:space="preserve"> </w:t>
      </w:r>
      <w:r w:rsidRPr="009C4D2A">
        <w:rPr>
          <w:i/>
        </w:rPr>
        <w:t>Avoided</w:t>
      </w:r>
      <w:r w:rsidR="002D082A">
        <w:rPr>
          <w:i/>
        </w:rPr>
        <w:t> </w:t>
      </w:r>
      <w:r w:rsidRPr="009C4D2A">
        <w:rPr>
          <w:i/>
        </w:rPr>
        <w:t>Deforestation</w:t>
      </w:r>
      <w:r w:rsidR="00440C6C" w:rsidRPr="009C4D2A">
        <w:t xml:space="preserve"> method</w:t>
      </w:r>
      <w:r w:rsidRPr="009C4D2A">
        <w:t>.</w:t>
      </w:r>
      <w:r w:rsidRPr="009C4D2A" w:rsidDel="00AA17DF">
        <w:rPr>
          <w:i/>
        </w:rPr>
        <w:t xml:space="preserve"> </w:t>
      </w:r>
      <w:r w:rsidR="00077F54" w:rsidRPr="009C4D2A">
        <w:t xml:space="preserve">The </w:t>
      </w:r>
      <w:r w:rsidR="005F242D" w:rsidRPr="009C4D2A">
        <w:t>Determination</w:t>
      </w:r>
      <w:r w:rsidRPr="009C4D2A">
        <w:rPr>
          <w:i/>
        </w:rPr>
        <w:t xml:space="preserve"> </w:t>
      </w:r>
      <w:r w:rsidRPr="009C4D2A">
        <w:t xml:space="preserve">applies to </w:t>
      </w:r>
      <w:r w:rsidR="007906A1" w:rsidRPr="009C4D2A">
        <w:t>the</w:t>
      </w:r>
      <w:r w:rsidRPr="009C4D2A">
        <w:t xml:space="preserve"> same activity</w:t>
      </w:r>
      <w:r w:rsidR="00077F54" w:rsidRPr="009C4D2A">
        <w:t xml:space="preserve"> as the original </w:t>
      </w:r>
      <w:r w:rsidR="00077F54" w:rsidRPr="009C4D2A">
        <w:rPr>
          <w:i/>
        </w:rPr>
        <w:t>Avoided</w:t>
      </w:r>
      <w:r w:rsidR="002D082A">
        <w:rPr>
          <w:i/>
        </w:rPr>
        <w:t> </w:t>
      </w:r>
      <w:r w:rsidR="00077F54" w:rsidRPr="009C4D2A">
        <w:rPr>
          <w:i/>
        </w:rPr>
        <w:t xml:space="preserve">Deforestation </w:t>
      </w:r>
      <w:r w:rsidR="00077F54" w:rsidRPr="009C4D2A">
        <w:t>method</w:t>
      </w:r>
      <w:r w:rsidR="009C4D2A" w:rsidRPr="009C4D2A">
        <w:t>—</w:t>
      </w:r>
      <w:r w:rsidRPr="009C4D2A">
        <w:t>avoided deforestation of Kyoto forests</w:t>
      </w:r>
      <w:r w:rsidR="009C4D2A" w:rsidRPr="009C4D2A">
        <w:t>—</w:t>
      </w:r>
      <w:r w:rsidRPr="009C4D2A">
        <w:t xml:space="preserve">but has slightly different eligibility requirements, different crediting periods, and some minor changes in the sampling protocol.  </w:t>
      </w:r>
    </w:p>
    <w:p w:rsidR="00AA2387" w:rsidRPr="009C4D2A" w:rsidRDefault="00AA2387" w:rsidP="00391A4A">
      <w:pPr>
        <w:pStyle w:val="Majorheadingstyle"/>
      </w:pPr>
      <w:r w:rsidRPr="009C4D2A">
        <w:t>Public Consultation</w:t>
      </w:r>
    </w:p>
    <w:p w:rsidR="00AA2387" w:rsidRPr="009C4D2A" w:rsidRDefault="00AA2387" w:rsidP="003553A2">
      <w:pPr>
        <w:pStyle w:val="EStext"/>
      </w:pPr>
      <w:r w:rsidRPr="009C4D2A">
        <w:t xml:space="preserve">An exposure draft of </w:t>
      </w:r>
      <w:r w:rsidR="005F242D" w:rsidRPr="009C4D2A">
        <w:t xml:space="preserve">a </w:t>
      </w:r>
      <w:r w:rsidR="00366F14" w:rsidRPr="009C4D2A">
        <w:t xml:space="preserve">draft </w:t>
      </w:r>
      <w:r w:rsidR="005F242D" w:rsidRPr="009C4D2A">
        <w:t xml:space="preserve">of the </w:t>
      </w:r>
      <w:r w:rsidR="00366F14" w:rsidRPr="009C4D2A">
        <w:t>Determination</w:t>
      </w:r>
      <w:r w:rsidRPr="009C4D2A">
        <w:t xml:space="preserve"> was published on the Department’s website for public consultation from </w:t>
      </w:r>
      <w:r w:rsidR="00F866A6" w:rsidRPr="009C4D2A">
        <w:t>5 December 2014</w:t>
      </w:r>
      <w:r w:rsidRPr="009C4D2A">
        <w:t xml:space="preserve"> to </w:t>
      </w:r>
      <w:r w:rsidR="00F866A6" w:rsidRPr="009C4D2A">
        <w:t>19 December 2014.</w:t>
      </w:r>
      <w:r w:rsidR="005F242D" w:rsidRPr="009C4D2A">
        <w:t xml:space="preserve"> As a result of the public consultation the Department received </w:t>
      </w:r>
      <w:r w:rsidR="00F866A6" w:rsidRPr="009C4D2A">
        <w:t>two</w:t>
      </w:r>
      <w:r w:rsidR="005F242D" w:rsidRPr="009C4D2A">
        <w:t xml:space="preserve"> written submissions</w:t>
      </w:r>
      <w:r w:rsidR="00372E04" w:rsidRPr="009C4D2A">
        <w:t>.</w:t>
      </w:r>
      <w:r w:rsidR="005F242D" w:rsidRPr="009C4D2A">
        <w:t xml:space="preserve"> </w:t>
      </w:r>
    </w:p>
    <w:p w:rsidR="00AA2387" w:rsidRPr="009C4D2A" w:rsidRDefault="00366F14" w:rsidP="00391A4A">
      <w:pPr>
        <w:pStyle w:val="Majorheadingstyle"/>
      </w:pPr>
      <w:r w:rsidRPr="009C4D2A">
        <w:t>Determination</w:t>
      </w:r>
      <w:r w:rsidR="00AA2387" w:rsidRPr="009C4D2A">
        <w:t xml:space="preserve"> Details</w:t>
      </w:r>
    </w:p>
    <w:p w:rsidR="00AA2387" w:rsidRPr="009C4D2A" w:rsidRDefault="00AA2387" w:rsidP="003553A2">
      <w:pPr>
        <w:pStyle w:val="EStext"/>
      </w:pPr>
      <w:r w:rsidRPr="009C4D2A">
        <w:t xml:space="preserve">The </w:t>
      </w:r>
      <w:r w:rsidR="0010747D" w:rsidRPr="009C4D2A">
        <w:t>Determination</w:t>
      </w:r>
      <w:r w:rsidRPr="009C4D2A">
        <w:rPr>
          <w:i/>
        </w:rPr>
        <w:t xml:space="preserve"> </w:t>
      </w:r>
      <w:r w:rsidR="009C4D2A" w:rsidRPr="009C4D2A">
        <w:t xml:space="preserve">is </w:t>
      </w:r>
      <w:r w:rsidRPr="009C4D2A">
        <w:t xml:space="preserve">a legislative instrument within the meaning of the </w:t>
      </w:r>
      <w:r w:rsidRPr="009C4D2A">
        <w:rPr>
          <w:i/>
        </w:rPr>
        <w:t>Legislative Instruments Act 2003</w:t>
      </w:r>
      <w:r w:rsidRPr="009C4D2A">
        <w:t>.</w:t>
      </w:r>
    </w:p>
    <w:p w:rsidR="00AA2387" w:rsidRPr="009C4D2A" w:rsidRDefault="00AA2387" w:rsidP="003553A2">
      <w:pPr>
        <w:pStyle w:val="EStext"/>
      </w:pPr>
      <w:r w:rsidRPr="009C4D2A">
        <w:t xml:space="preserve">The </w:t>
      </w:r>
      <w:r w:rsidR="0010747D" w:rsidRPr="009C4D2A">
        <w:t>Determination</w:t>
      </w:r>
      <w:r w:rsidRPr="009C4D2A">
        <w:t xml:space="preserve"> </w:t>
      </w:r>
      <w:r w:rsidR="00D16488" w:rsidRPr="009C4D2A">
        <w:t xml:space="preserve">commences </w:t>
      </w:r>
      <w:r w:rsidRPr="009C4D2A">
        <w:t xml:space="preserve">on the day after it is registered. </w:t>
      </w:r>
    </w:p>
    <w:p w:rsidR="00AA2387" w:rsidRPr="009C4D2A" w:rsidRDefault="00AA2387" w:rsidP="003553A2">
      <w:pPr>
        <w:pStyle w:val="EStext"/>
      </w:pPr>
      <w:r w:rsidRPr="009C4D2A">
        <w:t xml:space="preserve">The </w:t>
      </w:r>
      <w:r w:rsidR="0010747D" w:rsidRPr="009C4D2A">
        <w:t>Determination</w:t>
      </w:r>
      <w:r w:rsidRPr="009C4D2A">
        <w:t xml:space="preserve"> ends when it is either revoked under section 123 of the Act, or on the day before it would otherwise be repealed under the </w:t>
      </w:r>
      <w:r w:rsidRPr="009C4D2A">
        <w:rPr>
          <w:i/>
        </w:rPr>
        <w:t>Legislative Instruments Act 2003</w:t>
      </w:r>
      <w:r w:rsidRPr="009C4D2A">
        <w:t xml:space="preserve">, whichever happens first. Under subsection 50(1) of that Act, a legislative instrument such as the </w:t>
      </w:r>
      <w:r w:rsidR="0010747D" w:rsidRPr="009C4D2A">
        <w:t>Determination</w:t>
      </w:r>
      <w:r w:rsidRPr="009C4D2A">
        <w:t xml:space="preserve"> is repealed on the first 1 April or 1 October falling on or after the tenth anniversary of registration of the instrument on FRLI. For example, if the </w:t>
      </w:r>
      <w:r w:rsidR="0010747D" w:rsidRPr="009C4D2A">
        <w:t>Determination</w:t>
      </w:r>
      <w:r w:rsidRPr="009C4D2A">
        <w:t xml:space="preserve"> is registered before 1 April 2015, it would expire on 31 March 2025.</w:t>
      </w:r>
    </w:p>
    <w:p w:rsidR="00AA2387" w:rsidRDefault="00AA2387" w:rsidP="003553A2">
      <w:pPr>
        <w:pStyle w:val="EStext"/>
      </w:pPr>
      <w:r w:rsidRPr="009C4D2A">
        <w:t xml:space="preserve">Details of the </w:t>
      </w:r>
      <w:r w:rsidR="0010747D" w:rsidRPr="009C4D2A">
        <w:t>Determination</w:t>
      </w:r>
      <w:r w:rsidRPr="009C4D2A">
        <w:t xml:space="preserve"> are at </w:t>
      </w:r>
      <w:r w:rsidRPr="009C4D2A">
        <w:rPr>
          <w:u w:val="single"/>
        </w:rPr>
        <w:t>Attachment A</w:t>
      </w:r>
      <w:r w:rsidRPr="009C4D2A">
        <w:t>.</w:t>
      </w:r>
    </w:p>
    <w:p w:rsidR="00A35943" w:rsidRDefault="00A35943" w:rsidP="00A35943">
      <w:r>
        <w:t xml:space="preserve">For the purpose of subsections 106(4), (4A) and (4B) of the Act, in making this Determination the Minister has had regard to, and agrees with, the advice of the ERAC that the Determination complies with the offsets integrity standards and that the proposed Determination should be made. The Minister is satisfied that the carbon abatement used in ascertaining </w:t>
      </w:r>
      <w:r w:rsidRPr="004A1BE3">
        <w:t>the carbon dioxide equivalent net abatement amount for a project is eligible carbon abatement from the project</w:t>
      </w:r>
      <w:r>
        <w:t xml:space="preserve">. The Minister also had regard to whether any adverse </w:t>
      </w:r>
      <w:r>
        <w:lastRenderedPageBreak/>
        <w:t xml:space="preserve">environmental, economic or social impacts are likely to arise from the carrying out of the kind of project to which the Determination applies and other relevant considerations. </w:t>
      </w:r>
    </w:p>
    <w:p w:rsidR="00A35943" w:rsidRPr="004A1BE3" w:rsidRDefault="00A35943" w:rsidP="00A35943">
      <w:r>
        <w:t xml:space="preserve">Subitem 393A(2) of Schedule 1 of the </w:t>
      </w:r>
      <w:r w:rsidRPr="004A1BE3">
        <w:rPr>
          <w:i/>
        </w:rPr>
        <w:t>Carbon Farming Initiative Amendment Act 2014</w:t>
      </w:r>
      <w:r>
        <w:t xml:space="preserve"> operated in relation to this Determination to deem the request to the Interim ERAC to be the relevant request to the statutory ERAC under </w:t>
      </w:r>
      <w:r w:rsidRPr="004A1BE3">
        <w:t>subsection</w:t>
      </w:r>
      <w:r>
        <w:t xml:space="preserve"> 106(10) of the Act. Subitem 393A(3) then allowed the ERAC to consider the consultation on the exposure draft which occurred before 13 December 2014 and not re-open consultation under section 123D of the Act.</w:t>
      </w:r>
    </w:p>
    <w:p w:rsidR="00954A5E" w:rsidRPr="009C4D2A" w:rsidRDefault="00954A5E" w:rsidP="003553A2">
      <w:pPr>
        <w:pStyle w:val="EStext"/>
      </w:pPr>
      <w:r w:rsidRPr="009C4D2A">
        <w:t xml:space="preserve">A Statement of Compatibility prepared in accordance with the </w:t>
      </w:r>
      <w:r w:rsidRPr="009C4D2A">
        <w:rPr>
          <w:i/>
          <w:iCs/>
        </w:rPr>
        <w:t>Human Rights (</w:t>
      </w:r>
      <w:r w:rsidRPr="004921E0">
        <w:rPr>
          <w:i/>
        </w:rPr>
        <w:t>Parliamentary</w:t>
      </w:r>
      <w:r w:rsidRPr="004921E0">
        <w:rPr>
          <w:i/>
          <w:iCs/>
        </w:rPr>
        <w:t xml:space="preserve"> </w:t>
      </w:r>
      <w:r w:rsidRPr="009C4D2A">
        <w:rPr>
          <w:i/>
          <w:iCs/>
        </w:rPr>
        <w:t>Scrutiny) Act 2011</w:t>
      </w:r>
      <w:r w:rsidRPr="009C4D2A">
        <w:t xml:space="preserve"> is at </w:t>
      </w:r>
      <w:r w:rsidRPr="009C4D2A">
        <w:rPr>
          <w:u w:val="single"/>
        </w:rPr>
        <w:t>Attachment B</w:t>
      </w:r>
      <w:r w:rsidRPr="009C4D2A">
        <w:t>.</w:t>
      </w:r>
      <w:r w:rsidR="00A00994" w:rsidRPr="009C4D2A">
        <w:t xml:space="preserve"> </w:t>
      </w:r>
    </w:p>
    <w:p w:rsidR="00AA2387" w:rsidRPr="009C4D2A" w:rsidRDefault="00AA2387" w:rsidP="00391A4A">
      <w:pPr>
        <w:pStyle w:val="Majorheadingstyle"/>
      </w:pPr>
      <w:r w:rsidRPr="009C4D2A">
        <w:t>Note on this explanatory statement</w:t>
      </w:r>
    </w:p>
    <w:p w:rsidR="00AA2387" w:rsidRPr="009C4D2A" w:rsidRDefault="00AA2387" w:rsidP="003553A2">
      <w:pPr>
        <w:pStyle w:val="EStext"/>
      </w:pPr>
      <w:r w:rsidRPr="009C4D2A">
        <w:t xml:space="preserve">Numbered sections in this explanatory statement align with the relevant sections of the </w:t>
      </w:r>
      <w:r w:rsidR="00366F14" w:rsidRPr="009C4D2A">
        <w:t>Determination</w:t>
      </w:r>
      <w:r w:rsidRPr="009C4D2A">
        <w:t>.</w:t>
      </w:r>
    </w:p>
    <w:p w:rsidR="0019691D" w:rsidRPr="00B40270" w:rsidRDefault="00AA2387" w:rsidP="009C4D2A">
      <w:pPr>
        <w:pStyle w:val="Majorheadingstyle"/>
        <w:jc w:val="right"/>
        <w:rPr>
          <w:b w:val="0"/>
          <w:u w:val="single"/>
        </w:rPr>
      </w:pPr>
      <w:r w:rsidRPr="009C4D2A">
        <w:br w:type="column"/>
      </w:r>
      <w:r w:rsidR="0019691D" w:rsidRPr="00B40270">
        <w:rPr>
          <w:b w:val="0"/>
          <w:u w:val="single"/>
        </w:rPr>
        <w:lastRenderedPageBreak/>
        <w:t>Attachment A</w:t>
      </w:r>
    </w:p>
    <w:p w:rsidR="0019691D" w:rsidRPr="009C4D2A" w:rsidRDefault="0019691D" w:rsidP="00D32444">
      <w:pPr>
        <w:pStyle w:val="Majorheadingstyle"/>
      </w:pPr>
      <w:r w:rsidRPr="009C4D2A">
        <w:t xml:space="preserve">Details of the </w:t>
      </w:r>
      <w:r w:rsidR="00366F14" w:rsidRPr="009C4D2A">
        <w:t>Determination</w:t>
      </w:r>
    </w:p>
    <w:p w:rsidR="00D16488" w:rsidRPr="009C4D2A" w:rsidRDefault="0019691D" w:rsidP="00D32444">
      <w:pPr>
        <w:pStyle w:val="Majorheadingstyle"/>
      </w:pPr>
      <w:r w:rsidRPr="009C4D2A">
        <w:t>Part 1</w:t>
      </w:r>
      <w:r w:rsidR="00560B98" w:rsidRPr="009C4D2A">
        <w:t>—</w:t>
      </w:r>
      <w:r w:rsidRPr="009C4D2A">
        <w:t>Preliminary</w:t>
      </w:r>
    </w:p>
    <w:p w:rsidR="0019691D" w:rsidRPr="009C4D2A" w:rsidRDefault="00EE1197" w:rsidP="00391A4A">
      <w:pPr>
        <w:pStyle w:val="Minorheadingstyle"/>
      </w:pPr>
      <w:r w:rsidRPr="009C4D2A">
        <w:fldChar w:fldCharType="begin"/>
      </w:r>
      <w:bookmarkStart w:id="0" w:name="_Ref409686338"/>
      <w:bookmarkEnd w:id="0"/>
      <w:r w:rsidR="00D16488" w:rsidRPr="009C4D2A">
        <w:instrText xml:space="preserve"> LISTNUM  LegalDefault \l 1 </w:instrText>
      </w:r>
      <w:r w:rsidRPr="009C4D2A">
        <w:fldChar w:fldCharType="end"/>
      </w:r>
      <w:r w:rsidR="0019691D" w:rsidRPr="009C4D2A">
        <w:tab/>
        <w:t xml:space="preserve">Name </w:t>
      </w:r>
    </w:p>
    <w:p w:rsidR="0019691D" w:rsidRPr="009C4D2A" w:rsidRDefault="000D4FB1" w:rsidP="003553A2">
      <w:pPr>
        <w:pStyle w:val="EStext"/>
        <w:rPr>
          <w:i/>
        </w:rPr>
      </w:pPr>
      <w:r w:rsidRPr="009C4D2A">
        <w:t>S</w:t>
      </w:r>
      <w:r w:rsidR="0019691D" w:rsidRPr="009C4D2A">
        <w:t xml:space="preserve">ection </w:t>
      </w:r>
      <w:fldSimple w:instr=" REF _Ref409686338 \r  \* MERGEFORMAT ">
        <w:r w:rsidR="00B506B7" w:rsidRPr="009C4D2A">
          <w:t>1</w:t>
        </w:r>
      </w:fldSimple>
      <w:r w:rsidRPr="009C4D2A">
        <w:t xml:space="preserve"> </w:t>
      </w:r>
      <w:r w:rsidR="00CA7FDF" w:rsidRPr="009C4D2A">
        <w:t xml:space="preserve"> provides that </w:t>
      </w:r>
      <w:r w:rsidR="00FC02FB" w:rsidRPr="009C4D2A">
        <w:t>the</w:t>
      </w:r>
      <w:r w:rsidR="005B3CCF" w:rsidRPr="009C4D2A">
        <w:t xml:space="preserve"> </w:t>
      </w:r>
      <w:r w:rsidR="00366F14" w:rsidRPr="009C4D2A">
        <w:t>Determination</w:t>
      </w:r>
      <w:r w:rsidR="005B3CCF" w:rsidRPr="009C4D2A">
        <w:t xml:space="preserve"> </w:t>
      </w:r>
      <w:r w:rsidR="001F59E4" w:rsidRPr="009C4D2A">
        <w:t xml:space="preserve">is the </w:t>
      </w:r>
      <w:r w:rsidR="001F59E4" w:rsidRPr="009C4D2A">
        <w:rPr>
          <w:i/>
        </w:rPr>
        <w:t>Carbon Credits (</w:t>
      </w:r>
      <w:r w:rsidR="00CA7FDF" w:rsidRPr="009C4D2A">
        <w:rPr>
          <w:i/>
        </w:rPr>
        <w:t>Carbon Farming Initiative—</w:t>
      </w:r>
      <w:r w:rsidR="001F59E4" w:rsidRPr="009C4D2A">
        <w:rPr>
          <w:i/>
        </w:rPr>
        <w:t>Avoided Deforestation</w:t>
      </w:r>
      <w:r w:rsidR="00CA7FDF" w:rsidRPr="009C4D2A">
        <w:rPr>
          <w:i/>
        </w:rPr>
        <w:t xml:space="preserve"> </w:t>
      </w:r>
      <w:r w:rsidR="00F41DF6" w:rsidRPr="009C4D2A">
        <w:rPr>
          <w:i/>
        </w:rPr>
        <w:t>1.1</w:t>
      </w:r>
      <w:r w:rsidR="001F59E4" w:rsidRPr="009C4D2A">
        <w:rPr>
          <w:i/>
        </w:rPr>
        <w:t xml:space="preserve">) Methodology Determination </w:t>
      </w:r>
      <w:r w:rsidR="00CA7FDF" w:rsidRPr="009C4D2A">
        <w:rPr>
          <w:i/>
        </w:rPr>
        <w:t>2015</w:t>
      </w:r>
      <w:r w:rsidR="001F59E4" w:rsidRPr="009C4D2A">
        <w:rPr>
          <w:i/>
        </w:rPr>
        <w:t>.</w:t>
      </w:r>
    </w:p>
    <w:p w:rsidR="0019691D" w:rsidRPr="009C4D2A" w:rsidRDefault="00EE1197" w:rsidP="00391A4A">
      <w:pPr>
        <w:pStyle w:val="Minorheadingstyle"/>
      </w:pPr>
      <w:r w:rsidRPr="009C4D2A">
        <w:fldChar w:fldCharType="begin"/>
      </w:r>
      <w:bookmarkStart w:id="1" w:name="_Ref409686596"/>
      <w:bookmarkEnd w:id="1"/>
      <w:r w:rsidR="00D16488" w:rsidRPr="009C4D2A">
        <w:instrText xml:space="preserve"> LISTNUM  LegalDefault \l 1 </w:instrText>
      </w:r>
      <w:r w:rsidRPr="009C4D2A">
        <w:fldChar w:fldCharType="end"/>
      </w:r>
      <w:r w:rsidR="0019691D" w:rsidRPr="009C4D2A">
        <w:tab/>
        <w:t>Commencement</w:t>
      </w:r>
    </w:p>
    <w:p w:rsidR="00AA2387" w:rsidRPr="009C4D2A" w:rsidRDefault="00892A74" w:rsidP="003553A2">
      <w:pPr>
        <w:pStyle w:val="EStext"/>
      </w:pPr>
      <w:r w:rsidRPr="009C4D2A">
        <w:t>Paragraph</w:t>
      </w:r>
      <w:r w:rsidR="00CA7FDF" w:rsidRPr="009C4D2A">
        <w:t> 122</w:t>
      </w:r>
      <w:r w:rsidRPr="009C4D2A">
        <w:t>(1)(a)</w:t>
      </w:r>
      <w:r w:rsidR="00CA7FDF" w:rsidRPr="009C4D2A">
        <w:t xml:space="preserve"> of the Act provides that a methodology determination comes into force either when it is made, or at a later time specified in the determination. </w:t>
      </w:r>
      <w:r w:rsidR="000D4FB1" w:rsidRPr="009C4D2A">
        <w:t xml:space="preserve">Section </w:t>
      </w:r>
      <w:fldSimple w:instr=" REF _Ref409686596 \r  \* MERGEFORMAT ">
        <w:r w:rsidR="00B506B7" w:rsidRPr="009C4D2A">
          <w:t>2</w:t>
        </w:r>
      </w:fldSimple>
      <w:r w:rsidR="000D4FB1" w:rsidRPr="009C4D2A">
        <w:t xml:space="preserve"> </w:t>
      </w:r>
      <w:r w:rsidR="0019691D" w:rsidRPr="009C4D2A">
        <w:t xml:space="preserve">provides that the </w:t>
      </w:r>
      <w:r w:rsidR="00366F14" w:rsidRPr="009C4D2A">
        <w:t>Determination</w:t>
      </w:r>
      <w:r w:rsidR="00FC02FB" w:rsidRPr="009C4D2A">
        <w:t xml:space="preserve"> </w:t>
      </w:r>
      <w:r w:rsidR="00AA2387" w:rsidRPr="009C4D2A">
        <w:t>commences on the day after it is registered.</w:t>
      </w:r>
    </w:p>
    <w:p w:rsidR="00CA7FDF" w:rsidRPr="009C4D2A" w:rsidRDefault="00EE1197" w:rsidP="00391A4A">
      <w:pPr>
        <w:pStyle w:val="Minorheadingstyle"/>
      </w:pPr>
      <w:r w:rsidRPr="009C4D2A">
        <w:fldChar w:fldCharType="begin"/>
      </w:r>
      <w:bookmarkStart w:id="2" w:name="_Ref409686635"/>
      <w:bookmarkEnd w:id="2"/>
      <w:r w:rsidR="00CA7FDF" w:rsidRPr="009C4D2A">
        <w:instrText xml:space="preserve"> LISTNUM  LegalDefault \l 1 </w:instrText>
      </w:r>
      <w:r w:rsidRPr="009C4D2A">
        <w:fldChar w:fldCharType="end"/>
      </w:r>
      <w:r w:rsidR="00CA7FDF" w:rsidRPr="009C4D2A">
        <w:tab/>
        <w:t>Authority</w:t>
      </w:r>
    </w:p>
    <w:p w:rsidR="00CA7FDF" w:rsidRPr="009C4D2A" w:rsidRDefault="00CA7FDF" w:rsidP="003553A2">
      <w:pPr>
        <w:pStyle w:val="EStext"/>
      </w:pPr>
      <w:r w:rsidRPr="009C4D2A">
        <w:t xml:space="preserve">Section </w:t>
      </w:r>
      <w:fldSimple w:instr=" REF _Ref409686635 \r  \* MERGEFORMAT ">
        <w:r w:rsidR="00B506B7" w:rsidRPr="009C4D2A">
          <w:t>3</w:t>
        </w:r>
      </w:fldSimple>
      <w:r w:rsidRPr="009C4D2A">
        <w:t xml:space="preserve"> provides that the Determination is made under subsection 106(1) of the Act.</w:t>
      </w:r>
    </w:p>
    <w:p w:rsidR="00CA7FDF" w:rsidRPr="009C4D2A" w:rsidRDefault="00EE1197" w:rsidP="00391A4A">
      <w:pPr>
        <w:pStyle w:val="Minorheadingstyle"/>
      </w:pPr>
      <w:r w:rsidRPr="009C4D2A">
        <w:fldChar w:fldCharType="begin"/>
      </w:r>
      <w:bookmarkStart w:id="3" w:name="_Ref409686697"/>
      <w:bookmarkEnd w:id="3"/>
      <w:r w:rsidR="00CA7FDF" w:rsidRPr="009C4D2A">
        <w:instrText xml:space="preserve"> LISTNUM  LegalDefault \l 1 </w:instrText>
      </w:r>
      <w:r w:rsidRPr="009C4D2A">
        <w:fldChar w:fldCharType="end"/>
      </w:r>
      <w:r w:rsidR="00CA7FDF" w:rsidRPr="009C4D2A">
        <w:tab/>
        <w:t>Duration</w:t>
      </w:r>
    </w:p>
    <w:p w:rsidR="00CA7FDF" w:rsidRPr="009C4D2A" w:rsidRDefault="00892A74" w:rsidP="003553A2">
      <w:pPr>
        <w:pStyle w:val="EStext"/>
      </w:pPr>
      <w:r w:rsidRPr="009C4D2A">
        <w:t>Paragraph </w:t>
      </w:r>
      <w:r w:rsidR="00CA7FDF" w:rsidRPr="009C4D2A">
        <w:t>122</w:t>
      </w:r>
      <w:r w:rsidRPr="009C4D2A">
        <w:t xml:space="preserve">(1)(b) </w:t>
      </w:r>
      <w:r w:rsidR="00CA7FDF" w:rsidRPr="009C4D2A">
        <w:t xml:space="preserve">of the </w:t>
      </w:r>
      <w:r w:rsidRPr="009C4D2A">
        <w:t xml:space="preserve">Act provides that, unless sooner revoked, a methodology determination remains in force for either the period specified in the determination, or a longer period specified, in a legislative instrument, by the Minister. </w:t>
      </w:r>
      <w:r w:rsidR="00CA7FDF" w:rsidRPr="009C4D2A">
        <w:t>Section </w:t>
      </w:r>
      <w:fldSimple w:instr=" REF _Ref409686697 \r  \* MERGEFORMAT ">
        <w:r w:rsidR="00B506B7" w:rsidRPr="009C4D2A">
          <w:t>4</w:t>
        </w:r>
      </w:fldSimple>
      <w:r w:rsidR="00CA7FDF" w:rsidRPr="009C4D2A">
        <w:t xml:space="preserve"> </w:t>
      </w:r>
      <w:r w:rsidRPr="009C4D2A">
        <w:t>specifies a period for the purposes of this paragraph.</w:t>
      </w:r>
    </w:p>
    <w:p w:rsidR="00CA7FDF" w:rsidRPr="009C4D2A" w:rsidRDefault="00892A74" w:rsidP="003553A2">
      <w:pPr>
        <w:pStyle w:val="EStext"/>
      </w:pPr>
      <w:r w:rsidRPr="009C4D2A">
        <w:t>Section </w:t>
      </w:r>
      <w:fldSimple w:instr=" REF _Ref409686697 \r  \* MERGEFORMAT ">
        <w:r w:rsidR="00B506B7" w:rsidRPr="009C4D2A">
          <w:t>4</w:t>
        </w:r>
      </w:fldSimple>
      <w:r w:rsidRPr="009C4D2A">
        <w:t xml:space="preserve"> provides that the D</w:t>
      </w:r>
      <w:r w:rsidR="00CA7FDF" w:rsidRPr="009C4D2A">
        <w:t>etermination remains in force for the period that</w:t>
      </w:r>
      <w:r w:rsidRPr="009C4D2A">
        <w:t xml:space="preserve"> </w:t>
      </w:r>
      <w:r w:rsidR="00CA7FDF" w:rsidRPr="009C4D2A">
        <w:t xml:space="preserve">begins when </w:t>
      </w:r>
      <w:r w:rsidRPr="009C4D2A">
        <w:t xml:space="preserve">the Determination </w:t>
      </w:r>
      <w:r w:rsidR="00CA7FDF" w:rsidRPr="009C4D2A">
        <w:t>commences</w:t>
      </w:r>
      <w:r w:rsidRPr="009C4D2A">
        <w:t>,</w:t>
      </w:r>
      <w:r w:rsidR="00CA7FDF" w:rsidRPr="009C4D2A">
        <w:t xml:space="preserve"> and</w:t>
      </w:r>
      <w:r w:rsidRPr="009C4D2A">
        <w:t xml:space="preserve"> </w:t>
      </w:r>
      <w:r w:rsidR="00CA7FDF" w:rsidRPr="009C4D2A">
        <w:t xml:space="preserve">ends on the day before this instrument would otherwise be repealed under subsection 50(1) of the </w:t>
      </w:r>
      <w:r w:rsidR="00CA7FDF" w:rsidRPr="009C4D2A">
        <w:rPr>
          <w:i/>
        </w:rPr>
        <w:t>Legislative Instruments Act 2003</w:t>
      </w:r>
      <w:r w:rsidR="00CA7FDF" w:rsidRPr="009C4D2A">
        <w:t>.</w:t>
      </w:r>
    </w:p>
    <w:p w:rsidR="0019691D" w:rsidRPr="009C4D2A" w:rsidRDefault="00EE1197" w:rsidP="00391A4A">
      <w:pPr>
        <w:pStyle w:val="Minorheadingstyle"/>
      </w:pPr>
      <w:r w:rsidRPr="009C4D2A">
        <w:fldChar w:fldCharType="begin"/>
      </w:r>
      <w:bookmarkStart w:id="4" w:name="_Ref409687035"/>
      <w:bookmarkEnd w:id="4"/>
      <w:r w:rsidR="00D16488" w:rsidRPr="009C4D2A">
        <w:instrText xml:space="preserve"> LISTNUM  LegalDefault \l 1 </w:instrText>
      </w:r>
      <w:r w:rsidRPr="009C4D2A">
        <w:fldChar w:fldCharType="end"/>
      </w:r>
      <w:r w:rsidR="0019691D" w:rsidRPr="009C4D2A">
        <w:tab/>
        <w:t>Definitions</w:t>
      </w:r>
    </w:p>
    <w:p w:rsidR="00AA2387" w:rsidRPr="009C4D2A" w:rsidRDefault="00AA2387" w:rsidP="003553A2">
      <w:pPr>
        <w:pStyle w:val="EStext"/>
      </w:pPr>
      <w:r w:rsidRPr="009C4D2A">
        <w:t xml:space="preserve">Section </w:t>
      </w:r>
      <w:fldSimple w:instr=" REF _Ref409687035 \r  \* MERGEFORMAT ">
        <w:r w:rsidR="00B506B7" w:rsidRPr="009C4D2A">
          <w:t>5</w:t>
        </w:r>
      </w:fldSimple>
      <w:r w:rsidRPr="009C4D2A">
        <w:t xml:space="preserve"> defines a number of terms used in the </w:t>
      </w:r>
      <w:r w:rsidR="00BE5C56" w:rsidRPr="009C4D2A">
        <w:t>Determination</w:t>
      </w:r>
      <w:r w:rsidRPr="009C4D2A">
        <w:t>.</w:t>
      </w:r>
    </w:p>
    <w:p w:rsidR="00AA2387" w:rsidRPr="009C4D2A" w:rsidRDefault="00AA2387" w:rsidP="003553A2">
      <w:pPr>
        <w:pStyle w:val="EStext"/>
      </w:pPr>
      <w:r w:rsidRPr="009C4D2A">
        <w:t xml:space="preserve">The note at the </w:t>
      </w:r>
      <w:r w:rsidR="00BE5C56" w:rsidRPr="009C4D2A">
        <w:t xml:space="preserve">foot </w:t>
      </w:r>
      <w:r w:rsidRPr="009C4D2A">
        <w:t xml:space="preserve">of section </w:t>
      </w:r>
      <w:fldSimple w:instr=" REF _Ref409687035 \r  \* MERGEFORMAT ">
        <w:r w:rsidR="00B506B7" w:rsidRPr="009C4D2A">
          <w:t>5</w:t>
        </w:r>
      </w:fldSimple>
      <w:r w:rsidRPr="009C4D2A">
        <w:t xml:space="preserve"> lists terms that are not defined in the Determination but </w:t>
      </w:r>
      <w:r w:rsidR="00BE5C56" w:rsidRPr="009C4D2A">
        <w:t xml:space="preserve">which </w:t>
      </w:r>
      <w:r w:rsidRPr="009C4D2A">
        <w:t>instead have the meaning given to them by section 5 of the Act.</w:t>
      </w:r>
    </w:p>
    <w:p w:rsidR="00AA2387" w:rsidRPr="009C4D2A" w:rsidRDefault="00AA2387" w:rsidP="003553A2">
      <w:pPr>
        <w:pStyle w:val="EStext"/>
      </w:pPr>
      <w:r w:rsidRPr="009C4D2A">
        <w:t xml:space="preserve">Under section 23 of the </w:t>
      </w:r>
      <w:r w:rsidRPr="009C4D2A">
        <w:rPr>
          <w:i/>
        </w:rPr>
        <w:t>Acts Interpretation Act 1901</w:t>
      </w:r>
      <w:r w:rsidR="00BE5C56" w:rsidRPr="009C4D2A">
        <w:rPr>
          <w:i/>
        </w:rPr>
        <w:t xml:space="preserve"> </w:t>
      </w:r>
      <w:r w:rsidR="00BE5C56" w:rsidRPr="009C4D2A">
        <w:t xml:space="preserve">and paragraph 13(1)(a) of the </w:t>
      </w:r>
      <w:r w:rsidR="00BE5C56" w:rsidRPr="009C4D2A">
        <w:rPr>
          <w:i/>
        </w:rPr>
        <w:t>Legislative Instruments Act 2003</w:t>
      </w:r>
      <w:r w:rsidRPr="009C4D2A">
        <w:t>, words in the Determination in the singular number include the plural and words in the plural number include the singular.</w:t>
      </w:r>
    </w:p>
    <w:p w:rsidR="007B6EA1" w:rsidRPr="009C4D2A" w:rsidRDefault="00EE1197" w:rsidP="00391A4A">
      <w:pPr>
        <w:pStyle w:val="Minorheadingstyle"/>
        <w:rPr>
          <w:rFonts w:eastAsia="Calibri"/>
          <w:lang w:eastAsia="en-US"/>
        </w:rPr>
      </w:pPr>
      <w:r w:rsidRPr="009C4D2A">
        <w:fldChar w:fldCharType="begin"/>
      </w:r>
      <w:bookmarkStart w:id="5" w:name="_Ref409687272"/>
      <w:bookmarkEnd w:id="5"/>
      <w:r w:rsidR="007433D4" w:rsidRPr="009C4D2A">
        <w:instrText xml:space="preserve"> LISTNUM  LegalDefault \l 1 </w:instrText>
      </w:r>
      <w:r w:rsidRPr="009C4D2A">
        <w:fldChar w:fldCharType="end"/>
      </w:r>
      <w:r w:rsidR="007433D4" w:rsidRPr="009C4D2A">
        <w:rPr>
          <w:rFonts w:eastAsia="Calibri"/>
          <w:lang w:eastAsia="en-US"/>
        </w:rPr>
        <w:tab/>
        <w:t>Crediting period</w:t>
      </w:r>
    </w:p>
    <w:p w:rsidR="007433D4" w:rsidRPr="009C4D2A" w:rsidRDefault="007433D4" w:rsidP="003553A2">
      <w:pPr>
        <w:pStyle w:val="EStext"/>
      </w:pPr>
      <w:r w:rsidRPr="009C4D2A">
        <w:t xml:space="preserve">Section </w:t>
      </w:r>
      <w:fldSimple w:instr=" REF _Ref409687272 \r  \* MERGEFORMAT ">
        <w:r w:rsidR="00B506B7" w:rsidRPr="009C4D2A">
          <w:t>6</w:t>
        </w:r>
      </w:fldSimple>
      <w:r w:rsidRPr="009C4D2A">
        <w:t xml:space="preserve"> provides that projects covered by this Determination have a 15 year crediting period. This represents a revision in the crediting period from 20 years, as provided for with the original </w:t>
      </w:r>
      <w:r w:rsidRPr="009C4D2A">
        <w:rPr>
          <w:i/>
        </w:rPr>
        <w:t>Avoided Deforestation</w:t>
      </w:r>
      <w:r w:rsidRPr="009C4D2A">
        <w:t xml:space="preserve"> method, to better reflect when abatement occurs.</w:t>
      </w:r>
      <w:r w:rsidRPr="009C4D2A" w:rsidDel="00A22BF6">
        <w:t xml:space="preserve"> </w:t>
      </w:r>
    </w:p>
    <w:p w:rsidR="00A91F39" w:rsidRPr="009C4D2A" w:rsidRDefault="006347F0" w:rsidP="00391A4A">
      <w:pPr>
        <w:pStyle w:val="Majorheadingstyle"/>
      </w:pPr>
      <w:r w:rsidRPr="009C4D2A">
        <w:br w:type="column"/>
      </w:r>
      <w:r w:rsidR="00A91F39" w:rsidRPr="009C4D2A">
        <w:lastRenderedPageBreak/>
        <w:t>Part 2</w:t>
      </w:r>
      <w:r w:rsidR="00560B98" w:rsidRPr="009C4D2A">
        <w:t>—</w:t>
      </w:r>
      <w:r w:rsidR="00A91F39" w:rsidRPr="009C4D2A">
        <w:t>Avoided deforestation projects</w:t>
      </w:r>
    </w:p>
    <w:p w:rsidR="004B7024" w:rsidRPr="009C4D2A" w:rsidRDefault="00EE1197" w:rsidP="00391A4A">
      <w:pPr>
        <w:pStyle w:val="Minorheadingstyle"/>
      </w:pPr>
      <w:r w:rsidRPr="009C4D2A">
        <w:fldChar w:fldCharType="begin"/>
      </w:r>
      <w:bookmarkStart w:id="6" w:name="_Ref409694607"/>
      <w:bookmarkEnd w:id="6"/>
      <w:r w:rsidR="00D16488" w:rsidRPr="009C4D2A">
        <w:instrText xml:space="preserve"> LISTNUM  LegalDefault \l 1 </w:instrText>
      </w:r>
      <w:r w:rsidRPr="009C4D2A">
        <w:fldChar w:fldCharType="end"/>
      </w:r>
      <w:r w:rsidR="004B7024" w:rsidRPr="009C4D2A">
        <w:tab/>
      </w:r>
      <w:r w:rsidR="00A91F39" w:rsidRPr="009C4D2A">
        <w:t>Avoided deforestation projects</w:t>
      </w:r>
    </w:p>
    <w:p w:rsidR="00AA2387" w:rsidRPr="009C4D2A" w:rsidRDefault="00AA2387" w:rsidP="003553A2">
      <w:pPr>
        <w:pStyle w:val="EStext"/>
      </w:pPr>
      <w:r w:rsidRPr="009C4D2A">
        <w:t xml:space="preserve">The effect of paragraphs 27(4)(b) and 106(1)(a) of the Act is that a project must be covered by a methodology determination, and that the methodology determination must specify the kind of offsets project to which it applies.  </w:t>
      </w:r>
    </w:p>
    <w:p w:rsidR="00A91F39" w:rsidRPr="009C4D2A" w:rsidRDefault="00A91F39" w:rsidP="003553A2">
      <w:pPr>
        <w:pStyle w:val="EStext"/>
      </w:pPr>
      <w:r w:rsidRPr="009C4D2A">
        <w:t>Subsection </w:t>
      </w:r>
      <w:fldSimple w:instr=" REF _Ref409694607 \r  \* MERGEFORMAT ">
        <w:r w:rsidR="00B506B7" w:rsidRPr="009C4D2A">
          <w:t>7</w:t>
        </w:r>
      </w:fldSimple>
      <w:r w:rsidRPr="009C4D2A">
        <w:t xml:space="preserve">(1) provides that the </w:t>
      </w:r>
      <w:r w:rsidR="00366F14" w:rsidRPr="009C4D2A">
        <w:t>Determination</w:t>
      </w:r>
      <w:r w:rsidR="00E826CB" w:rsidRPr="009C4D2A">
        <w:t xml:space="preserve"> applies to </w:t>
      </w:r>
      <w:r w:rsidRPr="009C4D2A">
        <w:t>an offsets project that:</w:t>
      </w:r>
    </w:p>
    <w:p w:rsidR="00A91F39" w:rsidRPr="009C4D2A" w:rsidRDefault="00E826CB" w:rsidP="00391A4A">
      <w:pPr>
        <w:pStyle w:val="bullet1"/>
        <w:rPr>
          <w:color w:val="auto"/>
        </w:rPr>
      </w:pPr>
      <w:r w:rsidRPr="009C4D2A">
        <w:rPr>
          <w:color w:val="auto"/>
        </w:rPr>
        <w:t xml:space="preserve"> </w:t>
      </w:r>
      <w:r w:rsidR="00A91F39" w:rsidRPr="009C4D2A">
        <w:rPr>
          <w:color w:val="auto"/>
        </w:rPr>
        <w:t>involves:</w:t>
      </w:r>
    </w:p>
    <w:p w:rsidR="00A91F39" w:rsidRPr="009C4D2A" w:rsidRDefault="00A91F39" w:rsidP="00391A4A">
      <w:pPr>
        <w:pStyle w:val="bullet2"/>
        <w:rPr>
          <w:color w:val="auto"/>
        </w:rPr>
      </w:pPr>
      <w:r w:rsidRPr="009C4D2A">
        <w:rPr>
          <w:color w:val="auto"/>
        </w:rPr>
        <w:t xml:space="preserve">removing </w:t>
      </w:r>
      <w:r w:rsidR="00E826CB" w:rsidRPr="009C4D2A">
        <w:rPr>
          <w:color w:val="auto"/>
        </w:rPr>
        <w:t xml:space="preserve">carbon dioxide from the atmosphere by sequestering carbon in trees in one or more native forests; and </w:t>
      </w:r>
    </w:p>
    <w:p w:rsidR="00A91F39" w:rsidRPr="009C4D2A" w:rsidRDefault="00E826CB" w:rsidP="00391A4A">
      <w:pPr>
        <w:pStyle w:val="bullet2"/>
        <w:rPr>
          <w:color w:val="auto"/>
        </w:rPr>
      </w:pPr>
      <w:r w:rsidRPr="009C4D2A">
        <w:rPr>
          <w:color w:val="auto"/>
        </w:rPr>
        <w:t>avoid</w:t>
      </w:r>
      <w:r w:rsidR="007F4375" w:rsidRPr="009C4D2A">
        <w:rPr>
          <w:color w:val="auto"/>
        </w:rPr>
        <w:t>ing</w:t>
      </w:r>
      <w:r w:rsidRPr="009C4D2A">
        <w:rPr>
          <w:color w:val="auto"/>
        </w:rPr>
        <w:t xml:space="preserve"> emissions of greenhouse gases attributable to the clearing of one or more native forests</w:t>
      </w:r>
      <w:r w:rsidR="00A91F39" w:rsidRPr="009C4D2A">
        <w:rPr>
          <w:color w:val="auto"/>
        </w:rPr>
        <w:t>; and</w:t>
      </w:r>
    </w:p>
    <w:p w:rsidR="00A07861" w:rsidRPr="009C4D2A" w:rsidRDefault="00A91F39" w:rsidP="00391A4A">
      <w:pPr>
        <w:pStyle w:val="bullet1"/>
        <w:rPr>
          <w:color w:val="auto"/>
        </w:rPr>
      </w:pPr>
      <w:r w:rsidRPr="009C4D2A">
        <w:rPr>
          <w:color w:val="auto"/>
        </w:rPr>
        <w:t>can reasonably be expected to result in ‘eligible carbon abatement’</w:t>
      </w:r>
      <w:r w:rsidR="00656317" w:rsidRPr="009C4D2A">
        <w:rPr>
          <w:color w:val="auto"/>
        </w:rPr>
        <w:t>.</w:t>
      </w:r>
    </w:p>
    <w:p w:rsidR="00A91F39" w:rsidRPr="009C4D2A" w:rsidRDefault="00A91F39" w:rsidP="003553A2">
      <w:pPr>
        <w:pStyle w:val="EStext"/>
      </w:pPr>
      <w:r w:rsidRPr="009C4D2A">
        <w:t>Subsection (2) provides that a project covered by subsection (1) is an ‘avoided deforestation project’.</w:t>
      </w:r>
    </w:p>
    <w:p w:rsidR="001F59E4" w:rsidRPr="009C4D2A" w:rsidRDefault="00FC0E23" w:rsidP="00391A4A">
      <w:pPr>
        <w:pStyle w:val="Majorheadingstyle"/>
      </w:pPr>
      <w:r w:rsidRPr="009C4D2A">
        <w:br w:type="column"/>
      </w:r>
      <w:r w:rsidR="001F59E4" w:rsidRPr="009C4D2A">
        <w:lastRenderedPageBreak/>
        <w:t xml:space="preserve">Part </w:t>
      </w:r>
      <w:r w:rsidR="00616B56" w:rsidRPr="009C4D2A">
        <w:t>3</w:t>
      </w:r>
      <w:r w:rsidR="00560B98" w:rsidRPr="009C4D2A">
        <w:t>—</w:t>
      </w:r>
      <w:r w:rsidR="00616B56" w:rsidRPr="009C4D2A">
        <w:t xml:space="preserve">Project requirements </w:t>
      </w:r>
    </w:p>
    <w:p w:rsidR="00560B98" w:rsidRPr="009C4D2A" w:rsidRDefault="00560B98" w:rsidP="00391A4A">
      <w:pPr>
        <w:pStyle w:val="Majorheadingstyle"/>
      </w:pPr>
      <w:r w:rsidRPr="009C4D2A">
        <w:t>Division 1—General</w:t>
      </w:r>
    </w:p>
    <w:p w:rsidR="004279CF" w:rsidRPr="009C4D2A" w:rsidRDefault="00EE1197" w:rsidP="00391A4A">
      <w:pPr>
        <w:pStyle w:val="Minorheadingstyle"/>
      </w:pPr>
      <w:r w:rsidRPr="009C4D2A">
        <w:fldChar w:fldCharType="begin"/>
      </w:r>
      <w:r w:rsidR="00D16488" w:rsidRPr="009C4D2A">
        <w:instrText xml:space="preserve"> LISTNUM  LegalDefault \l 1 </w:instrText>
      </w:r>
      <w:r w:rsidRPr="009C4D2A">
        <w:fldChar w:fldCharType="end"/>
      </w:r>
      <w:r w:rsidR="004279CF" w:rsidRPr="009C4D2A">
        <w:tab/>
      </w:r>
      <w:r w:rsidR="00560B98" w:rsidRPr="009C4D2A">
        <w:t>Operation of this Part</w:t>
      </w:r>
    </w:p>
    <w:p w:rsidR="00AA2387" w:rsidRPr="009C4D2A" w:rsidRDefault="00AA2387" w:rsidP="003553A2">
      <w:pPr>
        <w:pStyle w:val="EStext"/>
      </w:pPr>
      <w:r w:rsidRPr="009C4D2A">
        <w:t>The effect of paragraph 106(1)(b) of the Act is that a determination must set out requirements that must be met for a project to be an eligible offsets project. Under paragraph 27(4)(c) of the Act, the Regulator must not declare that an offsets project is an eligible offsets project unless the Regulator is satisfied that the project meets these requirements. The effect of section 35 of the Act is that the Regulator may, if an appropriate regulation or legislative rule is made, revoke the declaration that a project is an eligible offsets project if eligibility requirements have not been met.</w:t>
      </w:r>
    </w:p>
    <w:p w:rsidR="00AA2387" w:rsidRPr="009C4D2A" w:rsidRDefault="00AA2387" w:rsidP="003553A2">
      <w:pPr>
        <w:pStyle w:val="EStext"/>
      </w:pPr>
      <w:r w:rsidRPr="009C4D2A">
        <w:t xml:space="preserve">Part </w:t>
      </w:r>
      <w:r w:rsidR="00560B98" w:rsidRPr="009C4D2A">
        <w:t xml:space="preserve">3 </w:t>
      </w:r>
      <w:r w:rsidRPr="009C4D2A">
        <w:t xml:space="preserve">of the </w:t>
      </w:r>
      <w:r w:rsidR="00366F14" w:rsidRPr="009C4D2A">
        <w:t>Determination</w:t>
      </w:r>
      <w:r w:rsidRPr="009C4D2A">
        <w:t xml:space="preserve"> specifies a number of requirements that must be met in order for </w:t>
      </w:r>
      <w:r w:rsidR="00560B98" w:rsidRPr="009C4D2A">
        <w:t xml:space="preserve">an avoided deforestation project </w:t>
      </w:r>
      <w:r w:rsidRPr="009C4D2A">
        <w:t xml:space="preserve">to be an eligible offsets project. </w:t>
      </w:r>
    </w:p>
    <w:p w:rsidR="00560B98" w:rsidRPr="009C4D2A" w:rsidRDefault="00560B98" w:rsidP="00560B98">
      <w:pPr>
        <w:pStyle w:val="Majorheadingstyle"/>
      </w:pPr>
      <w:r w:rsidRPr="009C4D2A">
        <w:t>Division 2—Location</w:t>
      </w:r>
    </w:p>
    <w:p w:rsidR="00EE4EA3" w:rsidRPr="009C4D2A" w:rsidRDefault="00EE1197" w:rsidP="00391A4A">
      <w:pPr>
        <w:pStyle w:val="Minorheadingstyle"/>
      </w:pPr>
      <w:r w:rsidRPr="009C4D2A">
        <w:fldChar w:fldCharType="begin"/>
      </w:r>
      <w:r w:rsidR="00D16488" w:rsidRPr="009C4D2A">
        <w:instrText xml:space="preserve"> LISTNUM  LegalDefault \l 1 </w:instrText>
      </w:r>
      <w:r w:rsidRPr="009C4D2A">
        <w:fldChar w:fldCharType="end"/>
      </w:r>
      <w:r w:rsidR="00EE4EA3" w:rsidRPr="009C4D2A">
        <w:tab/>
      </w:r>
      <w:r w:rsidR="0015536E" w:rsidRPr="009C4D2A">
        <w:t>Location</w:t>
      </w:r>
    </w:p>
    <w:p w:rsidR="007743FD" w:rsidRPr="009C4D2A" w:rsidRDefault="0015536E" w:rsidP="003553A2">
      <w:pPr>
        <w:pStyle w:val="EStext"/>
      </w:pPr>
      <w:r w:rsidRPr="009C4D2A">
        <w:t>This section requires</w:t>
      </w:r>
      <w:r w:rsidR="007743FD" w:rsidRPr="009C4D2A">
        <w:t xml:space="preserve"> that the project ar</w:t>
      </w:r>
      <w:r w:rsidR="007248BD" w:rsidRPr="009C4D2A">
        <w:t xml:space="preserve">ea must be </w:t>
      </w:r>
      <w:r w:rsidRPr="009C4D2A">
        <w:t xml:space="preserve">located </w:t>
      </w:r>
      <w:r w:rsidR="007248BD" w:rsidRPr="009C4D2A">
        <w:t>in Australia</w:t>
      </w:r>
      <w:r w:rsidR="00560B98" w:rsidRPr="009C4D2A">
        <w:t>. The term ‘Australia’ is defined in the Act as</w:t>
      </w:r>
      <w:r w:rsidRPr="009C4D2A">
        <w:t xml:space="preserve"> including the external </w:t>
      </w:r>
      <w:r w:rsidR="00560B98" w:rsidRPr="009C4D2A">
        <w:t>Territories</w:t>
      </w:r>
      <w:r w:rsidR="00560C6D" w:rsidRPr="009C4D2A">
        <w:t>.</w:t>
      </w:r>
      <w:r w:rsidRPr="009C4D2A">
        <w:t xml:space="preserve"> </w:t>
      </w:r>
      <w:r w:rsidR="00560B98" w:rsidRPr="009C4D2A">
        <w:t xml:space="preserve">The term ‘external Territory’ is defined in the </w:t>
      </w:r>
      <w:r w:rsidR="00560B98" w:rsidRPr="009C4D2A">
        <w:rPr>
          <w:i/>
        </w:rPr>
        <w:t>Acts Interpretation Act 1901</w:t>
      </w:r>
      <w:r w:rsidR="00560B98" w:rsidRPr="009C4D2A">
        <w:t>.</w:t>
      </w:r>
    </w:p>
    <w:p w:rsidR="00E47802" w:rsidRPr="009C4D2A" w:rsidRDefault="00EE4EA3" w:rsidP="00A00994">
      <w:pPr>
        <w:pStyle w:val="EStext"/>
      </w:pPr>
      <w:r w:rsidRPr="009C4D2A">
        <w:t>‘Project area’ is defined in the Act</w:t>
      </w:r>
      <w:r w:rsidR="00AF6EE4" w:rsidRPr="009C4D2A">
        <w:t xml:space="preserve"> as</w:t>
      </w:r>
      <w:r w:rsidR="00E11A91" w:rsidRPr="009C4D2A">
        <w:t xml:space="preserve"> meaning</w:t>
      </w:r>
      <w:r w:rsidR="00AF6EE4" w:rsidRPr="009C4D2A">
        <w:t xml:space="preserve">, </w:t>
      </w:r>
      <w:r w:rsidR="00E11A91" w:rsidRPr="009C4D2A">
        <w:t>in relation</w:t>
      </w:r>
      <w:r w:rsidR="00087ADA" w:rsidRPr="009C4D2A">
        <w:t xml:space="preserve"> to</w:t>
      </w:r>
      <w:r w:rsidR="00E11A91" w:rsidRPr="009C4D2A">
        <w:t xml:space="preserve"> an area-based offsets project, </w:t>
      </w:r>
      <w:r w:rsidR="007743FD" w:rsidRPr="009C4D2A">
        <w:t xml:space="preserve">‘an area of land on which the project has been, is being, </w:t>
      </w:r>
      <w:r w:rsidR="00E37654" w:rsidRPr="009C4D2A">
        <w:t xml:space="preserve">or </w:t>
      </w:r>
      <w:r w:rsidR="007743FD" w:rsidRPr="009C4D2A">
        <w:t xml:space="preserve">is to be carried </w:t>
      </w:r>
      <w:r w:rsidR="0034066C" w:rsidRPr="009C4D2A">
        <w:t xml:space="preserve">out’. </w:t>
      </w:r>
    </w:p>
    <w:p w:rsidR="00360660" w:rsidRPr="009C4D2A" w:rsidRDefault="00EE1197" w:rsidP="00391A4A">
      <w:pPr>
        <w:pStyle w:val="Minorheadingstyle"/>
      </w:pPr>
      <w:r w:rsidRPr="009C4D2A">
        <w:fldChar w:fldCharType="begin"/>
      </w:r>
      <w:bookmarkStart w:id="7" w:name="_Ref409702919"/>
      <w:bookmarkEnd w:id="7"/>
      <w:r w:rsidR="00D16488" w:rsidRPr="009C4D2A">
        <w:instrText xml:space="preserve"> LISTNUM  LegalDefault \l 1 </w:instrText>
      </w:r>
      <w:r w:rsidRPr="009C4D2A">
        <w:fldChar w:fldCharType="end"/>
      </w:r>
      <w:r w:rsidR="00E81F82" w:rsidRPr="009C4D2A">
        <w:tab/>
        <w:t xml:space="preserve">Project area </w:t>
      </w:r>
      <w:r w:rsidR="00E11A91" w:rsidRPr="009C4D2A">
        <w:t xml:space="preserve">to include eligible </w:t>
      </w:r>
      <w:r w:rsidR="00E81F82" w:rsidRPr="009C4D2A">
        <w:t>native forest</w:t>
      </w:r>
    </w:p>
    <w:p w:rsidR="006306B1" w:rsidRPr="009C4D2A" w:rsidRDefault="00E81F82" w:rsidP="003553A2">
      <w:pPr>
        <w:pStyle w:val="EStext"/>
      </w:pPr>
      <w:r w:rsidRPr="009C4D2A">
        <w:t xml:space="preserve">Section </w:t>
      </w:r>
      <w:fldSimple w:instr=" REF _Ref409702919 \r  \* MERGEFORMAT ">
        <w:r w:rsidR="00B506B7" w:rsidRPr="009C4D2A">
          <w:t>10</w:t>
        </w:r>
      </w:fldSimple>
      <w:r w:rsidRPr="009C4D2A">
        <w:t xml:space="preserve"> provides that the project area must include </w:t>
      </w:r>
      <w:r w:rsidR="00E11A91" w:rsidRPr="009C4D2A">
        <w:t>‘</w:t>
      </w:r>
      <w:r w:rsidRPr="009C4D2A">
        <w:t>native forest</w:t>
      </w:r>
      <w:r w:rsidR="00E11A91" w:rsidRPr="009C4D2A">
        <w:t>’ that meets the requirements specified in that provision</w:t>
      </w:r>
      <w:r w:rsidR="003D6932" w:rsidRPr="009C4D2A">
        <w:t xml:space="preserve">. </w:t>
      </w:r>
      <w:r w:rsidR="006306B1" w:rsidRPr="009C4D2A">
        <w:t>‘Native forest’ is def</w:t>
      </w:r>
      <w:r w:rsidR="00023F72" w:rsidRPr="009C4D2A">
        <w:t>ined in</w:t>
      </w:r>
      <w:r w:rsidR="00AF6EE4" w:rsidRPr="009C4D2A">
        <w:t xml:space="preserve"> </w:t>
      </w:r>
      <w:r w:rsidR="00AA2387" w:rsidRPr="009C4D2A">
        <w:t xml:space="preserve">section </w:t>
      </w:r>
      <w:fldSimple w:instr=" REF _Ref409687035 \r  \* MERGEFORMAT ">
        <w:r w:rsidR="00B506B7" w:rsidRPr="009C4D2A">
          <w:t>5</w:t>
        </w:r>
      </w:fldSimple>
      <w:r w:rsidR="00AA2387" w:rsidRPr="009C4D2A">
        <w:t xml:space="preserve"> of the </w:t>
      </w:r>
      <w:r w:rsidR="00366F14" w:rsidRPr="009C4D2A">
        <w:t>Determination</w:t>
      </w:r>
      <w:r w:rsidR="00AA2387" w:rsidRPr="009C4D2A">
        <w:t>.</w:t>
      </w:r>
      <w:r w:rsidR="00E11A91" w:rsidRPr="009C4D2A">
        <w:t xml:space="preserve"> The requirements </w:t>
      </w:r>
      <w:r w:rsidR="006C3EDA" w:rsidRPr="009C4D2A">
        <w:t xml:space="preserve">of subsection (1) of this section </w:t>
      </w:r>
      <w:r w:rsidR="00E11A91" w:rsidRPr="009C4D2A">
        <w:t>are summarised below.</w:t>
      </w:r>
    </w:p>
    <w:p w:rsidR="0072432E" w:rsidRPr="009C4D2A" w:rsidRDefault="009D0F31" w:rsidP="003553A2">
      <w:pPr>
        <w:pStyle w:val="EStext"/>
      </w:pPr>
      <w:r w:rsidRPr="009C4D2A">
        <w:t>Paragraph (a)</w:t>
      </w:r>
      <w:r w:rsidR="00A96A3C" w:rsidRPr="009C4D2A">
        <w:t xml:space="preserve"> </w:t>
      </w:r>
      <w:r w:rsidR="00C27167" w:rsidRPr="009C4D2A">
        <w:t xml:space="preserve">provides that the native forest in the project area must have </w:t>
      </w:r>
      <w:r w:rsidR="00AA2387" w:rsidRPr="009C4D2A">
        <w:t>attained forest cove</w:t>
      </w:r>
      <w:r w:rsidR="00AF19D5" w:rsidRPr="009C4D2A">
        <w:t>r</w:t>
      </w:r>
      <w:r w:rsidR="007F2B50" w:rsidRPr="009C4D2A">
        <w:t xml:space="preserve"> at the time of the application under section 22 of the Act</w:t>
      </w:r>
      <w:r w:rsidR="00C27167" w:rsidRPr="009C4D2A">
        <w:t>.</w:t>
      </w:r>
      <w:r w:rsidR="00AA2387" w:rsidRPr="009C4D2A">
        <w:t xml:space="preserve"> Forest cover means an area of at least 0.2 </w:t>
      </w:r>
      <w:r w:rsidR="00770811" w:rsidRPr="009C4D2A">
        <w:t xml:space="preserve">of a </w:t>
      </w:r>
      <w:r w:rsidR="00AA2387" w:rsidRPr="009C4D2A">
        <w:t>hectare that has 20</w:t>
      </w:r>
      <w:r w:rsidR="00543313" w:rsidRPr="009C4D2A">
        <w:t xml:space="preserve"> per cent</w:t>
      </w:r>
      <w:r w:rsidR="00AA2387" w:rsidRPr="009C4D2A">
        <w:t xml:space="preserve"> or more canopy cover and trees greater than 2</w:t>
      </w:r>
      <w:r w:rsidR="009C4D2A">
        <w:t> </w:t>
      </w:r>
      <w:r w:rsidR="00AA2387" w:rsidRPr="009C4D2A">
        <w:t xml:space="preserve">metres in height. This differs from the definition of </w:t>
      </w:r>
      <w:r w:rsidR="00E11A91" w:rsidRPr="009C4D2A">
        <w:t>‘</w:t>
      </w:r>
      <w:r w:rsidR="00AA2387" w:rsidRPr="009C4D2A">
        <w:t>native forest</w:t>
      </w:r>
      <w:r w:rsidR="00E11A91" w:rsidRPr="009C4D2A">
        <w:t>’</w:t>
      </w:r>
      <w:r w:rsidR="00AA2387" w:rsidRPr="009C4D2A">
        <w:t xml:space="preserve">, which </w:t>
      </w:r>
      <w:r w:rsidR="00965050" w:rsidRPr="009C4D2A">
        <w:t>may be satisfied by trees with</w:t>
      </w:r>
      <w:r w:rsidR="00AA2387" w:rsidRPr="009C4D2A">
        <w:t xml:space="preserve"> the ‘potential’ to attain these qualities.</w:t>
      </w:r>
      <w:r w:rsidR="00941754" w:rsidRPr="009C4D2A">
        <w:t xml:space="preserve"> Unlike the original </w:t>
      </w:r>
      <w:r w:rsidR="00941754" w:rsidRPr="009C4D2A">
        <w:rPr>
          <w:i/>
        </w:rPr>
        <w:t xml:space="preserve">Avoided Deforestation </w:t>
      </w:r>
      <w:r w:rsidR="00941754" w:rsidRPr="009C4D2A">
        <w:t xml:space="preserve">method, the </w:t>
      </w:r>
      <w:r w:rsidR="001C3C9D" w:rsidRPr="009C4D2A">
        <w:t xml:space="preserve">project </w:t>
      </w:r>
      <w:r w:rsidR="00941754" w:rsidRPr="009C4D2A">
        <w:t>area does not have to</w:t>
      </w:r>
      <w:r w:rsidR="00087ADA" w:rsidRPr="009C4D2A">
        <w:t xml:space="preserve"> have</w:t>
      </w:r>
      <w:r w:rsidR="00941754" w:rsidRPr="009C4D2A">
        <w:t xml:space="preserve"> be</w:t>
      </w:r>
      <w:r w:rsidR="001C3C9D" w:rsidRPr="009C4D2A">
        <w:t>en</w:t>
      </w:r>
      <w:r w:rsidR="00941754" w:rsidRPr="009C4D2A">
        <w:t xml:space="preserve"> forest on 31 December 1989</w:t>
      </w:r>
      <w:r w:rsidR="00087ADA" w:rsidRPr="009C4D2A">
        <w:t xml:space="preserve"> or at all times between 1990 and project commencement</w:t>
      </w:r>
      <w:r w:rsidR="00941754" w:rsidRPr="009C4D2A">
        <w:t>.</w:t>
      </w:r>
    </w:p>
    <w:p w:rsidR="00023F72" w:rsidRPr="009C4D2A" w:rsidRDefault="00E81F82" w:rsidP="003553A2">
      <w:pPr>
        <w:pStyle w:val="EStext"/>
      </w:pPr>
      <w:r w:rsidRPr="009C4D2A">
        <w:t>Paragraph (</w:t>
      </w:r>
      <w:r w:rsidR="00AA2387" w:rsidRPr="009C4D2A">
        <w:t>b</w:t>
      </w:r>
      <w:r w:rsidRPr="009C4D2A">
        <w:t>)</w:t>
      </w:r>
      <w:r w:rsidR="004E5795" w:rsidRPr="009C4D2A">
        <w:t xml:space="preserve"> provides that </w:t>
      </w:r>
      <w:r w:rsidR="006C3EDA" w:rsidRPr="009C4D2A">
        <w:t xml:space="preserve">there must be a </w:t>
      </w:r>
      <w:r w:rsidR="004E5795" w:rsidRPr="009C4D2A">
        <w:t xml:space="preserve">clearing consent in </w:t>
      </w:r>
      <w:r w:rsidR="002F6809" w:rsidRPr="009C4D2A">
        <w:t>relation to the native forest</w:t>
      </w:r>
      <w:r w:rsidR="00690A98" w:rsidRPr="009C4D2A">
        <w:t xml:space="preserve"> which satisfies the requirements of that paragraph</w:t>
      </w:r>
      <w:r w:rsidR="002F6809" w:rsidRPr="009C4D2A">
        <w:t xml:space="preserve">. </w:t>
      </w:r>
      <w:r w:rsidR="006C3EDA" w:rsidRPr="009C4D2A">
        <w:t xml:space="preserve">The terms </w:t>
      </w:r>
      <w:r w:rsidR="004E5795" w:rsidRPr="009C4D2A">
        <w:t>‘</w:t>
      </w:r>
      <w:r w:rsidR="006C3EDA" w:rsidRPr="009C4D2A">
        <w:t>c</w:t>
      </w:r>
      <w:r w:rsidR="004E5795" w:rsidRPr="009C4D2A">
        <w:t>learing’ and ‘</w:t>
      </w:r>
      <w:r w:rsidR="006C3EDA" w:rsidRPr="009C4D2A">
        <w:t xml:space="preserve">clearing </w:t>
      </w:r>
      <w:r w:rsidR="004E5795" w:rsidRPr="009C4D2A">
        <w:t xml:space="preserve">consent’ are defined in </w:t>
      </w:r>
      <w:r w:rsidR="006C3EDA" w:rsidRPr="009C4D2A">
        <w:t>section </w:t>
      </w:r>
      <w:fldSimple w:instr=" REF _Ref409687035 \r  \* MERGEFORMAT ">
        <w:r w:rsidR="00B506B7" w:rsidRPr="009C4D2A">
          <w:t>5</w:t>
        </w:r>
      </w:fldSimple>
      <w:r w:rsidR="006C3EDA" w:rsidRPr="009C4D2A">
        <w:t xml:space="preserve"> of </w:t>
      </w:r>
      <w:r w:rsidR="004E5795" w:rsidRPr="009C4D2A">
        <w:t xml:space="preserve">the </w:t>
      </w:r>
      <w:r w:rsidR="00366F14" w:rsidRPr="009C4D2A">
        <w:t>Determination</w:t>
      </w:r>
      <w:r w:rsidR="004E5795" w:rsidRPr="009C4D2A">
        <w:t xml:space="preserve">. </w:t>
      </w:r>
      <w:r w:rsidR="00690A98" w:rsidRPr="009C4D2A">
        <w:t xml:space="preserve">The requirements of paragraph (b) are needed </w:t>
      </w:r>
      <w:r w:rsidR="00023F72" w:rsidRPr="009C4D2A">
        <w:t>because the</w:t>
      </w:r>
      <w:r w:rsidR="00AA2387" w:rsidRPr="009C4D2A">
        <w:t xml:space="preserve"> broad definition of</w:t>
      </w:r>
      <w:r w:rsidR="00023F72" w:rsidRPr="009C4D2A">
        <w:t xml:space="preserve"> ‘clearing’ </w:t>
      </w:r>
      <w:r w:rsidR="00690A98" w:rsidRPr="009C4D2A">
        <w:t xml:space="preserve">could otherwise capture </w:t>
      </w:r>
      <w:r w:rsidR="00023F72" w:rsidRPr="009C4D2A">
        <w:t xml:space="preserve">the conversion of native forest to settlements, and </w:t>
      </w:r>
      <w:r w:rsidR="00690A98" w:rsidRPr="009C4D2A">
        <w:t xml:space="preserve">the broad definition of </w:t>
      </w:r>
      <w:r w:rsidR="00023F72" w:rsidRPr="009C4D2A">
        <w:t>‘</w:t>
      </w:r>
      <w:r w:rsidR="00690A98" w:rsidRPr="009C4D2A">
        <w:t xml:space="preserve">clearing </w:t>
      </w:r>
      <w:r w:rsidR="00023F72" w:rsidRPr="009C4D2A">
        <w:t xml:space="preserve">consent’ </w:t>
      </w:r>
      <w:r w:rsidR="00690A98" w:rsidRPr="009C4D2A">
        <w:t xml:space="preserve">could otherwise </w:t>
      </w:r>
      <w:r w:rsidR="00690A98" w:rsidRPr="009C4D2A">
        <w:lastRenderedPageBreak/>
        <w:t xml:space="preserve">capture </w:t>
      </w:r>
      <w:r w:rsidR="00023F72" w:rsidRPr="009C4D2A">
        <w:t xml:space="preserve">approval to convert native forest to plantation, neither of which are permitted by the </w:t>
      </w:r>
      <w:r w:rsidR="00366F14" w:rsidRPr="009C4D2A">
        <w:t>Determination</w:t>
      </w:r>
      <w:r w:rsidR="00023F72" w:rsidRPr="009C4D2A">
        <w:t>.</w:t>
      </w:r>
    </w:p>
    <w:p w:rsidR="00690A98" w:rsidRPr="009C4D2A" w:rsidRDefault="00690A98" w:rsidP="003553A2">
      <w:pPr>
        <w:pStyle w:val="EStext"/>
      </w:pPr>
      <w:r w:rsidRPr="009C4D2A">
        <w:t>The requirements of paragraph (b) are discussed in more detail below.</w:t>
      </w:r>
    </w:p>
    <w:p w:rsidR="00E31456" w:rsidRPr="009C4D2A" w:rsidRDefault="00E81F82" w:rsidP="002833DE">
      <w:pPr>
        <w:pStyle w:val="bullet1"/>
        <w:rPr>
          <w:color w:val="auto"/>
        </w:rPr>
      </w:pPr>
      <w:r w:rsidRPr="009C4D2A">
        <w:rPr>
          <w:color w:val="auto"/>
        </w:rPr>
        <w:t xml:space="preserve">Subparagraph </w:t>
      </w:r>
      <w:r w:rsidR="00706E1A" w:rsidRPr="009C4D2A">
        <w:rPr>
          <w:color w:val="auto"/>
        </w:rPr>
        <w:t>(</w:t>
      </w:r>
      <w:r w:rsidRPr="009C4D2A">
        <w:rPr>
          <w:color w:val="auto"/>
        </w:rPr>
        <w:t>i</w:t>
      </w:r>
      <w:r w:rsidR="00706E1A" w:rsidRPr="009C4D2A">
        <w:rPr>
          <w:color w:val="auto"/>
        </w:rPr>
        <w:t>) provides that the clearing consent had to be issued before 1</w:t>
      </w:r>
      <w:r w:rsidR="009C4D2A">
        <w:rPr>
          <w:color w:val="auto"/>
        </w:rPr>
        <w:t> </w:t>
      </w:r>
      <w:r w:rsidR="00706E1A" w:rsidRPr="009C4D2A">
        <w:rPr>
          <w:color w:val="auto"/>
        </w:rPr>
        <w:t>Ju</w:t>
      </w:r>
      <w:r w:rsidR="002F6809" w:rsidRPr="009C4D2A">
        <w:rPr>
          <w:color w:val="auto"/>
        </w:rPr>
        <w:t>ly</w:t>
      </w:r>
      <w:r w:rsidR="009C4D2A">
        <w:rPr>
          <w:color w:val="auto"/>
        </w:rPr>
        <w:t> </w:t>
      </w:r>
      <w:r w:rsidR="002F6809" w:rsidRPr="009C4D2A">
        <w:rPr>
          <w:color w:val="auto"/>
        </w:rPr>
        <w:t xml:space="preserve">2010. </w:t>
      </w:r>
      <w:r w:rsidR="001F008A" w:rsidRPr="009C4D2A">
        <w:rPr>
          <w:color w:val="auto"/>
        </w:rPr>
        <w:t>This requirement</w:t>
      </w:r>
      <w:r w:rsidR="00706E1A" w:rsidRPr="009C4D2A">
        <w:rPr>
          <w:color w:val="auto"/>
        </w:rPr>
        <w:t xml:space="preserve"> protects the in</w:t>
      </w:r>
      <w:r w:rsidR="00341626" w:rsidRPr="009C4D2A">
        <w:rPr>
          <w:color w:val="auto"/>
        </w:rPr>
        <w:t xml:space="preserve">tegrity of the </w:t>
      </w:r>
      <w:r w:rsidR="00AA2387" w:rsidRPr="009C4D2A">
        <w:rPr>
          <w:color w:val="auto"/>
        </w:rPr>
        <w:t xml:space="preserve">additionality as permits issued </w:t>
      </w:r>
      <w:r w:rsidR="003D3ACC" w:rsidRPr="009C4D2A">
        <w:rPr>
          <w:color w:val="auto"/>
        </w:rPr>
        <w:t>after</w:t>
      </w:r>
      <w:r w:rsidR="00AA2387" w:rsidRPr="009C4D2A">
        <w:rPr>
          <w:color w:val="auto"/>
        </w:rPr>
        <w:t xml:space="preserve"> this date </w:t>
      </w:r>
      <w:r w:rsidR="003D3ACC" w:rsidRPr="009C4D2A">
        <w:rPr>
          <w:color w:val="auto"/>
        </w:rPr>
        <w:t xml:space="preserve">may </w:t>
      </w:r>
      <w:r w:rsidR="00AA2387" w:rsidRPr="009C4D2A">
        <w:rPr>
          <w:color w:val="auto"/>
        </w:rPr>
        <w:t xml:space="preserve">have been obtained by landholders with the sole intention to access revenue from carbon, rather than intending to clear land. </w:t>
      </w:r>
    </w:p>
    <w:p w:rsidR="00E31456" w:rsidRPr="009C4D2A" w:rsidRDefault="00B30FF2" w:rsidP="002833DE">
      <w:pPr>
        <w:pStyle w:val="bullet1"/>
        <w:rPr>
          <w:color w:val="auto"/>
        </w:rPr>
      </w:pPr>
      <w:r w:rsidRPr="009C4D2A">
        <w:rPr>
          <w:color w:val="auto"/>
        </w:rPr>
        <w:t>Subparagraph (ii) provides that at the time the project proponent applies to the Regulator for a project under section 22 of the Act, the clearing consent must be valid.</w:t>
      </w:r>
      <w:r w:rsidR="00F41DF6" w:rsidRPr="009C4D2A">
        <w:rPr>
          <w:color w:val="auto"/>
        </w:rPr>
        <w:t xml:space="preserve"> </w:t>
      </w:r>
    </w:p>
    <w:p w:rsidR="00E31456" w:rsidRPr="009C4D2A" w:rsidRDefault="00E81F82" w:rsidP="002833DE">
      <w:pPr>
        <w:pStyle w:val="bullet1"/>
        <w:rPr>
          <w:color w:val="auto"/>
        </w:rPr>
      </w:pPr>
      <w:r w:rsidRPr="009C4D2A">
        <w:rPr>
          <w:color w:val="auto"/>
        </w:rPr>
        <w:t>Subp</w:t>
      </w:r>
      <w:r w:rsidR="00706E1A" w:rsidRPr="009C4D2A">
        <w:rPr>
          <w:color w:val="auto"/>
        </w:rPr>
        <w:t>aragraph (</w:t>
      </w:r>
      <w:r w:rsidRPr="009C4D2A">
        <w:rPr>
          <w:color w:val="auto"/>
        </w:rPr>
        <w:t>i</w:t>
      </w:r>
      <w:r w:rsidR="00B30FF2" w:rsidRPr="009C4D2A">
        <w:rPr>
          <w:color w:val="auto"/>
        </w:rPr>
        <w:t>i</w:t>
      </w:r>
      <w:r w:rsidRPr="009C4D2A">
        <w:rPr>
          <w:color w:val="auto"/>
        </w:rPr>
        <w:t>i</w:t>
      </w:r>
      <w:r w:rsidR="00706E1A" w:rsidRPr="009C4D2A">
        <w:rPr>
          <w:color w:val="auto"/>
        </w:rPr>
        <w:t>) provides that the clearing consent must provide that clearing is permitted for the purpose of converting the native forest to cropland or grassland.</w:t>
      </w:r>
      <w:r w:rsidR="001E74AE" w:rsidRPr="009C4D2A">
        <w:rPr>
          <w:color w:val="auto"/>
        </w:rPr>
        <w:t xml:space="preserve"> </w:t>
      </w:r>
      <w:r w:rsidR="0012700C" w:rsidRPr="009C4D2A">
        <w:rPr>
          <w:color w:val="auto"/>
        </w:rPr>
        <w:t xml:space="preserve">The </w:t>
      </w:r>
      <w:r w:rsidR="00366F14" w:rsidRPr="009C4D2A">
        <w:rPr>
          <w:color w:val="auto"/>
        </w:rPr>
        <w:t>Determination</w:t>
      </w:r>
      <w:r w:rsidR="0012700C" w:rsidRPr="009C4D2A">
        <w:rPr>
          <w:color w:val="auto"/>
        </w:rPr>
        <w:t xml:space="preserve"> may be applied only to native forests that would </w:t>
      </w:r>
      <w:r w:rsidR="00690A98" w:rsidRPr="009C4D2A">
        <w:rPr>
          <w:color w:val="auto"/>
        </w:rPr>
        <w:t xml:space="preserve">otherwise </w:t>
      </w:r>
      <w:r w:rsidR="0012700C" w:rsidRPr="009C4D2A">
        <w:rPr>
          <w:color w:val="auto"/>
        </w:rPr>
        <w:t xml:space="preserve">be converted to cropland or grassland because other land uses could result in abatement which the calculations in the </w:t>
      </w:r>
      <w:r w:rsidR="00366F14" w:rsidRPr="009C4D2A">
        <w:rPr>
          <w:color w:val="auto"/>
        </w:rPr>
        <w:t>Determination</w:t>
      </w:r>
      <w:r w:rsidR="002F6809" w:rsidRPr="009C4D2A">
        <w:rPr>
          <w:color w:val="auto"/>
        </w:rPr>
        <w:t xml:space="preserve"> are not intended to capture. </w:t>
      </w:r>
      <w:r w:rsidR="0012700C" w:rsidRPr="009C4D2A">
        <w:rPr>
          <w:color w:val="auto"/>
        </w:rPr>
        <w:t>For example, a plantation on the proje</w:t>
      </w:r>
      <w:r w:rsidR="00341626" w:rsidRPr="009C4D2A">
        <w:rPr>
          <w:color w:val="auto"/>
        </w:rPr>
        <w:t xml:space="preserve">ct land in the </w:t>
      </w:r>
      <w:r w:rsidR="00085943" w:rsidRPr="009C4D2A">
        <w:rPr>
          <w:color w:val="auto"/>
        </w:rPr>
        <w:t>baseline</w:t>
      </w:r>
      <w:r w:rsidR="0012700C" w:rsidRPr="009C4D2A">
        <w:rPr>
          <w:color w:val="auto"/>
        </w:rPr>
        <w:t xml:space="preserve"> could sequester a significant amount of carbon, which would have to be subtracted from the abatement achieved </w:t>
      </w:r>
      <w:r w:rsidR="00AF6EE4" w:rsidRPr="009C4D2A">
        <w:rPr>
          <w:color w:val="auto"/>
        </w:rPr>
        <w:t xml:space="preserve">in </w:t>
      </w:r>
      <w:r w:rsidR="00341626" w:rsidRPr="009C4D2A">
        <w:rPr>
          <w:color w:val="auto"/>
        </w:rPr>
        <w:t>the project</w:t>
      </w:r>
      <w:r w:rsidR="002F6809" w:rsidRPr="009C4D2A">
        <w:rPr>
          <w:color w:val="auto"/>
        </w:rPr>
        <w:t xml:space="preserve">. </w:t>
      </w:r>
      <w:r w:rsidR="0012700C" w:rsidRPr="009C4D2A">
        <w:rPr>
          <w:color w:val="auto"/>
        </w:rPr>
        <w:t xml:space="preserve">However, the </w:t>
      </w:r>
      <w:r w:rsidR="00366F14" w:rsidRPr="009C4D2A">
        <w:rPr>
          <w:color w:val="auto"/>
        </w:rPr>
        <w:t>Determination</w:t>
      </w:r>
      <w:r w:rsidR="004637EA" w:rsidRPr="009C4D2A">
        <w:rPr>
          <w:color w:val="auto"/>
        </w:rPr>
        <w:t xml:space="preserve"> does not provide for</w:t>
      </w:r>
      <w:r w:rsidR="0079615B" w:rsidRPr="009C4D2A">
        <w:rPr>
          <w:color w:val="auto"/>
        </w:rPr>
        <w:t xml:space="preserve"> </w:t>
      </w:r>
      <w:r w:rsidR="004637EA" w:rsidRPr="009C4D2A">
        <w:rPr>
          <w:color w:val="auto"/>
        </w:rPr>
        <w:t xml:space="preserve">the </w:t>
      </w:r>
      <w:r w:rsidR="0012700C" w:rsidRPr="009C4D2A">
        <w:rPr>
          <w:color w:val="auto"/>
        </w:rPr>
        <w:t>calculation</w:t>
      </w:r>
      <w:r w:rsidR="004637EA" w:rsidRPr="009C4D2A">
        <w:rPr>
          <w:color w:val="auto"/>
        </w:rPr>
        <w:t xml:space="preserve"> of this kind of sequestration</w:t>
      </w:r>
      <w:r w:rsidR="0012700C" w:rsidRPr="009C4D2A">
        <w:rPr>
          <w:color w:val="auto"/>
        </w:rPr>
        <w:t xml:space="preserve"> and so would over-estimate the amount of abatement achieved i</w:t>
      </w:r>
      <w:r w:rsidR="00341626" w:rsidRPr="009C4D2A">
        <w:rPr>
          <w:color w:val="auto"/>
        </w:rPr>
        <w:t>n the project</w:t>
      </w:r>
      <w:r w:rsidR="002F6809" w:rsidRPr="009C4D2A">
        <w:rPr>
          <w:color w:val="auto"/>
        </w:rPr>
        <w:t xml:space="preserve">. </w:t>
      </w:r>
    </w:p>
    <w:p w:rsidR="00E31456" w:rsidRPr="009C4D2A" w:rsidRDefault="00B30FF2" w:rsidP="002833DE">
      <w:pPr>
        <w:pStyle w:val="bullet1"/>
        <w:rPr>
          <w:color w:val="auto"/>
        </w:rPr>
      </w:pPr>
      <w:r w:rsidRPr="009C4D2A">
        <w:rPr>
          <w:color w:val="auto"/>
        </w:rPr>
        <w:t>Subparagraph (iv</w:t>
      </w:r>
      <w:r w:rsidR="009C4D2A">
        <w:rPr>
          <w:color w:val="auto"/>
        </w:rPr>
        <w:t xml:space="preserve">) </w:t>
      </w:r>
      <w:r w:rsidR="00706E1A" w:rsidRPr="009C4D2A">
        <w:rPr>
          <w:color w:val="auto"/>
        </w:rPr>
        <w:t>provides that the clearing consent must not allow the conversion of the native forest to plantation or settlements.</w:t>
      </w:r>
    </w:p>
    <w:p w:rsidR="00E31456" w:rsidRPr="009C4D2A" w:rsidRDefault="00B30FF2" w:rsidP="002833DE">
      <w:pPr>
        <w:pStyle w:val="bullet1"/>
        <w:rPr>
          <w:color w:val="auto"/>
        </w:rPr>
      </w:pPr>
      <w:r w:rsidRPr="009C4D2A">
        <w:rPr>
          <w:color w:val="auto"/>
        </w:rPr>
        <w:t>Subparagraph (</w:t>
      </w:r>
      <w:r w:rsidR="007C43CD" w:rsidRPr="009C4D2A">
        <w:rPr>
          <w:color w:val="auto"/>
        </w:rPr>
        <w:t>v) provides that the clearing consent must specify that once</w:t>
      </w:r>
      <w:r w:rsidR="004637EA" w:rsidRPr="009C4D2A">
        <w:rPr>
          <w:color w:val="auto"/>
        </w:rPr>
        <w:t xml:space="preserve"> the native forest is converted to cropland or grassland, these land-uses must be maintained</w:t>
      </w:r>
      <w:r w:rsidR="00E81F82" w:rsidRPr="009C4D2A">
        <w:rPr>
          <w:color w:val="auto"/>
        </w:rPr>
        <w:t xml:space="preserve"> into the future</w:t>
      </w:r>
      <w:r w:rsidR="004637EA" w:rsidRPr="009C4D2A">
        <w:rPr>
          <w:color w:val="auto"/>
        </w:rPr>
        <w:t>.</w:t>
      </w:r>
      <w:r w:rsidR="002F6809" w:rsidRPr="009C4D2A">
        <w:rPr>
          <w:color w:val="auto"/>
        </w:rPr>
        <w:t xml:space="preserve"> </w:t>
      </w:r>
      <w:r w:rsidR="00E81F82" w:rsidRPr="009C4D2A">
        <w:rPr>
          <w:color w:val="auto"/>
        </w:rPr>
        <w:t xml:space="preserve">This </w:t>
      </w:r>
      <w:r w:rsidR="007E3E08" w:rsidRPr="009C4D2A">
        <w:rPr>
          <w:color w:val="auto"/>
        </w:rPr>
        <w:t>supports the</w:t>
      </w:r>
      <w:r w:rsidR="00E81F82" w:rsidRPr="009C4D2A">
        <w:rPr>
          <w:color w:val="auto"/>
        </w:rPr>
        <w:t xml:space="preserve"> assumption</w:t>
      </w:r>
      <w:r w:rsidR="0079615B" w:rsidRPr="009C4D2A">
        <w:rPr>
          <w:color w:val="auto"/>
        </w:rPr>
        <w:t xml:space="preserve"> </w:t>
      </w:r>
      <w:r w:rsidR="007E3E08" w:rsidRPr="009C4D2A">
        <w:rPr>
          <w:color w:val="auto"/>
        </w:rPr>
        <w:t>under the</w:t>
      </w:r>
      <w:r w:rsidR="00E81F82" w:rsidRPr="009C4D2A">
        <w:rPr>
          <w:color w:val="auto"/>
        </w:rPr>
        <w:t xml:space="preserve"> </w:t>
      </w:r>
      <w:r w:rsidR="00085943" w:rsidRPr="009C4D2A">
        <w:rPr>
          <w:color w:val="auto"/>
        </w:rPr>
        <w:t>baseline</w:t>
      </w:r>
      <w:r w:rsidR="007E3E08" w:rsidRPr="009C4D2A">
        <w:rPr>
          <w:color w:val="auto"/>
        </w:rPr>
        <w:t xml:space="preserve"> calculation</w:t>
      </w:r>
      <w:r w:rsidR="007C43CD" w:rsidRPr="009C4D2A">
        <w:rPr>
          <w:color w:val="auto"/>
        </w:rPr>
        <w:t xml:space="preserve"> that the native forest would not be permitted to regenerate</w:t>
      </w:r>
      <w:r w:rsidR="00E81F82" w:rsidRPr="009C4D2A">
        <w:rPr>
          <w:color w:val="auto"/>
        </w:rPr>
        <w:t>.</w:t>
      </w:r>
      <w:r w:rsidR="002F6809" w:rsidRPr="009C4D2A">
        <w:rPr>
          <w:color w:val="auto"/>
        </w:rPr>
        <w:t xml:space="preserve"> </w:t>
      </w:r>
      <w:r w:rsidR="004637EA" w:rsidRPr="009C4D2A">
        <w:rPr>
          <w:color w:val="auto"/>
        </w:rPr>
        <w:t>I</w:t>
      </w:r>
      <w:r w:rsidR="00E81F82" w:rsidRPr="009C4D2A">
        <w:rPr>
          <w:color w:val="auto"/>
        </w:rPr>
        <w:t xml:space="preserve">f </w:t>
      </w:r>
      <w:r w:rsidR="004637EA" w:rsidRPr="009C4D2A">
        <w:rPr>
          <w:color w:val="auto"/>
        </w:rPr>
        <w:t xml:space="preserve">other land-uses </w:t>
      </w:r>
      <w:r w:rsidR="007E3E08" w:rsidRPr="009C4D2A">
        <w:rPr>
          <w:color w:val="auto"/>
        </w:rPr>
        <w:t xml:space="preserve">which resulted in sequestration </w:t>
      </w:r>
      <w:r w:rsidR="00E81F82" w:rsidRPr="009C4D2A">
        <w:rPr>
          <w:color w:val="auto"/>
        </w:rPr>
        <w:t xml:space="preserve">were </w:t>
      </w:r>
      <w:r w:rsidR="004637EA" w:rsidRPr="009C4D2A">
        <w:rPr>
          <w:color w:val="auto"/>
        </w:rPr>
        <w:t>to occur in the future</w:t>
      </w:r>
      <w:r w:rsidR="006306B1" w:rsidRPr="009C4D2A">
        <w:rPr>
          <w:color w:val="auto"/>
        </w:rPr>
        <w:t>,</w:t>
      </w:r>
      <w:r w:rsidR="0079615B" w:rsidRPr="009C4D2A">
        <w:rPr>
          <w:color w:val="auto"/>
        </w:rPr>
        <w:t xml:space="preserve"> </w:t>
      </w:r>
      <w:r w:rsidR="007E3E08" w:rsidRPr="009C4D2A">
        <w:rPr>
          <w:color w:val="auto"/>
        </w:rPr>
        <w:t xml:space="preserve">they </w:t>
      </w:r>
      <w:r w:rsidR="00101974" w:rsidRPr="009C4D2A">
        <w:rPr>
          <w:color w:val="auto"/>
        </w:rPr>
        <w:t xml:space="preserve">would </w:t>
      </w:r>
      <w:r w:rsidR="007E3E08" w:rsidRPr="009C4D2A">
        <w:rPr>
          <w:color w:val="auto"/>
        </w:rPr>
        <w:t>require a different</w:t>
      </w:r>
      <w:r w:rsidR="0079615B" w:rsidRPr="009C4D2A">
        <w:rPr>
          <w:color w:val="auto"/>
        </w:rPr>
        <w:t xml:space="preserve"> </w:t>
      </w:r>
      <w:r w:rsidR="00085943" w:rsidRPr="009C4D2A">
        <w:rPr>
          <w:color w:val="auto"/>
        </w:rPr>
        <w:t>baseline</w:t>
      </w:r>
      <w:r w:rsidR="007E3E08" w:rsidRPr="009C4D2A">
        <w:rPr>
          <w:color w:val="auto"/>
        </w:rPr>
        <w:t xml:space="preserve"> calculation that reflected </w:t>
      </w:r>
      <w:r w:rsidR="00E81F82" w:rsidRPr="009C4D2A">
        <w:rPr>
          <w:color w:val="auto"/>
        </w:rPr>
        <w:t xml:space="preserve">increasing </w:t>
      </w:r>
      <w:r w:rsidR="00085943" w:rsidRPr="009C4D2A">
        <w:rPr>
          <w:color w:val="auto"/>
        </w:rPr>
        <w:t>baseline</w:t>
      </w:r>
      <w:r w:rsidR="00E81F82" w:rsidRPr="009C4D2A">
        <w:rPr>
          <w:color w:val="auto"/>
        </w:rPr>
        <w:t xml:space="preserve"> carbon stocks</w:t>
      </w:r>
      <w:r w:rsidR="006306B1" w:rsidRPr="009C4D2A">
        <w:rPr>
          <w:color w:val="auto"/>
        </w:rPr>
        <w:t>.</w:t>
      </w:r>
    </w:p>
    <w:p w:rsidR="00E31456" w:rsidRPr="009C4D2A" w:rsidRDefault="00AA2387" w:rsidP="002833DE">
      <w:pPr>
        <w:pStyle w:val="bullet1"/>
        <w:rPr>
          <w:color w:val="auto"/>
        </w:rPr>
      </w:pPr>
      <w:r w:rsidRPr="009C4D2A">
        <w:rPr>
          <w:color w:val="auto"/>
        </w:rPr>
        <w:t>Subparagraph (v</w:t>
      </w:r>
      <w:r w:rsidR="00B30FF2" w:rsidRPr="009C4D2A">
        <w:rPr>
          <w:color w:val="auto"/>
        </w:rPr>
        <w:t>i</w:t>
      </w:r>
      <w:r w:rsidRPr="009C4D2A">
        <w:rPr>
          <w:color w:val="auto"/>
        </w:rPr>
        <w:t xml:space="preserve">) provides that the clearing consent must not require an offset to mitigate any effect from the clearing. For example, </w:t>
      </w:r>
      <w:r w:rsidR="0029157A" w:rsidRPr="009C4D2A">
        <w:rPr>
          <w:color w:val="auto"/>
        </w:rPr>
        <w:t xml:space="preserve">the clearing consent </w:t>
      </w:r>
      <w:r w:rsidR="00BF1EE4" w:rsidRPr="009C4D2A">
        <w:rPr>
          <w:color w:val="auto"/>
        </w:rPr>
        <w:t xml:space="preserve">must not require </w:t>
      </w:r>
      <w:r w:rsidRPr="009C4D2A">
        <w:rPr>
          <w:color w:val="auto"/>
        </w:rPr>
        <w:t>that another area of forest be protected or restored</w:t>
      </w:r>
      <w:r w:rsidR="00492AD8" w:rsidRPr="009C4D2A">
        <w:rPr>
          <w:color w:val="auto"/>
        </w:rPr>
        <w:t xml:space="preserve"> as compensation for the forest that is cleared</w:t>
      </w:r>
      <w:r w:rsidRPr="009C4D2A">
        <w:rPr>
          <w:color w:val="auto"/>
        </w:rPr>
        <w:t>. This requirement is necessary as these offsets would also offset some of the emissions from the clearing event.</w:t>
      </w:r>
    </w:p>
    <w:p w:rsidR="00E81F82" w:rsidRPr="009C4D2A" w:rsidRDefault="007C43CD" w:rsidP="003553A2">
      <w:pPr>
        <w:pStyle w:val="EStext"/>
      </w:pPr>
      <w:r w:rsidRPr="009C4D2A">
        <w:t>Paragraph (</w:t>
      </w:r>
      <w:r w:rsidR="00AA2387" w:rsidRPr="009C4D2A">
        <w:t>c</w:t>
      </w:r>
      <w:r w:rsidR="00E81F82" w:rsidRPr="009C4D2A">
        <w:t xml:space="preserve">) has the effect that project proponents must not </w:t>
      </w:r>
      <w:r w:rsidRPr="009C4D2A">
        <w:t xml:space="preserve">have a licence or permit that enables them to </w:t>
      </w:r>
      <w:r w:rsidR="00E81F82" w:rsidRPr="009C4D2A">
        <w:t>remove wood from the native f</w:t>
      </w:r>
      <w:r w:rsidR="002F6809" w:rsidRPr="009C4D2A">
        <w:t xml:space="preserve">orest for commercial purposes. </w:t>
      </w:r>
      <w:r w:rsidR="00E81F82" w:rsidRPr="009C4D2A">
        <w:t xml:space="preserve">The carbon in such wood may be sequestered </w:t>
      </w:r>
      <w:r w:rsidR="008311F8" w:rsidRPr="009C4D2A">
        <w:t>in wood products for a considerable time</w:t>
      </w:r>
      <w:r w:rsidR="00E81F82" w:rsidRPr="009C4D2A">
        <w:t xml:space="preserve">, and this would affect the </w:t>
      </w:r>
      <w:r w:rsidR="008311F8" w:rsidRPr="009C4D2A">
        <w:t xml:space="preserve">accuracy of the </w:t>
      </w:r>
      <w:r w:rsidR="00085943" w:rsidRPr="009C4D2A">
        <w:t>baseline</w:t>
      </w:r>
      <w:r w:rsidR="008311F8" w:rsidRPr="009C4D2A">
        <w:t xml:space="preserve"> calculation which assumes that deforestation </w:t>
      </w:r>
      <w:r w:rsidR="00993B56" w:rsidRPr="009C4D2A">
        <w:t xml:space="preserve">would </w:t>
      </w:r>
      <w:r w:rsidR="008311F8" w:rsidRPr="009C4D2A">
        <w:t>cause that carbon to be emitted into the atmosphere as carbon dioxide</w:t>
      </w:r>
      <w:r w:rsidR="00E81F82" w:rsidRPr="009C4D2A">
        <w:t xml:space="preserve">. </w:t>
      </w:r>
    </w:p>
    <w:p w:rsidR="00BB53C9" w:rsidRPr="009C4D2A" w:rsidRDefault="006306B1" w:rsidP="003553A2">
      <w:pPr>
        <w:pStyle w:val="EStext"/>
      </w:pPr>
      <w:r w:rsidRPr="009C4D2A">
        <w:t>Paragraph (</w:t>
      </w:r>
      <w:r w:rsidR="00AA2387" w:rsidRPr="009C4D2A">
        <w:t>d</w:t>
      </w:r>
      <w:r w:rsidRPr="009C4D2A">
        <w:t>)</w:t>
      </w:r>
      <w:r w:rsidR="001F008A" w:rsidRPr="009C4D2A">
        <w:t xml:space="preserve"> provides that there must be no</w:t>
      </w:r>
      <w:r w:rsidRPr="009C4D2A">
        <w:t xml:space="preserve"> permit allowing the collection of fi</w:t>
      </w:r>
      <w:r w:rsidR="002F6809" w:rsidRPr="009C4D2A">
        <w:t xml:space="preserve">rewood from the native forest. </w:t>
      </w:r>
      <w:r w:rsidRPr="009C4D2A">
        <w:t xml:space="preserve">Permits are not required for the collection of firewood for personal use, which is permitted under the </w:t>
      </w:r>
      <w:r w:rsidR="00366F14" w:rsidRPr="009C4D2A">
        <w:t>Determination</w:t>
      </w:r>
      <w:r w:rsidRPr="009C4D2A">
        <w:t xml:space="preserve"> because of its immat</w:t>
      </w:r>
      <w:r w:rsidR="002F6809" w:rsidRPr="009C4D2A">
        <w:t xml:space="preserve">erial impact on carbon stocks. </w:t>
      </w:r>
      <w:r w:rsidRPr="009C4D2A">
        <w:t xml:space="preserve">However, a permit for the collection of firewood would indicate that the large-scale </w:t>
      </w:r>
      <w:r w:rsidRPr="009C4D2A">
        <w:lastRenderedPageBreak/>
        <w:t>collection of firewood is intended</w:t>
      </w:r>
      <w:r w:rsidR="00993B56" w:rsidRPr="009C4D2A">
        <w:t xml:space="preserve"> or possible</w:t>
      </w:r>
      <w:r w:rsidRPr="009C4D2A">
        <w:t xml:space="preserve">, and this is prohibited under the </w:t>
      </w:r>
      <w:r w:rsidR="00366F14" w:rsidRPr="009C4D2A">
        <w:t>Determination</w:t>
      </w:r>
      <w:r w:rsidRPr="009C4D2A">
        <w:t xml:space="preserve"> because </w:t>
      </w:r>
      <w:r w:rsidR="00993B56" w:rsidRPr="009C4D2A">
        <w:t>it would have a</w:t>
      </w:r>
      <w:r w:rsidRPr="009C4D2A">
        <w:t xml:space="preserve"> material effect on carbon stocks. </w:t>
      </w:r>
    </w:p>
    <w:p w:rsidR="00CE4C21" w:rsidRPr="009C4D2A" w:rsidRDefault="00CE4C21" w:rsidP="003553A2">
      <w:pPr>
        <w:pStyle w:val="EStext"/>
      </w:pPr>
      <w:r w:rsidRPr="009C4D2A">
        <w:t>Subsection (2) contains two definitions that are used throughout the Determination:</w:t>
      </w:r>
    </w:p>
    <w:p w:rsidR="00E31456" w:rsidRPr="009C4D2A" w:rsidRDefault="00CE4C21" w:rsidP="002833DE">
      <w:pPr>
        <w:pStyle w:val="bullet1"/>
        <w:rPr>
          <w:color w:val="auto"/>
        </w:rPr>
      </w:pPr>
      <w:r w:rsidRPr="009C4D2A">
        <w:rPr>
          <w:color w:val="auto"/>
        </w:rPr>
        <w:t>a native forest that satisfies the requirements of subsection (1) is known as an ‘eligible native forest’, and</w:t>
      </w:r>
    </w:p>
    <w:p w:rsidR="00E31456" w:rsidRPr="009C4D2A" w:rsidRDefault="00CE4C21" w:rsidP="002833DE">
      <w:pPr>
        <w:pStyle w:val="bullet1"/>
        <w:rPr>
          <w:color w:val="auto"/>
        </w:rPr>
      </w:pPr>
      <w:r w:rsidRPr="009C4D2A">
        <w:rPr>
          <w:color w:val="auto"/>
        </w:rPr>
        <w:t>a clearing consent that satisfies the requirements of subsection (1) is known as a ‘pre</w:t>
      </w:r>
      <w:r w:rsidR="00B85298">
        <w:rPr>
          <w:color w:val="auto"/>
        </w:rPr>
        <w:noBreakHyphen/>
      </w:r>
      <w:r w:rsidRPr="009C4D2A">
        <w:rPr>
          <w:color w:val="auto"/>
        </w:rPr>
        <w:t>existing clearing consent’.</w:t>
      </w:r>
    </w:p>
    <w:p w:rsidR="00E67083" w:rsidRPr="009C4D2A" w:rsidRDefault="00EE1197" w:rsidP="00391A4A">
      <w:pPr>
        <w:pStyle w:val="Minorheadingstyle"/>
      </w:pPr>
      <w:r w:rsidRPr="009C4D2A">
        <w:fldChar w:fldCharType="begin"/>
      </w:r>
      <w:bookmarkStart w:id="8" w:name="_Ref409703875"/>
      <w:bookmarkEnd w:id="8"/>
      <w:r w:rsidR="00D16488" w:rsidRPr="009C4D2A">
        <w:instrText xml:space="preserve"> LISTNUM  LegalDefault \l 1 </w:instrText>
      </w:r>
      <w:r w:rsidRPr="009C4D2A">
        <w:fldChar w:fldCharType="end"/>
      </w:r>
      <w:r w:rsidR="00E67083" w:rsidRPr="009C4D2A">
        <w:tab/>
        <w:t>Evidence</w:t>
      </w:r>
      <w:r w:rsidR="00665395" w:rsidRPr="009C4D2A">
        <w:t xml:space="preserve"> relating to </w:t>
      </w:r>
      <w:r w:rsidR="00CE4C21" w:rsidRPr="009C4D2A">
        <w:t>eligible</w:t>
      </w:r>
      <w:r w:rsidR="00665395" w:rsidRPr="009C4D2A">
        <w:t xml:space="preserve"> native forest</w:t>
      </w:r>
    </w:p>
    <w:p w:rsidR="00E67083" w:rsidRPr="009C4D2A" w:rsidRDefault="00E67083" w:rsidP="003553A2">
      <w:pPr>
        <w:pStyle w:val="EStext"/>
      </w:pPr>
      <w:r w:rsidRPr="009C4D2A">
        <w:t xml:space="preserve">Section </w:t>
      </w:r>
      <w:fldSimple w:instr=" REF _Ref409703875 \r  \* MERGEFORMAT ">
        <w:r w:rsidR="00B506B7" w:rsidRPr="009C4D2A">
          <w:t>11</w:t>
        </w:r>
      </w:fldSimple>
      <w:r w:rsidRPr="009C4D2A">
        <w:t xml:space="preserve"> lists the evidence that must be provided to the Regulator with an application under subsection 22(1)</w:t>
      </w:r>
      <w:r w:rsidR="00993B56" w:rsidRPr="009C4D2A">
        <w:t xml:space="preserve"> of the Act</w:t>
      </w:r>
      <w:r w:rsidRPr="009C4D2A">
        <w:t>.</w:t>
      </w:r>
      <w:r w:rsidR="002F6809" w:rsidRPr="009C4D2A">
        <w:t xml:space="preserve"> </w:t>
      </w:r>
      <w:r w:rsidR="001F008A" w:rsidRPr="009C4D2A">
        <w:t>The section does not operate to limit the evidence the Regulator may require from project proponents.</w:t>
      </w:r>
      <w:r w:rsidR="000B2BD7" w:rsidRPr="009C4D2A">
        <w:t xml:space="preserve"> </w:t>
      </w:r>
      <w:r w:rsidR="00F70BB1" w:rsidRPr="009C4D2A">
        <w:t xml:space="preserve"> For example, section </w:t>
      </w:r>
      <w:fldSimple w:instr=" REF _Ref409703875 \r  \* MERGEFORMAT ">
        <w:r w:rsidR="00B506B7" w:rsidRPr="009C4D2A">
          <w:t>11</w:t>
        </w:r>
      </w:fldSimple>
      <w:r w:rsidR="00F70BB1" w:rsidRPr="009C4D2A">
        <w:t xml:space="preserve"> does not affect subsection 24(1) of the Act, which provides that the Regulator may, by written notice given to an applicant, require the applicant to give the Regulator, within the period specified in the notice, further information in connection with the application.</w:t>
      </w:r>
    </w:p>
    <w:p w:rsidR="00E31456" w:rsidRPr="009C4D2A" w:rsidRDefault="00321C9B" w:rsidP="002833DE">
      <w:pPr>
        <w:pStyle w:val="Majorheadingstyle"/>
      </w:pPr>
      <w:r w:rsidRPr="009C4D2A">
        <w:t>Division 3—Requirements relating to project mechanism</w:t>
      </w:r>
    </w:p>
    <w:p w:rsidR="00E67083" w:rsidRPr="009C4D2A" w:rsidRDefault="00EE1197" w:rsidP="00391A4A">
      <w:pPr>
        <w:pStyle w:val="Minorheadingstyle"/>
      </w:pPr>
      <w:r w:rsidRPr="009C4D2A">
        <w:fldChar w:fldCharType="begin"/>
      </w:r>
      <w:bookmarkStart w:id="9" w:name="_Ref409710642"/>
      <w:bookmarkEnd w:id="9"/>
      <w:r w:rsidR="00D16488" w:rsidRPr="009C4D2A">
        <w:instrText xml:space="preserve"> LISTNUM  LegalDefault \l 1 </w:instrText>
      </w:r>
      <w:r w:rsidRPr="009C4D2A">
        <w:fldChar w:fldCharType="end"/>
      </w:r>
      <w:r w:rsidR="005F4A5F" w:rsidRPr="009C4D2A">
        <w:tab/>
        <w:t>Project mechanism</w:t>
      </w:r>
    </w:p>
    <w:p w:rsidR="004260F1" w:rsidRPr="009C4D2A" w:rsidRDefault="0098060C" w:rsidP="003553A2">
      <w:pPr>
        <w:pStyle w:val="EStext"/>
      </w:pPr>
      <w:r w:rsidRPr="009C4D2A">
        <w:t xml:space="preserve">Section </w:t>
      </w:r>
      <w:fldSimple w:instr=" REF _Ref409710642 \r  \* MERGEFORMAT ">
        <w:r w:rsidR="00B506B7" w:rsidRPr="009C4D2A">
          <w:t>12</w:t>
        </w:r>
      </w:fldSimple>
      <w:r w:rsidR="00665395" w:rsidRPr="009C4D2A">
        <w:t xml:space="preserve"> specifies the project mechanism. </w:t>
      </w:r>
      <w:r w:rsidR="007F2B50" w:rsidRPr="009C4D2A">
        <w:t>The specification of the project mechanism presupposes that the project area has been ‘stratified’.</w:t>
      </w:r>
    </w:p>
    <w:p w:rsidR="00665395" w:rsidRPr="009C4D2A" w:rsidRDefault="004260F1" w:rsidP="003553A2">
      <w:pPr>
        <w:pStyle w:val="EStext"/>
      </w:pPr>
      <w:r w:rsidRPr="009C4D2A">
        <w:t>Section </w:t>
      </w:r>
      <w:fldSimple w:instr=" REF _Ref409710799 \r  \* MERGEFORMAT ">
        <w:r w:rsidR="00B506B7" w:rsidRPr="009C4D2A">
          <w:t>24</w:t>
        </w:r>
      </w:fldSimple>
      <w:r w:rsidRPr="009C4D2A">
        <w:t xml:space="preserve"> requires </w:t>
      </w:r>
      <w:r w:rsidR="007F2B50" w:rsidRPr="009C4D2A">
        <w:t>division</w:t>
      </w:r>
      <w:r w:rsidRPr="009C4D2A">
        <w:t xml:space="preserve"> of the project area into strata, </w:t>
      </w:r>
      <w:r w:rsidR="007F2B50" w:rsidRPr="009C4D2A">
        <w:t xml:space="preserve">each of which is a </w:t>
      </w:r>
      <w:r w:rsidRPr="009C4D2A">
        <w:t xml:space="preserve">‘carbon estimation area’, </w:t>
      </w:r>
      <w:r w:rsidR="007F2B50" w:rsidRPr="009C4D2A">
        <w:t>a ‘clearing buffer</w:t>
      </w:r>
      <w:r w:rsidRPr="009C4D2A">
        <w:t xml:space="preserve">’ </w:t>
      </w:r>
      <w:r w:rsidR="007F2B50" w:rsidRPr="009C4D2A">
        <w:t>or an ‘exclusion area</w:t>
      </w:r>
      <w:r w:rsidRPr="009C4D2A">
        <w:t xml:space="preserve">’. Under the project mechanism, subsection (1) of section </w:t>
      </w:r>
      <w:fldSimple w:instr=" REF _Ref409710642 \r  \* MERGEFORMAT ">
        <w:r w:rsidR="00B506B7" w:rsidRPr="009C4D2A">
          <w:t>12</w:t>
        </w:r>
      </w:fldSimple>
      <w:r w:rsidR="007F2B50" w:rsidRPr="009C4D2A">
        <w:t xml:space="preserve"> </w:t>
      </w:r>
      <w:r w:rsidRPr="009C4D2A">
        <w:t xml:space="preserve">requires the </w:t>
      </w:r>
      <w:r w:rsidR="00665395" w:rsidRPr="009C4D2A">
        <w:t xml:space="preserve">project </w:t>
      </w:r>
      <w:r w:rsidRPr="009C4D2A">
        <w:t xml:space="preserve">to protect eligible native forest that is </w:t>
      </w:r>
      <w:r w:rsidR="009769F0" w:rsidRPr="009C4D2A">
        <w:t xml:space="preserve">in </w:t>
      </w:r>
      <w:r w:rsidR="003B62C7" w:rsidRPr="009C4D2A">
        <w:t>a</w:t>
      </w:r>
      <w:r w:rsidRPr="009C4D2A">
        <w:t xml:space="preserve"> </w:t>
      </w:r>
      <w:r w:rsidR="00321C9B" w:rsidRPr="009C4D2A">
        <w:t>carbon estimation area</w:t>
      </w:r>
      <w:r w:rsidRPr="009C4D2A">
        <w:t xml:space="preserve"> or a </w:t>
      </w:r>
      <w:r w:rsidR="00665395" w:rsidRPr="009C4D2A">
        <w:t>clearing buffer</w:t>
      </w:r>
      <w:r w:rsidRPr="009C4D2A">
        <w:t>. Native forest in those areas is known as a ‘project native forest’.</w:t>
      </w:r>
      <w:r w:rsidR="00665395" w:rsidRPr="009C4D2A">
        <w:t xml:space="preserve"> </w:t>
      </w:r>
      <w:r w:rsidRPr="009C4D2A">
        <w:t xml:space="preserve">The project mechanism does </w:t>
      </w:r>
      <w:r w:rsidR="00665395" w:rsidRPr="009C4D2A">
        <w:t xml:space="preserve">not </w:t>
      </w:r>
      <w:r w:rsidR="00E70D1E" w:rsidRPr="009C4D2A">
        <w:t xml:space="preserve">require protection of native forest in </w:t>
      </w:r>
      <w:r w:rsidR="00665395" w:rsidRPr="009C4D2A">
        <w:t>exclusion areas.</w:t>
      </w:r>
    </w:p>
    <w:p w:rsidR="0098060C" w:rsidRPr="009C4D2A" w:rsidRDefault="0098060C" w:rsidP="003553A2">
      <w:pPr>
        <w:pStyle w:val="EStext"/>
      </w:pPr>
      <w:r w:rsidRPr="009C4D2A">
        <w:t xml:space="preserve">Paragraph </w:t>
      </w:r>
      <w:r w:rsidR="009C4D2A">
        <w:t>12(</w:t>
      </w:r>
      <w:r w:rsidRPr="009C4D2A">
        <w:t>2</w:t>
      </w:r>
      <w:r w:rsidR="009C4D2A">
        <w:t>)</w:t>
      </w:r>
      <w:r w:rsidRPr="009C4D2A">
        <w:t xml:space="preserve">(a) provides that the </w:t>
      </w:r>
      <w:r w:rsidR="00E70D1E" w:rsidRPr="009C4D2A">
        <w:t xml:space="preserve">project must be one in which the </w:t>
      </w:r>
      <w:r w:rsidRPr="009C4D2A">
        <w:t>project native forest</w:t>
      </w:r>
      <w:r w:rsidR="00E70D1E" w:rsidRPr="009C4D2A">
        <w:t xml:space="preserve"> is not cleared</w:t>
      </w:r>
      <w:r w:rsidRPr="009C4D2A">
        <w:t>.</w:t>
      </w:r>
    </w:p>
    <w:p w:rsidR="00F06554" w:rsidRPr="009C4D2A" w:rsidRDefault="005F4A5F" w:rsidP="003553A2">
      <w:pPr>
        <w:pStyle w:val="EStext"/>
      </w:pPr>
      <w:r w:rsidRPr="009C4D2A">
        <w:t xml:space="preserve">Paragraph </w:t>
      </w:r>
      <w:r w:rsidR="009C4D2A">
        <w:t>1</w:t>
      </w:r>
      <w:r w:rsidRPr="009C4D2A">
        <w:t>2</w:t>
      </w:r>
      <w:r w:rsidR="009C4D2A">
        <w:t>(2)</w:t>
      </w:r>
      <w:r w:rsidRPr="009C4D2A">
        <w:t xml:space="preserve">(b) provides that the project </w:t>
      </w:r>
      <w:r w:rsidR="00E70D1E" w:rsidRPr="009C4D2A">
        <w:t xml:space="preserve">must be one in which </w:t>
      </w:r>
      <w:r w:rsidRPr="009C4D2A">
        <w:t xml:space="preserve">the </w:t>
      </w:r>
      <w:r w:rsidR="004260F1" w:rsidRPr="009C4D2A">
        <w:t xml:space="preserve">project </w:t>
      </w:r>
      <w:r w:rsidRPr="009C4D2A">
        <w:t xml:space="preserve">native forest </w:t>
      </w:r>
      <w:r w:rsidR="00E70D1E" w:rsidRPr="009C4D2A">
        <w:t xml:space="preserve">is managed </w:t>
      </w:r>
      <w:r w:rsidRPr="009C4D2A">
        <w:t xml:space="preserve">in order to achieve a mix of trees, </w:t>
      </w:r>
      <w:r w:rsidR="002F6809" w:rsidRPr="009C4D2A">
        <w:t>shrubs and understory species</w:t>
      </w:r>
      <w:r w:rsidR="00E70D1E" w:rsidRPr="009C4D2A">
        <w:t xml:space="preserve"> that reflects the structures described in subparagraphs (b)(i) and (ii)</w:t>
      </w:r>
      <w:r w:rsidR="002F6809" w:rsidRPr="009C4D2A">
        <w:t xml:space="preserve">. </w:t>
      </w:r>
      <w:r w:rsidRPr="009C4D2A">
        <w:t xml:space="preserve">This provision ensures that </w:t>
      </w:r>
      <w:r w:rsidR="00067429" w:rsidRPr="009C4D2A">
        <w:t xml:space="preserve">native forests are not simply ‘locked away’ but rather are managed </w:t>
      </w:r>
      <w:r w:rsidRPr="009C4D2A">
        <w:t>responsibly. It e</w:t>
      </w:r>
      <w:r w:rsidR="00341626" w:rsidRPr="009C4D2A">
        <w:t>nsures that the project</w:t>
      </w:r>
      <w:r w:rsidRPr="009C4D2A">
        <w:t xml:space="preserve"> does not result in perverse or unintended environmental effects.</w:t>
      </w:r>
    </w:p>
    <w:p w:rsidR="00627F95" w:rsidRPr="009C4D2A" w:rsidRDefault="00627F95" w:rsidP="00627F95">
      <w:pPr>
        <w:pStyle w:val="Majorheadingstyle"/>
        <w:rPr>
          <w:rFonts w:eastAsia="Calibri"/>
          <w:lang w:eastAsia="en-US"/>
        </w:rPr>
      </w:pPr>
      <w:r w:rsidRPr="009C4D2A">
        <w:rPr>
          <w:rFonts w:eastAsia="Calibri"/>
          <w:lang w:eastAsia="en-US"/>
        </w:rPr>
        <w:t>Division 4</w:t>
      </w:r>
      <w:r w:rsidRPr="009C4D2A">
        <w:rPr>
          <w:rFonts w:eastAsia="Calibri"/>
          <w:lang w:eastAsia="en-US"/>
        </w:rPr>
        <w:tab/>
        <w:t>Restrictions on activities</w:t>
      </w:r>
    </w:p>
    <w:p w:rsidR="00627F95" w:rsidRPr="009C4D2A" w:rsidRDefault="00EE1197" w:rsidP="00627F95">
      <w:pPr>
        <w:pStyle w:val="Minorheadingstyle"/>
      </w:pPr>
      <w:r w:rsidRPr="009C4D2A">
        <w:fldChar w:fldCharType="begin"/>
      </w:r>
      <w:bookmarkStart w:id="10" w:name="_Ref409711349"/>
      <w:bookmarkEnd w:id="10"/>
      <w:r w:rsidR="00627F95" w:rsidRPr="009C4D2A">
        <w:instrText xml:space="preserve"> LISTNUM  LegalDefault \l 1 </w:instrText>
      </w:r>
      <w:r w:rsidRPr="009C4D2A">
        <w:fldChar w:fldCharType="end"/>
      </w:r>
      <w:r w:rsidR="00627F95" w:rsidRPr="009C4D2A">
        <w:tab/>
        <w:t>No commercial harvesting</w:t>
      </w:r>
    </w:p>
    <w:p w:rsidR="00627F95" w:rsidRPr="009C4D2A" w:rsidRDefault="00627F95" w:rsidP="00627F95">
      <w:pPr>
        <w:pStyle w:val="EStext"/>
      </w:pPr>
      <w:r w:rsidRPr="009C4D2A">
        <w:t xml:space="preserve">Section </w:t>
      </w:r>
      <w:fldSimple w:instr=" REF _Ref409711349 \r  \* MERGEFORMAT ">
        <w:r w:rsidR="00B506B7" w:rsidRPr="009C4D2A">
          <w:t>13</w:t>
        </w:r>
      </w:fldSimple>
      <w:r w:rsidRPr="009C4D2A">
        <w:t xml:space="preserve"> provides that the project must be one in which biomass is not removed from a carbon estimation area o</w:t>
      </w:r>
      <w:r w:rsidR="00087ADA" w:rsidRPr="009C4D2A">
        <w:t>r</w:t>
      </w:r>
      <w:r w:rsidRPr="009C4D2A">
        <w:t xml:space="preserve"> clearing buffer for commercial purposes. For example, selling timber from these areas of the eligible native forest is prohibited. Permitting the removal of </w:t>
      </w:r>
      <w:r w:rsidRPr="009C4D2A">
        <w:lastRenderedPageBreak/>
        <w:t xml:space="preserve">biomass for commercial purposes would likely have a material impact on carbon stocks for the project which are not accounted for under the </w:t>
      </w:r>
      <w:r w:rsidR="0010747D" w:rsidRPr="009C4D2A">
        <w:t>Determination</w:t>
      </w:r>
      <w:r w:rsidRPr="009C4D2A">
        <w:t>.</w:t>
      </w:r>
    </w:p>
    <w:p w:rsidR="00627F95" w:rsidRPr="009C4D2A" w:rsidRDefault="00EE1197" w:rsidP="00627F95">
      <w:pPr>
        <w:pStyle w:val="Minorheadingstyle"/>
      </w:pPr>
      <w:r w:rsidRPr="009C4D2A">
        <w:fldChar w:fldCharType="begin"/>
      </w:r>
      <w:bookmarkStart w:id="11" w:name="_Ref409711469"/>
      <w:bookmarkEnd w:id="11"/>
      <w:r w:rsidR="00627F95" w:rsidRPr="009C4D2A">
        <w:instrText xml:space="preserve"> LISTNUM  LegalDefault \l 1 </w:instrText>
      </w:r>
      <w:r w:rsidRPr="009C4D2A">
        <w:fldChar w:fldCharType="end"/>
      </w:r>
      <w:r w:rsidR="00627F95" w:rsidRPr="009C4D2A">
        <w:tab/>
        <w:t>Wood for personal use, fencing and thinning</w:t>
      </w:r>
    </w:p>
    <w:p w:rsidR="00627F95" w:rsidRPr="009C4D2A" w:rsidRDefault="00627F95" w:rsidP="00627F95">
      <w:pPr>
        <w:pStyle w:val="EStext"/>
      </w:pPr>
      <w:r w:rsidRPr="009C4D2A">
        <w:t xml:space="preserve">Section </w:t>
      </w:r>
      <w:fldSimple w:instr=" REF _Ref409711469 \r  \* MERGEFORMAT ">
        <w:r w:rsidR="00B506B7" w:rsidRPr="009C4D2A">
          <w:t>14</w:t>
        </w:r>
      </w:fldSimple>
      <w:r w:rsidRPr="009C4D2A">
        <w:t xml:space="preserve"> applies only in respect of carbon estimation areas and clearing buffers. The </w:t>
      </w:r>
      <w:r w:rsidR="0010747D" w:rsidRPr="009C4D2A">
        <w:t>Determination</w:t>
      </w:r>
      <w:r w:rsidRPr="009C4D2A">
        <w:t xml:space="preserve"> does not seek to restrict the activities project proponents can undertake in exclusion areas.</w:t>
      </w:r>
    </w:p>
    <w:p w:rsidR="00627F95" w:rsidRPr="009C4D2A" w:rsidRDefault="00627F95" w:rsidP="00627F95">
      <w:pPr>
        <w:pStyle w:val="EStext"/>
      </w:pPr>
      <w:r w:rsidRPr="009C4D2A">
        <w:t>Paragraph (a) provide</w:t>
      </w:r>
      <w:r w:rsidR="00D37397" w:rsidRPr="009C4D2A">
        <w:t>s</w:t>
      </w:r>
      <w:r w:rsidRPr="009C4D2A">
        <w:t xml:space="preserve"> that </w:t>
      </w:r>
      <w:r w:rsidR="002833DE" w:rsidRPr="009C4D2A">
        <w:t xml:space="preserve">the project must be one in which, if </w:t>
      </w:r>
      <w:r w:rsidRPr="009C4D2A">
        <w:t xml:space="preserve">wood </w:t>
      </w:r>
      <w:r w:rsidR="002833DE" w:rsidRPr="009C4D2A">
        <w:t xml:space="preserve">is removed </w:t>
      </w:r>
      <w:r w:rsidRPr="009C4D2A">
        <w:t xml:space="preserve">for personal use or </w:t>
      </w:r>
      <w:r w:rsidR="002833DE" w:rsidRPr="009C4D2A">
        <w:t xml:space="preserve">for the purpose of erecting or repairing fences, </w:t>
      </w:r>
      <w:r w:rsidRPr="009C4D2A">
        <w:t>no more than 5</w:t>
      </w:r>
      <w:r w:rsidR="00543313" w:rsidRPr="009C4D2A">
        <w:t xml:space="preserve"> per cent</w:t>
      </w:r>
      <w:r w:rsidRPr="009C4D2A">
        <w:t xml:space="preserve"> of carbon stocks from the </w:t>
      </w:r>
      <w:r w:rsidR="00D37397" w:rsidRPr="009C4D2A">
        <w:t xml:space="preserve">carbon estimation area </w:t>
      </w:r>
      <w:r w:rsidRPr="009C4D2A">
        <w:t>or clearing buffer are removed. These activities are permitted because it is assumed that their effect on project carbon stocks is immaterial.</w:t>
      </w:r>
    </w:p>
    <w:p w:rsidR="00627F95" w:rsidRPr="009C4D2A" w:rsidRDefault="00627F95" w:rsidP="00627F95">
      <w:pPr>
        <w:pStyle w:val="EStext"/>
      </w:pPr>
      <w:r w:rsidRPr="009C4D2A">
        <w:t>Paragraph (</w:t>
      </w:r>
      <w:r w:rsidR="00D37397" w:rsidRPr="009C4D2A">
        <w:t>b</w:t>
      </w:r>
      <w:r w:rsidRPr="009C4D2A">
        <w:t xml:space="preserve">) provides that </w:t>
      </w:r>
      <w:r w:rsidR="002833DE" w:rsidRPr="009C4D2A">
        <w:t>the project must be one in which, if trees are thinned for the purpose of promoting biodiversi</w:t>
      </w:r>
      <w:r w:rsidR="00342E43">
        <w:t xml:space="preserve">ty or enhancing carbon stocks, </w:t>
      </w:r>
      <w:r w:rsidR="002833DE" w:rsidRPr="009C4D2A">
        <w:t>95</w:t>
      </w:r>
      <w:r w:rsidR="00543313" w:rsidRPr="009C4D2A">
        <w:t xml:space="preserve"> per cent</w:t>
      </w:r>
      <w:r w:rsidR="002833DE" w:rsidRPr="009C4D2A">
        <w:t xml:space="preserve"> of the biomass thinned remains within the carbon estimation area or clearing buffer in which it was thinned</w:t>
      </w:r>
      <w:r w:rsidRPr="009C4D2A">
        <w:t>. Although it constitutes the short-term loss of living biomass, thinning may lead to the enhancement of carbon stocks in the project area by promoting vegetation growth. Thinning may also result in greater biodiversity in the project area, a desirable environmental outcome.</w:t>
      </w:r>
    </w:p>
    <w:p w:rsidR="00627F95" w:rsidRPr="009C4D2A" w:rsidRDefault="00342E43" w:rsidP="00627F95">
      <w:pPr>
        <w:pStyle w:val="EStext"/>
      </w:pPr>
      <w:r>
        <w:t xml:space="preserve">The </w:t>
      </w:r>
      <w:r w:rsidR="00627F95" w:rsidRPr="009C4D2A">
        <w:t xml:space="preserve">definition of ‘thinning’ in the </w:t>
      </w:r>
      <w:r w:rsidR="0010747D" w:rsidRPr="009C4D2A">
        <w:t>Determination</w:t>
      </w:r>
      <w:r w:rsidR="00627F95" w:rsidRPr="009C4D2A">
        <w:t xml:space="preserve"> makes it clear that thinning must not amount to clearing, and that project proponents must not thin the native forest to the extent that thinning results in a reduction of estimated abatement below that which has already been credited under the </w:t>
      </w:r>
      <w:r w:rsidR="0010747D" w:rsidRPr="009C4D2A">
        <w:t>Determination</w:t>
      </w:r>
      <w:r w:rsidR="00627F95" w:rsidRPr="009C4D2A">
        <w:t>.</w:t>
      </w:r>
    </w:p>
    <w:p w:rsidR="006C7938" w:rsidRPr="009C4D2A" w:rsidRDefault="00D37397">
      <w:pPr>
        <w:pStyle w:val="Majorheadingstyle"/>
      </w:pPr>
      <w:r w:rsidRPr="009C4D2A">
        <w:t>Division 5—Other requirements</w:t>
      </w:r>
    </w:p>
    <w:p w:rsidR="00F06554" w:rsidRPr="009C4D2A" w:rsidRDefault="00EE1197" w:rsidP="00391A4A">
      <w:pPr>
        <w:pStyle w:val="Minorheadingstyle"/>
      </w:pPr>
      <w:r w:rsidRPr="009C4D2A">
        <w:fldChar w:fldCharType="begin"/>
      </w:r>
      <w:bookmarkStart w:id="12" w:name="_Ref409711642"/>
      <w:bookmarkEnd w:id="12"/>
      <w:r w:rsidR="00D16488" w:rsidRPr="009C4D2A">
        <w:instrText xml:space="preserve"> LISTNUM  LegalDefault \l 1 </w:instrText>
      </w:r>
      <w:r w:rsidRPr="009C4D2A">
        <w:fldChar w:fldCharType="end"/>
      </w:r>
      <w:r w:rsidR="00F06554" w:rsidRPr="009C4D2A">
        <w:tab/>
      </w:r>
      <w:r w:rsidR="00AA2387" w:rsidRPr="009C4D2A">
        <w:t>R</w:t>
      </w:r>
      <w:r w:rsidR="00D37397" w:rsidRPr="009C4D2A">
        <w:t>equirement in lieu of r</w:t>
      </w:r>
      <w:r w:rsidR="00AA2387" w:rsidRPr="009C4D2A">
        <w:t>egulatory additionality</w:t>
      </w:r>
    </w:p>
    <w:p w:rsidR="00AA2387" w:rsidRPr="009C4D2A" w:rsidRDefault="00AA2387" w:rsidP="003553A2">
      <w:pPr>
        <w:pStyle w:val="EStext"/>
      </w:pPr>
      <w:r w:rsidRPr="009C4D2A">
        <w:t xml:space="preserve">Section </w:t>
      </w:r>
      <w:fldSimple w:instr=" REF _Ref409711642 \r  \* MERGEFORMAT ">
        <w:r w:rsidR="00B506B7" w:rsidRPr="009C4D2A">
          <w:t>15</w:t>
        </w:r>
      </w:fldSimple>
      <w:r w:rsidR="00276030" w:rsidRPr="009C4D2A">
        <w:t xml:space="preserve"> </w:t>
      </w:r>
      <w:r w:rsidR="001A4B97" w:rsidRPr="009C4D2A">
        <w:t xml:space="preserve">specifies a requirement in lieu of the </w:t>
      </w:r>
      <w:r w:rsidRPr="009C4D2A">
        <w:t xml:space="preserve">regulatory additionality </w:t>
      </w:r>
      <w:r w:rsidR="001A4B97" w:rsidRPr="009C4D2A">
        <w:t>requirement</w:t>
      </w:r>
      <w:r w:rsidR="00F27A62" w:rsidRPr="009C4D2A">
        <w:t xml:space="preserve"> specified in the Act, for the purposes of s</w:t>
      </w:r>
      <w:r w:rsidRPr="009C4D2A">
        <w:t xml:space="preserve">ubparagraph 27(4A)(b)(ii) of the Act. </w:t>
      </w:r>
      <w:r w:rsidR="00D52CF5" w:rsidRPr="009C4D2A">
        <w:t>S</w:t>
      </w:r>
      <w:r w:rsidR="00F27A62" w:rsidRPr="009C4D2A">
        <w:t>ubs</w:t>
      </w:r>
      <w:r w:rsidR="00D52CF5" w:rsidRPr="009C4D2A">
        <w:t>ection</w:t>
      </w:r>
      <w:r w:rsidRPr="009C4D2A">
        <w:t xml:space="preserve"> (</w:t>
      </w:r>
      <w:r w:rsidR="00F27A62" w:rsidRPr="009C4D2A">
        <w:t>2</w:t>
      </w:r>
      <w:r w:rsidR="00D52CF5" w:rsidRPr="009C4D2A">
        <w:t xml:space="preserve">) provides that </w:t>
      </w:r>
      <w:r w:rsidRPr="009C4D2A">
        <w:t>the project must not be required to be carried out by or under a law of the Commonwealth, a State, or a Territory.</w:t>
      </w:r>
      <w:r w:rsidR="00D52CF5" w:rsidRPr="009C4D2A">
        <w:t xml:space="preserve"> S</w:t>
      </w:r>
      <w:r w:rsidR="00F27A62" w:rsidRPr="009C4D2A">
        <w:t>ubs</w:t>
      </w:r>
      <w:r w:rsidRPr="009C4D2A">
        <w:t>ection (</w:t>
      </w:r>
      <w:r w:rsidR="00F27A62" w:rsidRPr="009C4D2A">
        <w:t>3</w:t>
      </w:r>
      <w:r w:rsidRPr="009C4D2A">
        <w:t xml:space="preserve">) provides that a </w:t>
      </w:r>
      <w:r w:rsidR="00F27A62" w:rsidRPr="009C4D2A">
        <w:t xml:space="preserve">requirement to carry out an activity under a </w:t>
      </w:r>
      <w:r w:rsidRPr="009C4D2A">
        <w:t xml:space="preserve">conservation </w:t>
      </w:r>
      <w:r w:rsidR="00965050" w:rsidRPr="009C4D2A">
        <w:t>covenant</w:t>
      </w:r>
      <w:r w:rsidRPr="009C4D2A">
        <w:t xml:space="preserve"> </w:t>
      </w:r>
      <w:r w:rsidR="00D52CF5" w:rsidRPr="009C4D2A">
        <w:t xml:space="preserve">that is entered into </w:t>
      </w:r>
      <w:r w:rsidR="00F27A62" w:rsidRPr="009C4D2A">
        <w:t xml:space="preserve">with the </w:t>
      </w:r>
      <w:r w:rsidR="00D52CF5" w:rsidRPr="009C4D2A">
        <w:t>Commonwealth, a State, or a Territory</w:t>
      </w:r>
      <w:r w:rsidR="00F27A62" w:rsidRPr="009C4D2A">
        <w:t>, or with an authority of any of those bodies politic, is not a ‘requirement’ for the purposes of subsection (2)</w:t>
      </w:r>
      <w:r w:rsidR="00D52CF5" w:rsidRPr="009C4D2A">
        <w:t xml:space="preserve">. </w:t>
      </w:r>
      <w:r w:rsidR="00F27A62" w:rsidRPr="009C4D2A">
        <w:t>The term ‘conservation covenant’ is defined in section </w:t>
      </w:r>
      <w:fldSimple w:instr=" REF _Ref409687035 \r  \* MERGEFORMAT ">
        <w:r w:rsidR="00B506B7" w:rsidRPr="009C4D2A">
          <w:t>5</w:t>
        </w:r>
      </w:fldSimple>
      <w:r w:rsidR="00F27A62" w:rsidRPr="009C4D2A">
        <w:t xml:space="preserve"> of the Determination.</w:t>
      </w:r>
    </w:p>
    <w:p w:rsidR="00F27A62" w:rsidRPr="009C4D2A" w:rsidRDefault="006347F0" w:rsidP="00391A4A">
      <w:pPr>
        <w:pStyle w:val="Majorheadingstyle"/>
        <w:rPr>
          <w:rFonts w:eastAsia="Calibri"/>
          <w:lang w:eastAsia="en-US"/>
        </w:rPr>
      </w:pPr>
      <w:r w:rsidRPr="009C4D2A">
        <w:rPr>
          <w:rFonts w:eastAsia="Calibri"/>
          <w:lang w:eastAsia="en-US"/>
        </w:rPr>
        <w:br w:type="column"/>
      </w:r>
      <w:r w:rsidR="00F27A62" w:rsidRPr="009C4D2A">
        <w:rPr>
          <w:rFonts w:eastAsia="Calibri"/>
          <w:lang w:eastAsia="en-US"/>
        </w:rPr>
        <w:lastRenderedPageBreak/>
        <w:t>Part 4—Net abatement amount</w:t>
      </w:r>
    </w:p>
    <w:p w:rsidR="00F27A62" w:rsidRPr="009C4D2A" w:rsidRDefault="00F27A62" w:rsidP="00391A4A">
      <w:pPr>
        <w:pStyle w:val="Majorheadingstyle"/>
        <w:rPr>
          <w:rFonts w:eastAsia="Calibri"/>
          <w:lang w:eastAsia="en-US"/>
        </w:rPr>
      </w:pPr>
      <w:r w:rsidRPr="009C4D2A">
        <w:rPr>
          <w:rFonts w:eastAsia="Calibri"/>
          <w:lang w:eastAsia="en-US"/>
        </w:rPr>
        <w:t>Division 1—Preliminary</w:t>
      </w:r>
    </w:p>
    <w:p w:rsidR="00F27A62" w:rsidRPr="009C4D2A" w:rsidRDefault="00EE1197" w:rsidP="00391A4A">
      <w:pPr>
        <w:pStyle w:val="Majorheadingstyle"/>
        <w:rPr>
          <w:rFonts w:eastAsia="Calibri"/>
          <w:b w:val="0"/>
          <w:u w:val="single"/>
          <w:lang w:eastAsia="en-US"/>
        </w:rPr>
      </w:pPr>
      <w:r w:rsidRPr="009C4D2A">
        <w:rPr>
          <w:b w:val="0"/>
          <w:u w:val="single"/>
        </w:rPr>
        <w:fldChar w:fldCharType="begin"/>
      </w:r>
      <w:bookmarkStart w:id="13" w:name="_Ref410213862"/>
      <w:bookmarkEnd w:id="13"/>
      <w:r w:rsidR="00F27A62" w:rsidRPr="009C4D2A">
        <w:rPr>
          <w:b w:val="0"/>
          <w:u w:val="single"/>
        </w:rPr>
        <w:instrText xml:space="preserve"> LISTNUM  LegalDefault \l 1 </w:instrText>
      </w:r>
      <w:r w:rsidRPr="009C4D2A">
        <w:rPr>
          <w:b w:val="0"/>
          <w:u w:val="single"/>
        </w:rPr>
        <w:fldChar w:fldCharType="end"/>
      </w:r>
      <w:r w:rsidR="00F27A62" w:rsidRPr="009C4D2A">
        <w:rPr>
          <w:b w:val="0"/>
          <w:u w:val="single"/>
        </w:rPr>
        <w:tab/>
      </w:r>
      <w:r w:rsidR="00F27A62" w:rsidRPr="009C4D2A">
        <w:rPr>
          <w:rFonts w:eastAsia="Calibri"/>
          <w:b w:val="0"/>
          <w:u w:val="single"/>
          <w:lang w:eastAsia="en-US"/>
        </w:rPr>
        <w:t>Operation of this Part</w:t>
      </w:r>
    </w:p>
    <w:p w:rsidR="006C7938" w:rsidRPr="009C4D2A" w:rsidRDefault="00F27A62">
      <w:pPr>
        <w:pStyle w:val="EStext"/>
        <w:rPr>
          <w:rFonts w:eastAsia="Calibri"/>
          <w:lang w:eastAsia="en-US"/>
        </w:rPr>
      </w:pPr>
      <w:r w:rsidRPr="009C4D2A">
        <w:rPr>
          <w:rFonts w:eastAsia="Calibri"/>
          <w:lang w:eastAsia="en-US"/>
        </w:rPr>
        <w:t>Section </w:t>
      </w:r>
      <w:fldSimple w:instr=" REF _Ref410213862 \r  \* MERGEFORMAT ">
        <w:r w:rsidR="00B506B7" w:rsidRPr="009C4D2A">
          <w:rPr>
            <w:rFonts w:eastAsia="Calibri"/>
            <w:lang w:eastAsia="en-US"/>
          </w:rPr>
          <w:t>16</w:t>
        </w:r>
      </w:fldSimple>
      <w:r w:rsidRPr="009C4D2A">
        <w:rPr>
          <w:rFonts w:eastAsia="Calibri"/>
          <w:lang w:eastAsia="en-US"/>
        </w:rPr>
        <w:t xml:space="preserve"> is a standard provision that describes the operation of Part 4 of the Determination. This section provides that, for paragraph 106(1)(c) of the Act, Part</w:t>
      </w:r>
      <w:r w:rsidR="008B13A8" w:rsidRPr="009C4D2A">
        <w:rPr>
          <w:rFonts w:eastAsia="Calibri"/>
          <w:lang w:eastAsia="en-US"/>
        </w:rPr>
        <w:t> </w:t>
      </w:r>
      <w:r w:rsidRPr="009C4D2A">
        <w:rPr>
          <w:rFonts w:eastAsia="Calibri"/>
          <w:lang w:eastAsia="en-US"/>
        </w:rPr>
        <w:t>4 specifies the method for working out the carbon dioxide equivalent net abatement amount for a reporting period for an avoided deforestation project that is an eligible offsets project.</w:t>
      </w:r>
    </w:p>
    <w:p w:rsidR="0058467A" w:rsidRPr="009C4D2A" w:rsidRDefault="009E5B34">
      <w:pPr>
        <w:pStyle w:val="Majorheadingstyle"/>
        <w:rPr>
          <w:b w:val="0"/>
        </w:rPr>
      </w:pPr>
      <w:r w:rsidRPr="009C4D2A">
        <w:rPr>
          <w:b w:val="0"/>
        </w:rPr>
        <w:t xml:space="preserve">The calculations in the Determination differ from those in the original </w:t>
      </w:r>
      <w:r w:rsidRPr="009C4D2A">
        <w:rPr>
          <w:b w:val="0"/>
          <w:i/>
        </w:rPr>
        <w:t>Avoided Deforestation</w:t>
      </w:r>
      <w:r w:rsidRPr="009C4D2A">
        <w:rPr>
          <w:b w:val="0"/>
        </w:rPr>
        <w:t xml:space="preserve"> method, which calculated the abatement only for the crediting period. </w:t>
      </w:r>
    </w:p>
    <w:p w:rsidR="004F58A2" w:rsidRPr="009C4D2A" w:rsidRDefault="009A60DE">
      <w:pPr>
        <w:pStyle w:val="Majorheadingstyle"/>
        <w:rPr>
          <w:rFonts w:eastAsia="Calibri"/>
          <w:b w:val="0"/>
          <w:u w:val="single"/>
          <w:lang w:eastAsia="en-US"/>
        </w:rPr>
      </w:pPr>
      <w:r w:rsidRPr="009C4D2A">
        <w:rPr>
          <w:b w:val="0"/>
          <w:u w:val="single"/>
        </w:rPr>
        <w:t xml:space="preserve"> </w:t>
      </w:r>
      <w:r w:rsidR="00EE1197" w:rsidRPr="009C4D2A">
        <w:rPr>
          <w:rFonts w:eastAsia="Calibri"/>
          <w:b w:val="0"/>
          <w:u w:val="single"/>
          <w:lang w:eastAsia="en-US"/>
        </w:rPr>
        <w:fldChar w:fldCharType="begin"/>
      </w:r>
      <w:bookmarkStart w:id="14" w:name="_Ref410213981"/>
      <w:bookmarkEnd w:id="14"/>
      <w:r w:rsidR="009E5B34" w:rsidRPr="009C4D2A">
        <w:rPr>
          <w:rFonts w:eastAsia="Calibri"/>
          <w:b w:val="0"/>
          <w:u w:val="single"/>
          <w:lang w:eastAsia="en-US"/>
        </w:rPr>
        <w:instrText xml:space="preserve"> LISTNUM  LegalDefault \l 1 </w:instrText>
      </w:r>
      <w:r w:rsidR="00EE1197" w:rsidRPr="009C4D2A">
        <w:rPr>
          <w:rFonts w:eastAsia="Calibri"/>
          <w:b w:val="0"/>
          <w:u w:val="single"/>
          <w:lang w:eastAsia="en-US"/>
        </w:rPr>
        <w:fldChar w:fldCharType="end"/>
      </w:r>
      <w:r w:rsidR="009E5B34" w:rsidRPr="009C4D2A">
        <w:rPr>
          <w:rFonts w:eastAsia="Calibri"/>
          <w:b w:val="0"/>
          <w:u w:val="single"/>
          <w:lang w:eastAsia="en-US"/>
        </w:rPr>
        <w:tab/>
      </w:r>
      <w:r w:rsidR="004F58A2" w:rsidRPr="009C4D2A">
        <w:rPr>
          <w:rFonts w:eastAsia="Calibri"/>
          <w:b w:val="0"/>
          <w:u w:val="single"/>
          <w:lang w:eastAsia="en-US"/>
        </w:rPr>
        <w:t>Overview of gases accounted for in abatement calculations</w:t>
      </w:r>
    </w:p>
    <w:p w:rsidR="006C7938" w:rsidRPr="009C4D2A" w:rsidRDefault="004F58A2">
      <w:pPr>
        <w:pStyle w:val="EStext"/>
        <w:rPr>
          <w:rFonts w:eastAsia="Calibri"/>
          <w:lang w:eastAsia="en-US"/>
        </w:rPr>
      </w:pPr>
      <w:r w:rsidRPr="009C4D2A">
        <w:rPr>
          <w:rFonts w:eastAsia="Calibri"/>
          <w:lang w:eastAsia="en-US"/>
        </w:rPr>
        <w:t xml:space="preserve">Section </w:t>
      </w:r>
      <w:fldSimple w:instr=" REF _Ref410213981 \r  \* MERGEFORMAT ">
        <w:r w:rsidR="004E3FA9" w:rsidRPr="004E3FA9">
          <w:rPr>
            <w:rFonts w:eastAsia="Calibri"/>
            <w:lang w:eastAsia="en-US"/>
          </w:rPr>
          <w:t>17</w:t>
        </w:r>
      </w:fldSimple>
      <w:r w:rsidRPr="009C4D2A">
        <w:rPr>
          <w:rFonts w:eastAsia="Calibri"/>
          <w:lang w:eastAsia="en-US"/>
        </w:rPr>
        <w:t xml:space="preserve"> is a standard provision that sets out an overview of the gases that are accounted for in abatement calculations in Part 4.</w:t>
      </w:r>
      <w:r w:rsidR="00831C9B" w:rsidRPr="009C4D2A">
        <w:rPr>
          <w:rFonts w:eastAsia="Calibri"/>
          <w:lang w:eastAsia="en-US"/>
        </w:rPr>
        <w:t xml:space="preserve"> This table is primarily an overview only; the gases taken into account are built into each equation set out in Part 4.</w:t>
      </w:r>
    </w:p>
    <w:p w:rsidR="00831C9B" w:rsidRPr="009C4D2A" w:rsidRDefault="00EE1197">
      <w:pPr>
        <w:pStyle w:val="Majorheadingstyle"/>
        <w:rPr>
          <w:rFonts w:eastAsia="Calibri"/>
          <w:b w:val="0"/>
          <w:u w:val="single"/>
          <w:lang w:eastAsia="en-US"/>
        </w:rPr>
      </w:pPr>
      <w:r w:rsidRPr="009C4D2A">
        <w:rPr>
          <w:rFonts w:eastAsia="Calibri"/>
          <w:b w:val="0"/>
          <w:u w:val="single"/>
          <w:lang w:eastAsia="en-US"/>
        </w:rPr>
        <w:fldChar w:fldCharType="begin"/>
      </w:r>
      <w:bookmarkStart w:id="15" w:name="_Ref410214109"/>
      <w:bookmarkEnd w:id="15"/>
      <w:r w:rsidR="00831C9B" w:rsidRPr="009C4D2A">
        <w:rPr>
          <w:rFonts w:eastAsia="Calibri"/>
          <w:b w:val="0"/>
          <w:u w:val="single"/>
          <w:lang w:eastAsia="en-US"/>
        </w:rPr>
        <w:instrText xml:space="preserve"> LISTNUM  LegalDefault \l 1 </w:instrText>
      </w:r>
      <w:r w:rsidRPr="009C4D2A">
        <w:rPr>
          <w:rFonts w:eastAsia="Calibri"/>
          <w:b w:val="0"/>
          <w:u w:val="single"/>
          <w:lang w:eastAsia="en-US"/>
        </w:rPr>
        <w:fldChar w:fldCharType="end"/>
      </w:r>
      <w:r w:rsidR="00831C9B" w:rsidRPr="009C4D2A">
        <w:rPr>
          <w:rFonts w:eastAsia="Calibri"/>
          <w:b w:val="0"/>
          <w:u w:val="single"/>
          <w:lang w:eastAsia="en-US"/>
        </w:rPr>
        <w:tab/>
        <w:t>Carbon dioxide equivalent net abatement amount</w:t>
      </w:r>
    </w:p>
    <w:p w:rsidR="006C7938" w:rsidRPr="009C4D2A" w:rsidRDefault="00831C9B">
      <w:pPr>
        <w:pStyle w:val="EStext"/>
      </w:pPr>
      <w:r w:rsidRPr="009C4D2A">
        <w:rPr>
          <w:rFonts w:eastAsia="Calibri"/>
          <w:lang w:eastAsia="en-US"/>
        </w:rPr>
        <w:t>Section </w:t>
      </w:r>
      <w:fldSimple w:instr=" REF _Ref410214109 \r  \* MERGEFORMAT ">
        <w:r w:rsidR="00B506B7" w:rsidRPr="009C4D2A">
          <w:rPr>
            <w:rFonts w:eastAsia="Calibri"/>
            <w:lang w:eastAsia="en-US"/>
          </w:rPr>
          <w:t>18</w:t>
        </w:r>
      </w:fldSimple>
      <w:r w:rsidRPr="009C4D2A">
        <w:t xml:space="preserve"> sets out an outline of the method for calculating the carbon dioxide equivalent net abatement amount that is set out in detail in Part 4. This section is primarily an overview only; the method is set out in more detail in the subsequent provisions of Part 4.</w:t>
      </w:r>
    </w:p>
    <w:p w:rsidR="00831C9B" w:rsidRPr="009C4D2A" w:rsidRDefault="00EE1197" w:rsidP="00831C9B">
      <w:pPr>
        <w:pStyle w:val="Majorheadingstyle"/>
        <w:rPr>
          <w:rFonts w:eastAsia="Calibri"/>
          <w:b w:val="0"/>
          <w:u w:val="single"/>
          <w:lang w:eastAsia="en-US"/>
        </w:rPr>
      </w:pPr>
      <w:r w:rsidRPr="009C4D2A">
        <w:rPr>
          <w:rFonts w:eastAsia="Calibri"/>
          <w:b w:val="0"/>
          <w:u w:val="single"/>
          <w:lang w:eastAsia="en-US"/>
        </w:rPr>
        <w:fldChar w:fldCharType="begin"/>
      </w:r>
      <w:bookmarkStart w:id="16" w:name="_Ref410214181"/>
      <w:bookmarkEnd w:id="16"/>
      <w:r w:rsidR="00831C9B" w:rsidRPr="009C4D2A">
        <w:rPr>
          <w:rFonts w:eastAsia="Calibri"/>
          <w:b w:val="0"/>
          <w:u w:val="single"/>
          <w:lang w:eastAsia="en-US"/>
        </w:rPr>
        <w:instrText xml:space="preserve"> LISTNUM  LegalDefault \l 1 </w:instrText>
      </w:r>
      <w:r w:rsidRPr="009C4D2A">
        <w:rPr>
          <w:rFonts w:eastAsia="Calibri"/>
          <w:b w:val="0"/>
          <w:u w:val="single"/>
          <w:lang w:eastAsia="en-US"/>
        </w:rPr>
        <w:fldChar w:fldCharType="end"/>
      </w:r>
      <w:r w:rsidR="00831C9B" w:rsidRPr="009C4D2A">
        <w:rPr>
          <w:rFonts w:eastAsia="Calibri"/>
          <w:b w:val="0"/>
          <w:u w:val="single"/>
          <w:lang w:eastAsia="en-US"/>
        </w:rPr>
        <w:tab/>
      </w:r>
      <w:r w:rsidR="00831C9B" w:rsidRPr="009C4D2A">
        <w:rPr>
          <w:b w:val="0"/>
          <w:u w:val="single"/>
        </w:rPr>
        <w:t>References to factors and parameters from external sources</w:t>
      </w:r>
    </w:p>
    <w:p w:rsidR="002B40C4" w:rsidRPr="009C4D2A" w:rsidRDefault="009E5B34" w:rsidP="002B40C4">
      <w:pPr>
        <w:pStyle w:val="EStext"/>
      </w:pPr>
      <w:r w:rsidRPr="009C4D2A">
        <w:rPr>
          <w:rFonts w:eastAsia="Calibri"/>
          <w:lang w:eastAsia="en-US"/>
        </w:rPr>
        <w:t>Section </w:t>
      </w:r>
      <w:fldSimple w:instr=" REF _Ref410214181 \r  \* MERGEFORMAT ">
        <w:r w:rsidR="00B506B7" w:rsidRPr="009C4D2A">
          <w:rPr>
            <w:rFonts w:eastAsia="Calibri"/>
            <w:lang w:eastAsia="en-US"/>
          </w:rPr>
          <w:t>19</w:t>
        </w:r>
      </w:fldSimple>
      <w:r w:rsidRPr="009C4D2A">
        <w:t xml:space="preserve"> is a standard provision that explains how references to factors and parameters from external sources are to be construed for the purposes of the Determination. Under this provision, where a calculation references a parameter in another instrument or writing, the parameter, as defined at the end of the reporting period, should be applied for the reporting period. That is, if the value of a parameter changes between the end of the reporting period and the submission of an offsets report for that period, then the value of the parameter is that at the end of the reporting period, not the new value current at the time of drafting the offsets report.</w:t>
      </w:r>
      <w:r w:rsidR="002B40C4" w:rsidRPr="009C4D2A">
        <w:t xml:space="preserve"> </w:t>
      </w:r>
    </w:p>
    <w:p w:rsidR="008B13A8" w:rsidRPr="009C4D2A" w:rsidRDefault="00EE1197" w:rsidP="008B13A8">
      <w:pPr>
        <w:pStyle w:val="Majorheadingstyle"/>
        <w:rPr>
          <w:b w:val="0"/>
          <w:u w:val="single"/>
        </w:rPr>
      </w:pPr>
      <w:r w:rsidRPr="009C4D2A">
        <w:rPr>
          <w:rFonts w:eastAsia="Calibri"/>
          <w:b w:val="0"/>
          <w:u w:val="single"/>
          <w:lang w:eastAsia="en-US"/>
        </w:rPr>
        <w:fldChar w:fldCharType="begin"/>
      </w:r>
      <w:bookmarkStart w:id="17" w:name="_Ref410238273"/>
      <w:bookmarkEnd w:id="17"/>
      <w:r w:rsidR="003D59F4" w:rsidRPr="009C4D2A">
        <w:rPr>
          <w:rFonts w:eastAsia="Calibri"/>
          <w:b w:val="0"/>
          <w:u w:val="single"/>
          <w:lang w:eastAsia="en-US"/>
        </w:rPr>
        <w:instrText xml:space="preserve"> LISTNUM  LegalDefault \l 1 </w:instrText>
      </w:r>
      <w:r w:rsidRPr="009C4D2A">
        <w:rPr>
          <w:rFonts w:eastAsia="Calibri"/>
          <w:b w:val="0"/>
          <w:u w:val="single"/>
          <w:lang w:eastAsia="en-US"/>
        </w:rPr>
        <w:fldChar w:fldCharType="end"/>
      </w:r>
      <w:r w:rsidR="003D59F4" w:rsidRPr="009C4D2A">
        <w:rPr>
          <w:rFonts w:eastAsia="Calibri"/>
          <w:b w:val="0"/>
          <w:u w:val="single"/>
          <w:lang w:eastAsia="en-US"/>
        </w:rPr>
        <w:tab/>
      </w:r>
      <w:r w:rsidR="003D59F4" w:rsidRPr="009C4D2A">
        <w:rPr>
          <w:b w:val="0"/>
          <w:u w:val="single"/>
        </w:rPr>
        <w:t>Use of data—pre-existing projects</w:t>
      </w:r>
    </w:p>
    <w:p w:rsidR="003D59F4" w:rsidRPr="009C4D2A" w:rsidRDefault="003D59F4" w:rsidP="003D59F4">
      <w:pPr>
        <w:pStyle w:val="EStext"/>
      </w:pPr>
      <w:r w:rsidRPr="009C4D2A">
        <w:t xml:space="preserve">Section </w:t>
      </w:r>
      <w:fldSimple w:instr=" REF _Ref410238273 \r  \* MERGEFORMAT ">
        <w:r w:rsidR="00B506B7" w:rsidRPr="009C4D2A">
          <w:t>20</w:t>
        </w:r>
      </w:fldSimple>
      <w:r w:rsidRPr="009C4D2A">
        <w:t xml:space="preserve"> applies to projects that have been registered under the original </w:t>
      </w:r>
      <w:r w:rsidRPr="009C4D2A">
        <w:rPr>
          <w:i/>
        </w:rPr>
        <w:t>Avoided Deforestation</w:t>
      </w:r>
      <w:r w:rsidR="009C4D2A">
        <w:t xml:space="preserve"> d</w:t>
      </w:r>
      <w:r w:rsidRPr="009C4D2A">
        <w:t xml:space="preserve">etermination, and have had data collected and accepted by the Regulator in a previous offsets report that was accompanied with an audit report. A certificate of entitlement issued by the Regulator would show that the data underpinning the corresponding offsets report had been accepted. In this situation, the data previously collected can be used to estimate the carbon dioxide equivalent net abatement amount, as calculated </w:t>
      </w:r>
      <w:r w:rsidR="008B13A8" w:rsidRPr="009C4D2A">
        <w:t>under Subdivision 3 and Subdivision 4 of Part 4 of </w:t>
      </w:r>
      <w:r w:rsidRPr="009C4D2A">
        <w:t xml:space="preserve">the Determination. </w:t>
      </w:r>
    </w:p>
    <w:p w:rsidR="008974C6" w:rsidRPr="009C4D2A" w:rsidRDefault="003D59F4" w:rsidP="008B13A8">
      <w:pPr>
        <w:pStyle w:val="Majorheadingstyle"/>
      </w:pPr>
      <w:r w:rsidRPr="009C4D2A">
        <w:lastRenderedPageBreak/>
        <w:t>Division 2—</w:t>
      </w:r>
      <w:r w:rsidR="001E357D" w:rsidRPr="009C4D2A">
        <w:t>Stratification</w:t>
      </w:r>
    </w:p>
    <w:p w:rsidR="001E357D" w:rsidRPr="009C4D2A" w:rsidRDefault="00EE1197" w:rsidP="00391A4A">
      <w:pPr>
        <w:pStyle w:val="Minorheadingstyle"/>
      </w:pPr>
      <w:r w:rsidRPr="009C4D2A">
        <w:fldChar w:fldCharType="begin"/>
      </w:r>
      <w:bookmarkStart w:id="18" w:name="_Ref410238450"/>
      <w:bookmarkEnd w:id="18"/>
      <w:r w:rsidR="00D16488" w:rsidRPr="009C4D2A">
        <w:instrText xml:space="preserve"> LISTNUM  LegalDefault \l 1 </w:instrText>
      </w:r>
      <w:r w:rsidRPr="009C4D2A">
        <w:fldChar w:fldCharType="end"/>
      </w:r>
      <w:r w:rsidR="001E357D" w:rsidRPr="009C4D2A">
        <w:tab/>
      </w:r>
      <w:r w:rsidR="008B13A8" w:rsidRPr="009C4D2A">
        <w:t xml:space="preserve">Stratification </w:t>
      </w:r>
      <w:r w:rsidR="001E357D" w:rsidRPr="009C4D2A">
        <w:t xml:space="preserve">of </w:t>
      </w:r>
      <w:r w:rsidR="00513035" w:rsidRPr="009C4D2A">
        <w:t>project</w:t>
      </w:r>
      <w:r w:rsidR="001E357D" w:rsidRPr="009C4D2A">
        <w:t xml:space="preserve"> area</w:t>
      </w:r>
    </w:p>
    <w:p w:rsidR="008B13A8" w:rsidRPr="009C4D2A" w:rsidRDefault="008B13A8" w:rsidP="008B13A8">
      <w:pPr>
        <w:pStyle w:val="EStext"/>
      </w:pPr>
      <w:r w:rsidRPr="009C4D2A">
        <w:t xml:space="preserve">Subsection </w:t>
      </w:r>
      <w:fldSimple w:instr=" REF _Ref410238450 \r  \* MERGEFORMAT ">
        <w:r w:rsidR="00B506B7" w:rsidRPr="009C4D2A">
          <w:t>21</w:t>
        </w:r>
      </w:fldSimple>
      <w:r w:rsidRPr="009C4D2A">
        <w:t xml:space="preserve">(1) provides that the project area must be stratified, that is, divided into carbon estimation areas, exclusion areas and clearing buffers. </w:t>
      </w:r>
      <w:r w:rsidR="00087ADA" w:rsidRPr="009C4D2A">
        <w:t xml:space="preserve">Subsection (2) provides that each such area is a ‘stratum’. </w:t>
      </w:r>
      <w:r w:rsidR="0070158E">
        <w:t>The effect of this is</w:t>
      </w:r>
      <w:r w:rsidR="009B4B69" w:rsidRPr="009C4D2A">
        <w:t xml:space="preserve"> that the project area is equal to the sum of all strata. </w:t>
      </w:r>
      <w:r w:rsidRPr="009C4D2A">
        <w:t xml:space="preserve">The project area must be stratified before the submission of the first offsets report. </w:t>
      </w:r>
    </w:p>
    <w:p w:rsidR="008B13A8" w:rsidRPr="009C4D2A" w:rsidRDefault="008B13A8" w:rsidP="008B13A8">
      <w:pPr>
        <w:pStyle w:val="EStext"/>
      </w:pPr>
      <w:r w:rsidRPr="009C4D2A">
        <w:t xml:space="preserve">Subsection (3) provides that, if the pre-existing clearing consent includes conditions that require that an area of the eligible native forest not be cleared, </w:t>
      </w:r>
      <w:r w:rsidR="009B4B69" w:rsidRPr="009C4D2A">
        <w:t>the project area</w:t>
      </w:r>
      <w:r w:rsidRPr="009C4D2A">
        <w:t xml:space="preserve"> must include </w:t>
      </w:r>
      <w:r w:rsidR="009B4B69" w:rsidRPr="009C4D2A">
        <w:t>a</w:t>
      </w:r>
      <w:r w:rsidR="00A557E2" w:rsidRPr="009C4D2A">
        <w:t>t least one stratum that is a</w:t>
      </w:r>
      <w:r w:rsidR="009B4B69" w:rsidRPr="009C4D2A">
        <w:t xml:space="preserve"> clearing buffer</w:t>
      </w:r>
      <w:r w:rsidR="00A557E2" w:rsidRPr="009C4D2A">
        <w:t>. The clearing buffer, or clearing buffers,</w:t>
      </w:r>
      <w:r w:rsidRPr="009C4D2A">
        <w:t xml:space="preserve"> </w:t>
      </w:r>
      <w:r w:rsidR="00A557E2" w:rsidRPr="009C4D2A">
        <w:t>must be</w:t>
      </w:r>
      <w:r w:rsidRPr="009C4D2A">
        <w:t xml:space="preserve"> sufficient to satisfy the conditions</w:t>
      </w:r>
      <w:r w:rsidR="003C759A" w:rsidRPr="009C4D2A">
        <w:t xml:space="preserve"> </w:t>
      </w:r>
      <w:r w:rsidR="00A557E2" w:rsidRPr="009C4D2A">
        <w:t xml:space="preserve">in the pre-existing clearing permit </w:t>
      </w:r>
      <w:r w:rsidR="003C759A" w:rsidRPr="009C4D2A">
        <w:t>(See Subsection (4) for details on the clearing buffer)</w:t>
      </w:r>
      <w:r w:rsidRPr="009C4D2A">
        <w:t>.</w:t>
      </w:r>
      <w:r w:rsidR="009B4B69" w:rsidRPr="009C4D2A">
        <w:t xml:space="preserve"> </w:t>
      </w:r>
      <w:r w:rsidR="005A0B05" w:rsidRPr="009C4D2A">
        <w:t xml:space="preserve">The size of the clearing buffer is dependent on the total area of the eligible native forest, not the area of eligible native forest in carbon estimation areas. </w:t>
      </w:r>
    </w:p>
    <w:p w:rsidR="008B13A8" w:rsidRPr="009C4D2A" w:rsidRDefault="008B13A8" w:rsidP="003553A2">
      <w:pPr>
        <w:pStyle w:val="EStext"/>
      </w:pPr>
      <w:r w:rsidRPr="009C4D2A">
        <w:t>Subsection (4) defines the terms ‘carbon estimation area’, ‘clearing buffer’ and ‘exclusion area’ for the purposes of the Determination</w:t>
      </w:r>
      <w:r w:rsidR="00650BE7" w:rsidRPr="009C4D2A">
        <w:t>.</w:t>
      </w:r>
    </w:p>
    <w:p w:rsidR="00650BE7" w:rsidRPr="009C4D2A" w:rsidRDefault="00650BE7" w:rsidP="00650BE7">
      <w:pPr>
        <w:pStyle w:val="Subheadingstyle"/>
        <w:rPr>
          <w:lang w:val="en-AU"/>
        </w:rPr>
      </w:pPr>
      <w:r w:rsidRPr="009C4D2A">
        <w:rPr>
          <w:lang w:val="en-AU"/>
        </w:rPr>
        <w:t>Carbon estimation areas</w:t>
      </w:r>
    </w:p>
    <w:p w:rsidR="008B13A8" w:rsidRPr="009C4D2A" w:rsidRDefault="008B13A8" w:rsidP="00650BE7">
      <w:pPr>
        <w:pStyle w:val="EStext"/>
      </w:pPr>
      <w:r w:rsidRPr="009C4D2A">
        <w:t>A ‘</w:t>
      </w:r>
      <w:r w:rsidR="0070158E">
        <w:t>carbon estimation area’ is</w:t>
      </w:r>
      <w:r w:rsidRPr="009C4D2A">
        <w:t xml:space="preserve"> an area of eligible native forest that:</w:t>
      </w:r>
    </w:p>
    <w:p w:rsidR="008B13A8" w:rsidRPr="009C4D2A" w:rsidRDefault="008B13A8" w:rsidP="00650BE7">
      <w:pPr>
        <w:pStyle w:val="bullet1"/>
        <w:rPr>
          <w:color w:val="auto"/>
        </w:rPr>
      </w:pPr>
      <w:r w:rsidRPr="009C4D2A">
        <w:rPr>
          <w:color w:val="auto"/>
        </w:rPr>
        <w:t>in the absence of the project, would have been cleared in accordance with the pre-existing clearing consent; and</w:t>
      </w:r>
    </w:p>
    <w:p w:rsidR="008B13A8" w:rsidRPr="009C4D2A" w:rsidRDefault="008B13A8" w:rsidP="00650BE7">
      <w:pPr>
        <w:pStyle w:val="bullet1"/>
        <w:rPr>
          <w:color w:val="auto"/>
        </w:rPr>
      </w:pPr>
      <w:r w:rsidRPr="009C4D2A">
        <w:rPr>
          <w:color w:val="auto"/>
        </w:rPr>
        <w:t>in which the project mechanism will be applied.</w:t>
      </w:r>
    </w:p>
    <w:p w:rsidR="00650BE7" w:rsidRPr="009C4D2A" w:rsidRDefault="00650BE7" w:rsidP="00650BE7">
      <w:pPr>
        <w:pStyle w:val="EStext"/>
      </w:pPr>
      <w:r w:rsidRPr="009C4D2A">
        <w:t>Carbon estimation areas are areas of native forest in the project area that are protected in accordance with the project mechanism. Accordingly, the abatement calculations in the Determination are made in relation to the abatement an</w:t>
      </w:r>
      <w:r w:rsidR="0070158E">
        <w:t>d emissions which occur in the c</w:t>
      </w:r>
      <w:r w:rsidRPr="009C4D2A">
        <w:t>arbon estimation area.</w:t>
      </w:r>
    </w:p>
    <w:p w:rsidR="00E17A21" w:rsidRPr="009C4D2A" w:rsidRDefault="00E17A21" w:rsidP="00650BE7">
      <w:pPr>
        <w:pStyle w:val="Subheadingstyle"/>
        <w:rPr>
          <w:lang w:val="en-AU"/>
        </w:rPr>
      </w:pPr>
      <w:r w:rsidRPr="009C4D2A">
        <w:rPr>
          <w:lang w:val="en-AU"/>
        </w:rPr>
        <w:t>Clearing buffers</w:t>
      </w:r>
    </w:p>
    <w:p w:rsidR="008B13A8" w:rsidRPr="009C4D2A" w:rsidRDefault="008B13A8" w:rsidP="00650BE7">
      <w:pPr>
        <w:pStyle w:val="EStext"/>
      </w:pPr>
      <w:r w:rsidRPr="009C4D2A">
        <w:t>A ‘clearing buffer</w:t>
      </w:r>
      <w:r w:rsidR="00650BE7" w:rsidRPr="009C4D2A">
        <w:t>’</w:t>
      </w:r>
      <w:r w:rsidRPr="009C4D2A">
        <w:t xml:space="preserve"> means an area (if any) of eligible native forest that:</w:t>
      </w:r>
    </w:p>
    <w:p w:rsidR="008B13A8" w:rsidRPr="009C4D2A" w:rsidRDefault="008B13A8" w:rsidP="00650BE7">
      <w:pPr>
        <w:pStyle w:val="bullet1"/>
        <w:rPr>
          <w:color w:val="auto"/>
        </w:rPr>
      </w:pPr>
      <w:r w:rsidRPr="009C4D2A">
        <w:rPr>
          <w:color w:val="auto"/>
        </w:rPr>
        <w:t>in the absence of the project, would have been left uncleared in order to comply with conditions of the pre-existing clearing consent; and</w:t>
      </w:r>
    </w:p>
    <w:p w:rsidR="008B13A8" w:rsidRPr="009C4D2A" w:rsidRDefault="008B13A8" w:rsidP="00650BE7">
      <w:pPr>
        <w:pStyle w:val="bullet1"/>
        <w:rPr>
          <w:color w:val="auto"/>
        </w:rPr>
      </w:pPr>
      <w:r w:rsidRPr="009C4D2A">
        <w:rPr>
          <w:color w:val="auto"/>
        </w:rPr>
        <w:t>under the project, will not be cleared.</w:t>
      </w:r>
    </w:p>
    <w:p w:rsidR="00E17A21" w:rsidRPr="009C4D2A" w:rsidRDefault="00E17A21" w:rsidP="00650BE7">
      <w:pPr>
        <w:pStyle w:val="EStext"/>
      </w:pPr>
      <w:r w:rsidRPr="009C4D2A">
        <w:t>Clearing consents may specify a proportion of</w:t>
      </w:r>
      <w:r w:rsidR="003C759A" w:rsidRPr="009C4D2A">
        <w:t xml:space="preserve"> the eligible </w:t>
      </w:r>
      <w:r w:rsidRPr="009C4D2A">
        <w:t>forest that must not be cleared.</w:t>
      </w:r>
      <w:r w:rsidR="003C759A" w:rsidRPr="009C4D2A">
        <w:t xml:space="preserve"> That is, the clearing consent refers to a proportion of area rather than a specific geographic area that cannot be cleared</w:t>
      </w:r>
      <w:r w:rsidRPr="009C4D2A">
        <w:t xml:space="preserve"> (see Example 1). Such an area is known as a clearing buffer.</w:t>
      </w:r>
    </w:p>
    <w:p w:rsidR="00E17A21" w:rsidRPr="009C4D2A" w:rsidRDefault="00E17A21" w:rsidP="00650BE7">
      <w:pPr>
        <w:pStyle w:val="EStext"/>
      </w:pPr>
      <w:r w:rsidRPr="009C4D2A">
        <w:t>The project proponent may delineate two or more clearing buffers so long as, taken together, they cover an area containing the specified proportion (see Example 2).</w:t>
      </w:r>
    </w:p>
    <w:p w:rsidR="00E17A21" w:rsidRPr="009C4D2A" w:rsidRDefault="00E17A21" w:rsidP="00650BE7">
      <w:pPr>
        <w:pStyle w:val="EStext"/>
      </w:pPr>
      <w:r w:rsidRPr="009C4D2A">
        <w:lastRenderedPageBreak/>
        <w:t xml:space="preserve">If the clearing consent specifies that </w:t>
      </w:r>
      <w:r w:rsidRPr="009C4D2A">
        <w:rPr>
          <w:i/>
        </w:rPr>
        <w:t>particular</w:t>
      </w:r>
      <w:r w:rsidRPr="009C4D2A">
        <w:t xml:space="preserve"> trees (or kinds of tree), for example trees of a certain species or size, must not be cleared, those trees must be categorised as non-project trees where they are found in biomass surveys in a </w:t>
      </w:r>
      <w:r w:rsidR="00650BE7" w:rsidRPr="009C4D2A">
        <w:t>carbon estimation area</w:t>
      </w:r>
      <w:r w:rsidRPr="009C4D2A">
        <w:t xml:space="preserve"> (see </w:t>
      </w:r>
      <w:r w:rsidR="00096835" w:rsidRPr="009C4D2A">
        <w:t xml:space="preserve">section </w:t>
      </w:r>
      <w:fldSimple w:instr=" REF _Ref409687035 \r  \* MERGEFORMAT ">
        <w:r w:rsidR="00B506B7" w:rsidRPr="009C4D2A">
          <w:t>5</w:t>
        </w:r>
      </w:fldSimple>
      <w:r w:rsidRPr="009C4D2A">
        <w:t>).</w:t>
      </w:r>
    </w:p>
    <w:p w:rsidR="00E17A21" w:rsidRPr="009C4D2A" w:rsidRDefault="00E17A21" w:rsidP="00650BE7">
      <w:pPr>
        <w:pStyle w:val="EStext"/>
      </w:pPr>
      <w:r w:rsidRPr="009C4D2A">
        <w:t xml:space="preserve">Clearing buffers are part of the project area but are not counted in the abatement calculations in the </w:t>
      </w:r>
      <w:r w:rsidR="0010747D" w:rsidRPr="009C4D2A">
        <w:t>Determination</w:t>
      </w:r>
      <w:r w:rsidRPr="009C4D2A">
        <w:t>.</w:t>
      </w:r>
    </w:p>
    <w:p w:rsidR="00E17A21" w:rsidRPr="009C4D2A" w:rsidRDefault="00E17A21" w:rsidP="00650BE7">
      <w:pPr>
        <w:pStyle w:val="EStext"/>
      </w:pPr>
      <w:r w:rsidRPr="009C4D2A">
        <w:t xml:space="preserve">The monitoring requirements in Part </w:t>
      </w:r>
      <w:r w:rsidR="00650BE7" w:rsidRPr="009C4D2A">
        <w:t>5</w:t>
      </w:r>
      <w:r w:rsidRPr="009C4D2A">
        <w:t xml:space="preserve"> of the Determination apply in respect of clearing buffers.</w:t>
      </w:r>
    </w:p>
    <w:p w:rsidR="00E17A21" w:rsidRPr="009C4D2A" w:rsidRDefault="00E17A21" w:rsidP="00650BE7">
      <w:pPr>
        <w:pStyle w:val="EStext"/>
      </w:pPr>
      <w:r w:rsidRPr="009C4D2A">
        <w:t xml:space="preserve">It is important to note that the size of the clearing buffer(s) is governed by the size of the </w:t>
      </w:r>
      <w:r w:rsidR="00096835" w:rsidRPr="009C4D2A">
        <w:t xml:space="preserve">eligible </w:t>
      </w:r>
      <w:r w:rsidRPr="009C4D2A">
        <w:t xml:space="preserve">native forest to which the clearing permit applies and not the </w:t>
      </w:r>
      <w:r w:rsidR="00096835" w:rsidRPr="009C4D2A">
        <w:t xml:space="preserve">area </w:t>
      </w:r>
      <w:r w:rsidRPr="009C4D2A">
        <w:t xml:space="preserve">of </w:t>
      </w:r>
      <w:r w:rsidR="00096835" w:rsidRPr="009C4D2A">
        <w:t>native forest in carbon estimation areas</w:t>
      </w:r>
      <w:r w:rsidRPr="009C4D2A">
        <w:t xml:space="preserve">. This is of particular importance where the </w:t>
      </w:r>
      <w:r w:rsidR="00F05918" w:rsidRPr="009C4D2A">
        <w:t>carbon estimation areas</w:t>
      </w:r>
      <w:r w:rsidRPr="009C4D2A">
        <w:t xml:space="preserve"> do not cover the entire </w:t>
      </w:r>
      <w:r w:rsidR="00F05918" w:rsidRPr="009C4D2A">
        <w:t xml:space="preserve">eligible </w:t>
      </w:r>
      <w:r w:rsidRPr="009C4D2A">
        <w:t>native forest (see Example 3). The reason for this is that trees in the project area may not be used to offset other land-use requirements.</w:t>
      </w:r>
    </w:p>
    <w:p w:rsidR="00E17A21" w:rsidRPr="009C4D2A" w:rsidRDefault="00E17A21" w:rsidP="00650BE7">
      <w:pPr>
        <w:pStyle w:val="EStext"/>
        <w:rPr>
          <w:u w:val="single"/>
        </w:rPr>
      </w:pPr>
      <w:r w:rsidRPr="009C4D2A">
        <w:rPr>
          <w:u w:val="single"/>
        </w:rPr>
        <w:t>Example 1</w:t>
      </w:r>
    </w:p>
    <w:p w:rsidR="00E17A21" w:rsidRPr="009C4D2A" w:rsidRDefault="000B64D1" w:rsidP="00650BE7">
      <w:pPr>
        <w:pStyle w:val="EStext"/>
      </w:pPr>
      <w:r w:rsidRPr="009C4D2A">
        <w:t>Ashley</w:t>
      </w:r>
      <w:r w:rsidR="00E17A21" w:rsidRPr="009C4D2A">
        <w:t xml:space="preserve"> has a clearing consent for the native forest on </w:t>
      </w:r>
      <w:r w:rsidRPr="009C4D2A">
        <w:t>her</w:t>
      </w:r>
      <w:r w:rsidR="00E17A21" w:rsidRPr="009C4D2A">
        <w:t xml:space="preserve"> land. The clearing consent specifies that 20</w:t>
      </w:r>
      <w:r w:rsidR="00543313" w:rsidRPr="009C4D2A">
        <w:t xml:space="preserve"> per cent</w:t>
      </w:r>
      <w:r w:rsidR="003C759A" w:rsidRPr="009C4D2A">
        <w:t xml:space="preserve"> </w:t>
      </w:r>
      <w:r w:rsidR="00E17A21" w:rsidRPr="009C4D2A">
        <w:t xml:space="preserve">of the native forest must not be cleared. When stratifying the project area, which covers the entire native forest on </w:t>
      </w:r>
      <w:r w:rsidRPr="009C4D2A">
        <w:t>her</w:t>
      </w:r>
      <w:r w:rsidR="00E17A21" w:rsidRPr="009C4D2A">
        <w:t xml:space="preserve"> land, </w:t>
      </w:r>
      <w:r w:rsidRPr="009C4D2A">
        <w:t>Ashley</w:t>
      </w:r>
      <w:r w:rsidR="00E17A21" w:rsidRPr="009C4D2A">
        <w:t xml:space="preserve"> delineates a single clearing buffer covering 20</w:t>
      </w:r>
      <w:r w:rsidR="00543313" w:rsidRPr="009C4D2A">
        <w:t xml:space="preserve"> per cent</w:t>
      </w:r>
      <w:r w:rsidR="00E17A21" w:rsidRPr="009C4D2A">
        <w:t xml:space="preserve"> of the </w:t>
      </w:r>
      <w:r w:rsidR="00096835" w:rsidRPr="009C4D2A">
        <w:t xml:space="preserve">eligible </w:t>
      </w:r>
      <w:r w:rsidR="00E17A21" w:rsidRPr="009C4D2A">
        <w:t>native forest.</w:t>
      </w:r>
    </w:p>
    <w:p w:rsidR="00E17A21" w:rsidRPr="009C4D2A" w:rsidRDefault="00E17A21" w:rsidP="00650BE7">
      <w:pPr>
        <w:pStyle w:val="EStext"/>
        <w:rPr>
          <w:u w:val="single"/>
        </w:rPr>
      </w:pPr>
      <w:r w:rsidRPr="009C4D2A">
        <w:rPr>
          <w:u w:val="single"/>
        </w:rPr>
        <w:t>Example 2</w:t>
      </w:r>
    </w:p>
    <w:p w:rsidR="00E17A21" w:rsidRPr="009C4D2A" w:rsidRDefault="000B64D1" w:rsidP="00650BE7">
      <w:pPr>
        <w:pStyle w:val="EStext"/>
      </w:pPr>
      <w:r w:rsidRPr="009C4D2A">
        <w:t>Iain</w:t>
      </w:r>
      <w:r w:rsidR="00E17A21" w:rsidRPr="009C4D2A">
        <w:t xml:space="preserve"> has a clearing consent for the native forest on </w:t>
      </w:r>
      <w:r w:rsidRPr="009C4D2A">
        <w:t>his</w:t>
      </w:r>
      <w:r w:rsidR="00E17A21" w:rsidRPr="009C4D2A">
        <w:t xml:space="preserve"> land. The clearing consent specifies that </w:t>
      </w:r>
      <w:r w:rsidR="00096835" w:rsidRPr="009C4D2A">
        <w:t>up to 8</w:t>
      </w:r>
      <w:r w:rsidR="00E17A21" w:rsidRPr="009C4D2A">
        <w:t>0</w:t>
      </w:r>
      <w:r w:rsidR="00543313" w:rsidRPr="009C4D2A">
        <w:t xml:space="preserve"> per cent</w:t>
      </w:r>
      <w:r w:rsidR="00096835" w:rsidRPr="009C4D2A">
        <w:t xml:space="preserve"> </w:t>
      </w:r>
      <w:r w:rsidR="00E17A21" w:rsidRPr="009C4D2A">
        <w:t xml:space="preserve">of the native forest </w:t>
      </w:r>
      <w:r w:rsidR="00096835" w:rsidRPr="009C4D2A">
        <w:t>can be cleared</w:t>
      </w:r>
      <w:r w:rsidR="00E17A21" w:rsidRPr="009C4D2A">
        <w:t>.</w:t>
      </w:r>
      <w:r w:rsidR="00096835" w:rsidRPr="009C4D2A">
        <w:t xml:space="preserve"> </w:t>
      </w:r>
      <w:r w:rsidR="00E17A21" w:rsidRPr="009C4D2A">
        <w:t xml:space="preserve">When stratifying the project area, which covers the entire native forest on her land, </w:t>
      </w:r>
      <w:r w:rsidRPr="009C4D2A">
        <w:t>Iain</w:t>
      </w:r>
      <w:r w:rsidR="00E17A21" w:rsidRPr="009C4D2A">
        <w:t xml:space="preserve"> delineates two clearing buffers, one covering 15</w:t>
      </w:r>
      <w:r w:rsidR="00543313" w:rsidRPr="009C4D2A">
        <w:t xml:space="preserve"> per cent</w:t>
      </w:r>
      <w:r w:rsidR="00E17A21" w:rsidRPr="009C4D2A">
        <w:t xml:space="preserve"> of the native forest, and the other 5</w:t>
      </w:r>
      <w:r w:rsidR="00543313" w:rsidRPr="009C4D2A">
        <w:t xml:space="preserve"> per cent</w:t>
      </w:r>
      <w:r w:rsidR="00E17A21" w:rsidRPr="009C4D2A">
        <w:t>.</w:t>
      </w:r>
    </w:p>
    <w:p w:rsidR="00E17A21" w:rsidRPr="009C4D2A" w:rsidRDefault="00E17A21" w:rsidP="00650BE7">
      <w:pPr>
        <w:pStyle w:val="EStext"/>
        <w:rPr>
          <w:u w:val="single"/>
        </w:rPr>
      </w:pPr>
      <w:r w:rsidRPr="009C4D2A">
        <w:rPr>
          <w:u w:val="single"/>
        </w:rPr>
        <w:t>Example 3</w:t>
      </w:r>
    </w:p>
    <w:p w:rsidR="00E17A21" w:rsidRPr="009C4D2A" w:rsidRDefault="000B64D1" w:rsidP="00650BE7">
      <w:pPr>
        <w:pStyle w:val="EStext"/>
      </w:pPr>
      <w:r w:rsidRPr="009C4D2A">
        <w:t>Rachel</w:t>
      </w:r>
      <w:r w:rsidR="00E17A21" w:rsidRPr="009C4D2A">
        <w:t xml:space="preserve"> has a clearing consent for the 2000 hectare native forest on her land. The clearing consent specifies that 20</w:t>
      </w:r>
      <w:r w:rsidR="00543313" w:rsidRPr="009C4D2A">
        <w:t xml:space="preserve"> per cent</w:t>
      </w:r>
      <w:r w:rsidR="00E17A21" w:rsidRPr="009C4D2A">
        <w:t xml:space="preserve"> (400 hectares) of the native forest must not be cleared. </w:t>
      </w:r>
      <w:r w:rsidRPr="009C4D2A">
        <w:t>Rachel</w:t>
      </w:r>
      <w:r w:rsidR="00E17A21" w:rsidRPr="009C4D2A">
        <w:t xml:space="preserve"> decides to convert 1000 hectares of the native forest to cropland, but to conduct an offsets project in relation to the remaining 1000 hectares. Accordingly, her project area contains 1000 hectares, of which </w:t>
      </w:r>
      <w:r w:rsidRPr="009C4D2A">
        <w:t>Rachel</w:t>
      </w:r>
      <w:r w:rsidR="00E17A21" w:rsidRPr="009C4D2A">
        <w:t xml:space="preserve"> must delineate a clearing buffer covering 400 hectares (20</w:t>
      </w:r>
      <w:r w:rsidR="00543313" w:rsidRPr="009C4D2A">
        <w:t xml:space="preserve"> per cent</w:t>
      </w:r>
      <w:r w:rsidR="00E17A21" w:rsidRPr="009C4D2A">
        <w:t xml:space="preserve"> of the total native forest) and not 200 hectares (20</w:t>
      </w:r>
      <w:r w:rsidR="00543313" w:rsidRPr="009C4D2A">
        <w:t xml:space="preserve"> per cent</w:t>
      </w:r>
      <w:r w:rsidR="00E17A21" w:rsidRPr="009C4D2A">
        <w:t xml:space="preserve"> of the project area).</w:t>
      </w:r>
    </w:p>
    <w:p w:rsidR="00E17A21" w:rsidRPr="009C4D2A" w:rsidRDefault="00E17A21" w:rsidP="00E17A21">
      <w:pPr>
        <w:pStyle w:val="Subheadingstyle"/>
        <w:rPr>
          <w:lang w:val="en-AU"/>
        </w:rPr>
      </w:pPr>
      <w:r w:rsidRPr="009C4D2A">
        <w:rPr>
          <w:lang w:val="en-AU"/>
        </w:rPr>
        <w:t>Exclusion areas</w:t>
      </w:r>
    </w:p>
    <w:p w:rsidR="008B13A8" w:rsidRPr="009C4D2A" w:rsidRDefault="00A63AE9" w:rsidP="00E17A21">
      <w:pPr>
        <w:pStyle w:val="EStext"/>
      </w:pPr>
      <w:r w:rsidRPr="009C4D2A">
        <w:t>An ‘</w:t>
      </w:r>
      <w:r w:rsidR="008B13A8" w:rsidRPr="009C4D2A">
        <w:t>exclusion area</w:t>
      </w:r>
      <w:r w:rsidRPr="009C4D2A">
        <w:t xml:space="preserve">’ is </w:t>
      </w:r>
      <w:r w:rsidR="008B13A8" w:rsidRPr="009C4D2A">
        <w:t>an area of the project area that is neither:</w:t>
      </w:r>
    </w:p>
    <w:p w:rsidR="008B13A8" w:rsidRPr="009C4D2A" w:rsidRDefault="008B13A8" w:rsidP="00E17A21">
      <w:pPr>
        <w:pStyle w:val="bullet1"/>
        <w:rPr>
          <w:color w:val="auto"/>
        </w:rPr>
      </w:pPr>
      <w:r w:rsidRPr="009C4D2A">
        <w:rPr>
          <w:color w:val="auto"/>
        </w:rPr>
        <w:t>a clearing buffer; nor</w:t>
      </w:r>
    </w:p>
    <w:p w:rsidR="008B13A8" w:rsidRPr="009C4D2A" w:rsidRDefault="008B13A8" w:rsidP="00E17A21">
      <w:pPr>
        <w:pStyle w:val="bullet1"/>
        <w:rPr>
          <w:color w:val="auto"/>
        </w:rPr>
      </w:pPr>
      <w:r w:rsidRPr="009C4D2A">
        <w:rPr>
          <w:color w:val="auto"/>
        </w:rPr>
        <w:t>a carbon estimation area.</w:t>
      </w:r>
    </w:p>
    <w:p w:rsidR="00E17A21" w:rsidRPr="009C4D2A" w:rsidRDefault="00E17A21" w:rsidP="00E17A21">
      <w:pPr>
        <w:pStyle w:val="EStext"/>
      </w:pPr>
      <w:r w:rsidRPr="009C4D2A">
        <w:t xml:space="preserve">Exclusion areas are considered part of the project area but do not contribute to sequestration and are not included when calculating net abatement for the project. Exclusion areas provide </w:t>
      </w:r>
      <w:r w:rsidRPr="009C4D2A">
        <w:lastRenderedPageBreak/>
        <w:t>proponents a degree of flexibility in managing and maintaining mapping of the project area without requiring an application for a variation to be submitted to the Regulator. The project mechanism is not implemented in exclusion areas.</w:t>
      </w:r>
    </w:p>
    <w:p w:rsidR="009B4A00" w:rsidRPr="009C4D2A" w:rsidRDefault="00EE1197" w:rsidP="00391A4A">
      <w:pPr>
        <w:pStyle w:val="Minorheadingstyle"/>
      </w:pPr>
      <w:r w:rsidRPr="009C4D2A">
        <w:fldChar w:fldCharType="begin"/>
      </w:r>
      <w:bookmarkStart w:id="19" w:name="_Ref410245275"/>
      <w:bookmarkEnd w:id="19"/>
      <w:r w:rsidR="00D16488" w:rsidRPr="009C4D2A">
        <w:instrText xml:space="preserve"> LISTNUM  LegalDefault \l 1 </w:instrText>
      </w:r>
      <w:r w:rsidRPr="009C4D2A">
        <w:fldChar w:fldCharType="end"/>
      </w:r>
      <w:r w:rsidR="009B4A00" w:rsidRPr="009C4D2A">
        <w:tab/>
      </w:r>
      <w:r w:rsidR="00E17A21" w:rsidRPr="009C4D2A">
        <w:t>Remotely-sensed imagery of project area</w:t>
      </w:r>
    </w:p>
    <w:p w:rsidR="00793ADC" w:rsidRPr="009C4D2A" w:rsidRDefault="00793ADC" w:rsidP="00793ADC">
      <w:pPr>
        <w:pStyle w:val="EStext"/>
      </w:pPr>
      <w:r w:rsidRPr="009C4D2A">
        <w:t>Subsection (1) provides that remotely-sensed imagery of the project area must be acquired for the purposes of stratification.</w:t>
      </w:r>
    </w:p>
    <w:p w:rsidR="00793ADC" w:rsidRPr="009C4D2A" w:rsidRDefault="00793ADC" w:rsidP="00793ADC">
      <w:pPr>
        <w:pStyle w:val="EStext"/>
      </w:pPr>
      <w:r w:rsidRPr="009C4D2A">
        <w:t>Subsection (2) provides that the remotely-sensed imagery must be consistent with the requirements of the CFI Mapping Guidelines</w:t>
      </w:r>
      <w:r w:rsidR="003328E1" w:rsidRPr="009C4D2A">
        <w:t>, and corrected for any irregular features</w:t>
      </w:r>
      <w:r w:rsidRPr="009C4D2A">
        <w:t>.</w:t>
      </w:r>
    </w:p>
    <w:p w:rsidR="00793ADC" w:rsidRPr="009C4D2A" w:rsidRDefault="00793ADC" w:rsidP="00793ADC">
      <w:pPr>
        <w:pStyle w:val="EStext"/>
      </w:pPr>
      <w:r w:rsidRPr="009C4D2A">
        <w:t>Subsection (3) provides that the remotely-sensed imagery must be pre-processed in order to correct any irregular feature</w:t>
      </w:r>
      <w:r w:rsidR="003328E1" w:rsidRPr="009C4D2A">
        <w:t xml:space="preserve"> that comprise more than 10</w:t>
      </w:r>
      <w:r w:rsidR="00543313" w:rsidRPr="009C4D2A">
        <w:t xml:space="preserve"> per cent</w:t>
      </w:r>
      <w:r w:rsidR="003328E1" w:rsidRPr="009C4D2A">
        <w:t xml:space="preserve"> of the total area of the carbon estimation area or areas</w:t>
      </w:r>
      <w:r w:rsidRPr="009C4D2A">
        <w:t xml:space="preserve">. </w:t>
      </w:r>
      <w:r w:rsidR="003328E1" w:rsidRPr="009C4D2A">
        <w:t>For example, if more than 10</w:t>
      </w:r>
      <w:r w:rsidR="00543313" w:rsidRPr="009C4D2A">
        <w:t xml:space="preserve"> per cent</w:t>
      </w:r>
      <w:r w:rsidR="003328E1" w:rsidRPr="009C4D2A">
        <w:t xml:space="preserve"> of the carbon estimation area has heavy cloud cover, these areas would need to be delineated from the image and deleted, then filled with data from another image. </w:t>
      </w:r>
      <w:r w:rsidRPr="009C4D2A">
        <w:t>This is necessary to ensure that the land cover assessment conducted in accordance with the next section is accurate.</w:t>
      </w:r>
    </w:p>
    <w:p w:rsidR="003328E1" w:rsidRPr="009C4D2A" w:rsidRDefault="003328E1" w:rsidP="00793ADC">
      <w:pPr>
        <w:pStyle w:val="EStext"/>
      </w:pPr>
      <w:r w:rsidRPr="009C4D2A">
        <w:t xml:space="preserve">Subsection (4) provides </w:t>
      </w:r>
      <w:r w:rsidR="00BC644E" w:rsidRPr="009C4D2A">
        <w:t>examples of what constitutes</w:t>
      </w:r>
      <w:r w:rsidR="000145AA" w:rsidRPr="009C4D2A">
        <w:t xml:space="preserve"> an irregular feature, but it is not an exhaustive list. </w:t>
      </w:r>
    </w:p>
    <w:p w:rsidR="0068474E" w:rsidRPr="009C4D2A" w:rsidRDefault="00EE1197" w:rsidP="00391A4A">
      <w:pPr>
        <w:pStyle w:val="Minorheadingstyle"/>
      </w:pPr>
      <w:r w:rsidRPr="009C4D2A">
        <w:fldChar w:fldCharType="begin"/>
      </w:r>
      <w:bookmarkStart w:id="20" w:name="_Ref410239445"/>
      <w:bookmarkEnd w:id="20"/>
      <w:r w:rsidR="00D16488" w:rsidRPr="009C4D2A">
        <w:instrText xml:space="preserve"> LISTNUM  LegalDefault \l 1 </w:instrText>
      </w:r>
      <w:r w:rsidRPr="009C4D2A">
        <w:fldChar w:fldCharType="end"/>
      </w:r>
      <w:r w:rsidR="0068474E" w:rsidRPr="009C4D2A">
        <w:tab/>
        <w:t>Re</w:t>
      </w:r>
      <w:r w:rsidR="00BD4491" w:rsidRPr="009C4D2A">
        <w:t>-</w:t>
      </w:r>
      <w:r w:rsidR="0068474E" w:rsidRPr="009C4D2A">
        <w:t>stratification of carbon estimation areas</w:t>
      </w:r>
    </w:p>
    <w:p w:rsidR="007249D2" w:rsidRPr="009C4D2A" w:rsidRDefault="007249D2" w:rsidP="003553A2">
      <w:pPr>
        <w:pStyle w:val="EStext"/>
      </w:pPr>
      <w:r w:rsidRPr="009C4D2A">
        <w:t xml:space="preserve">Section </w:t>
      </w:r>
      <w:fldSimple w:instr=" REF _Ref410239445 \r  \* MERGEFORMAT ">
        <w:r w:rsidR="00B506B7" w:rsidRPr="009C4D2A">
          <w:t>23</w:t>
        </w:r>
      </w:fldSimple>
      <w:r w:rsidRPr="009C4D2A">
        <w:t xml:space="preserve"> provides for the re-stratifi</w:t>
      </w:r>
      <w:r w:rsidR="009769F0" w:rsidRPr="009C4D2A">
        <w:t xml:space="preserve">cation of </w:t>
      </w:r>
      <w:r w:rsidR="00650BE7" w:rsidRPr="009C4D2A">
        <w:t>carbon estimation area</w:t>
      </w:r>
      <w:r w:rsidR="008D2883" w:rsidRPr="009C4D2A">
        <w:t>s</w:t>
      </w:r>
      <w:r w:rsidRPr="009C4D2A">
        <w:t>.</w:t>
      </w:r>
    </w:p>
    <w:p w:rsidR="00877514" w:rsidRPr="009C4D2A" w:rsidRDefault="008D2883" w:rsidP="003553A2">
      <w:pPr>
        <w:pStyle w:val="EStext"/>
      </w:pPr>
      <w:r w:rsidRPr="009C4D2A">
        <w:t xml:space="preserve">This section </w:t>
      </w:r>
      <w:r w:rsidR="00A127A5" w:rsidRPr="009C4D2A">
        <w:t xml:space="preserve">provides that, when a disturbance </w:t>
      </w:r>
      <w:r w:rsidRPr="009C4D2A">
        <w:t xml:space="preserve">of sufficient magnitude </w:t>
      </w:r>
      <w:r w:rsidR="00A127A5" w:rsidRPr="009C4D2A">
        <w:t xml:space="preserve">has been detected, the area affected by the disturbance must be re-stratified into a new </w:t>
      </w:r>
      <w:r w:rsidR="00650BE7" w:rsidRPr="009C4D2A">
        <w:t>carbon estimation area</w:t>
      </w:r>
      <w:r w:rsidR="009769F0" w:rsidRPr="009C4D2A">
        <w:t xml:space="preserve"> </w:t>
      </w:r>
      <w:r w:rsidR="00A127A5" w:rsidRPr="009C4D2A">
        <w:t>before the submission of the next offsets report.</w:t>
      </w:r>
    </w:p>
    <w:p w:rsidR="00157C0D" w:rsidRPr="009C4D2A" w:rsidRDefault="00877514" w:rsidP="003553A2">
      <w:pPr>
        <w:pStyle w:val="EStext"/>
      </w:pPr>
      <w:r w:rsidRPr="009C4D2A">
        <w:t>Subsection (3) provides that when an area of disturbance is re-strati</w:t>
      </w:r>
      <w:r w:rsidR="009769F0" w:rsidRPr="009C4D2A">
        <w:t xml:space="preserve">fied, the </w:t>
      </w:r>
      <w:r w:rsidR="00473A08" w:rsidRPr="009C4D2A">
        <w:t>c</w:t>
      </w:r>
      <w:r w:rsidR="00650BE7" w:rsidRPr="009C4D2A">
        <w:t>arbon estimation area</w:t>
      </w:r>
      <w:r w:rsidRPr="009C4D2A">
        <w:t xml:space="preserve"> touching its boundar</w:t>
      </w:r>
      <w:r w:rsidR="009769F0" w:rsidRPr="009C4D2A">
        <w:t xml:space="preserve">ies must be re-stratified too. </w:t>
      </w:r>
      <w:r w:rsidR="00983516" w:rsidRPr="009C4D2A">
        <w:t>In order to prevent</w:t>
      </w:r>
      <w:r w:rsidR="009769F0" w:rsidRPr="009C4D2A">
        <w:t xml:space="preserve"> double-crediting, </w:t>
      </w:r>
      <w:r w:rsidR="00473A08" w:rsidRPr="009C4D2A">
        <w:t>c</w:t>
      </w:r>
      <w:r w:rsidR="00650BE7" w:rsidRPr="009C4D2A">
        <w:t>arbon estimation area</w:t>
      </w:r>
      <w:r w:rsidR="00897D3B" w:rsidRPr="009C4D2A">
        <w:t>s</w:t>
      </w:r>
      <w:r w:rsidRPr="009C4D2A">
        <w:t xml:space="preserve"> must not overlap. </w:t>
      </w:r>
    </w:p>
    <w:p w:rsidR="00157C0D" w:rsidRPr="009C4D2A" w:rsidRDefault="00BD4491" w:rsidP="003553A2">
      <w:pPr>
        <w:pStyle w:val="EStext"/>
      </w:pPr>
      <w:r w:rsidRPr="009C4D2A">
        <w:t xml:space="preserve">The </w:t>
      </w:r>
      <w:r w:rsidR="00366F14" w:rsidRPr="009C4D2A">
        <w:t>Determination</w:t>
      </w:r>
      <w:r w:rsidRPr="009C4D2A">
        <w:t xml:space="preserve"> does not provide for the re-stratification of exclusion areas. This is because exclusion areas do not count towards project abatement. Exclusion areas that become areas of native forest during the crediting period cannot be re-stratified into</w:t>
      </w:r>
      <w:r w:rsidR="009D5EFE" w:rsidRPr="009C4D2A">
        <w:t xml:space="preserve"> </w:t>
      </w:r>
      <w:r w:rsidR="00473A08" w:rsidRPr="009C4D2A">
        <w:t>c</w:t>
      </w:r>
      <w:r w:rsidR="00650BE7" w:rsidRPr="009C4D2A">
        <w:t>arbon estimation area</w:t>
      </w:r>
      <w:r w:rsidR="009D5EFE" w:rsidRPr="009C4D2A">
        <w:t xml:space="preserve"> </w:t>
      </w:r>
      <w:r w:rsidRPr="009C4D2A">
        <w:t xml:space="preserve">because they could not have been </w:t>
      </w:r>
      <w:r w:rsidR="00341626" w:rsidRPr="009C4D2A">
        <w:t xml:space="preserve">cleared in the </w:t>
      </w:r>
      <w:r w:rsidR="00085943" w:rsidRPr="009C4D2A">
        <w:t>baseline</w:t>
      </w:r>
      <w:r w:rsidRPr="009C4D2A">
        <w:t>.</w:t>
      </w:r>
    </w:p>
    <w:p w:rsidR="00BD4491" w:rsidRPr="009C4D2A" w:rsidRDefault="00BD4491" w:rsidP="003553A2">
      <w:pPr>
        <w:pStyle w:val="EStext"/>
      </w:pPr>
      <w:r w:rsidRPr="009C4D2A">
        <w:t xml:space="preserve">Similarly, the </w:t>
      </w:r>
      <w:r w:rsidR="00366F14" w:rsidRPr="009C4D2A">
        <w:t>Determination</w:t>
      </w:r>
      <w:r w:rsidRPr="009C4D2A">
        <w:t xml:space="preserve"> does not provide for the re-stratification of clearing buffers.  Like exclusion areas, clearing buffers are established in r</w:t>
      </w:r>
      <w:r w:rsidR="00341626" w:rsidRPr="009C4D2A">
        <w:t xml:space="preserve">elation to the </w:t>
      </w:r>
      <w:r w:rsidR="00085943" w:rsidRPr="009C4D2A">
        <w:t>baseline</w:t>
      </w:r>
      <w:r w:rsidRPr="009C4D2A">
        <w:t xml:space="preserve"> and do not contribute toward the project abatement.  </w:t>
      </w:r>
    </w:p>
    <w:p w:rsidR="0068474E" w:rsidRPr="009C4D2A" w:rsidRDefault="00EE1197" w:rsidP="00391A4A">
      <w:pPr>
        <w:pStyle w:val="Minorheadingstyle"/>
      </w:pPr>
      <w:r w:rsidRPr="009C4D2A">
        <w:fldChar w:fldCharType="begin"/>
      </w:r>
      <w:bookmarkStart w:id="21" w:name="_Ref409710799"/>
      <w:bookmarkEnd w:id="21"/>
      <w:r w:rsidR="00D16488" w:rsidRPr="009C4D2A">
        <w:instrText xml:space="preserve"> LISTNUM  LegalDefault \l 1 </w:instrText>
      </w:r>
      <w:r w:rsidRPr="009C4D2A">
        <w:fldChar w:fldCharType="end"/>
      </w:r>
      <w:r w:rsidR="00BD4396" w:rsidRPr="009C4D2A">
        <w:tab/>
        <w:t>Strata boundaries</w:t>
      </w:r>
    </w:p>
    <w:p w:rsidR="007436CC" w:rsidRPr="009C4D2A" w:rsidRDefault="00BC045D" w:rsidP="003553A2">
      <w:pPr>
        <w:pStyle w:val="EStext"/>
        <w:rPr>
          <w:u w:val="single"/>
        </w:rPr>
      </w:pPr>
      <w:r w:rsidRPr="009C4D2A">
        <w:t>Section </w:t>
      </w:r>
      <w:fldSimple w:instr=" REF _Ref409710799 \r  \* MERGEFORMAT ">
        <w:r w:rsidR="00B506B7" w:rsidRPr="009C4D2A">
          <w:t>24</w:t>
        </w:r>
      </w:fldSimple>
      <w:r w:rsidRPr="009C4D2A">
        <w:t xml:space="preserve"> </w:t>
      </w:r>
      <w:r w:rsidR="007436CC" w:rsidRPr="009C4D2A">
        <w:t xml:space="preserve">provides that the geographic boundaries of each </w:t>
      </w:r>
      <w:r w:rsidR="00650BE7" w:rsidRPr="009C4D2A">
        <w:t>carbon estimation area</w:t>
      </w:r>
      <w:r w:rsidR="007436CC" w:rsidRPr="009C4D2A">
        <w:t>, exclusion are</w:t>
      </w:r>
      <w:r w:rsidR="00D808F5" w:rsidRPr="009C4D2A">
        <w:t>a and clearing buffer</w:t>
      </w:r>
      <w:r w:rsidR="007436CC" w:rsidRPr="009C4D2A">
        <w:t xml:space="preserve"> in the project area must be identified on a geospatial map in accordance with the CFI Mapping Guidelines. The</w:t>
      </w:r>
      <w:r w:rsidR="006310FA" w:rsidRPr="009C4D2A">
        <w:t xml:space="preserve"> strata</w:t>
      </w:r>
      <w:r w:rsidR="007436CC" w:rsidRPr="009C4D2A">
        <w:t xml:space="preserve"> map does </w:t>
      </w:r>
      <w:r w:rsidR="007436CC" w:rsidRPr="009C4D2A">
        <w:rPr>
          <w:i/>
        </w:rPr>
        <w:t>not</w:t>
      </w:r>
      <w:r w:rsidR="007436CC" w:rsidRPr="009C4D2A">
        <w:t xml:space="preserve"> have to be submitted with an application </w:t>
      </w:r>
      <w:r w:rsidR="006310FA" w:rsidRPr="009C4D2A">
        <w:t>for a</w:t>
      </w:r>
      <w:r w:rsidR="00436D57" w:rsidRPr="009C4D2A">
        <w:t>n</w:t>
      </w:r>
      <w:r w:rsidR="006310FA" w:rsidRPr="009C4D2A">
        <w:t xml:space="preserve"> eligible offsets project </w:t>
      </w:r>
      <w:r w:rsidR="007436CC" w:rsidRPr="009C4D2A">
        <w:t>under subsection 22(1) of the Act.</w:t>
      </w:r>
    </w:p>
    <w:p w:rsidR="00D05F5A" w:rsidRPr="009C4D2A" w:rsidRDefault="00BC045D" w:rsidP="00391A4A">
      <w:pPr>
        <w:pStyle w:val="Majorheadingstyle"/>
        <w:rPr>
          <w:rFonts w:eastAsia="Calibri"/>
          <w:lang w:eastAsia="en-US"/>
        </w:rPr>
      </w:pPr>
      <w:r w:rsidRPr="009C4D2A">
        <w:rPr>
          <w:rFonts w:eastAsia="Calibri"/>
          <w:lang w:eastAsia="en-US"/>
        </w:rPr>
        <w:lastRenderedPageBreak/>
        <w:t>Division 3—</w:t>
      </w:r>
      <w:r w:rsidR="00085943" w:rsidRPr="009C4D2A">
        <w:rPr>
          <w:rFonts w:eastAsia="Calibri"/>
          <w:lang w:eastAsia="en-US"/>
        </w:rPr>
        <w:t>Baseline</w:t>
      </w:r>
      <w:r w:rsidRPr="009C4D2A">
        <w:rPr>
          <w:rFonts w:eastAsia="Calibri"/>
          <w:lang w:eastAsia="en-US"/>
        </w:rPr>
        <w:t xml:space="preserve"> deforestation plan</w:t>
      </w:r>
    </w:p>
    <w:p w:rsidR="00BC045D" w:rsidRPr="009C4D2A" w:rsidRDefault="00EE1197" w:rsidP="00BC045D">
      <w:pPr>
        <w:pStyle w:val="Minorheadingstyle"/>
      </w:pPr>
      <w:r w:rsidRPr="009C4D2A">
        <w:fldChar w:fldCharType="begin"/>
      </w:r>
      <w:r w:rsidR="00BC045D" w:rsidRPr="009C4D2A">
        <w:instrText xml:space="preserve"> LISTNUM  LegalDefault \l 1 </w:instrText>
      </w:r>
      <w:r w:rsidRPr="009C4D2A">
        <w:fldChar w:fldCharType="end"/>
      </w:r>
      <w:r w:rsidR="00BC045D" w:rsidRPr="009C4D2A">
        <w:tab/>
        <w:t>Baseline deforestation plan</w:t>
      </w:r>
    </w:p>
    <w:p w:rsidR="000145AA" w:rsidRPr="009C4D2A" w:rsidRDefault="00BC045D" w:rsidP="00672E86">
      <w:pPr>
        <w:pStyle w:val="EStext"/>
      </w:pPr>
      <w:r w:rsidRPr="009C4D2A">
        <w:t>Subsection (1) provides that a deforestation plan must be prepared in relation to the project area (the ‘baseline deforestation plan’).</w:t>
      </w:r>
      <w:r w:rsidR="00224BA3" w:rsidRPr="009C4D2A">
        <w:t xml:space="preserve"> </w:t>
      </w:r>
      <w:r w:rsidRPr="009C4D2A">
        <w:t xml:space="preserve">The </w:t>
      </w:r>
      <w:r w:rsidR="00224BA3" w:rsidRPr="009C4D2A">
        <w:t xml:space="preserve">baseline </w:t>
      </w:r>
      <w:r w:rsidRPr="009C4D2A">
        <w:t>deforestation plan describes what would have occurred in the project area if the project proponent were not protecting the native forest. The deforestation plan corresponds to the activities permitted and/or prohibited by the clearing consent.</w:t>
      </w:r>
      <w:r w:rsidR="000145AA" w:rsidRPr="009C4D2A">
        <w:t xml:space="preserve"> </w:t>
      </w:r>
    </w:p>
    <w:p w:rsidR="00672E86" w:rsidRPr="009C4D2A" w:rsidRDefault="00BC045D" w:rsidP="00672E86">
      <w:pPr>
        <w:pStyle w:val="EStext"/>
      </w:pPr>
      <w:r w:rsidRPr="009C4D2A">
        <w:t>Subsection (</w:t>
      </w:r>
      <w:r w:rsidR="00224BA3" w:rsidRPr="009C4D2A">
        <w:t>2</w:t>
      </w:r>
      <w:r w:rsidRPr="009C4D2A">
        <w:t xml:space="preserve">) sets out the required content of the deforestation plan. </w:t>
      </w:r>
      <w:r w:rsidR="00672E86" w:rsidRPr="009C4D2A">
        <w:t>Paragraph (a) provides that the deforestation plan must detail the alternative land use for each</w:t>
      </w:r>
      <w:r w:rsidR="00B23120" w:rsidRPr="009C4D2A">
        <w:t xml:space="preserve"> area that is not being cleared due to the project. Paragraph (b) provides that </w:t>
      </w:r>
      <w:r w:rsidR="0070158E">
        <w:t xml:space="preserve">the </w:t>
      </w:r>
      <w:r w:rsidR="00B23120" w:rsidRPr="009C4D2A">
        <w:t>deforestation plan</w:t>
      </w:r>
      <w:r w:rsidR="0070158E">
        <w:t xml:space="preserve"> must</w:t>
      </w:r>
      <w:r w:rsidR="00B23120" w:rsidRPr="009C4D2A">
        <w:t xml:space="preserve"> incl</w:t>
      </w:r>
      <w:r w:rsidR="0070158E">
        <w:t>ude</w:t>
      </w:r>
      <w:r w:rsidR="006347F0" w:rsidRPr="009C4D2A">
        <w:t xml:space="preserve"> the spatial extent of each of the</w:t>
      </w:r>
      <w:r w:rsidR="00C3104E" w:rsidRPr="009C4D2A">
        <w:t xml:space="preserve"> listed</w:t>
      </w:r>
      <w:r w:rsidR="006347F0" w:rsidRPr="009C4D2A">
        <w:t xml:space="preserve"> project characteristics</w:t>
      </w:r>
      <w:r w:rsidR="00B23120" w:rsidRPr="009C4D2A">
        <w:t>.</w:t>
      </w:r>
      <w:r w:rsidR="006347F0" w:rsidRPr="009C4D2A">
        <w:t xml:space="preserve"> The spatial extent refers to the geographic area associated with each project characteristic</w:t>
      </w:r>
      <w:r w:rsidR="00C3104E" w:rsidRPr="009C4D2A">
        <w:t xml:space="preserve">, and should </w:t>
      </w:r>
      <w:r w:rsidR="008A4634" w:rsidRPr="009C4D2A">
        <w:t>include</w:t>
      </w:r>
      <w:r w:rsidR="00C3104E" w:rsidRPr="009C4D2A">
        <w:t xml:space="preserve"> the location and area of each characteristic.</w:t>
      </w:r>
      <w:r w:rsidR="00B23120" w:rsidRPr="009C4D2A">
        <w:t xml:space="preserve"> </w:t>
      </w:r>
      <w:r w:rsidR="00672E86" w:rsidRPr="009C4D2A">
        <w:t>Paragraph (c) provides that the deforestation plan must detail any requirements to not clear certain kinds of tree, this maybe a particular species or a tree above a certain size. These kinds of trees are defined as non-project trees. Paragraph (d) provides that the deforestation plan must include an estimate of the canopy cover had the authorised clearing occurred. Canopy cover is the percentage of the area that is c</w:t>
      </w:r>
      <w:r w:rsidR="0084569D">
        <w:t xml:space="preserve">overed by the canopy of trees. </w:t>
      </w:r>
      <w:r w:rsidR="00672E86" w:rsidRPr="009C4D2A">
        <w:t xml:space="preserve">This estimate can be gained by multiplying the estimate of the average number of non-project trees per hectare for a carbon estimation area by the expected canopy cover of each individual non-project tree (in square metres), and dividing this by 10,000 (the number of square metres in a hectare). </w:t>
      </w:r>
    </w:p>
    <w:p w:rsidR="00BC045D" w:rsidRPr="009C4D2A" w:rsidRDefault="00BC045D" w:rsidP="00BC045D">
      <w:pPr>
        <w:pStyle w:val="EStext"/>
      </w:pPr>
      <w:r w:rsidRPr="009C4D2A">
        <w:t>Subsection (</w:t>
      </w:r>
      <w:r w:rsidR="00224BA3" w:rsidRPr="009C4D2A">
        <w:t>3</w:t>
      </w:r>
      <w:r w:rsidRPr="009C4D2A">
        <w:t>) provides that the content of the deforestation plan must be represented spatially,</w:t>
      </w:r>
      <w:r w:rsidR="00C3104E" w:rsidRPr="009C4D2A">
        <w:t xml:space="preserve"> as in a map,</w:t>
      </w:r>
      <w:r w:rsidRPr="009C4D2A">
        <w:t xml:space="preserve"> in accordance with the CFI Mapping Guidelines.</w:t>
      </w:r>
    </w:p>
    <w:p w:rsidR="00BC045D" w:rsidRPr="009C4D2A" w:rsidRDefault="00224BA3" w:rsidP="00224BA3">
      <w:pPr>
        <w:pStyle w:val="Majorheadingstyle"/>
      </w:pPr>
      <w:r w:rsidRPr="009C4D2A">
        <w:t>Division 4—Net abatement amount</w:t>
      </w:r>
    </w:p>
    <w:p w:rsidR="00224BA3" w:rsidRPr="009C4D2A" w:rsidRDefault="00224BA3" w:rsidP="00224BA3">
      <w:pPr>
        <w:pStyle w:val="Majorheadingstyle"/>
      </w:pPr>
      <w:r w:rsidRPr="009C4D2A">
        <w:t>Subdivision 1—Allometric equations</w:t>
      </w:r>
    </w:p>
    <w:p w:rsidR="00BB700F" w:rsidRPr="009C4D2A" w:rsidRDefault="00BB700F" w:rsidP="00BB700F">
      <w:pPr>
        <w:pStyle w:val="EStext"/>
      </w:pPr>
      <w:r w:rsidRPr="009C4D2A">
        <w:t>Subdivision 1 of Division 4 sets out the process for developing or validating allometric equations in order to calculate the biomass in the project area. Allometric equations are used to estimate biomass from one or more non-destructive measures such as the diameter of the trunk at 1.3 metres (diameter at breast height). Different equations give different estimates for biomass because each one is designed for a specific range of variables including the type of forest and climate.</w:t>
      </w:r>
    </w:p>
    <w:p w:rsidR="00D05F5A" w:rsidRPr="009C4D2A" w:rsidRDefault="00EE1197" w:rsidP="00391A4A">
      <w:pPr>
        <w:pStyle w:val="Minorheadingstyle"/>
      </w:pPr>
      <w:r w:rsidRPr="009C4D2A">
        <w:fldChar w:fldCharType="begin"/>
      </w:r>
      <w:bookmarkStart w:id="22" w:name="_Ref410239942"/>
      <w:bookmarkEnd w:id="22"/>
      <w:r w:rsidR="00D16488" w:rsidRPr="009C4D2A">
        <w:instrText xml:space="preserve"> LISTNUM  LegalDefault \l 1 </w:instrText>
      </w:r>
      <w:r w:rsidRPr="009C4D2A">
        <w:fldChar w:fldCharType="end"/>
      </w:r>
      <w:r w:rsidR="00D62F1D" w:rsidRPr="009C4D2A">
        <w:tab/>
      </w:r>
      <w:r w:rsidR="00224BA3" w:rsidRPr="009C4D2A">
        <w:t>Allometric equations to be validated or developed</w:t>
      </w:r>
    </w:p>
    <w:p w:rsidR="001847B0" w:rsidRPr="009C4D2A" w:rsidRDefault="00717ECB" w:rsidP="003553A2">
      <w:pPr>
        <w:pStyle w:val="EStext"/>
      </w:pPr>
      <w:r w:rsidRPr="009C4D2A">
        <w:t xml:space="preserve">Section </w:t>
      </w:r>
      <w:fldSimple w:instr=" REF _Ref410239942 \r  \* MERGEFORMAT ">
        <w:r w:rsidR="00B506B7" w:rsidRPr="009C4D2A">
          <w:t>26</w:t>
        </w:r>
      </w:fldSimple>
      <w:r w:rsidRPr="009C4D2A">
        <w:t xml:space="preserve"> provides </w:t>
      </w:r>
      <w:r w:rsidR="00ED357B" w:rsidRPr="009C4D2A">
        <w:t xml:space="preserve">that for each tree species or group of species for which an allometric equation will be applied, </w:t>
      </w:r>
      <w:r w:rsidR="00CE684A" w:rsidRPr="009C4D2A">
        <w:t>an</w:t>
      </w:r>
      <w:r w:rsidR="00ED357B" w:rsidRPr="009C4D2A">
        <w:t xml:space="preserve"> allometric equation must have been developed or validated in accordance with this section.</w:t>
      </w:r>
      <w:r w:rsidR="00F57B50" w:rsidRPr="009C4D2A">
        <w:t xml:space="preserve"> </w:t>
      </w:r>
      <w:r w:rsidR="00F41DF6" w:rsidRPr="009C4D2A">
        <w:t xml:space="preserve">A species refers to a single species, such as </w:t>
      </w:r>
      <w:r w:rsidR="00F41DF6" w:rsidRPr="009C4D2A">
        <w:rPr>
          <w:i/>
        </w:rPr>
        <w:t xml:space="preserve">Callitris endlicheri, </w:t>
      </w:r>
      <w:r w:rsidR="00F41DF6" w:rsidRPr="009C4D2A">
        <w:t>whereas a</w:t>
      </w:r>
      <w:r w:rsidR="00F41DF6" w:rsidRPr="009C4D2A">
        <w:rPr>
          <w:i/>
        </w:rPr>
        <w:t xml:space="preserve"> </w:t>
      </w:r>
      <w:r w:rsidR="00F41DF6" w:rsidRPr="009C4D2A">
        <w:t xml:space="preserve">species group refers to a collection of species </w:t>
      </w:r>
      <w:r w:rsidR="00722AEB" w:rsidRPr="009C4D2A">
        <w:t>that have the same growth form</w:t>
      </w:r>
      <w:r w:rsidR="00F41DF6" w:rsidRPr="009C4D2A">
        <w:t xml:space="preserve">. </w:t>
      </w:r>
      <w:r w:rsidRPr="009C4D2A">
        <w:t>Project proponents can validate existing equations or develop new ones provided</w:t>
      </w:r>
      <w:r w:rsidR="00F57B50" w:rsidRPr="009C4D2A">
        <w:t xml:space="preserve"> that they too are validated. </w:t>
      </w:r>
      <w:r w:rsidRPr="009C4D2A">
        <w:t xml:space="preserve">The process for developing a new equation is set out in sections </w:t>
      </w:r>
      <w:fldSimple w:instr=" REF _Ref410240006 \r  \* MERGEFORMAT ">
        <w:r w:rsidR="00B506B7" w:rsidRPr="009C4D2A">
          <w:t>27</w:t>
        </w:r>
      </w:fldSimple>
      <w:r w:rsidRPr="009C4D2A">
        <w:t xml:space="preserve"> to </w:t>
      </w:r>
      <w:fldSimple w:instr=" REF _Ref410240055 \r  \* MERGEFORMAT ">
        <w:r w:rsidR="00B506B7" w:rsidRPr="009C4D2A">
          <w:t>39</w:t>
        </w:r>
      </w:fldSimple>
      <w:r w:rsidRPr="009C4D2A">
        <w:t xml:space="preserve">.  Paragraph </w:t>
      </w:r>
      <w:r w:rsidR="0010747D" w:rsidRPr="009C4D2A">
        <w:t>(2)</w:t>
      </w:r>
      <w:r w:rsidRPr="009C4D2A">
        <w:t>(b) sets out the requirem</w:t>
      </w:r>
      <w:r w:rsidR="00706364" w:rsidRPr="009C4D2A">
        <w:t>ents that an existing</w:t>
      </w:r>
      <w:r w:rsidRPr="009C4D2A">
        <w:t xml:space="preserve"> equation must meet if it is to be </w:t>
      </w:r>
      <w:r w:rsidRPr="009C4D2A">
        <w:lastRenderedPageBreak/>
        <w:t>validated under th</w:t>
      </w:r>
      <w:r w:rsidR="00656317" w:rsidRPr="009C4D2A">
        <w:t>e</w:t>
      </w:r>
      <w:r w:rsidRPr="009C4D2A">
        <w:t xml:space="preserve"> </w:t>
      </w:r>
      <w:r w:rsidR="0010747D" w:rsidRPr="009C4D2A">
        <w:t>Determination</w:t>
      </w:r>
      <w:r w:rsidRPr="009C4D2A">
        <w:t>. Validation ensures that carbon stocks in the project area are correctly accounted</w:t>
      </w:r>
      <w:r w:rsidR="0010747D" w:rsidRPr="009C4D2A">
        <w:t xml:space="preserve"> for</w:t>
      </w:r>
      <w:r w:rsidRPr="009C4D2A">
        <w:t>.</w:t>
      </w:r>
      <w:r w:rsidR="00374D3C" w:rsidRPr="009C4D2A">
        <w:t xml:space="preserve"> </w:t>
      </w:r>
      <w:r w:rsidR="009C75CE" w:rsidRPr="009C4D2A">
        <w:t xml:space="preserve">While the project </w:t>
      </w:r>
      <w:r w:rsidR="00374D3C" w:rsidRPr="009C4D2A">
        <w:t>proponent</w:t>
      </w:r>
      <w:r w:rsidR="009C75CE" w:rsidRPr="009C4D2A">
        <w:t xml:space="preserve"> does</w:t>
      </w:r>
      <w:r w:rsidR="00374D3C" w:rsidRPr="009C4D2A">
        <w:t xml:space="preserve"> not</w:t>
      </w:r>
      <w:r w:rsidR="00A22BF6" w:rsidRPr="009C4D2A">
        <w:t xml:space="preserve"> have to</w:t>
      </w:r>
      <w:r w:rsidR="00374D3C" w:rsidRPr="009C4D2A">
        <w:t xml:space="preserve"> develop an allometric equation for </w:t>
      </w:r>
      <w:r w:rsidR="009C75CE" w:rsidRPr="009C4D2A">
        <w:t xml:space="preserve">all </w:t>
      </w:r>
      <w:r w:rsidR="00374D3C" w:rsidRPr="009C4D2A">
        <w:t>tree species all trees within a plot must be measured in accordance with section</w:t>
      </w:r>
      <w:r w:rsidR="00CE684A" w:rsidRPr="009C4D2A">
        <w:t>s</w:t>
      </w:r>
      <w:r w:rsidR="00374D3C" w:rsidRPr="009C4D2A">
        <w:t xml:space="preserve"> </w:t>
      </w:r>
      <w:fldSimple w:instr=" REF _Ref410240206 \r  \* MERGEFORMAT ">
        <w:r w:rsidR="00B506B7" w:rsidRPr="009C4D2A">
          <w:t>46</w:t>
        </w:r>
      </w:fldSimple>
      <w:r w:rsidR="00374D3C" w:rsidRPr="009C4D2A">
        <w:t xml:space="preserve"> and </w:t>
      </w:r>
      <w:fldSimple w:instr=" REF _Ref410240208 \r  \* MERGEFORMAT ">
        <w:r w:rsidR="00B506B7" w:rsidRPr="009C4D2A">
          <w:t>47</w:t>
        </w:r>
      </w:fldSimple>
      <w:r w:rsidR="00374D3C" w:rsidRPr="009C4D2A">
        <w:t xml:space="preserve">. </w:t>
      </w:r>
    </w:p>
    <w:p w:rsidR="005D4A67" w:rsidRPr="009C4D2A" w:rsidRDefault="00EE1197" w:rsidP="00391A4A">
      <w:pPr>
        <w:pStyle w:val="Minorheadingstyle"/>
      </w:pPr>
      <w:r w:rsidRPr="009C4D2A">
        <w:fldChar w:fldCharType="begin"/>
      </w:r>
      <w:bookmarkStart w:id="23" w:name="_Ref410240006"/>
      <w:bookmarkEnd w:id="23"/>
      <w:r w:rsidR="00D16488" w:rsidRPr="009C4D2A">
        <w:instrText xml:space="preserve"> LISTNUM  LegalDefault \l 1 </w:instrText>
      </w:r>
      <w:r w:rsidRPr="009C4D2A">
        <w:fldChar w:fldCharType="end"/>
      </w:r>
      <w:r w:rsidR="005D4A67" w:rsidRPr="009C4D2A">
        <w:tab/>
        <w:t>Validating or developing allometric equations</w:t>
      </w:r>
    </w:p>
    <w:p w:rsidR="005D4A67" w:rsidRPr="009C4D2A" w:rsidRDefault="005D4A67" w:rsidP="003553A2">
      <w:pPr>
        <w:pStyle w:val="EStext"/>
      </w:pPr>
      <w:r w:rsidRPr="009C4D2A">
        <w:t xml:space="preserve">Section </w:t>
      </w:r>
      <w:fldSimple w:instr=" REF _Ref410240006 \r  \* MERGEFORMAT ">
        <w:r w:rsidR="00B506B7" w:rsidRPr="009C4D2A">
          <w:t>27</w:t>
        </w:r>
      </w:fldSimple>
      <w:r w:rsidRPr="009C4D2A">
        <w:t xml:space="preserve"> provides that each allometric equation must be validated or developed using destructive sampling by carrying out the steps specified in </w:t>
      </w:r>
      <w:r w:rsidR="00EB5362" w:rsidRPr="009C4D2A">
        <w:t xml:space="preserve">the present </w:t>
      </w:r>
      <w:r w:rsidR="00560C6D" w:rsidRPr="009C4D2A">
        <w:t>Subdivision</w:t>
      </w:r>
      <w:r w:rsidRPr="009C4D2A">
        <w:t>.</w:t>
      </w:r>
    </w:p>
    <w:p w:rsidR="00717ECB" w:rsidRPr="009C4D2A" w:rsidRDefault="00EE1197" w:rsidP="00391A4A">
      <w:pPr>
        <w:pStyle w:val="Minorheadingstyle"/>
      </w:pPr>
      <w:r w:rsidRPr="009C4D2A">
        <w:fldChar w:fldCharType="begin"/>
      </w:r>
      <w:r w:rsidR="00D16488" w:rsidRPr="009C4D2A">
        <w:instrText xml:space="preserve"> LISTNUM  LegalDefault \l 1 </w:instrText>
      </w:r>
      <w:r w:rsidRPr="009C4D2A">
        <w:fldChar w:fldCharType="end"/>
      </w:r>
      <w:r w:rsidR="005F2AC8" w:rsidRPr="009C4D2A">
        <w:tab/>
        <w:t>Step 1—Scope of allometry</w:t>
      </w:r>
    </w:p>
    <w:p w:rsidR="005F2AC8" w:rsidRPr="009C4D2A" w:rsidRDefault="005F2AC8" w:rsidP="003553A2">
      <w:pPr>
        <w:pStyle w:val="EStext"/>
      </w:pPr>
      <w:r w:rsidRPr="009C4D2A">
        <w:t>Subsection (1) provides that allometric equations developed or validated apply only to the above-ground biomass of the nati</w:t>
      </w:r>
      <w:r w:rsidR="00F57B50" w:rsidRPr="009C4D2A">
        <w:t xml:space="preserve">ve forest in the project area. </w:t>
      </w:r>
      <w:r w:rsidR="005B396B" w:rsidRPr="009C4D2A">
        <w:t xml:space="preserve">A note refers to section </w:t>
      </w:r>
      <w:fldSimple w:instr=" REF _Ref410240319 \r  \* MERGEFORMAT ">
        <w:r w:rsidR="00B506B7" w:rsidRPr="009C4D2A">
          <w:t>41</w:t>
        </w:r>
      </w:fldSimple>
      <w:r w:rsidRPr="009C4D2A">
        <w:t>, which provides that below-ground biomass is determined using prescribed root:shoot ratios.</w:t>
      </w:r>
    </w:p>
    <w:p w:rsidR="005F2AC8" w:rsidRPr="009C4D2A" w:rsidRDefault="005F2AC8" w:rsidP="003553A2">
      <w:pPr>
        <w:pStyle w:val="EStext"/>
      </w:pPr>
      <w:r w:rsidRPr="009C4D2A">
        <w:t>Subsection (2) provides that an allometric equation may be applied only within its allometric domain.</w:t>
      </w:r>
    </w:p>
    <w:p w:rsidR="005F2AC8" w:rsidRPr="009C4D2A" w:rsidRDefault="00EE1197" w:rsidP="00391A4A">
      <w:pPr>
        <w:pStyle w:val="Minorheadingstyle"/>
      </w:pPr>
      <w:r w:rsidRPr="009C4D2A">
        <w:fldChar w:fldCharType="begin"/>
      </w:r>
      <w:bookmarkStart w:id="24" w:name="_Ref410240449"/>
      <w:bookmarkEnd w:id="24"/>
      <w:r w:rsidR="00D16488" w:rsidRPr="009C4D2A">
        <w:instrText xml:space="preserve"> LISTNUM  LegalDefault \l 1 </w:instrText>
      </w:r>
      <w:r w:rsidRPr="009C4D2A">
        <w:fldChar w:fldCharType="end"/>
      </w:r>
      <w:r w:rsidR="005F2AC8" w:rsidRPr="009C4D2A">
        <w:tab/>
        <w:t xml:space="preserve">Step 2—Determination of allometric domains </w:t>
      </w:r>
    </w:p>
    <w:p w:rsidR="00717ECB" w:rsidRPr="009C4D2A" w:rsidRDefault="005F2AC8" w:rsidP="003553A2">
      <w:pPr>
        <w:pStyle w:val="EStext"/>
      </w:pPr>
      <w:r w:rsidRPr="009C4D2A">
        <w:t xml:space="preserve">Subsection (1) defines ‘allometric domain’ as describing the specific conditions under which an allometric equation is likely to apply because the </w:t>
      </w:r>
      <w:r w:rsidR="00AE300B" w:rsidRPr="009C4D2A">
        <w:t>conditions</w:t>
      </w:r>
      <w:r w:rsidRPr="009C4D2A">
        <w:t xml:space="preserve"> th</w:t>
      </w:r>
      <w:r w:rsidR="00E33C37" w:rsidRPr="009C4D2A">
        <w:t xml:space="preserve">at underpin it are </w:t>
      </w:r>
      <w:r w:rsidRPr="009C4D2A">
        <w:t>satisfied.</w:t>
      </w:r>
      <w:r w:rsidR="00F57B50" w:rsidRPr="009C4D2A">
        <w:t xml:space="preserve"> </w:t>
      </w:r>
      <w:r w:rsidR="00A553BC" w:rsidRPr="009C4D2A">
        <w:t>An allometric domain may apply to a s</w:t>
      </w:r>
      <w:r w:rsidR="00E33C37" w:rsidRPr="009C4D2A">
        <w:t>ingle species or group of species</w:t>
      </w:r>
      <w:r w:rsidR="00A553BC" w:rsidRPr="009C4D2A">
        <w:t>.</w:t>
      </w:r>
    </w:p>
    <w:p w:rsidR="00A553BC" w:rsidRPr="009C4D2A" w:rsidRDefault="00A553BC" w:rsidP="003553A2">
      <w:pPr>
        <w:pStyle w:val="EStext"/>
      </w:pPr>
      <w:r w:rsidRPr="009C4D2A">
        <w:t>Subsection (2) provides that an allometric doma</w:t>
      </w:r>
      <w:r w:rsidR="00F10BD3" w:rsidRPr="009C4D2A">
        <w:t>in must be defined for</w:t>
      </w:r>
      <w:r w:rsidRPr="009C4D2A">
        <w:t xml:space="preserve"> each allometric equation.</w:t>
      </w:r>
    </w:p>
    <w:p w:rsidR="00A553BC" w:rsidRPr="009C4D2A" w:rsidRDefault="00A553BC" w:rsidP="003553A2">
      <w:pPr>
        <w:pStyle w:val="EStext"/>
      </w:pPr>
      <w:r w:rsidRPr="009C4D2A">
        <w:t>Subsection (3) sets out the requirements for defining an allometric domain.</w:t>
      </w:r>
      <w:r w:rsidR="00B4252A" w:rsidRPr="009C4D2A">
        <w:t xml:space="preserve"> For example, an allometric domain may include:</w:t>
      </w:r>
    </w:p>
    <w:p w:rsidR="00404374" w:rsidRPr="009C4D2A" w:rsidRDefault="00404374" w:rsidP="00404374">
      <w:pPr>
        <w:pStyle w:val="EStext"/>
        <w:spacing w:before="120"/>
        <w:rPr>
          <w:i/>
        </w:rPr>
      </w:pPr>
      <w:r w:rsidRPr="009C4D2A">
        <w:t xml:space="preserve">Reference: </w:t>
      </w:r>
      <w:r w:rsidRPr="009C4D2A">
        <w:rPr>
          <w:i/>
        </w:rPr>
        <w:t xml:space="preserve">C. endlicheri </w:t>
      </w:r>
      <w:r w:rsidRPr="009C4D2A">
        <w:t>1</w:t>
      </w:r>
    </w:p>
    <w:p w:rsidR="00B4252A" w:rsidRPr="009C4D2A" w:rsidRDefault="00B4252A" w:rsidP="00B4252A">
      <w:pPr>
        <w:pStyle w:val="EStext"/>
        <w:spacing w:before="120"/>
        <w:rPr>
          <w:i/>
        </w:rPr>
      </w:pPr>
      <w:r w:rsidRPr="009C4D2A">
        <w:t xml:space="preserve">Species: </w:t>
      </w:r>
      <w:r w:rsidRPr="009C4D2A">
        <w:rPr>
          <w:i/>
        </w:rPr>
        <w:t>Callitris endlicheri</w:t>
      </w:r>
    </w:p>
    <w:p w:rsidR="00B4252A" w:rsidRPr="009C4D2A" w:rsidRDefault="00B4252A" w:rsidP="00B4252A">
      <w:pPr>
        <w:pStyle w:val="EStext"/>
        <w:spacing w:before="120"/>
      </w:pPr>
      <w:r w:rsidRPr="009C4D2A">
        <w:t>Form: Single stem tree form</w:t>
      </w:r>
    </w:p>
    <w:p w:rsidR="00B4252A" w:rsidRPr="009C4D2A" w:rsidRDefault="00B4252A" w:rsidP="00B4252A">
      <w:pPr>
        <w:pStyle w:val="EStext"/>
        <w:spacing w:before="120"/>
      </w:pPr>
      <w:r w:rsidRPr="009C4D2A">
        <w:t>Measurement range: DBH 3.5cm-15cm</w:t>
      </w:r>
    </w:p>
    <w:p w:rsidR="004D6D43" w:rsidRPr="009C4D2A" w:rsidRDefault="00A553BC" w:rsidP="003553A2">
      <w:pPr>
        <w:pStyle w:val="EStext"/>
      </w:pPr>
      <w:r w:rsidRPr="009C4D2A">
        <w:t xml:space="preserve">Subsection (4) </w:t>
      </w:r>
      <w:r w:rsidR="007D5F37" w:rsidRPr="009C4D2A">
        <w:t>requires that if a new allometric equation is developed, the spatial extent of the equation must be specified</w:t>
      </w:r>
      <w:r w:rsidR="00656317" w:rsidRPr="009C4D2A">
        <w:t>.</w:t>
      </w:r>
      <w:r w:rsidR="00897D3B" w:rsidRPr="009C4D2A">
        <w:t xml:space="preserve"> That is, the geographic area for which the allometric equation is likely to apply. This may be defined by a number of </w:t>
      </w:r>
      <w:r w:rsidR="003359D3" w:rsidRPr="009C4D2A">
        <w:t xml:space="preserve">site </w:t>
      </w:r>
      <w:r w:rsidR="00404374" w:rsidRPr="009C4D2A">
        <w:t>factors such as soil type and</w:t>
      </w:r>
      <w:r w:rsidR="00897D3B" w:rsidRPr="009C4D2A">
        <w:t xml:space="preserve"> annual rainfall</w:t>
      </w:r>
      <w:r w:rsidR="003359D3" w:rsidRPr="009C4D2A">
        <w:t xml:space="preserve">. </w:t>
      </w:r>
    </w:p>
    <w:p w:rsidR="004D6D43" w:rsidRPr="009C4D2A" w:rsidRDefault="004D6D43" w:rsidP="003553A2">
      <w:pPr>
        <w:pStyle w:val="EStext"/>
      </w:pPr>
      <w:r w:rsidRPr="009C4D2A">
        <w:t xml:space="preserve">Subsection (5) </w:t>
      </w:r>
      <w:r w:rsidR="007D5F37" w:rsidRPr="009C4D2A">
        <w:t>requires that if a pre-existing allometric equation is to be validated, the spatial extent of the equation must be specified if it has previously been defined for the equation.</w:t>
      </w:r>
    </w:p>
    <w:p w:rsidR="00466E18" w:rsidRPr="009C4D2A" w:rsidRDefault="004D6D43" w:rsidP="003553A2">
      <w:pPr>
        <w:pStyle w:val="EStext"/>
      </w:pPr>
      <w:r w:rsidRPr="009C4D2A">
        <w:t>Subsection (6)</w:t>
      </w:r>
      <w:r w:rsidR="006310FA" w:rsidRPr="009C4D2A">
        <w:t xml:space="preserve"> </w:t>
      </w:r>
      <w:r w:rsidR="00A553BC" w:rsidRPr="009C4D2A">
        <w:t>sets out additional requirements for defining an allom</w:t>
      </w:r>
      <w:r w:rsidR="00E33C37" w:rsidRPr="009C4D2A">
        <w:t>etric domain for a group of species</w:t>
      </w:r>
      <w:r w:rsidR="00A553BC" w:rsidRPr="009C4D2A">
        <w:t>. Additional guidance for developing allometric equations for groups</w:t>
      </w:r>
      <w:r w:rsidR="00E33C37" w:rsidRPr="009C4D2A">
        <w:t xml:space="preserve"> of species</w:t>
      </w:r>
      <w:r w:rsidR="00A553BC" w:rsidRPr="009C4D2A">
        <w:t xml:space="preserve"> may be found in</w:t>
      </w:r>
      <w:r w:rsidR="00466E18" w:rsidRPr="009C4D2A">
        <w:t>:</w:t>
      </w:r>
    </w:p>
    <w:p w:rsidR="00A553BC" w:rsidRPr="009C4D2A" w:rsidRDefault="0051043F" w:rsidP="00391A4A">
      <w:pPr>
        <w:pStyle w:val="bullet1"/>
        <w:rPr>
          <w:color w:val="auto"/>
        </w:rPr>
      </w:pPr>
      <w:r w:rsidRPr="009C4D2A">
        <w:rPr>
          <w:color w:val="auto"/>
        </w:rPr>
        <w:lastRenderedPageBreak/>
        <w:t>Picard, N, et al</w:t>
      </w:r>
      <w:r w:rsidR="00157C0D" w:rsidRPr="009C4D2A">
        <w:rPr>
          <w:color w:val="auto"/>
        </w:rPr>
        <w:t>.</w:t>
      </w:r>
      <w:r w:rsidRPr="009C4D2A">
        <w:rPr>
          <w:color w:val="auto"/>
        </w:rPr>
        <w:t xml:space="preserve"> (2012) </w:t>
      </w:r>
      <w:r w:rsidRPr="009C4D2A">
        <w:rPr>
          <w:i/>
          <w:color w:val="auto"/>
        </w:rPr>
        <w:t xml:space="preserve">Manual for building tree volume and biomass allometric equations: from field measurements to prediction. </w:t>
      </w:r>
      <w:r w:rsidRPr="009C4D2A">
        <w:rPr>
          <w:color w:val="auto"/>
        </w:rPr>
        <w:t>Food and Agricultural Organization of the United Nations, Rome and Centre de Coopération Internationale en Recherche Agronomique pour le Développement, Montpellier.</w:t>
      </w:r>
    </w:p>
    <w:p w:rsidR="00F10BD3" w:rsidRPr="009C4D2A" w:rsidRDefault="00EE1197" w:rsidP="00391A4A">
      <w:pPr>
        <w:pStyle w:val="Minorheadingstyle"/>
      </w:pPr>
      <w:r w:rsidRPr="009C4D2A">
        <w:fldChar w:fldCharType="begin"/>
      </w:r>
      <w:bookmarkStart w:id="25" w:name="_Ref410240690"/>
      <w:bookmarkEnd w:id="25"/>
      <w:r w:rsidR="00D16488" w:rsidRPr="009C4D2A">
        <w:instrText xml:space="preserve"> LISTNUM  LegalDefault \l 1 </w:instrText>
      </w:r>
      <w:r w:rsidRPr="009C4D2A">
        <w:fldChar w:fldCharType="end"/>
      </w:r>
      <w:r w:rsidR="008B7AEA" w:rsidRPr="009C4D2A">
        <w:tab/>
        <w:t>Step 3—</w:t>
      </w:r>
      <w:r w:rsidR="00F10BD3" w:rsidRPr="009C4D2A">
        <w:t>Sample size</w:t>
      </w:r>
    </w:p>
    <w:p w:rsidR="00F10BD3" w:rsidRPr="009C4D2A" w:rsidRDefault="00F10BD3" w:rsidP="003553A2">
      <w:pPr>
        <w:pStyle w:val="EStext"/>
      </w:pPr>
      <w:r w:rsidRPr="009C4D2A">
        <w:t>The sample size required to generate a valid allometric equation will vary depending on whether the proje</w:t>
      </w:r>
      <w:r w:rsidR="00164CE1" w:rsidRPr="009C4D2A">
        <w:t>ct proponent validates an existing equation or develops a new equation.</w:t>
      </w:r>
    </w:p>
    <w:p w:rsidR="00706364" w:rsidRPr="009C4D2A" w:rsidRDefault="00706364" w:rsidP="003553A2">
      <w:pPr>
        <w:pStyle w:val="EStext"/>
      </w:pPr>
      <w:r w:rsidRPr="009C4D2A">
        <w:t xml:space="preserve">Subsection (1) provides that for each equation to be validated, at least six trees must be selected for destructive sampling, including at least one from each class size as defined in section </w:t>
      </w:r>
      <w:fldSimple w:instr=" REF _Ref410240386 \r  \* MERGEFORMAT ">
        <w:r w:rsidR="00B506B7" w:rsidRPr="009C4D2A">
          <w:t>34</w:t>
        </w:r>
      </w:fldSimple>
      <w:r w:rsidRPr="009C4D2A">
        <w:t>.</w:t>
      </w:r>
    </w:p>
    <w:p w:rsidR="00706364" w:rsidRPr="009C4D2A" w:rsidRDefault="00706364" w:rsidP="003553A2">
      <w:pPr>
        <w:pStyle w:val="EStext"/>
      </w:pPr>
      <w:r w:rsidRPr="009C4D2A">
        <w:t xml:space="preserve">Subsection (2) provides that for each equation to be developed, at least 20 trees must be selected for destructive sampling, including at least one tree from each class size as defined in section </w:t>
      </w:r>
      <w:fldSimple w:instr=" REF _Ref410240386 \r  \* MERGEFORMAT ">
        <w:r w:rsidR="00B506B7" w:rsidRPr="009C4D2A">
          <w:t>34</w:t>
        </w:r>
      </w:fldSimple>
      <w:r w:rsidRPr="009C4D2A">
        <w:t xml:space="preserve"> </w:t>
      </w:r>
    </w:p>
    <w:p w:rsidR="00EE0461" w:rsidRPr="009C4D2A" w:rsidRDefault="00EE1197" w:rsidP="00391A4A">
      <w:pPr>
        <w:pStyle w:val="Minorheadingstyle"/>
      </w:pPr>
      <w:r w:rsidRPr="009C4D2A">
        <w:fldChar w:fldCharType="begin"/>
      </w:r>
      <w:bookmarkStart w:id="26" w:name="_Ref410383545"/>
      <w:bookmarkEnd w:id="26"/>
      <w:r w:rsidR="00D16488" w:rsidRPr="009C4D2A">
        <w:instrText xml:space="preserve"> LISTNUM  LegalDefault \l 1 </w:instrText>
      </w:r>
      <w:r w:rsidRPr="009C4D2A">
        <w:fldChar w:fldCharType="end"/>
      </w:r>
      <w:r w:rsidR="00706364" w:rsidRPr="009C4D2A">
        <w:tab/>
        <w:t>Step 4—Determination of plot design</w:t>
      </w:r>
      <w:r w:rsidR="005D4A67" w:rsidRPr="009C4D2A">
        <w:t xml:space="preserve"> for tree selection</w:t>
      </w:r>
    </w:p>
    <w:p w:rsidR="00C62D2F" w:rsidRPr="009C4D2A" w:rsidRDefault="00EE0461" w:rsidP="003553A2">
      <w:pPr>
        <w:pStyle w:val="EStext"/>
      </w:pPr>
      <w:r w:rsidRPr="009C4D2A">
        <w:t>Once</w:t>
      </w:r>
      <w:r w:rsidR="00B730DC" w:rsidRPr="009C4D2A">
        <w:t xml:space="preserve"> the sample size has</w:t>
      </w:r>
      <w:r w:rsidRPr="009C4D2A">
        <w:t xml:space="preserve"> been determined for validating or developing an allometric equation, the project proponent must determine the p</w:t>
      </w:r>
      <w:r w:rsidR="009769F0" w:rsidRPr="009C4D2A">
        <w:t xml:space="preserve">lot design for tree selection. </w:t>
      </w:r>
      <w:r w:rsidRPr="009C4D2A">
        <w:t>Trees for the destructive sampling procedure will be collected from these plots.</w:t>
      </w:r>
    </w:p>
    <w:p w:rsidR="00EE0461" w:rsidRPr="009C4D2A" w:rsidRDefault="00EE0461" w:rsidP="003553A2">
      <w:pPr>
        <w:pStyle w:val="EStext"/>
      </w:pPr>
      <w:r w:rsidRPr="009C4D2A">
        <w:t>Subsection (2) provides that enough plots must be allocated to capture at least 100 trees across the spa</w:t>
      </w:r>
      <w:r w:rsidR="009769F0" w:rsidRPr="009C4D2A">
        <w:t>tial domain of the study site. One hundred</w:t>
      </w:r>
      <w:r w:rsidRPr="009C4D2A">
        <w:t xml:space="preserve"> trees are </w:t>
      </w:r>
      <w:r w:rsidR="00A8148B" w:rsidRPr="009C4D2A">
        <w:t>specified as the minimum</w:t>
      </w:r>
      <w:r w:rsidRPr="009C4D2A">
        <w:t xml:space="preserve"> selected in order to </w:t>
      </w:r>
      <w:r w:rsidR="00A77705" w:rsidRPr="009C4D2A">
        <w:t xml:space="preserve">increase the </w:t>
      </w:r>
      <w:r w:rsidRPr="009C4D2A">
        <w:t>probability of identifying the full range of variables within the study site.</w:t>
      </w:r>
      <w:r w:rsidR="00A77705" w:rsidRPr="009C4D2A">
        <w:t xml:space="preserve"> In highly variable sites, project proponents may aim to capture more than 100</w:t>
      </w:r>
      <w:r w:rsidR="00D1216B" w:rsidRPr="009C4D2A">
        <w:t xml:space="preserve"> trees. </w:t>
      </w:r>
    </w:p>
    <w:p w:rsidR="00EE0461" w:rsidRPr="009C4D2A" w:rsidRDefault="00EE1197" w:rsidP="00391A4A">
      <w:pPr>
        <w:pStyle w:val="Minorheadingstyle"/>
      </w:pPr>
      <w:r w:rsidRPr="009C4D2A">
        <w:fldChar w:fldCharType="begin"/>
      </w:r>
      <w:r w:rsidR="00D16488" w:rsidRPr="009C4D2A">
        <w:instrText xml:space="preserve"> LISTNUM  LegalDefault \l 1 </w:instrText>
      </w:r>
      <w:r w:rsidRPr="009C4D2A">
        <w:fldChar w:fldCharType="end"/>
      </w:r>
      <w:r w:rsidR="00EE0461" w:rsidRPr="009C4D2A">
        <w:tab/>
        <w:t>Step 5—Allocation of plots</w:t>
      </w:r>
      <w:r w:rsidR="005D4A67" w:rsidRPr="009C4D2A">
        <w:t xml:space="preserve"> for tree selection</w:t>
      </w:r>
    </w:p>
    <w:p w:rsidR="009256A7" w:rsidRPr="009C4D2A" w:rsidRDefault="00EE0461" w:rsidP="003553A2">
      <w:pPr>
        <w:pStyle w:val="EStext"/>
      </w:pPr>
      <w:r w:rsidRPr="009C4D2A">
        <w:t>Once the plot design has been established for validating or developing an allometric equation, the project proponent must allocate plots for tree selection</w:t>
      </w:r>
      <w:r w:rsidR="009256A7" w:rsidRPr="009C4D2A">
        <w:t>. Subsection (1) provides that when developing an allometric equation, the plots must be</w:t>
      </w:r>
      <w:r w:rsidR="00516739" w:rsidRPr="009C4D2A">
        <w:t xml:space="preserve"> within</w:t>
      </w:r>
      <w:r w:rsidR="009256A7" w:rsidRPr="009C4D2A">
        <w:t xml:space="preserve"> one or more carbon estimations areas as well as within</w:t>
      </w:r>
      <w:r w:rsidR="00516739" w:rsidRPr="009C4D2A">
        <w:t xml:space="preserve"> the spatial extent of the allometric domain defined in section </w:t>
      </w:r>
      <w:fldSimple w:instr=" REF _Ref410240449 \r  \* MERGEFORMAT ">
        <w:r w:rsidR="00B506B7" w:rsidRPr="009C4D2A">
          <w:t>29</w:t>
        </w:r>
      </w:fldSimple>
      <w:r w:rsidR="00516739" w:rsidRPr="009C4D2A">
        <w:t>.</w:t>
      </w:r>
      <w:r w:rsidR="009256A7" w:rsidRPr="009C4D2A">
        <w:t xml:space="preserve"> </w:t>
      </w:r>
    </w:p>
    <w:p w:rsidR="00516739" w:rsidRPr="009C4D2A" w:rsidRDefault="009256A7" w:rsidP="003553A2">
      <w:pPr>
        <w:pStyle w:val="EStext"/>
      </w:pPr>
      <w:r w:rsidRPr="009C4D2A">
        <w:t xml:space="preserve">Subsection (2) provides that when validating an allometric equation, the plots must be allocated across the carbon estimation area or areas in which the allometric equation is to be applied. </w:t>
      </w:r>
    </w:p>
    <w:p w:rsidR="009256A7" w:rsidRPr="009C4D2A" w:rsidRDefault="009256A7" w:rsidP="003553A2">
      <w:pPr>
        <w:pStyle w:val="EStext"/>
      </w:pPr>
      <w:r w:rsidRPr="009C4D2A">
        <w:t xml:space="preserve">Subsection (2) provides that plots must be allocated using a pseudo-random number generator with a known seed number. Such a random number generator generates a list of points which are effectively random, but by knowing the </w:t>
      </w:r>
      <w:r w:rsidR="00B1233B" w:rsidRPr="009C4D2A">
        <w:t>seed number</w:t>
      </w:r>
      <w:r w:rsidRPr="009C4D2A">
        <w:t>,</w:t>
      </w:r>
      <w:r w:rsidR="009730EE" w:rsidRPr="009C4D2A">
        <w:t xml:space="preserve"> the list</w:t>
      </w:r>
      <w:r w:rsidRPr="009C4D2A">
        <w:t xml:space="preserve"> can be reproduced.</w:t>
      </w:r>
      <w:r w:rsidR="00B1233B" w:rsidRPr="009C4D2A">
        <w:t xml:space="preserve"> This allows a process for</w:t>
      </w:r>
      <w:r w:rsidRPr="009C4D2A">
        <w:t xml:space="preserve"> demonstrat</w:t>
      </w:r>
      <w:r w:rsidR="00B1233B" w:rsidRPr="009C4D2A">
        <w:t>ing</w:t>
      </w:r>
      <w:r w:rsidRPr="009C4D2A">
        <w:t xml:space="preserve"> that plot locations were in fact random.</w:t>
      </w:r>
      <w:r w:rsidR="006D282F" w:rsidRPr="009C4D2A">
        <w:t xml:space="preserve"> While programs such as Microsoft Excel often have pseudo-random number generators, such as the ‘rand()’ function, such a function </w:t>
      </w:r>
      <w:r w:rsidR="00D91D6E" w:rsidRPr="009C4D2A">
        <w:t>does not allow for a</w:t>
      </w:r>
      <w:r w:rsidR="006D282F" w:rsidRPr="009C4D2A">
        <w:t xml:space="preserve"> known seed </w:t>
      </w:r>
      <w:r w:rsidR="006347F0" w:rsidRPr="009C4D2A">
        <w:t>number</w:t>
      </w:r>
      <w:r w:rsidR="00D91D6E" w:rsidRPr="009C4D2A">
        <w:t xml:space="preserve"> to be used</w:t>
      </w:r>
      <w:r w:rsidR="006D282F" w:rsidRPr="009C4D2A">
        <w:t xml:space="preserve"> and would not be appropriate for this </w:t>
      </w:r>
      <w:r w:rsidR="006347F0" w:rsidRPr="009C4D2A">
        <w:t>Determination</w:t>
      </w:r>
      <w:r w:rsidR="006D282F" w:rsidRPr="009C4D2A">
        <w:t>.</w:t>
      </w:r>
      <w:r w:rsidRPr="009C4D2A">
        <w:t xml:space="preserve"> </w:t>
      </w:r>
    </w:p>
    <w:p w:rsidR="00A9695F" w:rsidRPr="009C4D2A" w:rsidRDefault="00EE1197" w:rsidP="00391A4A">
      <w:pPr>
        <w:pStyle w:val="Minorheadingstyle"/>
      </w:pPr>
      <w:r w:rsidRPr="009C4D2A">
        <w:lastRenderedPageBreak/>
        <w:fldChar w:fldCharType="begin"/>
      </w:r>
      <w:bookmarkStart w:id="27" w:name="_Ref410240587"/>
      <w:bookmarkEnd w:id="27"/>
      <w:r w:rsidR="00D16488" w:rsidRPr="009C4D2A">
        <w:instrText xml:space="preserve"> LISTNUM  LegalDefault \l 1 </w:instrText>
      </w:r>
      <w:r w:rsidRPr="009C4D2A">
        <w:fldChar w:fldCharType="end"/>
      </w:r>
      <w:r w:rsidR="00A9695F" w:rsidRPr="009C4D2A">
        <w:tab/>
        <w:t xml:space="preserve">Step </w:t>
      </w:r>
      <w:r w:rsidR="001B7D41" w:rsidRPr="009C4D2A">
        <w:t>6</w:t>
      </w:r>
      <w:r w:rsidR="00A9695F" w:rsidRPr="009C4D2A">
        <w:t>—Survey and random select</w:t>
      </w:r>
      <w:r w:rsidR="002C56C6" w:rsidRPr="009C4D2A">
        <w:t>ion of</w:t>
      </w:r>
      <w:r w:rsidR="00A9695F" w:rsidRPr="009C4D2A">
        <w:t xml:space="preserve"> trees for destructive sampling</w:t>
      </w:r>
    </w:p>
    <w:p w:rsidR="00A9695F" w:rsidRPr="009C4D2A" w:rsidRDefault="00A9695F" w:rsidP="003553A2">
      <w:pPr>
        <w:pStyle w:val="EStext"/>
      </w:pPr>
      <w:r w:rsidRPr="009C4D2A">
        <w:t xml:space="preserve">Section </w:t>
      </w:r>
      <w:fldSimple w:instr=" REF _Ref410240587 \r  \* MERGEFORMAT ">
        <w:r w:rsidR="00B506B7" w:rsidRPr="009C4D2A">
          <w:t>33</w:t>
        </w:r>
      </w:fldSimple>
      <w:r w:rsidR="009769F0" w:rsidRPr="009C4D2A">
        <w:t xml:space="preserve"> </w:t>
      </w:r>
      <w:r w:rsidR="002C56C6" w:rsidRPr="009C4D2A">
        <w:t xml:space="preserve">details the process </w:t>
      </w:r>
      <w:r w:rsidRPr="009C4D2A">
        <w:t>for the selection of trees for destructive sampling.</w:t>
      </w:r>
    </w:p>
    <w:p w:rsidR="00A9695F" w:rsidRPr="009C4D2A" w:rsidRDefault="00A9695F" w:rsidP="003553A2">
      <w:pPr>
        <w:pStyle w:val="EStext"/>
      </w:pPr>
      <w:r w:rsidRPr="009C4D2A">
        <w:t>Project proponents must establish plots and measure all trees within the plot.</w:t>
      </w:r>
      <w:r w:rsidR="001B7D41" w:rsidRPr="009C4D2A">
        <w:t xml:space="preserve"> </w:t>
      </w:r>
      <w:r w:rsidR="00F722EE" w:rsidRPr="009C4D2A">
        <w:t>Each tree within the plot must be assigned a unique identifier</w:t>
      </w:r>
      <w:r w:rsidR="00A77705" w:rsidRPr="009C4D2A">
        <w:t xml:space="preserve"> so it can then be relocated if it is identified for destructive sampling</w:t>
      </w:r>
      <w:r w:rsidR="00F722EE" w:rsidRPr="009C4D2A">
        <w:t>.</w:t>
      </w:r>
      <w:r w:rsidR="001B7D41" w:rsidRPr="009C4D2A">
        <w:t xml:space="preserve"> </w:t>
      </w:r>
      <w:r w:rsidRPr="009C4D2A">
        <w:t>For each tree, project proponents must measure all parameters that will be used in</w:t>
      </w:r>
      <w:r w:rsidR="001B7D41" w:rsidRPr="009C4D2A">
        <w:t xml:space="preserve"> </w:t>
      </w:r>
      <w:r w:rsidR="00F722EE" w:rsidRPr="009C4D2A">
        <w:t>the</w:t>
      </w:r>
      <w:r w:rsidR="001B7D41" w:rsidRPr="009C4D2A">
        <w:t xml:space="preserve"> </w:t>
      </w:r>
      <w:r w:rsidRPr="009C4D2A">
        <w:t xml:space="preserve">allometric equation (for example, diameter at breast height, total height, </w:t>
      </w:r>
      <w:r w:rsidR="00A96A3C" w:rsidRPr="009C4D2A">
        <w:t xml:space="preserve">or </w:t>
      </w:r>
      <w:r w:rsidRPr="009C4D2A">
        <w:t>species).</w:t>
      </w:r>
    </w:p>
    <w:p w:rsidR="00A9695F" w:rsidRPr="009C4D2A" w:rsidRDefault="00F722EE" w:rsidP="003553A2">
      <w:pPr>
        <w:pStyle w:val="EStext"/>
      </w:pPr>
      <w:r w:rsidRPr="009C4D2A">
        <w:t>P</w:t>
      </w:r>
      <w:r w:rsidR="00A9695F" w:rsidRPr="009C4D2A">
        <w:t>roject proponents must survey</w:t>
      </w:r>
      <w:r w:rsidRPr="009C4D2A">
        <w:t xml:space="preserve"> and establish enough</w:t>
      </w:r>
      <w:r w:rsidR="00A9695F" w:rsidRPr="009C4D2A">
        <w:t xml:space="preserve"> plots </w:t>
      </w:r>
      <w:r w:rsidRPr="009C4D2A">
        <w:t xml:space="preserve">such that the </w:t>
      </w:r>
      <w:r w:rsidR="00A77705" w:rsidRPr="009C4D2A">
        <w:t xml:space="preserve">minimum </w:t>
      </w:r>
      <w:r w:rsidRPr="009C4D2A">
        <w:t xml:space="preserve">sample </w:t>
      </w:r>
      <w:r w:rsidR="005B396B" w:rsidRPr="009C4D2A">
        <w:t xml:space="preserve">size prescribed in section </w:t>
      </w:r>
      <w:fldSimple w:instr=" REF _Ref410383545 \n \h  \* MERGEFORMAT ">
        <w:r w:rsidR="00B506B7" w:rsidRPr="009C4D2A">
          <w:t>31</w:t>
        </w:r>
      </w:fldSimple>
      <w:r w:rsidR="00A9695F" w:rsidRPr="009C4D2A">
        <w:t xml:space="preserve"> has been achieved.</w:t>
      </w:r>
      <w:r w:rsidR="00DD4897" w:rsidRPr="009C4D2A">
        <w:t xml:space="preserve"> </w:t>
      </w:r>
    </w:p>
    <w:p w:rsidR="00090789" w:rsidRPr="009C4D2A" w:rsidRDefault="00EE1197" w:rsidP="00391A4A">
      <w:pPr>
        <w:pStyle w:val="Minorheadingstyle"/>
      </w:pPr>
      <w:r w:rsidRPr="009C4D2A">
        <w:fldChar w:fldCharType="begin"/>
      </w:r>
      <w:bookmarkStart w:id="28" w:name="_Ref410240386"/>
      <w:bookmarkEnd w:id="28"/>
      <w:r w:rsidR="00D16488" w:rsidRPr="009C4D2A">
        <w:instrText xml:space="preserve"> LISTNUM  LegalDefault \l 1 </w:instrText>
      </w:r>
      <w:r w:rsidRPr="009C4D2A">
        <w:fldChar w:fldCharType="end"/>
      </w:r>
      <w:r w:rsidR="00090789" w:rsidRPr="009C4D2A">
        <w:tab/>
        <w:t xml:space="preserve">Step </w:t>
      </w:r>
      <w:r w:rsidR="001B7D41" w:rsidRPr="009C4D2A">
        <w:t>7</w:t>
      </w:r>
      <w:r w:rsidR="00090789" w:rsidRPr="009C4D2A">
        <w:t>—</w:t>
      </w:r>
      <w:r w:rsidR="001B7D41" w:rsidRPr="009C4D2A">
        <w:t>Size classes</w:t>
      </w:r>
    </w:p>
    <w:p w:rsidR="00C62D2F" w:rsidRPr="009C4D2A" w:rsidRDefault="00090789" w:rsidP="003553A2">
      <w:pPr>
        <w:pStyle w:val="EStext"/>
      </w:pPr>
      <w:r w:rsidRPr="009C4D2A">
        <w:t xml:space="preserve">Prior to undertaking destructive sampling field work, the project proponent must classify the </w:t>
      </w:r>
      <w:r w:rsidR="005B396B" w:rsidRPr="009C4D2A">
        <w:t xml:space="preserve">trees measured in section </w:t>
      </w:r>
      <w:fldSimple w:instr=" REF _Ref410240587 \r  \* MERGEFORMAT ">
        <w:r w:rsidR="00B506B7" w:rsidRPr="009C4D2A">
          <w:t>33</w:t>
        </w:r>
      </w:fldSimple>
      <w:r w:rsidR="00B0615A" w:rsidRPr="009C4D2A">
        <w:t xml:space="preserve"> by</w:t>
      </w:r>
      <w:r w:rsidRPr="009C4D2A">
        <w:t xml:space="preserve"> species or species group</w:t>
      </w:r>
      <w:r w:rsidR="00B0615A" w:rsidRPr="009C4D2A">
        <w:t>, and then</w:t>
      </w:r>
      <w:r w:rsidRPr="009C4D2A">
        <w:t xml:space="preserve"> into </w:t>
      </w:r>
      <w:r w:rsidR="00C62D2F" w:rsidRPr="009C4D2A">
        <w:t xml:space="preserve">size </w:t>
      </w:r>
      <w:r w:rsidRPr="009C4D2A">
        <w:t>classes in order to carry out the procedures</w:t>
      </w:r>
      <w:r w:rsidR="00C62D2F" w:rsidRPr="009C4D2A">
        <w:t xml:space="preserve"> to</w:t>
      </w:r>
      <w:r w:rsidRPr="009C4D2A">
        <w:t xml:space="preserve"> develop </w:t>
      </w:r>
      <w:r w:rsidR="00B0615A" w:rsidRPr="009C4D2A">
        <w:t xml:space="preserve">or validate </w:t>
      </w:r>
      <w:r w:rsidRPr="009C4D2A">
        <w:t>an allometric equation.</w:t>
      </w:r>
    </w:p>
    <w:p w:rsidR="00C62D2F" w:rsidRPr="009C4D2A" w:rsidRDefault="00090789" w:rsidP="003553A2">
      <w:pPr>
        <w:pStyle w:val="EStext"/>
      </w:pPr>
      <w:r w:rsidRPr="009C4D2A">
        <w:t>Subsection (1) has the effect that individual tree species or species groups must be stratified into at least three size</w:t>
      </w:r>
      <w:r w:rsidR="00C62D2F" w:rsidRPr="009C4D2A">
        <w:t xml:space="preserve"> classes</w:t>
      </w:r>
      <w:r w:rsidRPr="009C4D2A">
        <w:t xml:space="preserve"> meeting the requirements of subsection (2).</w:t>
      </w:r>
      <w:r w:rsidR="00B0615A" w:rsidRPr="009C4D2A">
        <w:t xml:space="preserve"> </w:t>
      </w:r>
      <w:r w:rsidR="005D4A67" w:rsidRPr="009C4D2A">
        <w:t xml:space="preserve"> </w:t>
      </w:r>
      <w:r w:rsidR="00B0615A" w:rsidRPr="009C4D2A">
        <w:t>Project proponents may wish to choose the size classes based on the variation and sizes in the trees being sampled in order to optimise the process. Additional guidance on establishing size classes may be found in:</w:t>
      </w:r>
    </w:p>
    <w:p w:rsidR="00090789" w:rsidRPr="009C4D2A" w:rsidRDefault="00B0615A" w:rsidP="00391A4A">
      <w:pPr>
        <w:pStyle w:val="bullet1"/>
        <w:rPr>
          <w:color w:val="auto"/>
        </w:rPr>
      </w:pPr>
      <w:r w:rsidRPr="009C4D2A">
        <w:rPr>
          <w:color w:val="auto"/>
        </w:rPr>
        <w:t xml:space="preserve">Snowdon, P, et al. (2002) NCAS Technical Report no.31: Protocol for Sampling Tree and Stand Biomass, Australian Greenhouse </w:t>
      </w:r>
      <w:r w:rsidRPr="009C4D2A">
        <w:rPr>
          <w:rFonts w:eastAsia="Calibri"/>
          <w:color w:val="auto"/>
          <w:lang w:eastAsia="en-US"/>
        </w:rPr>
        <w:t>Office</w:t>
      </w:r>
      <w:r w:rsidRPr="009C4D2A">
        <w:rPr>
          <w:color w:val="auto"/>
        </w:rPr>
        <w:t>.</w:t>
      </w:r>
    </w:p>
    <w:p w:rsidR="00022887" w:rsidRPr="009C4D2A" w:rsidRDefault="00022887" w:rsidP="003553A2">
      <w:pPr>
        <w:pStyle w:val="EStext"/>
      </w:pPr>
      <w:r w:rsidRPr="009C4D2A">
        <w:t>Subsection (2) specifies that each class must have a minimum and maximum variable range identified and size</w:t>
      </w:r>
      <w:r w:rsidR="00C62D2F" w:rsidRPr="009C4D2A">
        <w:t xml:space="preserve"> class</w:t>
      </w:r>
      <w:r w:rsidRPr="009C4D2A">
        <w:t xml:space="preserve"> interval defined.</w:t>
      </w:r>
    </w:p>
    <w:p w:rsidR="00F722EE" w:rsidRPr="009C4D2A" w:rsidRDefault="00F722EE" w:rsidP="003553A2">
      <w:pPr>
        <w:pStyle w:val="EStext"/>
      </w:pPr>
      <w:r w:rsidRPr="009C4D2A">
        <w:t xml:space="preserve">Subsection </w:t>
      </w:r>
      <w:r w:rsidR="00022887" w:rsidRPr="009C4D2A">
        <w:t>(</w:t>
      </w:r>
      <w:r w:rsidRPr="009C4D2A">
        <w:t>3</w:t>
      </w:r>
      <w:r w:rsidR="00022887" w:rsidRPr="009C4D2A">
        <w:t>)</w:t>
      </w:r>
      <w:r w:rsidRPr="009C4D2A">
        <w:t xml:space="preserve"> requires project proponents to use a pseudo-random number generator with a known </w:t>
      </w:r>
      <w:r w:rsidR="00B1233B" w:rsidRPr="009C4D2A">
        <w:t>seed number</w:t>
      </w:r>
      <w:r w:rsidRPr="009C4D2A">
        <w:t xml:space="preserve"> </w:t>
      </w:r>
      <w:r w:rsidR="00A14E84" w:rsidRPr="009C4D2A">
        <w:t xml:space="preserve">to give each tree a random ranking. By sorting the list of trees by the ranking number, each size class is effectively randomized.   </w:t>
      </w:r>
      <w:r w:rsidRPr="009C4D2A">
        <w:t xml:space="preserve"> </w:t>
      </w:r>
    </w:p>
    <w:p w:rsidR="00022887" w:rsidRPr="009C4D2A" w:rsidRDefault="00022887" w:rsidP="003553A2">
      <w:pPr>
        <w:pStyle w:val="EStext"/>
      </w:pPr>
      <w:r w:rsidRPr="009C4D2A">
        <w:t>Subsection (4)</w:t>
      </w:r>
      <w:r w:rsidR="001B7D41" w:rsidRPr="009C4D2A">
        <w:t xml:space="preserve"> </w:t>
      </w:r>
      <w:r w:rsidRPr="009C4D2A">
        <w:t>requires that at a minimum</w:t>
      </w:r>
      <w:r w:rsidR="001B7D41" w:rsidRPr="009C4D2A">
        <w:t xml:space="preserve"> </w:t>
      </w:r>
      <w:r w:rsidRPr="009C4D2A">
        <w:t>the first tree in each size</w:t>
      </w:r>
      <w:r w:rsidR="00C62D2F" w:rsidRPr="009C4D2A">
        <w:t xml:space="preserve"> class</w:t>
      </w:r>
      <w:r w:rsidRPr="009C4D2A">
        <w:t xml:space="preserve"> ranked in accordance with subsection (3) must be selected for destructive sampling.</w:t>
      </w:r>
    </w:p>
    <w:p w:rsidR="00022887" w:rsidRPr="009C4D2A" w:rsidRDefault="00022887" w:rsidP="003553A2">
      <w:pPr>
        <w:pStyle w:val="EStext"/>
      </w:pPr>
      <w:r w:rsidRPr="009C4D2A">
        <w:t>Subsection (5) specifies the requirements if more than one tree per size</w:t>
      </w:r>
      <w:r w:rsidR="00C62D2F" w:rsidRPr="009C4D2A">
        <w:t xml:space="preserve"> class</w:t>
      </w:r>
      <w:r w:rsidRPr="009C4D2A">
        <w:t xml:space="preserve"> is needed to achieve the minimum sample size specified in section </w:t>
      </w:r>
      <w:fldSimple w:instr=" REF _Ref410240690 \r  \* MERGEFORMAT ">
        <w:r w:rsidR="00B506B7" w:rsidRPr="009C4D2A">
          <w:t>30</w:t>
        </w:r>
      </w:fldSimple>
      <w:r w:rsidRPr="009C4D2A">
        <w:t>.</w:t>
      </w:r>
    </w:p>
    <w:p w:rsidR="001B6B59" w:rsidRPr="009C4D2A" w:rsidRDefault="00EE1197" w:rsidP="00391A4A">
      <w:pPr>
        <w:pStyle w:val="Minorheadingstyle"/>
        <w:rPr>
          <w:bCs/>
          <w:iCs/>
        </w:rPr>
      </w:pPr>
      <w:r w:rsidRPr="009C4D2A">
        <w:fldChar w:fldCharType="begin"/>
      </w:r>
      <w:bookmarkStart w:id="29" w:name="_Ref410240806"/>
      <w:bookmarkEnd w:id="29"/>
      <w:r w:rsidR="00D16488" w:rsidRPr="009C4D2A">
        <w:instrText xml:space="preserve"> LISTNUM  LegalDefault \l 1 </w:instrText>
      </w:r>
      <w:r w:rsidRPr="009C4D2A">
        <w:fldChar w:fldCharType="end"/>
      </w:r>
      <w:r w:rsidR="007636D9" w:rsidRPr="009C4D2A">
        <w:rPr>
          <w:bCs/>
          <w:iCs/>
        </w:rPr>
        <w:tab/>
      </w:r>
      <w:r w:rsidR="001B6B59" w:rsidRPr="009C4D2A">
        <w:rPr>
          <w:bCs/>
          <w:iCs/>
        </w:rPr>
        <w:t>Step 8—</w:t>
      </w:r>
      <w:r w:rsidR="001B6B59" w:rsidRPr="009C4D2A">
        <w:t>Destructive</w:t>
      </w:r>
      <w:r w:rsidR="001B6B59" w:rsidRPr="009C4D2A">
        <w:rPr>
          <w:bCs/>
          <w:iCs/>
        </w:rPr>
        <w:t xml:space="preserve"> sampling procedure </w:t>
      </w:r>
    </w:p>
    <w:p w:rsidR="007636D9" w:rsidRPr="009C4D2A" w:rsidRDefault="007636D9" w:rsidP="003553A2">
      <w:pPr>
        <w:pStyle w:val="EStext"/>
      </w:pPr>
      <w:r w:rsidRPr="009C4D2A">
        <w:t xml:space="preserve">Section </w:t>
      </w:r>
      <w:fldSimple w:instr=" REF _Ref410240806 \r  \* MERGEFORMAT ">
        <w:r w:rsidR="00B506B7" w:rsidRPr="009C4D2A">
          <w:t>35</w:t>
        </w:r>
      </w:fldSimple>
      <w:r w:rsidRPr="009C4D2A">
        <w:t xml:space="preserve"> sets out the procedure for destructive sampling</w:t>
      </w:r>
      <w:r w:rsidR="00163B20" w:rsidRPr="009C4D2A">
        <w:t xml:space="preserve"> of trees identified in accordance with section </w:t>
      </w:r>
      <w:r w:rsidR="00B60091" w:rsidRPr="009C4D2A">
        <w:t>33 and 34.</w:t>
      </w:r>
    </w:p>
    <w:p w:rsidR="00020AD9" w:rsidRPr="009C4D2A" w:rsidRDefault="001C3C9D" w:rsidP="003553A2">
      <w:pPr>
        <w:pStyle w:val="EStext"/>
      </w:pPr>
      <w:r w:rsidRPr="009C4D2A">
        <w:t xml:space="preserve">Subsection 35(3) provides that if developing an allometric equation </w:t>
      </w:r>
      <w:r w:rsidR="00020AD9" w:rsidRPr="009C4D2A">
        <w:t xml:space="preserve">for a single species, then </w:t>
      </w:r>
      <w:r w:rsidRPr="009C4D2A">
        <w:t xml:space="preserve">at least </w:t>
      </w:r>
      <w:r w:rsidR="00020AD9" w:rsidRPr="009C4D2A">
        <w:t>every fourth tree and one tree from each size class must be cut into comp</w:t>
      </w:r>
      <w:r w:rsidRPr="009C4D2A">
        <w:t>one</w:t>
      </w:r>
      <w:r w:rsidR="00020AD9" w:rsidRPr="009C4D2A">
        <w:t xml:space="preserve">nts </w:t>
      </w:r>
      <w:r w:rsidR="007636D9" w:rsidRPr="009C4D2A">
        <w:t xml:space="preserve">using the procedure in section </w:t>
      </w:r>
      <w:fldSimple w:instr=" REF _Ref410240806 \r  \* MERGEFORMAT ">
        <w:r w:rsidR="00B506B7" w:rsidRPr="009C4D2A">
          <w:t>35</w:t>
        </w:r>
      </w:fldSimple>
      <w:r w:rsidR="00020AD9" w:rsidRPr="009C4D2A">
        <w:t xml:space="preserve">. An individual tree can represent both the fourth tree cut in a </w:t>
      </w:r>
      <w:r w:rsidR="00020AD9" w:rsidRPr="009C4D2A">
        <w:lastRenderedPageBreak/>
        <w:t xml:space="preserve">sequence and an individual from a size class. </w:t>
      </w:r>
      <w:r w:rsidR="00C10259" w:rsidRPr="009C4D2A">
        <w:t>This requirement is to ensure there is a distribution of trees being fully analysed in accordance with section 35.</w:t>
      </w:r>
    </w:p>
    <w:p w:rsidR="007636D9" w:rsidRPr="009C4D2A" w:rsidRDefault="00020AD9" w:rsidP="003553A2">
      <w:pPr>
        <w:pStyle w:val="EStext"/>
      </w:pPr>
      <w:r w:rsidRPr="009C4D2A">
        <w:t>Subsection 35(5) provides that if developing an allometric equation for a group of species, then all</w:t>
      </w:r>
      <w:r w:rsidR="00163B20" w:rsidRPr="009C4D2A">
        <w:t xml:space="preserve"> </w:t>
      </w:r>
      <w:r w:rsidRPr="009C4D2A">
        <w:t xml:space="preserve">trees must be cut into components using the procedure in section </w:t>
      </w:r>
      <w:fldSimple w:instr=" REF _Ref410240806 \r  \* MERGEFORMAT ">
        <w:r w:rsidR="00B506B7" w:rsidRPr="009C4D2A">
          <w:t>35</w:t>
        </w:r>
      </w:fldSimple>
      <w:r w:rsidRPr="009C4D2A">
        <w:t>.</w:t>
      </w:r>
    </w:p>
    <w:p w:rsidR="00466E18" w:rsidRPr="009C4D2A" w:rsidRDefault="007636D9" w:rsidP="003553A2">
      <w:pPr>
        <w:pStyle w:val="EStext"/>
      </w:pPr>
      <w:r w:rsidRPr="009C4D2A">
        <w:t>The destructive sampling protocol</w:t>
      </w:r>
      <w:r w:rsidR="005B396B" w:rsidRPr="009C4D2A">
        <w:t xml:space="preserve"> in section </w:t>
      </w:r>
      <w:fldSimple w:instr=" REF _Ref410240806 \r  \* MERGEFORMAT ">
        <w:r w:rsidR="00B506B7" w:rsidRPr="009C4D2A">
          <w:t>35</w:t>
        </w:r>
      </w:fldSimple>
      <w:r w:rsidRPr="009C4D2A">
        <w:t xml:space="preserve"> was</w:t>
      </w:r>
      <w:r w:rsidR="0074582F" w:rsidRPr="009C4D2A">
        <w:t xml:space="preserve"> adapted</w:t>
      </w:r>
      <w:r w:rsidR="00466E18" w:rsidRPr="009C4D2A">
        <w:t xml:space="preserve"> from:</w:t>
      </w:r>
    </w:p>
    <w:p w:rsidR="00466E18" w:rsidRPr="009C4D2A" w:rsidRDefault="00466E18" w:rsidP="00391A4A">
      <w:pPr>
        <w:pStyle w:val="bullet1"/>
        <w:rPr>
          <w:color w:val="auto"/>
        </w:rPr>
      </w:pPr>
      <w:r w:rsidRPr="009C4D2A">
        <w:rPr>
          <w:color w:val="auto"/>
        </w:rPr>
        <w:t>Walker, S, et al</w:t>
      </w:r>
      <w:r w:rsidR="004F116A" w:rsidRPr="009C4D2A">
        <w:rPr>
          <w:color w:val="auto"/>
        </w:rPr>
        <w:t>.</w:t>
      </w:r>
      <w:r w:rsidRPr="009C4D2A">
        <w:rPr>
          <w:color w:val="auto"/>
        </w:rPr>
        <w:t xml:space="preserve"> (2012) Standard Operating Procedures for Terrestrial Carbon Measurement: Version 2012</w:t>
      </w:r>
      <w:r w:rsidR="0051043F" w:rsidRPr="009C4D2A">
        <w:rPr>
          <w:color w:val="auto"/>
        </w:rPr>
        <w:t xml:space="preserve">, </w:t>
      </w:r>
      <w:r w:rsidRPr="009C4D2A">
        <w:rPr>
          <w:color w:val="auto"/>
        </w:rPr>
        <w:t xml:space="preserve">Winrock </w:t>
      </w:r>
      <w:r w:rsidRPr="009C4D2A">
        <w:rPr>
          <w:rFonts w:eastAsia="Calibri"/>
          <w:color w:val="auto"/>
          <w:lang w:eastAsia="en-US"/>
        </w:rPr>
        <w:t>International</w:t>
      </w:r>
      <w:r w:rsidRPr="009C4D2A">
        <w:rPr>
          <w:color w:val="auto"/>
        </w:rPr>
        <w:t>.</w:t>
      </w:r>
    </w:p>
    <w:p w:rsidR="006C7938" w:rsidRPr="009C4D2A" w:rsidRDefault="00466E18">
      <w:pPr>
        <w:pStyle w:val="EStext"/>
      </w:pPr>
      <w:r w:rsidRPr="009C4D2A">
        <w:t xml:space="preserve">The </w:t>
      </w:r>
      <w:r w:rsidR="009E5B34" w:rsidRPr="009C4D2A">
        <w:t>sampling</w:t>
      </w:r>
      <w:r w:rsidRPr="009C4D2A">
        <w:t xml:space="preserve"> design and statistical analyses were adapted from:</w:t>
      </w:r>
    </w:p>
    <w:p w:rsidR="00466E18" w:rsidRPr="009C4D2A" w:rsidRDefault="0020256A" w:rsidP="00391A4A">
      <w:pPr>
        <w:pStyle w:val="bullet1"/>
        <w:rPr>
          <w:i/>
          <w:color w:val="auto"/>
        </w:rPr>
      </w:pPr>
      <w:r w:rsidRPr="009C4D2A">
        <w:rPr>
          <w:color w:val="auto"/>
        </w:rPr>
        <w:t>Snowd</w:t>
      </w:r>
      <w:r w:rsidR="00B0615A" w:rsidRPr="009C4D2A">
        <w:rPr>
          <w:color w:val="auto"/>
        </w:rPr>
        <w:t>o</w:t>
      </w:r>
      <w:r w:rsidRPr="009C4D2A">
        <w:rPr>
          <w:color w:val="auto"/>
        </w:rPr>
        <w:t>n, P</w:t>
      </w:r>
      <w:r w:rsidR="00C62D2F" w:rsidRPr="009C4D2A">
        <w:rPr>
          <w:color w:val="auto"/>
        </w:rPr>
        <w:t>.</w:t>
      </w:r>
      <w:r w:rsidR="00466E18" w:rsidRPr="009C4D2A">
        <w:rPr>
          <w:color w:val="auto"/>
        </w:rPr>
        <w:t xml:space="preserve"> et al</w:t>
      </w:r>
      <w:r w:rsidRPr="009C4D2A">
        <w:rPr>
          <w:color w:val="auto"/>
        </w:rPr>
        <w:t>.</w:t>
      </w:r>
      <w:r w:rsidR="00466E18" w:rsidRPr="009C4D2A">
        <w:rPr>
          <w:color w:val="auto"/>
        </w:rPr>
        <w:t xml:space="preserve"> (2002) NCAS Technical Report no.31: Protocol for Sampling Tree and Stand Biomass, Australian Greenhouse </w:t>
      </w:r>
      <w:r w:rsidR="00466E18" w:rsidRPr="009C4D2A">
        <w:rPr>
          <w:rFonts w:eastAsia="Calibri"/>
          <w:color w:val="auto"/>
          <w:lang w:eastAsia="en-US"/>
        </w:rPr>
        <w:t>Office</w:t>
      </w:r>
      <w:r w:rsidR="00466E18" w:rsidRPr="009C4D2A">
        <w:rPr>
          <w:color w:val="auto"/>
        </w:rPr>
        <w:t>.</w:t>
      </w:r>
    </w:p>
    <w:p w:rsidR="00466E18" w:rsidRPr="009C4D2A" w:rsidRDefault="00466E18" w:rsidP="00391A4A">
      <w:pPr>
        <w:pStyle w:val="bullet1"/>
        <w:rPr>
          <w:color w:val="auto"/>
        </w:rPr>
      </w:pPr>
      <w:r w:rsidRPr="009C4D2A">
        <w:rPr>
          <w:color w:val="auto"/>
        </w:rPr>
        <w:t>Dietz, J</w:t>
      </w:r>
      <w:r w:rsidR="00C62D2F" w:rsidRPr="009C4D2A">
        <w:rPr>
          <w:color w:val="auto"/>
        </w:rPr>
        <w:t>.</w:t>
      </w:r>
      <w:r w:rsidRPr="009C4D2A">
        <w:rPr>
          <w:color w:val="auto"/>
        </w:rPr>
        <w:t xml:space="preserve"> and Kuyah, S</w:t>
      </w:r>
      <w:r w:rsidR="0020256A" w:rsidRPr="009C4D2A">
        <w:rPr>
          <w:color w:val="auto"/>
        </w:rPr>
        <w:t>.</w:t>
      </w:r>
      <w:r w:rsidRPr="009C4D2A">
        <w:rPr>
          <w:color w:val="auto"/>
        </w:rPr>
        <w:t xml:space="preserve"> (2011) Guidelines for establishing regional allometric equations for biomass estimation through destructive sampling. World Agroforestry Centre (ICRAF), United Nations Avenue, Gigiri.</w:t>
      </w:r>
    </w:p>
    <w:p w:rsidR="00466E18" w:rsidRPr="009C4D2A" w:rsidRDefault="0051043F" w:rsidP="00391A4A">
      <w:pPr>
        <w:pStyle w:val="bullet1"/>
        <w:rPr>
          <w:color w:val="auto"/>
        </w:rPr>
      </w:pPr>
      <w:r w:rsidRPr="009C4D2A">
        <w:rPr>
          <w:rFonts w:eastAsia="Calibri"/>
          <w:color w:val="auto"/>
          <w:lang w:eastAsia="en-US"/>
        </w:rPr>
        <w:t>Picard</w:t>
      </w:r>
      <w:r w:rsidRPr="009C4D2A">
        <w:rPr>
          <w:color w:val="auto"/>
        </w:rPr>
        <w:t>, N, et al</w:t>
      </w:r>
      <w:r w:rsidR="0020256A" w:rsidRPr="009C4D2A">
        <w:rPr>
          <w:color w:val="auto"/>
        </w:rPr>
        <w:t>.</w:t>
      </w:r>
      <w:r w:rsidRPr="009C4D2A">
        <w:rPr>
          <w:color w:val="auto"/>
        </w:rPr>
        <w:t xml:space="preserve"> (2012) </w:t>
      </w:r>
      <w:r w:rsidRPr="009C4D2A">
        <w:rPr>
          <w:i/>
          <w:color w:val="auto"/>
        </w:rPr>
        <w:t xml:space="preserve">Manual for building tree volume and biomass allometric equations: from field measurements to prediction. </w:t>
      </w:r>
      <w:r w:rsidRPr="009C4D2A">
        <w:rPr>
          <w:color w:val="auto"/>
        </w:rPr>
        <w:t xml:space="preserve">Food and Agricultural Organization of the United Nations, Rome and Centre de Coopération Internationale en Recherche Agronomique pour le Développement, Montpellier. </w:t>
      </w:r>
    </w:p>
    <w:p w:rsidR="00466E18" w:rsidRPr="009C4D2A" w:rsidRDefault="00EE1197" w:rsidP="00391A4A">
      <w:pPr>
        <w:pStyle w:val="Minorheadingstyle"/>
      </w:pPr>
      <w:r w:rsidRPr="009C4D2A">
        <w:fldChar w:fldCharType="begin"/>
      </w:r>
      <w:bookmarkStart w:id="30" w:name="_Ref410241110"/>
      <w:bookmarkEnd w:id="30"/>
      <w:r w:rsidR="00D16488" w:rsidRPr="009C4D2A">
        <w:instrText xml:space="preserve"> LISTNUM  LegalDefault \l 1 </w:instrText>
      </w:r>
      <w:r w:rsidRPr="009C4D2A">
        <w:fldChar w:fldCharType="end"/>
      </w:r>
      <w:r w:rsidR="00466E18" w:rsidRPr="009C4D2A">
        <w:tab/>
        <w:t>Step 9—Biomass analysis</w:t>
      </w:r>
    </w:p>
    <w:p w:rsidR="00C62D2F" w:rsidRPr="009C4D2A" w:rsidRDefault="00F06554" w:rsidP="003553A2">
      <w:pPr>
        <w:pStyle w:val="EStext"/>
      </w:pPr>
      <w:r w:rsidRPr="009C4D2A">
        <w:t xml:space="preserve">Section </w:t>
      </w:r>
      <w:fldSimple w:instr=" REF _Ref410241110 \r  \* MERGEFORMAT ">
        <w:r w:rsidR="00B506B7" w:rsidRPr="009C4D2A">
          <w:t>36</w:t>
        </w:r>
      </w:fldSimple>
      <w:r w:rsidRPr="009C4D2A">
        <w:t xml:space="preserve"> sets out the procedure for undertaking a biomass analysis in order to convert wet weight measurements into dry weight. The analysis is undertaken using the samples obtained in Step 8.</w:t>
      </w:r>
    </w:p>
    <w:p w:rsidR="00C62D2F" w:rsidRPr="009C4D2A" w:rsidRDefault="005D4A67" w:rsidP="003553A2">
      <w:pPr>
        <w:pStyle w:val="EStext"/>
      </w:pPr>
      <w:r w:rsidRPr="009C4D2A">
        <w:t>Subsection (1) specifies</w:t>
      </w:r>
      <w:r w:rsidR="00F06554" w:rsidRPr="009C4D2A">
        <w:t xml:space="preserve"> the process for calculating the whole tree dry to wet weight ratio. </w:t>
      </w:r>
      <w:r w:rsidR="004E75D3" w:rsidRPr="009C4D2A">
        <w:t>Subp</w:t>
      </w:r>
      <w:r w:rsidR="00F06554" w:rsidRPr="009C4D2A">
        <w:t>aragraph (1)(</w:t>
      </w:r>
      <w:r w:rsidR="004E75D3" w:rsidRPr="009C4D2A">
        <w:t>a</w:t>
      </w:r>
      <w:r w:rsidR="00F06554" w:rsidRPr="009C4D2A">
        <w:t>)</w:t>
      </w:r>
      <w:r w:rsidR="004E75D3" w:rsidRPr="009C4D2A">
        <w:t>(ii)</w:t>
      </w:r>
      <w:r w:rsidR="00F06554" w:rsidRPr="009C4D2A">
        <w:t xml:space="preserve"> requires that representative subsamples be collected for each tree component. Different components may require different procedures for determining what is representative. In relation to this requirement, proponents may wish to consult: </w:t>
      </w:r>
    </w:p>
    <w:p w:rsidR="00F06554" w:rsidRPr="009C4D2A" w:rsidRDefault="00F06554" w:rsidP="00391A4A">
      <w:pPr>
        <w:pStyle w:val="bullet1"/>
        <w:rPr>
          <w:color w:val="auto"/>
        </w:rPr>
      </w:pPr>
      <w:r w:rsidRPr="009C4D2A">
        <w:rPr>
          <w:color w:val="auto"/>
        </w:rPr>
        <w:t xml:space="preserve">Snowdon, P et al. (2002) NCAS Technical Report no.31: Protocol for Sampling Tree and Stand Biomass, Australian Greenhouse </w:t>
      </w:r>
      <w:r w:rsidRPr="009C4D2A">
        <w:rPr>
          <w:rFonts w:eastAsia="Calibri"/>
          <w:color w:val="auto"/>
          <w:lang w:eastAsia="en-US"/>
        </w:rPr>
        <w:t>Office</w:t>
      </w:r>
      <w:r w:rsidRPr="009C4D2A">
        <w:rPr>
          <w:color w:val="auto"/>
        </w:rPr>
        <w:t>.</w:t>
      </w:r>
    </w:p>
    <w:p w:rsidR="00C62D2F" w:rsidRPr="009C4D2A" w:rsidRDefault="00F06554" w:rsidP="003553A2">
      <w:pPr>
        <w:pStyle w:val="EStext"/>
      </w:pPr>
      <w:r w:rsidRPr="009C4D2A">
        <w:t>Subsections (</w:t>
      </w:r>
      <w:r w:rsidR="004E75D3" w:rsidRPr="009C4D2A">
        <w:t>2</w:t>
      </w:r>
      <w:r w:rsidRPr="009C4D2A">
        <w:t>) and (</w:t>
      </w:r>
      <w:r w:rsidR="004E75D3" w:rsidRPr="009C4D2A">
        <w:t>3</w:t>
      </w:r>
      <w:r w:rsidRPr="009C4D2A">
        <w:t>) detail the process for determining the coefficient of variation for dry:wet</w:t>
      </w:r>
      <w:r w:rsidR="005D4A67" w:rsidRPr="009C4D2A">
        <w:t xml:space="preserve"> weight</w:t>
      </w:r>
      <w:r w:rsidRPr="009C4D2A">
        <w:t xml:space="preserve"> ratios in allometric equations for single species where not all trees were analysed for dry weight.</w:t>
      </w:r>
      <w:r w:rsidR="002E347A" w:rsidRPr="009C4D2A">
        <w:t xml:space="preserve"> The coefficient of variation is only required to be measured when a sub-sample of trees are used to determine a dry to wet weight ratio. This is done to minimise error in the final estimates of tree biomass. Where the error is potentially large, in that the coefficient of variation is greater than 15 per cent, further sampling will be required. </w:t>
      </w:r>
      <w:r w:rsidRPr="009C4D2A">
        <w:t>The requirements for the treatment of samples where the coefficient exceeds 15 </w:t>
      </w:r>
      <w:r w:rsidR="00543313" w:rsidRPr="009C4D2A">
        <w:t>per cent</w:t>
      </w:r>
      <w:r w:rsidRPr="009C4D2A">
        <w:t> are also specified.</w:t>
      </w:r>
    </w:p>
    <w:p w:rsidR="00F06554" w:rsidRPr="009C4D2A" w:rsidRDefault="00F06554" w:rsidP="003553A2">
      <w:pPr>
        <w:pStyle w:val="EStext"/>
      </w:pPr>
      <w:r w:rsidRPr="009C4D2A">
        <w:t>Subsection (</w:t>
      </w:r>
      <w:r w:rsidR="004E75D3" w:rsidRPr="009C4D2A">
        <w:t>4</w:t>
      </w:r>
      <w:r w:rsidRPr="009C4D2A">
        <w:t>) specifies the treatment of samples where the coefficient of variation for dry:wet</w:t>
      </w:r>
      <w:r w:rsidR="005D4A67" w:rsidRPr="009C4D2A">
        <w:t xml:space="preserve"> weight</w:t>
      </w:r>
      <w:r w:rsidRPr="009C4D2A">
        <w:t xml:space="preserve"> ratios in allometric equations for single species is below 15</w:t>
      </w:r>
      <w:r w:rsidR="00543313" w:rsidRPr="009C4D2A">
        <w:t xml:space="preserve"> per cent</w:t>
      </w:r>
      <w:r w:rsidRPr="009C4D2A">
        <w:t>.</w:t>
      </w:r>
    </w:p>
    <w:p w:rsidR="006543D0" w:rsidRPr="009C4D2A" w:rsidRDefault="00EE1197" w:rsidP="00391A4A">
      <w:pPr>
        <w:pStyle w:val="Minorheadingstyle"/>
      </w:pPr>
      <w:r w:rsidRPr="009C4D2A">
        <w:lastRenderedPageBreak/>
        <w:fldChar w:fldCharType="begin"/>
      </w:r>
      <w:bookmarkStart w:id="31" w:name="_Ref410241048"/>
      <w:bookmarkEnd w:id="31"/>
      <w:r w:rsidR="00D16488" w:rsidRPr="009C4D2A">
        <w:instrText xml:space="preserve"> LISTNUM  LegalDefault \l 1 </w:instrText>
      </w:r>
      <w:r w:rsidRPr="009C4D2A">
        <w:fldChar w:fldCharType="end"/>
      </w:r>
      <w:r w:rsidR="006543D0" w:rsidRPr="009C4D2A">
        <w:tab/>
      </w:r>
      <w:r w:rsidR="00E542F1" w:rsidRPr="009C4D2A">
        <w:t>Step 10—</w:t>
      </w:r>
      <w:r w:rsidR="006543D0" w:rsidRPr="009C4D2A">
        <w:t>Data exploration and analysis</w:t>
      </w:r>
    </w:p>
    <w:p w:rsidR="00E542F1" w:rsidRPr="009C4D2A" w:rsidRDefault="00404426" w:rsidP="003553A2">
      <w:pPr>
        <w:pStyle w:val="EStext"/>
      </w:pPr>
      <w:r w:rsidRPr="009C4D2A">
        <w:t>With the exception of s</w:t>
      </w:r>
      <w:r w:rsidR="00BC41C9" w:rsidRPr="009C4D2A">
        <w:t>ubsection (1), s</w:t>
      </w:r>
      <w:r w:rsidR="00E542F1" w:rsidRPr="009C4D2A">
        <w:t xml:space="preserve">ection </w:t>
      </w:r>
      <w:fldSimple w:instr=" REF _Ref410241048 \r  \* MERGEFORMAT ">
        <w:r w:rsidR="00B506B7" w:rsidRPr="009C4D2A">
          <w:t>37</w:t>
        </w:r>
      </w:fldSimple>
      <w:r w:rsidR="00E542F1" w:rsidRPr="009C4D2A">
        <w:t xml:space="preserve"> </w:t>
      </w:r>
      <w:r w:rsidR="0052177B" w:rsidRPr="009C4D2A">
        <w:t xml:space="preserve">only </w:t>
      </w:r>
      <w:r w:rsidR="00E542F1" w:rsidRPr="009C4D2A">
        <w:t>applies to the development of new allometric equations.</w:t>
      </w:r>
      <w:r w:rsidR="004E75D3" w:rsidRPr="009C4D2A">
        <w:t xml:space="preserve"> </w:t>
      </w:r>
    </w:p>
    <w:p w:rsidR="006310FA" w:rsidRPr="009C4D2A" w:rsidRDefault="00E646F9" w:rsidP="003553A2">
      <w:pPr>
        <w:pStyle w:val="EStext"/>
      </w:pPr>
      <w:r w:rsidRPr="009C4D2A">
        <w:t>Subsection (1) requires that the whole tree dry weight data obtained in section</w:t>
      </w:r>
      <w:r w:rsidR="009769F0" w:rsidRPr="009C4D2A">
        <w:t xml:space="preserve"> </w:t>
      </w:r>
      <w:fldSimple w:instr=" REF _Ref410241110 \r  \* MERGEFORMAT ">
        <w:r w:rsidR="00B506B7" w:rsidRPr="009C4D2A">
          <w:t>36</w:t>
        </w:r>
      </w:fldSimple>
      <w:r w:rsidR="00F46CBA" w:rsidRPr="009C4D2A">
        <w:t xml:space="preserve"> </w:t>
      </w:r>
      <w:r w:rsidRPr="009C4D2A">
        <w:t>must be compiled into a database or spreadsheet suitable for statistical analysis or importation into a statistical analysis software package.</w:t>
      </w:r>
    </w:p>
    <w:p w:rsidR="006310FA" w:rsidRPr="009C4D2A" w:rsidRDefault="0052177B" w:rsidP="003553A2">
      <w:pPr>
        <w:pStyle w:val="EStext"/>
      </w:pPr>
      <w:r w:rsidRPr="009C4D2A">
        <w:t>Subsection (2) provide</w:t>
      </w:r>
      <w:r w:rsidR="00C62D2F" w:rsidRPr="009C4D2A">
        <w:t>s</w:t>
      </w:r>
      <w:r w:rsidRPr="009C4D2A">
        <w:t xml:space="preserve"> that </w:t>
      </w:r>
      <w:r w:rsidR="00E646F9" w:rsidRPr="009C4D2A">
        <w:t>to validate an existing allometric equation</w:t>
      </w:r>
      <w:r w:rsidR="001B7D41" w:rsidRPr="009C4D2A">
        <w:t xml:space="preserve"> </w:t>
      </w:r>
      <w:r w:rsidRPr="009C4D2A">
        <w:t xml:space="preserve">the steps </w:t>
      </w:r>
      <w:r w:rsidR="00F46CBA" w:rsidRPr="009C4D2A">
        <w:t xml:space="preserve">in </w:t>
      </w:r>
      <w:r w:rsidR="00E646F9" w:rsidRPr="009C4D2A">
        <w:t>Step 11 in section</w:t>
      </w:r>
      <w:r w:rsidR="00F46CBA" w:rsidRPr="009C4D2A">
        <w:t xml:space="preserve"> </w:t>
      </w:r>
      <w:fldSimple w:instr=" REF _Ref410240889 \r  \* MERGEFORMAT ">
        <w:r w:rsidR="00B506B7" w:rsidRPr="009C4D2A">
          <w:t>38</w:t>
        </w:r>
      </w:fldSimple>
      <w:r w:rsidR="00A96A3C" w:rsidRPr="009C4D2A">
        <w:t xml:space="preserve"> </w:t>
      </w:r>
      <w:r w:rsidR="00E646F9" w:rsidRPr="009C4D2A">
        <w:t xml:space="preserve">must be completed. </w:t>
      </w:r>
    </w:p>
    <w:p w:rsidR="00C62D2F" w:rsidRPr="009C4D2A" w:rsidRDefault="00C62D2F" w:rsidP="003553A2">
      <w:pPr>
        <w:pStyle w:val="EStext"/>
      </w:pPr>
      <w:r w:rsidRPr="009C4D2A">
        <w:t xml:space="preserve">Subsection (3) provides that </w:t>
      </w:r>
      <w:r w:rsidR="00404426" w:rsidRPr="009C4D2A">
        <w:t xml:space="preserve">the steps in 10.1 in </w:t>
      </w:r>
      <w:r w:rsidRPr="009C4D2A">
        <w:t xml:space="preserve">section </w:t>
      </w:r>
      <w:fldSimple w:instr=" REF _Ref410241048 \r  \* MERGEFORMAT ">
        <w:r w:rsidR="00B506B7" w:rsidRPr="009C4D2A">
          <w:t>37</w:t>
        </w:r>
      </w:fldSimple>
      <w:r w:rsidRPr="009C4D2A">
        <w:t xml:space="preserve"> </w:t>
      </w:r>
      <w:r w:rsidR="00404426" w:rsidRPr="009C4D2A">
        <w:t xml:space="preserve">are </w:t>
      </w:r>
      <w:r w:rsidRPr="009C4D2A">
        <w:t>to be used when developing a new allometric equation.</w:t>
      </w:r>
    </w:p>
    <w:p w:rsidR="006310FA" w:rsidRPr="009C4D2A" w:rsidRDefault="0034066C" w:rsidP="003553A2">
      <w:pPr>
        <w:pStyle w:val="EStext"/>
      </w:pPr>
      <w:r w:rsidRPr="009C4D2A">
        <w:t>Subsections (4) to (1</w:t>
      </w:r>
      <w:r w:rsidR="00D411CA" w:rsidRPr="009C4D2A">
        <w:t>3</w:t>
      </w:r>
      <w:r w:rsidRPr="009C4D2A">
        <w:t>) specif</w:t>
      </w:r>
      <w:r w:rsidR="004F116A" w:rsidRPr="009C4D2A">
        <w:t>y</w:t>
      </w:r>
      <w:r w:rsidRPr="009C4D2A">
        <w:t xml:space="preserve"> the detailed process for developing </w:t>
      </w:r>
      <w:r w:rsidR="00D411CA" w:rsidRPr="009C4D2A">
        <w:t xml:space="preserve">and testing the appropriateness of </w:t>
      </w:r>
      <w:r w:rsidRPr="009C4D2A">
        <w:t xml:space="preserve">an allometric equation from the data obtained in section </w:t>
      </w:r>
      <w:fldSimple w:instr=" REF _Ref410240806 \r  \* MERGEFORMAT ">
        <w:r w:rsidR="00B506B7" w:rsidRPr="009C4D2A">
          <w:t>35</w:t>
        </w:r>
      </w:fldSimple>
      <w:r w:rsidRPr="009C4D2A">
        <w:t>.</w:t>
      </w:r>
    </w:p>
    <w:p w:rsidR="00F46CBA" w:rsidRPr="009C4D2A" w:rsidRDefault="00F46CBA" w:rsidP="003553A2">
      <w:pPr>
        <w:pStyle w:val="EStext"/>
      </w:pPr>
      <w:r w:rsidRPr="009C4D2A">
        <w:t xml:space="preserve">An allometric equation being developed </w:t>
      </w:r>
      <w:r w:rsidR="00D411CA" w:rsidRPr="009C4D2A">
        <w:t>must</w:t>
      </w:r>
      <w:r w:rsidRPr="009C4D2A">
        <w:t xml:space="preserve"> take the form of a statistical model fitted</w:t>
      </w:r>
      <w:r w:rsidR="0019598C" w:rsidRPr="009C4D2A">
        <w:t xml:space="preserve"> </w:t>
      </w:r>
      <w:r w:rsidRPr="009C4D2A">
        <w:t>using:</w:t>
      </w:r>
    </w:p>
    <w:p w:rsidR="006310FA" w:rsidRPr="009C4D2A" w:rsidRDefault="00F46CBA" w:rsidP="00391A4A">
      <w:pPr>
        <w:pStyle w:val="bullet1"/>
        <w:rPr>
          <w:color w:val="auto"/>
        </w:rPr>
      </w:pPr>
      <w:r w:rsidRPr="009C4D2A">
        <w:rPr>
          <w:color w:val="auto"/>
        </w:rPr>
        <w:t>simple linear regression;</w:t>
      </w:r>
    </w:p>
    <w:p w:rsidR="006310FA" w:rsidRPr="009C4D2A" w:rsidRDefault="00F46CBA" w:rsidP="00391A4A">
      <w:pPr>
        <w:pStyle w:val="bullet1"/>
        <w:rPr>
          <w:color w:val="auto"/>
        </w:rPr>
      </w:pPr>
      <w:r w:rsidRPr="009C4D2A">
        <w:rPr>
          <w:color w:val="auto"/>
        </w:rPr>
        <w:t>multiple regression;</w:t>
      </w:r>
    </w:p>
    <w:p w:rsidR="006310FA" w:rsidRPr="009C4D2A" w:rsidRDefault="00F46CBA" w:rsidP="00391A4A">
      <w:pPr>
        <w:pStyle w:val="bullet1"/>
        <w:rPr>
          <w:color w:val="auto"/>
        </w:rPr>
      </w:pPr>
      <w:r w:rsidRPr="009C4D2A">
        <w:rPr>
          <w:color w:val="auto"/>
        </w:rPr>
        <w:t>polynomial regression; or</w:t>
      </w:r>
    </w:p>
    <w:p w:rsidR="006310FA" w:rsidRPr="009C4D2A" w:rsidRDefault="00F46CBA" w:rsidP="00391A4A">
      <w:pPr>
        <w:pStyle w:val="bullet1"/>
        <w:rPr>
          <w:color w:val="auto"/>
        </w:rPr>
      </w:pPr>
      <w:r w:rsidRPr="009C4D2A">
        <w:rPr>
          <w:color w:val="auto"/>
        </w:rPr>
        <w:t>non-linear regression.</w:t>
      </w:r>
    </w:p>
    <w:p w:rsidR="006310FA" w:rsidRPr="009C4D2A" w:rsidRDefault="00F46CBA" w:rsidP="003553A2">
      <w:pPr>
        <w:pStyle w:val="EStext"/>
      </w:pPr>
      <w:r w:rsidRPr="009C4D2A">
        <w:t xml:space="preserve">Each allometric equation developed </w:t>
      </w:r>
      <w:r w:rsidR="007B3995" w:rsidRPr="009C4D2A">
        <w:t>is required to</w:t>
      </w:r>
      <w:r w:rsidRPr="009C4D2A">
        <w:t xml:space="preserve"> satisfy the assumptions that</w:t>
      </w:r>
      <w:r w:rsidR="001B7D41" w:rsidRPr="009C4D2A">
        <w:t xml:space="preserve"> </w:t>
      </w:r>
      <w:r w:rsidRPr="009C4D2A">
        <w:t>the response variable</w:t>
      </w:r>
      <w:r w:rsidR="007B3995" w:rsidRPr="009C4D2A">
        <w:t>s</w:t>
      </w:r>
      <w:r w:rsidRPr="009C4D2A">
        <w:t xml:space="preserve"> change in a syste</w:t>
      </w:r>
      <w:r w:rsidR="00C16695" w:rsidRPr="009C4D2A">
        <w:t>matic way with variation in the</w:t>
      </w:r>
      <w:r w:rsidR="001B7D41" w:rsidRPr="009C4D2A">
        <w:t xml:space="preserve"> </w:t>
      </w:r>
      <w:r w:rsidR="007B3995" w:rsidRPr="009C4D2A">
        <w:t>predictor variable a</w:t>
      </w:r>
      <w:r w:rsidRPr="009C4D2A">
        <w:t>nd</w:t>
      </w:r>
      <w:r w:rsidR="007B3995" w:rsidRPr="009C4D2A">
        <w:t xml:space="preserve"> that </w:t>
      </w:r>
      <w:r w:rsidRPr="009C4D2A">
        <w:t>errors are</w:t>
      </w:r>
      <w:r w:rsidR="007B3995" w:rsidRPr="009C4D2A">
        <w:t xml:space="preserve"> statistically </w:t>
      </w:r>
      <w:r w:rsidRPr="009C4D2A">
        <w:t>independent</w:t>
      </w:r>
      <w:r w:rsidR="001B7D41" w:rsidRPr="009C4D2A">
        <w:t xml:space="preserve"> </w:t>
      </w:r>
      <w:r w:rsidRPr="009C4D2A">
        <w:t>and</w:t>
      </w:r>
      <w:r w:rsidR="001B7D41" w:rsidRPr="009C4D2A">
        <w:t xml:space="preserve"> </w:t>
      </w:r>
      <w:r w:rsidRPr="009C4D2A">
        <w:t>normally distributed.</w:t>
      </w:r>
    </w:p>
    <w:p w:rsidR="00FD4FE3" w:rsidRPr="009C4D2A" w:rsidRDefault="00FD4FE3" w:rsidP="003553A2">
      <w:pPr>
        <w:pStyle w:val="EStext"/>
      </w:pPr>
      <w:r w:rsidRPr="009C4D2A">
        <w:t>Applying a transformation to the data may be needed to satisfy the above assumptions.  As logarithmic transformation introduces bias</w:t>
      </w:r>
      <w:r w:rsidR="001B5D47" w:rsidRPr="009C4D2A">
        <w:t xml:space="preserve">, this bias must be corrected. </w:t>
      </w:r>
      <w:r w:rsidRPr="009C4D2A">
        <w:t>Therefore, subsection (8) provides that</w:t>
      </w:r>
      <w:r w:rsidR="00560C6D" w:rsidRPr="009C4D2A">
        <w:t xml:space="preserve"> if a logarithmic transformation is applied to the response variable, the proportional bias must be estimated and applied using the ratio of the arithmetic sample mean to the mean of the back-transformed predicted variables.</w:t>
      </w:r>
    </w:p>
    <w:p w:rsidR="00FD4FE3" w:rsidRPr="009C4D2A" w:rsidRDefault="00FD4FE3" w:rsidP="003553A2">
      <w:pPr>
        <w:pStyle w:val="EStext"/>
      </w:pPr>
      <w:r w:rsidRPr="009C4D2A">
        <w:t>Proponents may wish to consult:</w:t>
      </w:r>
    </w:p>
    <w:p w:rsidR="00FD4FE3" w:rsidRPr="009C4D2A" w:rsidRDefault="00FD4FE3" w:rsidP="00391A4A">
      <w:pPr>
        <w:pStyle w:val="bullet1"/>
        <w:rPr>
          <w:color w:val="auto"/>
        </w:rPr>
      </w:pPr>
      <w:r w:rsidRPr="009C4D2A">
        <w:rPr>
          <w:color w:val="auto"/>
        </w:rPr>
        <w:t xml:space="preserve">Snowdon, P (1991) A ratio estimator for bias correction in logarithmic regressions. </w:t>
      </w:r>
      <w:r w:rsidRPr="009C4D2A">
        <w:rPr>
          <w:i/>
          <w:color w:val="auto"/>
        </w:rPr>
        <w:t xml:space="preserve">Canadian Journal of Forest Research </w:t>
      </w:r>
      <w:r w:rsidRPr="009C4D2A">
        <w:rPr>
          <w:color w:val="auto"/>
        </w:rPr>
        <w:t>21, 720–724.</w:t>
      </w:r>
    </w:p>
    <w:p w:rsidR="006310FA" w:rsidRPr="009C4D2A" w:rsidRDefault="007B3995" w:rsidP="003553A2">
      <w:pPr>
        <w:pStyle w:val="EStext"/>
      </w:pPr>
      <w:r w:rsidRPr="009C4D2A">
        <w:t xml:space="preserve">Subsection </w:t>
      </w:r>
      <w:r w:rsidR="008C5D3F" w:rsidRPr="009C4D2A">
        <w:t>(</w:t>
      </w:r>
      <w:r w:rsidRPr="009C4D2A">
        <w:t>13</w:t>
      </w:r>
      <w:r w:rsidR="008C5D3F" w:rsidRPr="009C4D2A">
        <w:t>)</w:t>
      </w:r>
      <w:r w:rsidRPr="009C4D2A">
        <w:t xml:space="preserve"> provides that</w:t>
      </w:r>
      <w:r w:rsidR="00537472" w:rsidRPr="009C4D2A">
        <w:t xml:space="preserve"> the</w:t>
      </w:r>
      <w:r w:rsidR="001B7D41" w:rsidRPr="009C4D2A">
        <w:t xml:space="preserve"> </w:t>
      </w:r>
      <w:r w:rsidR="008C5D3F" w:rsidRPr="009C4D2A">
        <w:t>mean of the weighted residuals calculated in Equation 1 must not be significantly different from zero, as determined by applying a two-tailed student t</w:t>
      </w:r>
      <w:r w:rsidR="00537472" w:rsidRPr="009C4D2A">
        <w:t>-</w:t>
      </w:r>
      <w:r w:rsidR="008C5D3F" w:rsidRPr="009C4D2A">
        <w:t>test.</w:t>
      </w:r>
    </w:p>
    <w:p w:rsidR="006310FA" w:rsidRPr="009C4D2A" w:rsidRDefault="007B3995" w:rsidP="003553A2">
      <w:pPr>
        <w:pStyle w:val="EStext"/>
      </w:pPr>
      <w:r w:rsidRPr="009C4D2A">
        <w:t xml:space="preserve">Subsection </w:t>
      </w:r>
      <w:r w:rsidR="008C5D3F" w:rsidRPr="009C4D2A">
        <w:t>(</w:t>
      </w:r>
      <w:r w:rsidRPr="009C4D2A">
        <w:t>14</w:t>
      </w:r>
      <w:r w:rsidR="008C5D3F" w:rsidRPr="009C4D2A">
        <w:t xml:space="preserve">) provides that if the </w:t>
      </w:r>
      <w:r w:rsidR="003479F0" w:rsidRPr="009C4D2A">
        <w:t>allometric equation</w:t>
      </w:r>
      <w:r w:rsidR="008C5D3F" w:rsidRPr="009C4D2A">
        <w:t xml:space="preserve"> satisfies the requirements of subsection (13)</w:t>
      </w:r>
      <w:r w:rsidR="00537472" w:rsidRPr="009C4D2A">
        <w:t>,</w:t>
      </w:r>
      <w:r w:rsidR="008C5D3F" w:rsidRPr="009C4D2A">
        <w:t xml:space="preserve"> the </w:t>
      </w:r>
      <w:r w:rsidR="003479F0" w:rsidRPr="009C4D2A">
        <w:t>allometric equation</w:t>
      </w:r>
      <w:r w:rsidR="008C5D3F" w:rsidRPr="009C4D2A">
        <w:t xml:space="preserve"> can pr</w:t>
      </w:r>
      <w:r w:rsidR="00537472" w:rsidRPr="009C4D2A">
        <w:t>ogress to validation in Step 11</w:t>
      </w:r>
      <w:r w:rsidR="003E1AC4" w:rsidRPr="009C4D2A">
        <w:t xml:space="preserve"> in section </w:t>
      </w:r>
      <w:fldSimple w:instr=" REF _Ref410240889 \n \h  \* MERGEFORMAT ">
        <w:r w:rsidR="003E1AC4" w:rsidRPr="009C4D2A">
          <w:t>38</w:t>
        </w:r>
      </w:fldSimple>
      <w:r w:rsidR="002A19A6" w:rsidRPr="009C4D2A">
        <w:t>.</w:t>
      </w:r>
    </w:p>
    <w:p w:rsidR="002A19A6" w:rsidRPr="009C4D2A" w:rsidRDefault="00F46CBA" w:rsidP="0084569D">
      <w:pPr>
        <w:pStyle w:val="EStext"/>
        <w:keepNext/>
      </w:pPr>
      <w:r w:rsidRPr="009C4D2A">
        <w:lastRenderedPageBreak/>
        <w:t xml:space="preserve">Subsection </w:t>
      </w:r>
      <w:r w:rsidR="008C5D3F" w:rsidRPr="009C4D2A">
        <w:t>(</w:t>
      </w:r>
      <w:r w:rsidRPr="009C4D2A">
        <w:t>15</w:t>
      </w:r>
      <w:r w:rsidR="008C5D3F" w:rsidRPr="009C4D2A">
        <w:t>)</w:t>
      </w:r>
      <w:r w:rsidR="001B7D41" w:rsidRPr="009C4D2A">
        <w:t xml:space="preserve"> </w:t>
      </w:r>
      <w:r w:rsidR="002A19A6" w:rsidRPr="009C4D2A">
        <w:t xml:space="preserve">requires that if the </w:t>
      </w:r>
      <w:r w:rsidR="003479F0" w:rsidRPr="009C4D2A">
        <w:t>allometric equation</w:t>
      </w:r>
      <w:r w:rsidR="002A19A6" w:rsidRPr="009C4D2A">
        <w:t xml:space="preserve"> does not satisfy subsection (13):</w:t>
      </w:r>
    </w:p>
    <w:p w:rsidR="006C7938" w:rsidRPr="009C4D2A" w:rsidRDefault="002A19A6" w:rsidP="0084569D">
      <w:pPr>
        <w:pStyle w:val="bullet1"/>
        <w:keepNext/>
        <w:rPr>
          <w:color w:val="auto"/>
        </w:rPr>
      </w:pPr>
      <w:r w:rsidRPr="009C4D2A">
        <w:rPr>
          <w:color w:val="auto"/>
        </w:rPr>
        <w:t xml:space="preserve">an existing equation must be selected in accordance with section </w:t>
      </w:r>
      <w:fldSimple w:instr=" REF _Ref410239942 \n \h  \* MERGEFORMAT ">
        <w:r w:rsidR="003E1AC4" w:rsidRPr="009C4D2A">
          <w:rPr>
            <w:color w:val="auto"/>
          </w:rPr>
          <w:t>26</w:t>
        </w:r>
      </w:fldSimple>
      <w:r w:rsidR="003E1AC4" w:rsidRPr="009C4D2A">
        <w:rPr>
          <w:color w:val="auto"/>
        </w:rPr>
        <w:t xml:space="preserve"> </w:t>
      </w:r>
      <w:r w:rsidRPr="009C4D2A">
        <w:rPr>
          <w:color w:val="auto"/>
        </w:rPr>
        <w:t>and validated using the p</w:t>
      </w:r>
      <w:r w:rsidR="00841779" w:rsidRPr="009C4D2A">
        <w:rPr>
          <w:color w:val="auto"/>
        </w:rPr>
        <w:t xml:space="preserve">rocedure outlined in section </w:t>
      </w:r>
      <w:fldSimple w:instr=" REF _Ref410240889 \r  \* MERGEFORMAT ">
        <w:r w:rsidR="00B506B7" w:rsidRPr="009C4D2A">
          <w:rPr>
            <w:color w:val="auto"/>
          </w:rPr>
          <w:t>38</w:t>
        </w:r>
      </w:fldSimple>
      <w:r w:rsidRPr="009C4D2A">
        <w:rPr>
          <w:color w:val="auto"/>
        </w:rPr>
        <w:t>; or</w:t>
      </w:r>
    </w:p>
    <w:p w:rsidR="006C7938" w:rsidRPr="009C4D2A" w:rsidRDefault="002A19A6">
      <w:pPr>
        <w:pStyle w:val="bullet1"/>
        <w:rPr>
          <w:color w:val="auto"/>
        </w:rPr>
      </w:pPr>
      <w:r w:rsidRPr="009C4D2A">
        <w:rPr>
          <w:color w:val="auto"/>
        </w:rPr>
        <w:t>a new equation must be developed</w:t>
      </w:r>
      <w:r w:rsidR="004F116A" w:rsidRPr="009C4D2A">
        <w:rPr>
          <w:color w:val="auto"/>
        </w:rPr>
        <w:t>.</w:t>
      </w:r>
    </w:p>
    <w:p w:rsidR="006310FA" w:rsidRPr="009C4D2A" w:rsidRDefault="00EE1197" w:rsidP="00391A4A">
      <w:pPr>
        <w:pStyle w:val="Minorheadingstyle"/>
      </w:pPr>
      <w:r w:rsidRPr="009C4D2A">
        <w:fldChar w:fldCharType="begin"/>
      </w:r>
      <w:bookmarkStart w:id="32" w:name="_Ref410240889"/>
      <w:bookmarkEnd w:id="32"/>
      <w:r w:rsidR="00D16488" w:rsidRPr="009C4D2A">
        <w:instrText xml:space="preserve"> LISTNUM  LegalDefault \l 1 </w:instrText>
      </w:r>
      <w:r w:rsidRPr="009C4D2A">
        <w:fldChar w:fldCharType="end"/>
      </w:r>
      <w:r w:rsidR="004F116A" w:rsidRPr="009C4D2A">
        <w:tab/>
      </w:r>
      <w:r w:rsidR="00F8361A" w:rsidRPr="009C4D2A">
        <w:t>Step 1</w:t>
      </w:r>
      <w:r w:rsidR="00E62E3D" w:rsidRPr="009C4D2A">
        <w:t>1</w:t>
      </w:r>
      <w:r w:rsidR="00F8361A" w:rsidRPr="009C4D2A">
        <w:t>—Validation of allometric equation</w:t>
      </w:r>
    </w:p>
    <w:p w:rsidR="00553213" w:rsidRPr="009C4D2A" w:rsidRDefault="000422BD" w:rsidP="003553A2">
      <w:pPr>
        <w:pStyle w:val="EStext"/>
      </w:pPr>
      <w:r w:rsidRPr="009C4D2A">
        <w:t xml:space="preserve">Section </w:t>
      </w:r>
      <w:fldSimple w:instr=" REF _Ref410240889 \r  \* MERGEFORMAT ">
        <w:r w:rsidR="00B506B7" w:rsidRPr="009C4D2A">
          <w:t>38</w:t>
        </w:r>
      </w:fldSimple>
      <w:r w:rsidR="00841779" w:rsidRPr="009C4D2A">
        <w:t xml:space="preserve"> </w:t>
      </w:r>
      <w:r w:rsidRPr="009C4D2A">
        <w:t>requires that t</w:t>
      </w:r>
      <w:r w:rsidR="00553213" w:rsidRPr="009C4D2A">
        <w:t>he effectiveness of a</w:t>
      </w:r>
      <w:r w:rsidR="003479F0" w:rsidRPr="009C4D2A">
        <w:t>n</w:t>
      </w:r>
      <w:r w:rsidR="00553213" w:rsidRPr="009C4D2A">
        <w:t xml:space="preserve"> </w:t>
      </w:r>
      <w:r w:rsidR="003479F0" w:rsidRPr="009C4D2A">
        <w:t>allometric equation</w:t>
      </w:r>
      <w:r w:rsidR="00553213" w:rsidRPr="009C4D2A">
        <w:t xml:space="preserve"> to predict biomass (or tree volume) must be validated by comparing its predictions to observations made using </w:t>
      </w:r>
      <w:r w:rsidRPr="009C4D2A">
        <w:t>an</w:t>
      </w:r>
      <w:r w:rsidR="001B7D41" w:rsidRPr="009C4D2A">
        <w:t xml:space="preserve"> </w:t>
      </w:r>
      <w:r w:rsidR="00553213" w:rsidRPr="009C4D2A">
        <w:t>independent dataset.</w:t>
      </w:r>
    </w:p>
    <w:p w:rsidR="006310FA" w:rsidRPr="009C4D2A" w:rsidRDefault="00E62E3D" w:rsidP="003553A2">
      <w:pPr>
        <w:pStyle w:val="EStext"/>
      </w:pPr>
      <w:r w:rsidRPr="009C4D2A">
        <w:t>Subsections</w:t>
      </w:r>
      <w:r w:rsidRPr="009C4D2A">
        <w:rPr>
          <w:bCs/>
          <w:iCs/>
        </w:rPr>
        <w:t xml:space="preserve"> (1) </w:t>
      </w:r>
      <w:r w:rsidR="000422BD" w:rsidRPr="009C4D2A">
        <w:rPr>
          <w:bCs/>
          <w:iCs/>
        </w:rPr>
        <w:t>and</w:t>
      </w:r>
      <w:r w:rsidRPr="009C4D2A">
        <w:rPr>
          <w:bCs/>
          <w:iCs/>
        </w:rPr>
        <w:t xml:space="preserve"> (2) provide </w:t>
      </w:r>
      <w:r w:rsidR="000422BD" w:rsidRPr="009C4D2A">
        <w:rPr>
          <w:bCs/>
          <w:iCs/>
        </w:rPr>
        <w:t>that e</w:t>
      </w:r>
      <w:r w:rsidR="000422BD" w:rsidRPr="009C4D2A">
        <w:t>ach allometric equation must be validated with respect to the</w:t>
      </w:r>
      <w:r w:rsidR="00637433" w:rsidRPr="009C4D2A">
        <w:t xml:space="preserve"> native forest covered by</w:t>
      </w:r>
      <w:r w:rsidR="001B7D41" w:rsidRPr="009C4D2A">
        <w:t xml:space="preserve"> </w:t>
      </w:r>
      <w:r w:rsidR="003C6B54" w:rsidRPr="009C4D2A">
        <w:t xml:space="preserve">pre-existing </w:t>
      </w:r>
      <w:r w:rsidR="000422BD" w:rsidRPr="009C4D2A">
        <w:t>clearing consent.</w:t>
      </w:r>
      <w:r w:rsidR="009769F0" w:rsidRPr="009C4D2A">
        <w:t xml:space="preserve"> </w:t>
      </w:r>
      <w:r w:rsidR="000422BD" w:rsidRPr="009C4D2A">
        <w:t xml:space="preserve">Each allometric equation must also be validated </w:t>
      </w:r>
      <w:r w:rsidR="00E646F9" w:rsidRPr="009C4D2A">
        <w:t>during the first reporting period</w:t>
      </w:r>
      <w:r w:rsidR="000422BD" w:rsidRPr="009C4D2A">
        <w:t xml:space="preserve"> </w:t>
      </w:r>
      <w:r w:rsidR="00B60091" w:rsidRPr="009C4D2A">
        <w:t xml:space="preserve">in which the allometric equation is applied </w:t>
      </w:r>
      <w:r w:rsidR="000422BD" w:rsidRPr="009C4D2A">
        <w:t>and</w:t>
      </w:r>
      <w:r w:rsidR="001B7D41" w:rsidRPr="009C4D2A">
        <w:t xml:space="preserve"> </w:t>
      </w:r>
      <w:r w:rsidR="000422BD" w:rsidRPr="009C4D2A">
        <w:t>the last reporting period in the crediting period.</w:t>
      </w:r>
    </w:p>
    <w:p w:rsidR="00553213" w:rsidRPr="009C4D2A" w:rsidRDefault="00553213" w:rsidP="003553A2">
      <w:pPr>
        <w:pStyle w:val="EStext"/>
      </w:pPr>
      <w:r w:rsidRPr="009C4D2A">
        <w:t xml:space="preserve">Each allometric equation to be applied in the project area must be validated </w:t>
      </w:r>
      <w:r w:rsidR="00537472" w:rsidRPr="009C4D2A">
        <w:t>in accordance with</w:t>
      </w:r>
      <w:r w:rsidRPr="009C4D2A">
        <w:t xml:space="preserve"> the process set out in </w:t>
      </w:r>
      <w:r w:rsidR="000422BD" w:rsidRPr="009C4D2A">
        <w:t>the subsections</w:t>
      </w:r>
      <w:r w:rsidRPr="009C4D2A">
        <w:t xml:space="preserve"> summarised</w:t>
      </w:r>
      <w:r w:rsidR="00E62E3D" w:rsidRPr="009C4D2A">
        <w:t xml:space="preserve"> in the following steps</w:t>
      </w:r>
      <w:r w:rsidRPr="009C4D2A">
        <w:t>:</w:t>
      </w:r>
    </w:p>
    <w:p w:rsidR="00553213" w:rsidRPr="009C4D2A" w:rsidRDefault="00553213" w:rsidP="00391A4A">
      <w:pPr>
        <w:pStyle w:val="Subheadingstyle"/>
        <w:rPr>
          <w:lang w:val="en-AU"/>
        </w:rPr>
      </w:pPr>
      <w:r w:rsidRPr="009C4D2A">
        <w:rPr>
          <w:lang w:val="en-AU"/>
        </w:rPr>
        <w:t>Step 1</w:t>
      </w:r>
      <w:r w:rsidR="00E62E3D" w:rsidRPr="009C4D2A">
        <w:rPr>
          <w:lang w:val="en-AU"/>
        </w:rPr>
        <w:t>1</w:t>
      </w:r>
      <w:r w:rsidRPr="009C4D2A">
        <w:rPr>
          <w:lang w:val="en-AU"/>
        </w:rPr>
        <w:t>.1—Confirm</w:t>
      </w:r>
      <w:r w:rsidR="00E62E3D" w:rsidRPr="009C4D2A">
        <w:rPr>
          <w:lang w:val="en-AU"/>
        </w:rPr>
        <w:t xml:space="preserve">ation of </w:t>
      </w:r>
      <w:r w:rsidRPr="009C4D2A">
        <w:rPr>
          <w:lang w:val="en-AU"/>
        </w:rPr>
        <w:t>allometric domain</w:t>
      </w:r>
    </w:p>
    <w:p w:rsidR="00335F0D" w:rsidRPr="009C4D2A" w:rsidRDefault="00335F0D" w:rsidP="003553A2">
      <w:pPr>
        <w:pStyle w:val="EStext"/>
      </w:pPr>
      <w:r w:rsidRPr="009C4D2A">
        <w:t>Subsections (</w:t>
      </w:r>
      <w:r w:rsidR="00E62E3D" w:rsidRPr="009C4D2A">
        <w:t>3</w:t>
      </w:r>
      <w:r w:rsidRPr="009C4D2A">
        <w:t>) to (</w:t>
      </w:r>
      <w:r w:rsidR="00E62E3D" w:rsidRPr="009C4D2A">
        <w:t>7</w:t>
      </w:r>
      <w:r w:rsidRPr="009C4D2A">
        <w:t>) set out the procedure for confirming the allometric domain of an equation to be validated</w:t>
      </w:r>
      <w:r w:rsidR="007355DB" w:rsidRPr="009C4D2A">
        <w:t xml:space="preserve"> for the carbon estimation areas in which it will be applied</w:t>
      </w:r>
      <w:r w:rsidRPr="009C4D2A">
        <w:t>.</w:t>
      </w:r>
    </w:p>
    <w:p w:rsidR="00553213" w:rsidRPr="009C4D2A" w:rsidRDefault="00335F0D" w:rsidP="00391A4A">
      <w:pPr>
        <w:pStyle w:val="Subheadingstyle"/>
        <w:rPr>
          <w:lang w:val="en-AU"/>
        </w:rPr>
      </w:pPr>
      <w:r w:rsidRPr="009C4D2A">
        <w:rPr>
          <w:lang w:val="en-AU"/>
        </w:rPr>
        <w:t>Step 1</w:t>
      </w:r>
      <w:r w:rsidR="00E62E3D" w:rsidRPr="009C4D2A">
        <w:rPr>
          <w:lang w:val="en-AU"/>
        </w:rPr>
        <w:t>1</w:t>
      </w:r>
      <w:r w:rsidRPr="009C4D2A">
        <w:rPr>
          <w:lang w:val="en-AU"/>
        </w:rPr>
        <w:t>.2—Predict</w:t>
      </w:r>
      <w:r w:rsidR="004F116A" w:rsidRPr="009C4D2A">
        <w:rPr>
          <w:lang w:val="en-AU"/>
        </w:rPr>
        <w:t>ed</w:t>
      </w:r>
      <w:r w:rsidRPr="009C4D2A">
        <w:rPr>
          <w:lang w:val="en-AU"/>
        </w:rPr>
        <w:t xml:space="preserve"> biomass of </w:t>
      </w:r>
      <w:r w:rsidR="00E62E3D" w:rsidRPr="009C4D2A">
        <w:rPr>
          <w:lang w:val="en-AU"/>
        </w:rPr>
        <w:t xml:space="preserve">sample </w:t>
      </w:r>
      <w:r w:rsidRPr="009C4D2A">
        <w:rPr>
          <w:lang w:val="en-AU"/>
        </w:rPr>
        <w:t>trees</w:t>
      </w:r>
    </w:p>
    <w:p w:rsidR="00553213" w:rsidRPr="009C4D2A" w:rsidRDefault="00335F0D" w:rsidP="003553A2">
      <w:pPr>
        <w:pStyle w:val="EStext"/>
      </w:pPr>
      <w:r w:rsidRPr="009C4D2A">
        <w:t>The effect of subsections (</w:t>
      </w:r>
      <w:r w:rsidR="00E62E3D" w:rsidRPr="009C4D2A">
        <w:t>8</w:t>
      </w:r>
      <w:r w:rsidRPr="009C4D2A">
        <w:t>) and (</w:t>
      </w:r>
      <w:r w:rsidR="00E62E3D" w:rsidRPr="009C4D2A">
        <w:t>9</w:t>
      </w:r>
      <w:r w:rsidRPr="009C4D2A">
        <w:t>) is that a</w:t>
      </w:r>
      <w:r w:rsidR="00553213" w:rsidRPr="009C4D2A">
        <w:t xml:space="preserve"> predicted estimate of the biomass contained within each test tree must be generated using the allometric </w:t>
      </w:r>
      <w:r w:rsidR="003479F0" w:rsidRPr="009C4D2A">
        <w:t>equation</w:t>
      </w:r>
      <w:r w:rsidR="00553213" w:rsidRPr="009C4D2A">
        <w:t xml:space="preserve"> to be validated using as inputs the predictor variable measurements collected from each test tree.</w:t>
      </w:r>
    </w:p>
    <w:p w:rsidR="001B7D41" w:rsidRPr="009C4D2A" w:rsidRDefault="00D66397" w:rsidP="00391A4A">
      <w:pPr>
        <w:pStyle w:val="Subheadingstyle"/>
        <w:rPr>
          <w:lang w:val="en-AU"/>
        </w:rPr>
      </w:pPr>
      <w:r w:rsidRPr="009C4D2A">
        <w:rPr>
          <w:lang w:val="en-AU"/>
        </w:rPr>
        <w:t>Step 11.3—Comparison between predicted and observed biomass</w:t>
      </w:r>
    </w:p>
    <w:p w:rsidR="00335F0D" w:rsidRPr="009C4D2A" w:rsidRDefault="00335F0D" w:rsidP="003553A2">
      <w:pPr>
        <w:pStyle w:val="EStext"/>
      </w:pPr>
      <w:r w:rsidRPr="009C4D2A">
        <w:t>Subsections (</w:t>
      </w:r>
      <w:r w:rsidR="00333B68" w:rsidRPr="009C4D2A">
        <w:t>10</w:t>
      </w:r>
      <w:r w:rsidRPr="009C4D2A">
        <w:t>) to (</w:t>
      </w:r>
      <w:r w:rsidR="00C3024B" w:rsidRPr="009C4D2A">
        <w:t>1</w:t>
      </w:r>
      <w:r w:rsidRPr="009C4D2A">
        <w:t xml:space="preserve">2) set out the procedure for comparing the predictions of a </w:t>
      </w:r>
      <w:r w:rsidR="003479F0" w:rsidRPr="009C4D2A">
        <w:t>allometric equation</w:t>
      </w:r>
      <w:r w:rsidRPr="009C4D2A">
        <w:t xml:space="preserve"> with the observations estimated by the destructive sampling of test trees selected in accordance with </w:t>
      </w:r>
      <w:r w:rsidR="005B396B" w:rsidRPr="009C4D2A">
        <w:t xml:space="preserve">Step 3 in section </w:t>
      </w:r>
      <w:fldSimple w:instr=" REF _Ref410240690 \r  \* MERGEFORMAT ">
        <w:r w:rsidR="00B506B7" w:rsidRPr="009C4D2A">
          <w:t>30</w:t>
        </w:r>
      </w:fldSimple>
      <w:r w:rsidR="00C3024B" w:rsidRPr="009C4D2A">
        <w:t>.</w:t>
      </w:r>
    </w:p>
    <w:p w:rsidR="00D66397" w:rsidRPr="009C4D2A" w:rsidRDefault="00D66397" w:rsidP="00391A4A">
      <w:pPr>
        <w:pStyle w:val="Subheadingstyle"/>
        <w:rPr>
          <w:lang w:val="en-AU"/>
        </w:rPr>
      </w:pPr>
      <w:r w:rsidRPr="009C4D2A">
        <w:rPr>
          <w:lang w:val="en-AU"/>
        </w:rPr>
        <w:t>Step 11.4—Minimum requirements for validation of allometric equations</w:t>
      </w:r>
    </w:p>
    <w:p w:rsidR="00BD7894" w:rsidRPr="009C4D2A" w:rsidRDefault="00C3024B" w:rsidP="003553A2">
      <w:pPr>
        <w:pStyle w:val="EStext"/>
      </w:pPr>
      <w:r w:rsidRPr="009C4D2A">
        <w:t xml:space="preserve">Subsection (13) </w:t>
      </w:r>
      <w:r w:rsidR="00333B68" w:rsidRPr="009C4D2A">
        <w:t>specifies the minimum requirements for validation of allometric equations.</w:t>
      </w:r>
    </w:p>
    <w:p w:rsidR="00C3024B" w:rsidRPr="009C4D2A" w:rsidRDefault="00EE1197" w:rsidP="00391A4A">
      <w:pPr>
        <w:pStyle w:val="Minorheadingstyle"/>
      </w:pPr>
      <w:r w:rsidRPr="009C4D2A">
        <w:fldChar w:fldCharType="begin"/>
      </w:r>
      <w:bookmarkStart w:id="33" w:name="_Ref410240055"/>
      <w:bookmarkEnd w:id="33"/>
      <w:r w:rsidR="00D16488" w:rsidRPr="009C4D2A">
        <w:instrText xml:space="preserve"> LISTNUM  LegalDefault \l 1 </w:instrText>
      </w:r>
      <w:r w:rsidRPr="009C4D2A">
        <w:fldChar w:fldCharType="end"/>
      </w:r>
      <w:r w:rsidR="00C3024B" w:rsidRPr="009C4D2A">
        <w:tab/>
        <w:t>Procedure if allometric equation cannot be validated</w:t>
      </w:r>
    </w:p>
    <w:p w:rsidR="00C3024B" w:rsidRPr="009C4D2A" w:rsidRDefault="00C3024B" w:rsidP="003553A2">
      <w:pPr>
        <w:pStyle w:val="EStext"/>
      </w:pPr>
      <w:r w:rsidRPr="009C4D2A">
        <w:t xml:space="preserve">Section </w:t>
      </w:r>
      <w:fldSimple w:instr=" REF _Ref410240055 \r  \* MERGEFORMAT ">
        <w:r w:rsidR="00B506B7" w:rsidRPr="009C4D2A">
          <w:t>39</w:t>
        </w:r>
      </w:fldSimple>
      <w:r w:rsidR="00841779" w:rsidRPr="009C4D2A">
        <w:t xml:space="preserve"> </w:t>
      </w:r>
      <w:r w:rsidRPr="009C4D2A">
        <w:t>sets out the procedure that must be followed if an allometric equation cannot be validated</w:t>
      </w:r>
      <w:r w:rsidR="001B7D41" w:rsidRPr="009C4D2A">
        <w:t xml:space="preserve"> and requires that another equation be selected for </w:t>
      </w:r>
      <w:r w:rsidR="00E83974" w:rsidRPr="009C4D2A">
        <w:t xml:space="preserve">validation </w:t>
      </w:r>
      <w:r w:rsidR="001B7D41" w:rsidRPr="009C4D2A">
        <w:t>in accordance with</w:t>
      </w:r>
      <w:r w:rsidR="00E83974" w:rsidRPr="009C4D2A">
        <w:t xml:space="preserve"> </w:t>
      </w:r>
      <w:r w:rsidR="001B7D41" w:rsidRPr="009C4D2A">
        <w:t>section</w:t>
      </w:r>
      <w:r w:rsidR="00630C28" w:rsidRPr="009C4D2A">
        <w:t xml:space="preserve"> </w:t>
      </w:r>
      <w:fldSimple w:instr=" REF _Ref410239942 \r  \* MERGEFORMAT ">
        <w:r w:rsidR="00B506B7" w:rsidRPr="009C4D2A">
          <w:t>26</w:t>
        </w:r>
      </w:fldSimple>
      <w:r w:rsidR="00841779" w:rsidRPr="009C4D2A">
        <w:t xml:space="preserve"> </w:t>
      </w:r>
      <w:r w:rsidR="001B7D41" w:rsidRPr="009C4D2A">
        <w:t>or that a new allometric equation be developed in accordance with section</w:t>
      </w:r>
      <w:r w:rsidR="00B0019A" w:rsidRPr="009C4D2A">
        <w:t xml:space="preserve"> </w:t>
      </w:r>
      <w:fldSimple w:instr=" REF _Ref410239942 \r  \* MERGEFORMAT ">
        <w:r w:rsidR="00B506B7" w:rsidRPr="009C4D2A">
          <w:t>26</w:t>
        </w:r>
      </w:fldSimple>
      <w:r w:rsidR="00630C28" w:rsidRPr="009C4D2A">
        <w:t>.</w:t>
      </w:r>
    </w:p>
    <w:p w:rsidR="009203A5" w:rsidRPr="009C4D2A" w:rsidRDefault="00560C6D" w:rsidP="00391A4A">
      <w:pPr>
        <w:pStyle w:val="Majorheadingstyle"/>
        <w:rPr>
          <w:rFonts w:eastAsia="Calibri"/>
          <w:lang w:eastAsia="en-US"/>
        </w:rPr>
      </w:pPr>
      <w:r w:rsidRPr="009C4D2A">
        <w:rPr>
          <w:rFonts w:eastAsia="Calibri"/>
          <w:lang w:eastAsia="en-US"/>
        </w:rPr>
        <w:lastRenderedPageBreak/>
        <w:t>Subdivision</w:t>
      </w:r>
      <w:r w:rsidR="00F57CE7" w:rsidRPr="009C4D2A">
        <w:rPr>
          <w:rFonts w:eastAsia="Calibri"/>
          <w:lang w:eastAsia="en-US"/>
        </w:rPr>
        <w:t xml:space="preserve"> </w:t>
      </w:r>
      <w:r w:rsidR="00973DEC" w:rsidRPr="009C4D2A">
        <w:rPr>
          <w:rFonts w:eastAsia="Calibri"/>
          <w:lang w:eastAsia="en-US"/>
        </w:rPr>
        <w:t>2—</w:t>
      </w:r>
      <w:r w:rsidR="009203A5" w:rsidRPr="009C4D2A">
        <w:rPr>
          <w:rFonts w:eastAsia="Calibri"/>
          <w:lang w:eastAsia="en-US"/>
        </w:rPr>
        <w:t>Biomass survey</w:t>
      </w:r>
    </w:p>
    <w:p w:rsidR="0013522A" w:rsidRPr="009C4D2A" w:rsidRDefault="00EE1197" w:rsidP="00391A4A">
      <w:pPr>
        <w:pStyle w:val="Minorheadingstyle"/>
      </w:pPr>
      <w:r w:rsidRPr="009C4D2A">
        <w:fldChar w:fldCharType="begin"/>
      </w:r>
      <w:bookmarkStart w:id="34" w:name="_Ref410241571"/>
      <w:bookmarkEnd w:id="34"/>
      <w:r w:rsidR="00D16488" w:rsidRPr="009C4D2A">
        <w:instrText xml:space="preserve"> LISTNUM  LegalDefault \l 1 </w:instrText>
      </w:r>
      <w:r w:rsidRPr="009C4D2A">
        <w:fldChar w:fldCharType="end"/>
      </w:r>
      <w:r w:rsidR="0013522A" w:rsidRPr="009C4D2A">
        <w:tab/>
        <w:t>Determination of native forest biomass</w:t>
      </w:r>
    </w:p>
    <w:p w:rsidR="0013522A" w:rsidRPr="009C4D2A" w:rsidRDefault="00BC1E38" w:rsidP="003553A2">
      <w:pPr>
        <w:pStyle w:val="EStext"/>
      </w:pPr>
      <w:r w:rsidRPr="009C4D2A">
        <w:t xml:space="preserve">Section </w:t>
      </w:r>
      <w:fldSimple w:instr=" REF _Ref410241571 \r  \* MERGEFORMAT ">
        <w:r w:rsidR="00B506B7" w:rsidRPr="009C4D2A">
          <w:t>40</w:t>
        </w:r>
      </w:fldSimple>
      <w:r w:rsidR="00841779" w:rsidRPr="009C4D2A">
        <w:t xml:space="preserve"> </w:t>
      </w:r>
      <w:r w:rsidRPr="009C4D2A">
        <w:t>provides that a field-based survey must be undertaken in order to determine the biomass stocks in the native forest in the project area.</w:t>
      </w:r>
      <w:r w:rsidR="00D411CA" w:rsidRPr="009C4D2A">
        <w:t xml:space="preserve"> Biomass surveys must be carried out in the first reporting period for all </w:t>
      </w:r>
      <w:r w:rsidR="005105BA" w:rsidRPr="009C4D2A">
        <w:t>c</w:t>
      </w:r>
      <w:r w:rsidR="00650BE7" w:rsidRPr="009C4D2A">
        <w:t>arbon estimation area</w:t>
      </w:r>
      <w:r w:rsidR="00D411CA" w:rsidRPr="009C4D2A">
        <w:t xml:space="preserve">. After this time, biomass surveys are only required for </w:t>
      </w:r>
      <w:r w:rsidR="005105BA" w:rsidRPr="009C4D2A">
        <w:t>c</w:t>
      </w:r>
      <w:r w:rsidR="00650BE7" w:rsidRPr="009C4D2A">
        <w:t>arbon estimation area</w:t>
      </w:r>
      <w:r w:rsidR="00533274">
        <w:t>s</w:t>
      </w:r>
      <w:r w:rsidR="00D411CA" w:rsidRPr="009C4D2A">
        <w:t xml:space="preserve"> in which there is a disturbance. In the absence of a disturbance, project proponents can assume that biomass in the </w:t>
      </w:r>
      <w:r w:rsidR="005105BA" w:rsidRPr="009C4D2A">
        <w:t>c</w:t>
      </w:r>
      <w:r w:rsidR="00650BE7" w:rsidRPr="009C4D2A">
        <w:t>arbon estimation area</w:t>
      </w:r>
      <w:r w:rsidR="00D411CA" w:rsidRPr="009C4D2A">
        <w:t xml:space="preserve"> remains unchanged </w:t>
      </w:r>
      <w:r w:rsidR="0072432E" w:rsidRPr="009C4D2A">
        <w:t>after the first reporting period</w:t>
      </w:r>
      <w:r w:rsidR="00DA415F" w:rsidRPr="009C4D2A">
        <w:t xml:space="preserve">. </w:t>
      </w:r>
      <w:r w:rsidR="00CF5297" w:rsidRPr="009C4D2A">
        <w:t xml:space="preserve">That is, the biomass data (e.g. stem </w:t>
      </w:r>
      <w:r w:rsidR="00921128" w:rsidRPr="009C4D2A">
        <w:t>diameter</w:t>
      </w:r>
      <w:r w:rsidR="00CF5297" w:rsidRPr="009C4D2A">
        <w:t xml:space="preserve"> measures) or the output from the biomass survey </w:t>
      </w:r>
      <w:r w:rsidR="00921128" w:rsidRPr="009C4D2A">
        <w:t xml:space="preserve">(e.g. carbon stocks) </w:t>
      </w:r>
      <w:r w:rsidR="00CF5297" w:rsidRPr="009C4D2A">
        <w:t xml:space="preserve">calculated in accordance with the Determination can be </w:t>
      </w:r>
      <w:r w:rsidR="00D91D6E" w:rsidRPr="009C4D2A">
        <w:t>reused</w:t>
      </w:r>
      <w:r w:rsidR="00CF5297" w:rsidRPr="009C4D2A">
        <w:t xml:space="preserve"> for subsequent offsets reports.</w:t>
      </w:r>
      <w:r w:rsidR="00921128" w:rsidRPr="009C4D2A">
        <w:t xml:space="preserve"> </w:t>
      </w:r>
      <w:r w:rsidR="00D411CA" w:rsidRPr="009C4D2A">
        <w:t xml:space="preserve">Alternatively, project proponents can choose to re-survey </w:t>
      </w:r>
      <w:r w:rsidR="005105BA" w:rsidRPr="009C4D2A">
        <w:t>c</w:t>
      </w:r>
      <w:r w:rsidR="00650BE7" w:rsidRPr="009C4D2A">
        <w:t>arbon estimation area</w:t>
      </w:r>
      <w:r w:rsidR="00D411CA" w:rsidRPr="009C4D2A">
        <w:t xml:space="preserve"> in order to detect increases in tree growth</w:t>
      </w:r>
      <w:r w:rsidR="00637433" w:rsidRPr="009C4D2A">
        <w:t xml:space="preserve"> in accordance with section </w:t>
      </w:r>
      <w:fldSimple w:instr=" REF _Ref410243631 \n \h  \* MERGEFORMAT ">
        <w:r w:rsidR="00637433" w:rsidRPr="009C4D2A">
          <w:t>62</w:t>
        </w:r>
      </w:fldSimple>
      <w:r w:rsidR="00D411CA" w:rsidRPr="009C4D2A">
        <w:t xml:space="preserve">. </w:t>
      </w:r>
    </w:p>
    <w:p w:rsidR="00BC1E38" w:rsidRPr="009C4D2A" w:rsidRDefault="00BC1E38" w:rsidP="003553A2">
      <w:pPr>
        <w:pStyle w:val="EStext"/>
      </w:pPr>
      <w:r w:rsidRPr="009C4D2A">
        <w:t>The steps detailed in</w:t>
      </w:r>
      <w:r w:rsidR="00973DEC" w:rsidRPr="009C4D2A">
        <w:t xml:space="preserve"> this</w:t>
      </w:r>
      <w:r w:rsidRPr="009C4D2A">
        <w:t xml:space="preserve"> </w:t>
      </w:r>
      <w:r w:rsidR="00560C6D" w:rsidRPr="009C4D2A">
        <w:t>Subdivision</w:t>
      </w:r>
      <w:r w:rsidRPr="009C4D2A">
        <w:t xml:space="preserve"> must be followed for the initial assessment of biomass stocks and whenever a biomass survey is conducted to account for changes to carbon stocks during the project period.</w:t>
      </w:r>
    </w:p>
    <w:p w:rsidR="00BC1E38" w:rsidRPr="009C4D2A" w:rsidRDefault="00EE1197" w:rsidP="00391A4A">
      <w:pPr>
        <w:pStyle w:val="Minorheadingstyle"/>
      </w:pPr>
      <w:r w:rsidRPr="009C4D2A">
        <w:fldChar w:fldCharType="begin"/>
      </w:r>
      <w:bookmarkStart w:id="35" w:name="_Ref410240319"/>
      <w:bookmarkEnd w:id="35"/>
      <w:r w:rsidR="00D16488" w:rsidRPr="009C4D2A">
        <w:instrText xml:space="preserve"> LISTNUM  LegalDefault \l 1 </w:instrText>
      </w:r>
      <w:r w:rsidRPr="009C4D2A">
        <w:fldChar w:fldCharType="end"/>
      </w:r>
      <w:r w:rsidR="00BC1E38" w:rsidRPr="009C4D2A">
        <w:tab/>
        <w:t>Determination of root:shoot ratios</w:t>
      </w:r>
    </w:p>
    <w:p w:rsidR="00BC1E38" w:rsidRPr="009C4D2A" w:rsidRDefault="00BC1E38" w:rsidP="003553A2">
      <w:pPr>
        <w:pStyle w:val="EStext"/>
      </w:pPr>
      <w:r w:rsidRPr="009C4D2A">
        <w:t xml:space="preserve">Section </w:t>
      </w:r>
      <w:fldSimple w:instr=" REF _Ref410240319 \r  \* MERGEFORMAT ">
        <w:r w:rsidR="00B506B7" w:rsidRPr="009C4D2A">
          <w:t>41</w:t>
        </w:r>
      </w:fldSimple>
      <w:r w:rsidRPr="009C4D2A">
        <w:t>determines the procedure for determining the root:shoot ratio for a</w:t>
      </w:r>
      <w:r w:rsidR="00630C28" w:rsidRPr="009C4D2A">
        <w:t xml:space="preserve"> Major Vegetation Group class. </w:t>
      </w:r>
      <w:r w:rsidRPr="009C4D2A">
        <w:t>These root:shoot ratios are used to determine the below-ground biomas</w:t>
      </w:r>
      <w:r w:rsidR="00630C28" w:rsidRPr="009C4D2A">
        <w:t>s of trees in the project area.</w:t>
      </w:r>
      <w:r w:rsidRPr="009C4D2A">
        <w:t xml:space="preserve"> Root:shoot ratios are applied in Equation 8 and Equation 14.</w:t>
      </w:r>
    </w:p>
    <w:p w:rsidR="00BC1E38" w:rsidRPr="009C4D2A" w:rsidRDefault="00EE1197" w:rsidP="00391A4A">
      <w:pPr>
        <w:pStyle w:val="Minorheadingstyle"/>
      </w:pPr>
      <w:r w:rsidRPr="009C4D2A">
        <w:fldChar w:fldCharType="begin"/>
      </w:r>
      <w:bookmarkStart w:id="36" w:name="_Ref410241895"/>
      <w:bookmarkEnd w:id="36"/>
      <w:r w:rsidR="00D16488" w:rsidRPr="009C4D2A">
        <w:instrText xml:space="preserve"> LISTNUM  LegalDefault \l 1 </w:instrText>
      </w:r>
      <w:r w:rsidRPr="009C4D2A">
        <w:fldChar w:fldCharType="end"/>
      </w:r>
      <w:r w:rsidR="00BC1E38" w:rsidRPr="009C4D2A">
        <w:tab/>
        <w:t>Step 1—</w:t>
      </w:r>
      <w:r w:rsidR="002A19A6" w:rsidRPr="009C4D2A">
        <w:t>P</w:t>
      </w:r>
      <w:r w:rsidR="00BC1E38" w:rsidRPr="009C4D2A">
        <w:t>lot design</w:t>
      </w:r>
    </w:p>
    <w:p w:rsidR="00AC692E" w:rsidRPr="009C4D2A" w:rsidRDefault="00645813" w:rsidP="003553A2">
      <w:pPr>
        <w:pStyle w:val="EStext"/>
      </w:pPr>
      <w:r w:rsidRPr="009C4D2A">
        <w:t xml:space="preserve">Section </w:t>
      </w:r>
      <w:fldSimple w:instr=" REF _Ref410241895 \r  \* MERGEFORMAT ">
        <w:r w:rsidR="00B506B7" w:rsidRPr="009C4D2A">
          <w:t>42</w:t>
        </w:r>
      </w:fldSimple>
      <w:r w:rsidR="00841779" w:rsidRPr="009C4D2A">
        <w:t xml:space="preserve"> </w:t>
      </w:r>
      <w:r w:rsidRPr="009C4D2A">
        <w:t>sets out the requirements for the plo</w:t>
      </w:r>
      <w:r w:rsidR="009769F0" w:rsidRPr="009C4D2A">
        <w:t xml:space="preserve">t design for a biomass survey. </w:t>
      </w:r>
      <w:r w:rsidRPr="009C4D2A">
        <w:t>Due to the variety of forest ecosystems in Australia and the variable condition of the forest stand in the ecosystems, the method of determining a specific plot d</w:t>
      </w:r>
      <w:r w:rsidR="00537472" w:rsidRPr="009C4D2A">
        <w:t>esign should be based on maximising efficiency and minimis</w:t>
      </w:r>
      <w:r w:rsidRPr="009C4D2A">
        <w:t xml:space="preserve">ing variance when determining the biomass content of </w:t>
      </w:r>
      <w:r w:rsidR="005105BA" w:rsidRPr="009C4D2A">
        <w:t>c</w:t>
      </w:r>
      <w:r w:rsidR="00650BE7" w:rsidRPr="009C4D2A">
        <w:t>arbon estimation area</w:t>
      </w:r>
      <w:r w:rsidRPr="009C4D2A">
        <w:t>.</w:t>
      </w:r>
    </w:p>
    <w:p w:rsidR="00AC692E" w:rsidRPr="009C4D2A" w:rsidRDefault="00AC692E" w:rsidP="003553A2">
      <w:pPr>
        <w:pStyle w:val="EStext"/>
      </w:pPr>
      <w:r w:rsidRPr="009C4D2A">
        <w:t>Subsection (5) provides that if the plot is located on a slope greater than 10 degrees, then a correction must be applied in order to correct for the slope. In relation to this requirement, project proponents may wish to consult:</w:t>
      </w:r>
    </w:p>
    <w:p w:rsidR="006310FA" w:rsidRPr="009C4D2A" w:rsidRDefault="00AC692E" w:rsidP="00391A4A">
      <w:pPr>
        <w:pStyle w:val="bullet1"/>
        <w:rPr>
          <w:color w:val="auto"/>
        </w:rPr>
      </w:pPr>
      <w:r w:rsidRPr="009C4D2A">
        <w:rPr>
          <w:rFonts w:eastAsia="Calibri"/>
          <w:color w:val="auto"/>
          <w:lang w:eastAsia="en-US"/>
        </w:rPr>
        <w:t>Walker</w:t>
      </w:r>
      <w:r w:rsidRPr="009C4D2A">
        <w:rPr>
          <w:color w:val="auto"/>
        </w:rPr>
        <w:t>, S, et al</w:t>
      </w:r>
      <w:r w:rsidR="0020256A" w:rsidRPr="009C4D2A">
        <w:rPr>
          <w:color w:val="auto"/>
        </w:rPr>
        <w:t>.</w:t>
      </w:r>
      <w:r w:rsidRPr="009C4D2A">
        <w:rPr>
          <w:color w:val="auto"/>
        </w:rPr>
        <w:t xml:space="preserve"> (2012) Standard Operating Procedures for Terrestrial Carbon Measurement: Version 2012</w:t>
      </w:r>
      <w:r w:rsidR="0020256A" w:rsidRPr="009C4D2A">
        <w:rPr>
          <w:color w:val="auto"/>
        </w:rPr>
        <w:t>,</w:t>
      </w:r>
      <w:r w:rsidRPr="009C4D2A">
        <w:rPr>
          <w:color w:val="auto"/>
        </w:rPr>
        <w:t xml:space="preserve"> Winrock International.</w:t>
      </w:r>
    </w:p>
    <w:p w:rsidR="00AC692E" w:rsidRPr="009C4D2A" w:rsidRDefault="00EE1197" w:rsidP="00391A4A">
      <w:pPr>
        <w:pStyle w:val="Minorheadingstyle"/>
        <w:rPr>
          <w:bCs/>
          <w:iCs/>
        </w:rPr>
      </w:pPr>
      <w:r w:rsidRPr="009C4D2A">
        <w:fldChar w:fldCharType="begin"/>
      </w:r>
      <w:bookmarkStart w:id="37" w:name="_Ref410241966"/>
      <w:bookmarkEnd w:id="37"/>
      <w:r w:rsidR="00D16488" w:rsidRPr="009C4D2A">
        <w:instrText xml:space="preserve"> LISTNUM  LegalDefault \l 1 </w:instrText>
      </w:r>
      <w:r w:rsidRPr="009C4D2A">
        <w:fldChar w:fldCharType="end"/>
      </w:r>
      <w:r w:rsidR="00AC692E" w:rsidRPr="009C4D2A">
        <w:rPr>
          <w:bCs/>
          <w:iCs/>
        </w:rPr>
        <w:tab/>
        <w:t>Step 2—</w:t>
      </w:r>
      <w:r w:rsidR="00AC692E" w:rsidRPr="009C4D2A">
        <w:t>Allocat</w:t>
      </w:r>
      <w:r w:rsidR="00E83974" w:rsidRPr="009C4D2A">
        <w:t>ion</w:t>
      </w:r>
      <w:r w:rsidR="00E83974" w:rsidRPr="009C4D2A">
        <w:rPr>
          <w:bCs/>
          <w:iCs/>
        </w:rPr>
        <w:t xml:space="preserve"> of</w:t>
      </w:r>
      <w:r w:rsidR="00AC692E" w:rsidRPr="009C4D2A">
        <w:rPr>
          <w:bCs/>
          <w:iCs/>
        </w:rPr>
        <w:t xml:space="preserve"> plots</w:t>
      </w:r>
    </w:p>
    <w:p w:rsidR="00AC692E" w:rsidRPr="009C4D2A" w:rsidRDefault="00AC692E" w:rsidP="003553A2">
      <w:pPr>
        <w:pStyle w:val="EStext"/>
      </w:pPr>
      <w:r w:rsidRPr="009C4D2A">
        <w:t xml:space="preserve">Section </w:t>
      </w:r>
      <w:fldSimple w:instr=" REF _Ref410241966 \r  \* MERGEFORMAT ">
        <w:r w:rsidR="00B506B7" w:rsidRPr="009C4D2A">
          <w:t>43</w:t>
        </w:r>
      </w:fldSimple>
      <w:r w:rsidR="005105BA" w:rsidRPr="009C4D2A">
        <w:t xml:space="preserve"> </w:t>
      </w:r>
      <w:r w:rsidRPr="009C4D2A">
        <w:t xml:space="preserve">sets out the procedure for allocating plot points to a </w:t>
      </w:r>
      <w:r w:rsidR="00650BE7" w:rsidRPr="009C4D2A">
        <w:t>carbon estimation area</w:t>
      </w:r>
      <w:r w:rsidRPr="009C4D2A">
        <w:t>.</w:t>
      </w:r>
    </w:p>
    <w:p w:rsidR="003F1465" w:rsidRPr="009C4D2A" w:rsidRDefault="00E83974" w:rsidP="003553A2">
      <w:pPr>
        <w:pStyle w:val="EStext"/>
      </w:pPr>
      <w:r w:rsidRPr="009C4D2A">
        <w:t xml:space="preserve">Subsections (1) to (3) provide for the identification of waypoints. </w:t>
      </w:r>
      <w:r w:rsidR="003F1465" w:rsidRPr="009C4D2A">
        <w:t>A minimum of 200</w:t>
      </w:r>
      <w:r w:rsidR="009769F0" w:rsidRPr="009C4D2A">
        <w:t> </w:t>
      </w:r>
      <w:r w:rsidR="003F1465" w:rsidRPr="009C4D2A">
        <w:t>waypoints must be assigned t</w:t>
      </w:r>
      <w:r w:rsidR="00630C28" w:rsidRPr="009C4D2A">
        <w:t xml:space="preserve">o each </w:t>
      </w:r>
      <w:r w:rsidR="00650BE7" w:rsidRPr="009C4D2A">
        <w:t>carbon estimation area</w:t>
      </w:r>
      <w:r w:rsidR="00630C28" w:rsidRPr="009C4D2A">
        <w:t xml:space="preserve">. </w:t>
      </w:r>
      <w:r w:rsidR="003F1465" w:rsidRPr="009C4D2A">
        <w:t>These represent the potential plot points that can be surveyed in the pilot survey, primary biomass survey and any additional surveys that are required to achieve the Target</w:t>
      </w:r>
      <w:r w:rsidR="00727A3C" w:rsidRPr="009C4D2A">
        <w:t>ed</w:t>
      </w:r>
      <w:r w:rsidR="003F1465" w:rsidRPr="009C4D2A">
        <w:t xml:space="preserve"> Precision. The actual number of </w:t>
      </w:r>
      <w:r w:rsidR="003F1465" w:rsidRPr="009C4D2A">
        <w:lastRenderedPageBreak/>
        <w:t xml:space="preserve">plots to be surveyed is determined in Step 4 in section </w:t>
      </w:r>
      <w:fldSimple w:instr=" REF _Ref410242055 \r  \* MERGEFORMAT ">
        <w:r w:rsidR="00B506B7" w:rsidRPr="009C4D2A">
          <w:t>45</w:t>
        </w:r>
      </w:fldSimple>
      <w:r w:rsidR="00841779" w:rsidRPr="009C4D2A">
        <w:t xml:space="preserve"> </w:t>
      </w:r>
      <w:r w:rsidR="003F1465" w:rsidRPr="009C4D2A">
        <w:t>and validated in Step 9</w:t>
      </w:r>
      <w:r w:rsidR="005B396B" w:rsidRPr="009C4D2A">
        <w:t xml:space="preserve"> in section</w:t>
      </w:r>
      <w:r w:rsidR="00533274">
        <w:t> </w:t>
      </w:r>
      <w:fldSimple w:instr=" REF _Ref410241993 \r  \* MERGEFORMAT ">
        <w:r w:rsidR="00B506B7" w:rsidRPr="009C4D2A">
          <w:t>50</w:t>
        </w:r>
      </w:fldSimple>
      <w:r w:rsidR="003F1465" w:rsidRPr="009C4D2A">
        <w:t xml:space="preserve">. However, this step is applied first in order to avoid multiple allocations of plot points. </w:t>
      </w:r>
      <w:r w:rsidR="00FC0E23" w:rsidRPr="009C4D2A">
        <w:t>T</w:t>
      </w:r>
      <w:r w:rsidR="00637433" w:rsidRPr="009C4D2A">
        <w:t>he plots allocated for a biomass survey</w:t>
      </w:r>
      <w:r w:rsidR="00FC0E23" w:rsidRPr="009C4D2A">
        <w:t xml:space="preserve"> should</w:t>
      </w:r>
      <w:r w:rsidR="00637433" w:rsidRPr="009C4D2A">
        <w:t xml:space="preserve"> be different than those allocated for tree selection for the development or validation of an allometric equation. </w:t>
      </w:r>
    </w:p>
    <w:p w:rsidR="003F1465" w:rsidRPr="009C4D2A" w:rsidRDefault="00E83974" w:rsidP="003553A2">
      <w:pPr>
        <w:pStyle w:val="EStext"/>
      </w:pPr>
      <w:r w:rsidRPr="009C4D2A">
        <w:t xml:space="preserve">Subsections (4) to (7) provide for </w:t>
      </w:r>
      <w:r w:rsidR="00AD011F" w:rsidRPr="009C4D2A">
        <w:t>allocation of plots</w:t>
      </w:r>
      <w:r w:rsidR="003F1465" w:rsidRPr="009C4D2A">
        <w:t xml:space="preserve"> using a method that is both random and replicable. Accordingly, project proponents must use a pseudo-random number generator with a defined seed number when allocating plots to </w:t>
      </w:r>
      <w:r w:rsidR="007112FF" w:rsidRPr="009C4D2A">
        <w:t xml:space="preserve">carbon </w:t>
      </w:r>
      <w:r w:rsidR="00650BE7" w:rsidRPr="009C4D2A">
        <w:t>estimation area</w:t>
      </w:r>
      <w:r w:rsidR="003F1465" w:rsidRPr="009C4D2A">
        <w:t>. The final plot points bec</w:t>
      </w:r>
      <w:r w:rsidR="00F57B50" w:rsidRPr="009C4D2A">
        <w:t xml:space="preserve">ome the waypoint of the plots. </w:t>
      </w:r>
      <w:r w:rsidR="003F1465" w:rsidRPr="009C4D2A">
        <w:t>P</w:t>
      </w:r>
      <w:r w:rsidR="001637AA" w:rsidRPr="009C4D2A">
        <w:t>otential p</w:t>
      </w:r>
      <w:r w:rsidR="003F1465" w:rsidRPr="009C4D2A">
        <w:t xml:space="preserve">lot points should be assigned a random </w:t>
      </w:r>
      <w:r w:rsidR="007112FF" w:rsidRPr="009C4D2A">
        <w:t>ranking (i.e. a number) using the pseudo-random number generator with a know seed number. T</w:t>
      </w:r>
      <w:r w:rsidR="003F1465" w:rsidRPr="009C4D2A">
        <w:t xml:space="preserve">hen </w:t>
      </w:r>
      <w:r w:rsidR="007112FF" w:rsidRPr="009C4D2A">
        <w:t xml:space="preserve">all potential plot points are </w:t>
      </w:r>
      <w:r w:rsidR="003F1465" w:rsidRPr="009C4D2A">
        <w:t>numerically</w:t>
      </w:r>
      <w:r w:rsidR="007112FF" w:rsidRPr="009C4D2A">
        <w:t xml:space="preserve"> </w:t>
      </w:r>
      <w:r w:rsidR="003F1465" w:rsidRPr="009C4D2A">
        <w:t xml:space="preserve">sorted </w:t>
      </w:r>
      <w:r w:rsidR="007112FF" w:rsidRPr="009C4D2A">
        <w:t xml:space="preserve">by the ranking from </w:t>
      </w:r>
      <w:r w:rsidR="003F1465" w:rsidRPr="009C4D2A">
        <w:t xml:space="preserve">lowest to highest. The lowest ranked plot will become </w:t>
      </w:r>
      <w:r w:rsidR="003F1465" w:rsidRPr="009C4D2A">
        <w:rPr>
          <w:i/>
        </w:rPr>
        <w:t>plot 1</w:t>
      </w:r>
      <w:r w:rsidR="003F1465" w:rsidRPr="009C4D2A">
        <w:t xml:space="preserve"> and the highest ranked will </w:t>
      </w:r>
      <w:r w:rsidR="001637AA" w:rsidRPr="009C4D2A">
        <w:t xml:space="preserve">be the last ranked plot. For example, if 200 potential plot points are generated, the highest ranked would be </w:t>
      </w:r>
      <w:r w:rsidR="001637AA" w:rsidRPr="009C4D2A">
        <w:rPr>
          <w:i/>
        </w:rPr>
        <w:t>plot</w:t>
      </w:r>
      <w:r w:rsidR="001637AA" w:rsidRPr="009C4D2A" w:rsidDel="001637AA">
        <w:t xml:space="preserve"> </w:t>
      </w:r>
      <w:r w:rsidR="003F1465" w:rsidRPr="009C4D2A">
        <w:rPr>
          <w:i/>
        </w:rPr>
        <w:t>200</w:t>
      </w:r>
      <w:r w:rsidR="00F57B50" w:rsidRPr="009C4D2A">
        <w:t xml:space="preserve">. </w:t>
      </w:r>
      <w:r w:rsidR="003F1465" w:rsidRPr="009C4D2A">
        <w:t xml:space="preserve">Project proponents must survey the required number of plots as estimated in Step 4.2 in section </w:t>
      </w:r>
      <w:fldSimple w:instr=" REF _Ref410242055 \r  \* MERGEFORMAT ">
        <w:r w:rsidR="00B506B7" w:rsidRPr="009C4D2A">
          <w:t>45</w:t>
        </w:r>
      </w:fldSimple>
      <w:r w:rsidR="003F1465" w:rsidRPr="009C4D2A">
        <w:t xml:space="preserve">. For example, if on completion of Equation 6 the estimated number of plots is 50, project proponents must survey plots 1-50. </w:t>
      </w:r>
    </w:p>
    <w:p w:rsidR="00D3461F" w:rsidRPr="009C4D2A" w:rsidRDefault="00D3461F" w:rsidP="003553A2">
      <w:pPr>
        <w:pStyle w:val="EStext"/>
      </w:pPr>
      <w:r w:rsidRPr="009C4D2A">
        <w:t>Subsection (8) provides that the project proponent must retain the area boundary used to allocate plots as provided by this section in order to enable the replication of the plot allocation using the defined seed number.</w:t>
      </w:r>
      <w:r w:rsidR="00F57B50" w:rsidRPr="009C4D2A">
        <w:t xml:space="preserve"> </w:t>
      </w:r>
      <w:r w:rsidRPr="009C4D2A">
        <w:t>This enables audits of the project area.</w:t>
      </w:r>
    </w:p>
    <w:p w:rsidR="00D3461F" w:rsidRPr="009C4D2A" w:rsidRDefault="00D3461F" w:rsidP="003553A2">
      <w:pPr>
        <w:pStyle w:val="EStext"/>
      </w:pPr>
      <w:r w:rsidRPr="009C4D2A">
        <w:t>Subsection (9) lists attributes that must be assigned for each plot waypoint.</w:t>
      </w:r>
    </w:p>
    <w:p w:rsidR="00D3461F" w:rsidRPr="009C4D2A" w:rsidRDefault="00D3461F" w:rsidP="003553A2">
      <w:pPr>
        <w:pStyle w:val="EStext"/>
      </w:pPr>
      <w:r w:rsidRPr="009C4D2A">
        <w:t>In all survey scenarios, project proponents must survey the allocated plots in numerical order according to the plot point number [PLOT_NUM].</w:t>
      </w:r>
    </w:p>
    <w:p w:rsidR="00D3461F" w:rsidRPr="009C4D2A" w:rsidRDefault="00EE1197" w:rsidP="00391A4A">
      <w:pPr>
        <w:pStyle w:val="Minorheadingstyle"/>
        <w:rPr>
          <w:bCs/>
          <w:iCs/>
        </w:rPr>
      </w:pPr>
      <w:r w:rsidRPr="009C4D2A">
        <w:fldChar w:fldCharType="begin"/>
      </w:r>
      <w:bookmarkStart w:id="38" w:name="_Ref410242140"/>
      <w:bookmarkEnd w:id="38"/>
      <w:r w:rsidR="00D16488" w:rsidRPr="009C4D2A">
        <w:instrText xml:space="preserve"> LISTNUM  LegalDefault \l 1 </w:instrText>
      </w:r>
      <w:r w:rsidRPr="009C4D2A">
        <w:fldChar w:fldCharType="end"/>
      </w:r>
      <w:r w:rsidR="00D3461F" w:rsidRPr="009C4D2A">
        <w:rPr>
          <w:bCs/>
          <w:iCs/>
        </w:rPr>
        <w:tab/>
        <w:t>Step 3—</w:t>
      </w:r>
      <w:r w:rsidR="002A19A6" w:rsidRPr="009C4D2A">
        <w:rPr>
          <w:bCs/>
          <w:iCs/>
        </w:rPr>
        <w:t>P</w:t>
      </w:r>
      <w:r w:rsidR="00D3461F" w:rsidRPr="009C4D2A">
        <w:rPr>
          <w:bCs/>
          <w:iCs/>
        </w:rPr>
        <w:t xml:space="preserve">ilot </w:t>
      </w:r>
      <w:r w:rsidR="00D3461F" w:rsidRPr="009C4D2A">
        <w:t>survey</w:t>
      </w:r>
    </w:p>
    <w:p w:rsidR="00D3461F" w:rsidRPr="009C4D2A" w:rsidRDefault="00D3461F" w:rsidP="003553A2">
      <w:pPr>
        <w:pStyle w:val="EStext"/>
      </w:pPr>
      <w:r w:rsidRPr="009C4D2A">
        <w:t xml:space="preserve">Section </w:t>
      </w:r>
      <w:fldSimple w:instr=" REF _Ref410242140 \r  \* MERGEFORMAT ">
        <w:r w:rsidR="00B506B7" w:rsidRPr="009C4D2A">
          <w:t>44</w:t>
        </w:r>
      </w:fldSimple>
      <w:r w:rsidR="00841779" w:rsidRPr="009C4D2A">
        <w:t xml:space="preserve"> </w:t>
      </w:r>
      <w:r w:rsidRPr="009C4D2A">
        <w:t>sets out the requirements for undertaking a pilot survey.</w:t>
      </w:r>
      <w:r w:rsidR="005E6519" w:rsidRPr="009C4D2A">
        <w:t xml:space="preserve"> The pilot survey is used to estimate the variation in biomass that is present within each </w:t>
      </w:r>
      <w:r w:rsidR="00650BE7" w:rsidRPr="009C4D2A">
        <w:t>carbon estimation area</w:t>
      </w:r>
      <w:r w:rsidR="005E6519" w:rsidRPr="009C4D2A">
        <w:t xml:space="preserve">. </w:t>
      </w:r>
      <w:r w:rsidR="007D3254" w:rsidRPr="009C4D2A">
        <w:t xml:space="preserve">The plots for the pilot survey will be selected from those allocated in section </w:t>
      </w:r>
      <w:fldSimple w:instr=" REF _Ref410241966 \r  \* MERGEFORMAT ">
        <w:r w:rsidR="00B506B7" w:rsidRPr="009C4D2A">
          <w:t>43</w:t>
        </w:r>
      </w:fldSimple>
      <w:r w:rsidR="007D3254" w:rsidRPr="009C4D2A">
        <w:t xml:space="preserve"> starting at plot 1. </w:t>
      </w:r>
      <w:r w:rsidR="005E6519" w:rsidRPr="009C4D2A">
        <w:t>While a minimum of five plots is required for the pilot study, project proponents may choose to measure more than this to improve the accuracy of the estimate of variation. An improved estimation of the variation will improve the e</w:t>
      </w:r>
      <w:r w:rsidR="00B40270">
        <w:t>fficiency of the biomass survey</w:t>
      </w:r>
      <w:r w:rsidR="005E6519" w:rsidRPr="009C4D2A">
        <w:t xml:space="preserve"> and reduce the risk of over or under sampling.</w:t>
      </w:r>
      <w:r w:rsidR="007D3254" w:rsidRPr="009C4D2A">
        <w:t xml:space="preserve"> </w:t>
      </w:r>
    </w:p>
    <w:p w:rsidR="00D3461F" w:rsidRPr="009C4D2A" w:rsidRDefault="00D3461F" w:rsidP="003553A2">
      <w:pPr>
        <w:pStyle w:val="EStext"/>
      </w:pPr>
      <w:r w:rsidRPr="009C4D2A">
        <w:t>The effect of subsection (3) is that data collected in the pilot survey</w:t>
      </w:r>
      <w:r w:rsidR="007D3254" w:rsidRPr="009C4D2A">
        <w:t>, such as diameter at breast height,</w:t>
      </w:r>
      <w:r w:rsidRPr="009C4D2A">
        <w:t xml:space="preserve"> may be included in the biomass survey</w:t>
      </w:r>
      <w:r w:rsidR="00683238" w:rsidRPr="009C4D2A">
        <w:t>.</w:t>
      </w:r>
      <w:r w:rsidRPr="009C4D2A">
        <w:t xml:space="preserve"> </w:t>
      </w:r>
    </w:p>
    <w:p w:rsidR="00791342" w:rsidRPr="009C4D2A" w:rsidRDefault="00EE1197" w:rsidP="00391A4A">
      <w:pPr>
        <w:pStyle w:val="Minorheadingstyle"/>
        <w:rPr>
          <w:bCs/>
          <w:iCs/>
        </w:rPr>
      </w:pPr>
      <w:r w:rsidRPr="009C4D2A">
        <w:fldChar w:fldCharType="begin"/>
      </w:r>
      <w:bookmarkStart w:id="39" w:name="_Ref410242055"/>
      <w:bookmarkEnd w:id="39"/>
      <w:r w:rsidR="00D16488" w:rsidRPr="009C4D2A">
        <w:instrText xml:space="preserve"> LISTNUM  LegalDefault \l 1 </w:instrText>
      </w:r>
      <w:r w:rsidRPr="009C4D2A">
        <w:fldChar w:fldCharType="end"/>
      </w:r>
      <w:r w:rsidR="00791342" w:rsidRPr="009C4D2A">
        <w:rPr>
          <w:bCs/>
          <w:iCs/>
        </w:rPr>
        <w:tab/>
        <w:t>Step 4—</w:t>
      </w:r>
      <w:r w:rsidR="002A19A6" w:rsidRPr="009C4D2A">
        <w:rPr>
          <w:bCs/>
          <w:iCs/>
        </w:rPr>
        <w:t>N</w:t>
      </w:r>
      <w:r w:rsidR="00791342" w:rsidRPr="009C4D2A">
        <w:rPr>
          <w:bCs/>
          <w:iCs/>
        </w:rPr>
        <w:t xml:space="preserve">umber </w:t>
      </w:r>
      <w:r w:rsidR="00791342" w:rsidRPr="009C4D2A">
        <w:t>of</w:t>
      </w:r>
      <w:r w:rsidR="00791342" w:rsidRPr="009C4D2A">
        <w:rPr>
          <w:bCs/>
          <w:iCs/>
        </w:rPr>
        <w:t xml:space="preserve"> plots </w:t>
      </w:r>
    </w:p>
    <w:p w:rsidR="00791342" w:rsidRPr="009C4D2A" w:rsidRDefault="00EE2CFB" w:rsidP="003553A2">
      <w:pPr>
        <w:pStyle w:val="EStext"/>
      </w:pPr>
      <w:r w:rsidRPr="009C4D2A">
        <w:t xml:space="preserve">The number of plots that need to be measured in a biomass survey are a function of the inherent variability of the forest and the Target Precision. The variability of the forest is estimated in section </w:t>
      </w:r>
      <w:fldSimple w:instr=" REF _Ref410242140 \n \h  \* MERGEFORMAT ">
        <w:r w:rsidRPr="009C4D2A">
          <w:t>44</w:t>
        </w:r>
      </w:fldSimple>
      <w:r w:rsidRPr="009C4D2A">
        <w:t xml:space="preserve"> and the Target Precision is provided in section </w:t>
      </w:r>
      <w:fldSimple w:instr=" REF _Ref410242055 \r  \* MERGEFORMAT ">
        <w:r w:rsidR="00B506B7" w:rsidRPr="009C4D2A">
          <w:t>45</w:t>
        </w:r>
      </w:fldSimple>
      <w:r w:rsidRPr="009C4D2A">
        <w:t xml:space="preserve">. With this information, section </w:t>
      </w:r>
      <w:fldSimple w:instr=" REF _Ref410242055 \n \h  \* MERGEFORMAT ">
        <w:r w:rsidRPr="009C4D2A">
          <w:t>45</w:t>
        </w:r>
      </w:fldSimple>
      <w:r w:rsidRPr="009C4D2A">
        <w:t xml:space="preserve"> </w:t>
      </w:r>
      <w:r w:rsidR="00791342" w:rsidRPr="009C4D2A">
        <w:t>sets out the procedure for determining the number of plots in the biomass survey</w:t>
      </w:r>
      <w:r w:rsidRPr="009C4D2A">
        <w:t>.</w:t>
      </w:r>
      <w:r w:rsidR="00791342" w:rsidRPr="009C4D2A">
        <w:t xml:space="preserve"> </w:t>
      </w:r>
    </w:p>
    <w:p w:rsidR="00791342" w:rsidRPr="009C4D2A" w:rsidRDefault="00791342" w:rsidP="00391A4A">
      <w:pPr>
        <w:pStyle w:val="Subheadingstyle"/>
        <w:rPr>
          <w:lang w:val="en-AU"/>
        </w:rPr>
      </w:pPr>
      <w:r w:rsidRPr="009C4D2A">
        <w:rPr>
          <w:lang w:val="en-AU"/>
        </w:rPr>
        <w:lastRenderedPageBreak/>
        <w:t>Step 4.1—</w:t>
      </w:r>
      <w:r w:rsidR="004F116A" w:rsidRPr="009C4D2A">
        <w:rPr>
          <w:lang w:val="en-AU"/>
        </w:rPr>
        <w:t>C</w:t>
      </w:r>
      <w:r w:rsidRPr="009C4D2A">
        <w:rPr>
          <w:lang w:val="en-AU"/>
        </w:rPr>
        <w:t>oefficient of variation of each carbon estimation area</w:t>
      </w:r>
    </w:p>
    <w:p w:rsidR="0084383D" w:rsidRPr="009C4D2A" w:rsidRDefault="0084383D" w:rsidP="003553A2">
      <w:pPr>
        <w:pStyle w:val="EStext"/>
      </w:pPr>
      <w:r w:rsidRPr="009C4D2A">
        <w:t xml:space="preserve">Subsections (2) and (3) have the effect that project proponents must use the data obtained in the pilot survey in Step 3 to calculate the coefficient of variation of each </w:t>
      </w:r>
      <w:r w:rsidR="00650BE7" w:rsidRPr="009C4D2A">
        <w:t>carbon estimation area</w:t>
      </w:r>
      <w:r w:rsidRPr="009C4D2A">
        <w:t xml:space="preserve"> by completing Equation 5.</w:t>
      </w:r>
    </w:p>
    <w:p w:rsidR="0084383D" w:rsidRPr="009C4D2A" w:rsidRDefault="0084383D" w:rsidP="00391A4A">
      <w:pPr>
        <w:pStyle w:val="Subheadingstyle"/>
        <w:rPr>
          <w:lang w:val="en-AU"/>
        </w:rPr>
      </w:pPr>
      <w:r w:rsidRPr="009C4D2A">
        <w:rPr>
          <w:lang w:val="en-AU"/>
        </w:rPr>
        <w:t>Step 4.2—</w:t>
      </w:r>
      <w:r w:rsidR="004F116A" w:rsidRPr="009C4D2A">
        <w:rPr>
          <w:lang w:val="en-AU"/>
        </w:rPr>
        <w:t>N</w:t>
      </w:r>
      <w:r w:rsidRPr="009C4D2A">
        <w:rPr>
          <w:lang w:val="en-AU"/>
        </w:rPr>
        <w:t>umber of plots to sample in each carbon estimation area</w:t>
      </w:r>
    </w:p>
    <w:p w:rsidR="0084383D" w:rsidRPr="009C4D2A" w:rsidRDefault="0084383D" w:rsidP="003553A2">
      <w:pPr>
        <w:pStyle w:val="EStext"/>
        <w:rPr>
          <w:b/>
          <w:i/>
        </w:rPr>
      </w:pPr>
      <w:r w:rsidRPr="009C4D2A">
        <w:t xml:space="preserve">Subsection (4) provides that, for the purposes of the </w:t>
      </w:r>
      <w:r w:rsidR="0010747D" w:rsidRPr="009C4D2A">
        <w:t>Determination</w:t>
      </w:r>
      <w:r w:rsidRPr="009C4D2A">
        <w:t>, native forest carbon stocks must be estimated with</w:t>
      </w:r>
      <w:r w:rsidR="00537472" w:rsidRPr="009C4D2A">
        <w:t>in</w:t>
      </w:r>
      <w:r w:rsidRPr="009C4D2A">
        <w:t xml:space="preserve"> ±10</w:t>
      </w:r>
      <w:r w:rsidR="00543313" w:rsidRPr="009C4D2A">
        <w:t xml:space="preserve"> per cent</w:t>
      </w:r>
      <w:r w:rsidRPr="009C4D2A">
        <w:t xml:space="preserve"> of the true value of the mean at a 90</w:t>
      </w:r>
      <w:r w:rsidR="00543313" w:rsidRPr="009C4D2A">
        <w:t xml:space="preserve"> per cent</w:t>
      </w:r>
      <w:r w:rsidRPr="009C4D2A">
        <w:t xml:space="preserve"> confidence level.</w:t>
      </w:r>
      <w:r w:rsidR="00BC10C2" w:rsidRPr="009C4D2A">
        <w:t xml:space="preserve"> </w:t>
      </w:r>
    </w:p>
    <w:p w:rsidR="0084383D" w:rsidRPr="009C4D2A" w:rsidRDefault="0084383D" w:rsidP="003553A2">
      <w:pPr>
        <w:pStyle w:val="EStext"/>
      </w:pPr>
      <w:r w:rsidRPr="009C4D2A">
        <w:t>Subsection (5) provides that the requirement in subsection (4) is referred to as the ‘Targeted Precision’.</w:t>
      </w:r>
      <w:r w:rsidR="00BC10C2" w:rsidRPr="009C4D2A">
        <w:t xml:space="preserve"> </w:t>
      </w:r>
      <w:r w:rsidR="00E30816" w:rsidRPr="009C4D2A">
        <w:t>The</w:t>
      </w:r>
      <w:r w:rsidR="00BC10C2" w:rsidRPr="009C4D2A">
        <w:t xml:space="preserve"> estimate of carbon stocks for each carbon estimation area must meet the Targeted Precision, </w:t>
      </w:r>
      <w:r w:rsidR="00EE2CFB" w:rsidRPr="009C4D2A">
        <w:t>as this limits the potential error of the estimate. The results of the biomass survey are</w:t>
      </w:r>
      <w:r w:rsidR="00BC10C2" w:rsidRPr="009C4D2A">
        <w:t xml:space="preserve"> tested</w:t>
      </w:r>
      <w:r w:rsidR="00EE2CFB" w:rsidRPr="009C4D2A">
        <w:t xml:space="preserve"> against the Targeted Precision </w:t>
      </w:r>
      <w:r w:rsidR="00BC10C2" w:rsidRPr="009C4D2A">
        <w:t xml:space="preserve">in section </w:t>
      </w:r>
      <w:fldSimple w:instr=" REF _Ref410241993 \n \h  \* MERGEFORMAT ">
        <w:r w:rsidR="00BC10C2" w:rsidRPr="009C4D2A">
          <w:t>50</w:t>
        </w:r>
      </w:fldSimple>
      <w:r w:rsidR="00BC10C2" w:rsidRPr="009C4D2A">
        <w:t xml:space="preserve">.  </w:t>
      </w:r>
    </w:p>
    <w:p w:rsidR="008B7C1C" w:rsidRPr="009C4D2A" w:rsidRDefault="0084383D" w:rsidP="003553A2">
      <w:pPr>
        <w:pStyle w:val="EStext"/>
      </w:pPr>
      <w:r w:rsidRPr="009C4D2A">
        <w:t>Subs</w:t>
      </w:r>
      <w:r w:rsidR="008B7C1C" w:rsidRPr="009C4D2A">
        <w:t xml:space="preserve">ection (6) provides that </w:t>
      </w:r>
      <w:r w:rsidR="00682C93" w:rsidRPr="009C4D2A">
        <w:t>in</w:t>
      </w:r>
      <w:r w:rsidR="008B7C1C" w:rsidRPr="009C4D2A">
        <w:t xml:space="preserve"> order to estimate the required sample size to achieve the Targeted Precision</w:t>
      </w:r>
      <w:r w:rsidR="00AD011F" w:rsidRPr="009C4D2A">
        <w:t xml:space="preserve"> </w:t>
      </w:r>
      <w:r w:rsidR="008B7C1C" w:rsidRPr="009C4D2A">
        <w:t xml:space="preserve">in each </w:t>
      </w:r>
      <w:r w:rsidR="00650BE7" w:rsidRPr="009C4D2A">
        <w:t>carbon estimation area</w:t>
      </w:r>
      <w:r w:rsidR="008B7C1C" w:rsidRPr="009C4D2A">
        <w:t>, project proponents must complete Equation 6.</w:t>
      </w:r>
      <w:r w:rsidR="00BC10C2" w:rsidRPr="009C4D2A">
        <w:t xml:space="preserve"> </w:t>
      </w:r>
    </w:p>
    <w:p w:rsidR="008B7C1C" w:rsidRPr="009C4D2A" w:rsidRDefault="00EE1197" w:rsidP="00391A4A">
      <w:pPr>
        <w:pStyle w:val="Minorheadingstyle"/>
        <w:rPr>
          <w:bCs/>
          <w:iCs/>
        </w:rPr>
      </w:pPr>
      <w:r w:rsidRPr="009C4D2A">
        <w:fldChar w:fldCharType="begin"/>
      </w:r>
      <w:bookmarkStart w:id="40" w:name="_Ref410240206"/>
      <w:bookmarkEnd w:id="40"/>
      <w:r w:rsidR="00D16488" w:rsidRPr="009C4D2A">
        <w:instrText xml:space="preserve"> LISTNUM  LegalDefault \l 1 </w:instrText>
      </w:r>
      <w:r w:rsidRPr="009C4D2A">
        <w:fldChar w:fldCharType="end"/>
      </w:r>
      <w:r w:rsidR="008B7C1C" w:rsidRPr="009C4D2A">
        <w:rPr>
          <w:bCs/>
          <w:iCs/>
        </w:rPr>
        <w:tab/>
        <w:t>Step 5—</w:t>
      </w:r>
      <w:r w:rsidR="008B7C1C" w:rsidRPr="009C4D2A">
        <w:t>Prepar</w:t>
      </w:r>
      <w:r w:rsidR="00AD011F" w:rsidRPr="009C4D2A">
        <w:t>ation</w:t>
      </w:r>
      <w:r w:rsidR="00AD011F" w:rsidRPr="009C4D2A">
        <w:rPr>
          <w:bCs/>
          <w:iCs/>
        </w:rPr>
        <w:t xml:space="preserve"> </w:t>
      </w:r>
      <w:r w:rsidR="00AD011F" w:rsidRPr="009C4D2A">
        <w:t>of</w:t>
      </w:r>
      <w:r w:rsidR="00AD011F" w:rsidRPr="009C4D2A">
        <w:rPr>
          <w:bCs/>
          <w:iCs/>
        </w:rPr>
        <w:t xml:space="preserve"> </w:t>
      </w:r>
      <w:r w:rsidR="008B7C1C" w:rsidRPr="009C4D2A">
        <w:rPr>
          <w:bCs/>
          <w:iCs/>
        </w:rPr>
        <w:t>biomass survey</w:t>
      </w:r>
    </w:p>
    <w:p w:rsidR="008B7C1C" w:rsidRPr="009C4D2A" w:rsidRDefault="008B7C1C" w:rsidP="003553A2">
      <w:pPr>
        <w:pStyle w:val="EStext"/>
      </w:pPr>
      <w:r w:rsidRPr="009C4D2A">
        <w:t xml:space="preserve">Section </w:t>
      </w:r>
      <w:fldSimple w:instr=" REF _Ref410240206 \r  \* MERGEFORMAT ">
        <w:r w:rsidR="00B506B7" w:rsidRPr="009C4D2A">
          <w:t>46</w:t>
        </w:r>
      </w:fldSimple>
      <w:r w:rsidR="00841779" w:rsidRPr="009C4D2A">
        <w:t xml:space="preserve"> </w:t>
      </w:r>
      <w:r w:rsidRPr="009C4D2A">
        <w:t>sets out the requirements project proponents must meet wh</w:t>
      </w:r>
      <w:r w:rsidR="004350FD" w:rsidRPr="009C4D2A">
        <w:t xml:space="preserve">en preparing a biomass survey. </w:t>
      </w:r>
      <w:r w:rsidRPr="009C4D2A">
        <w:t>These requirements are intended to ensure the accuracy of measurements and minimise error.</w:t>
      </w:r>
      <w:r w:rsidR="005B396B" w:rsidRPr="009C4D2A">
        <w:t xml:space="preserve"> Paragraph (</w:t>
      </w:r>
      <w:r w:rsidR="00EE2CFB" w:rsidRPr="009C4D2A">
        <w:t>b</w:t>
      </w:r>
      <w:r w:rsidR="005B396B" w:rsidRPr="009C4D2A">
        <w:t xml:space="preserve">) specifies that if trees do not have an associated allometric equation, then the diameter of the stem must be recorded. </w:t>
      </w:r>
      <w:r w:rsidR="00EC4561" w:rsidRPr="009C4D2A">
        <w:t xml:space="preserve"> The proponent should select </w:t>
      </w:r>
      <w:r w:rsidR="00E55338" w:rsidRPr="009C4D2A">
        <w:t>a standard</w:t>
      </w:r>
      <w:r w:rsidR="00EC4561" w:rsidRPr="009C4D2A">
        <w:t xml:space="preserve"> height </w:t>
      </w:r>
      <w:r w:rsidR="00AF520B" w:rsidRPr="009C4D2A">
        <w:t xml:space="preserve">to </w:t>
      </w:r>
      <w:r w:rsidR="00EC4561" w:rsidRPr="009C4D2A">
        <w:t>measure</w:t>
      </w:r>
      <w:r w:rsidR="00AF520B" w:rsidRPr="009C4D2A">
        <w:t xml:space="preserve"> the stem diameter</w:t>
      </w:r>
      <w:r w:rsidR="00E33ED2" w:rsidRPr="009C4D2A">
        <w:t>. For example, a common measurement place for trees is diameter at breast height</w:t>
      </w:r>
      <w:r w:rsidR="00856A89" w:rsidRPr="009C4D2A">
        <w:t xml:space="preserve"> (DBH)</w:t>
      </w:r>
      <w:r w:rsidR="00E33ED2" w:rsidRPr="009C4D2A">
        <w:t xml:space="preserve">, which is 1.3m, whereas for mallee species diameter at 30cm </w:t>
      </w:r>
      <w:r w:rsidR="009B3117" w:rsidRPr="009C4D2A">
        <w:t xml:space="preserve">height </w:t>
      </w:r>
      <w:r w:rsidR="00E33ED2" w:rsidRPr="009C4D2A">
        <w:t xml:space="preserve">may be more appropriate. </w:t>
      </w:r>
      <w:r w:rsidR="005B396B" w:rsidRPr="009C4D2A">
        <w:t>This</w:t>
      </w:r>
      <w:r w:rsidR="00E55338" w:rsidRPr="009C4D2A">
        <w:t xml:space="preserve"> provision</w:t>
      </w:r>
      <w:r w:rsidR="005B396B" w:rsidRPr="009C4D2A">
        <w:t xml:space="preserve"> is to ensure that all trees in the plot </w:t>
      </w:r>
      <w:r w:rsidR="00E55338" w:rsidRPr="009C4D2A">
        <w:t>have a variable to be measured</w:t>
      </w:r>
      <w:r w:rsidR="005B396B" w:rsidRPr="009C4D2A">
        <w:t>.</w:t>
      </w:r>
    </w:p>
    <w:p w:rsidR="008B7C1C" w:rsidRPr="009C4D2A" w:rsidRDefault="00EE1197" w:rsidP="00391A4A">
      <w:pPr>
        <w:pStyle w:val="Minorheadingstyle"/>
        <w:rPr>
          <w:bCs/>
          <w:iCs/>
        </w:rPr>
      </w:pPr>
      <w:r w:rsidRPr="009C4D2A">
        <w:fldChar w:fldCharType="begin"/>
      </w:r>
      <w:bookmarkStart w:id="41" w:name="_Ref410240208"/>
      <w:bookmarkEnd w:id="41"/>
      <w:r w:rsidR="00D16488" w:rsidRPr="009C4D2A">
        <w:instrText xml:space="preserve"> LISTNUM  LegalDefault \l 1 </w:instrText>
      </w:r>
      <w:r w:rsidRPr="009C4D2A">
        <w:fldChar w:fldCharType="end"/>
      </w:r>
      <w:r w:rsidR="008B7C1C" w:rsidRPr="009C4D2A">
        <w:rPr>
          <w:bCs/>
          <w:iCs/>
        </w:rPr>
        <w:tab/>
        <w:t>Step 6—</w:t>
      </w:r>
      <w:r w:rsidR="00682C93" w:rsidRPr="009C4D2A">
        <w:t>M</w:t>
      </w:r>
      <w:r w:rsidR="008B7C1C" w:rsidRPr="009C4D2A">
        <w:t>easurements</w:t>
      </w:r>
      <w:r w:rsidR="008B7C1C" w:rsidRPr="009C4D2A">
        <w:rPr>
          <w:bCs/>
          <w:iCs/>
        </w:rPr>
        <w:t xml:space="preserve"> </w:t>
      </w:r>
      <w:r w:rsidR="008B7C1C" w:rsidRPr="009C4D2A">
        <w:t>within</w:t>
      </w:r>
      <w:r w:rsidR="008B7C1C" w:rsidRPr="009C4D2A">
        <w:rPr>
          <w:bCs/>
          <w:iCs/>
        </w:rPr>
        <w:t xml:space="preserve"> plots</w:t>
      </w:r>
    </w:p>
    <w:p w:rsidR="008B7C1C" w:rsidRPr="009C4D2A" w:rsidRDefault="001D375B" w:rsidP="003553A2">
      <w:pPr>
        <w:pStyle w:val="EStext"/>
      </w:pPr>
      <w:r w:rsidRPr="009C4D2A">
        <w:t xml:space="preserve">Section </w:t>
      </w:r>
      <w:fldSimple w:instr=" REF _Ref410240208 \r  \* MERGEFORMAT ">
        <w:r w:rsidR="00B506B7" w:rsidRPr="009C4D2A">
          <w:t>47</w:t>
        </w:r>
      </w:fldSimple>
      <w:r w:rsidR="00841779" w:rsidRPr="009C4D2A">
        <w:t xml:space="preserve"> </w:t>
      </w:r>
      <w:r w:rsidRPr="009C4D2A">
        <w:t>sets out the requirements for navigating to, establishing and undertaking measurements within plots.</w:t>
      </w:r>
    </w:p>
    <w:p w:rsidR="001D375B" w:rsidRPr="009C4D2A" w:rsidRDefault="001D375B" w:rsidP="003553A2">
      <w:pPr>
        <w:pStyle w:val="EStext"/>
      </w:pPr>
      <w:r w:rsidRPr="009C4D2A">
        <w:t xml:space="preserve">The survey team must use a GPS device that that has an accuracy of </w:t>
      </w:r>
      <w:r w:rsidR="00443EAE" w:rsidRPr="009C4D2A">
        <w:t>±</w:t>
      </w:r>
      <w:r w:rsidRPr="009C4D2A">
        <w:t xml:space="preserve"> 4</w:t>
      </w:r>
      <w:r w:rsidR="00F57B50" w:rsidRPr="009C4D2A">
        <w:t xml:space="preserve"> </w:t>
      </w:r>
      <w:r w:rsidRPr="009C4D2A">
        <w:t>m</w:t>
      </w:r>
      <w:r w:rsidR="00F57B50" w:rsidRPr="009C4D2A">
        <w:t>etres</w:t>
      </w:r>
      <w:r w:rsidRPr="009C4D2A">
        <w:t xml:space="preserve"> when navigating to each waypoint. When the survey team has navigated to the plot, it must establish the plot as detailed in Step 1 in section </w:t>
      </w:r>
      <w:fldSimple w:instr=" REF _Ref410241895 \r  \* MERGEFORMAT ">
        <w:r w:rsidR="00B506B7" w:rsidRPr="009C4D2A">
          <w:t>42</w:t>
        </w:r>
      </w:fldSimple>
      <w:r w:rsidRPr="009C4D2A">
        <w:t>. Once the plot is established</w:t>
      </w:r>
      <w:r w:rsidR="00537472" w:rsidRPr="009C4D2A">
        <w:t>,</w:t>
      </w:r>
      <w:r w:rsidRPr="009C4D2A">
        <w:t xml:space="preserve"> specific measurements must be taken within the plot to accurately estimate plot biomass.</w:t>
      </w:r>
    </w:p>
    <w:p w:rsidR="001D375B" w:rsidRPr="009C4D2A" w:rsidRDefault="001D375B" w:rsidP="003553A2">
      <w:pPr>
        <w:pStyle w:val="EStext"/>
      </w:pPr>
      <w:r w:rsidRPr="009C4D2A">
        <w:t xml:space="preserve">When measuring above-ground biomass within the plot, project proponents must measure the </w:t>
      </w:r>
      <w:r w:rsidR="004C2E31" w:rsidRPr="009C4D2A">
        <w:t>explanatory</w:t>
      </w:r>
      <w:r w:rsidR="00537472" w:rsidRPr="009C4D2A">
        <w:t xml:space="preserve"> </w:t>
      </w:r>
      <w:r w:rsidRPr="009C4D2A">
        <w:t>variable(s) required by the allometric equation that is to be used for each species or group of species that is found within the plot. This is often a stem diameter at</w:t>
      </w:r>
      <w:r w:rsidR="00856A89" w:rsidRPr="009C4D2A">
        <w:t xml:space="preserve"> some distance from the ground </w:t>
      </w:r>
      <w:r w:rsidRPr="009C4D2A">
        <w:t xml:space="preserve">and can include height along with other independent variables required by </w:t>
      </w:r>
      <w:r w:rsidR="00537472" w:rsidRPr="009C4D2A">
        <w:t xml:space="preserve">the </w:t>
      </w:r>
      <w:r w:rsidRPr="009C4D2A">
        <w:t>allometric equation.</w:t>
      </w:r>
      <w:r w:rsidR="005B396B" w:rsidRPr="009C4D2A">
        <w:t xml:space="preserve"> </w:t>
      </w:r>
      <w:r w:rsidR="00CC75CB" w:rsidRPr="009C4D2A">
        <w:t>Measurements are needed from all trees within a plot, not only project trees.</w:t>
      </w:r>
      <w:r w:rsidR="005B396B" w:rsidRPr="009C4D2A">
        <w:t xml:space="preserve"> These measurements are important in determining the number of non-</w:t>
      </w:r>
      <w:r w:rsidR="005B396B" w:rsidRPr="009C4D2A">
        <w:lastRenderedPageBreak/>
        <w:t xml:space="preserve">project trees per hectare within the project area, which is used to demonstrate that clearing would occur with the implementation of the permit. </w:t>
      </w:r>
    </w:p>
    <w:p w:rsidR="001D375B" w:rsidRPr="009C4D2A" w:rsidRDefault="001D375B" w:rsidP="003553A2">
      <w:pPr>
        <w:pStyle w:val="EStext"/>
      </w:pPr>
      <w:r w:rsidRPr="009C4D2A">
        <w:t>No measurement is required for below-ground biomass as National Greenhouse A</w:t>
      </w:r>
      <w:r w:rsidR="00537472" w:rsidRPr="009C4D2A">
        <w:t>ccount default root:shoot ratios are</w:t>
      </w:r>
      <w:r w:rsidRPr="009C4D2A">
        <w:t xml:space="preserve"> applied.</w:t>
      </w:r>
    </w:p>
    <w:p w:rsidR="001D375B" w:rsidRPr="009C4D2A" w:rsidRDefault="00EE1197" w:rsidP="00391A4A">
      <w:pPr>
        <w:pStyle w:val="Minorheadingstyle"/>
        <w:rPr>
          <w:bCs/>
          <w:iCs/>
        </w:rPr>
      </w:pPr>
      <w:r w:rsidRPr="009C4D2A">
        <w:fldChar w:fldCharType="begin"/>
      </w:r>
      <w:r w:rsidR="00D16488" w:rsidRPr="009C4D2A">
        <w:instrText xml:space="preserve"> LISTNUM  LegalDefault \l 1 </w:instrText>
      </w:r>
      <w:r w:rsidRPr="009C4D2A">
        <w:fldChar w:fldCharType="end"/>
      </w:r>
      <w:r w:rsidR="001D375B" w:rsidRPr="009C4D2A">
        <w:rPr>
          <w:bCs/>
          <w:iCs/>
        </w:rPr>
        <w:tab/>
        <w:t>Step 7—</w:t>
      </w:r>
      <w:r w:rsidR="00682C93" w:rsidRPr="009C4D2A">
        <w:rPr>
          <w:bCs/>
          <w:iCs/>
        </w:rPr>
        <w:t>B</w:t>
      </w:r>
      <w:r w:rsidR="001D375B" w:rsidRPr="009C4D2A">
        <w:rPr>
          <w:bCs/>
          <w:iCs/>
        </w:rPr>
        <w:t>iomass of plots</w:t>
      </w:r>
    </w:p>
    <w:p w:rsidR="001D375B" w:rsidRPr="009C4D2A" w:rsidRDefault="001D57DF" w:rsidP="003553A2">
      <w:pPr>
        <w:pStyle w:val="EStext"/>
      </w:pPr>
      <w:r w:rsidRPr="009C4D2A">
        <w:t>Subsection (1)</w:t>
      </w:r>
      <w:r w:rsidR="00413641" w:rsidRPr="009C4D2A">
        <w:t xml:space="preserve"> provides that project proponents must determine the biomass of each plot surveyed as provided by </w:t>
      </w:r>
      <w:r w:rsidR="00537472" w:rsidRPr="009C4D2A">
        <w:t>S</w:t>
      </w:r>
      <w:r w:rsidR="00413641" w:rsidRPr="009C4D2A">
        <w:t xml:space="preserve">tep 6 in section </w:t>
      </w:r>
      <w:fldSimple w:instr=" REF _Ref410240208 \r  \* MERGEFORMAT ">
        <w:r w:rsidR="00B506B7" w:rsidRPr="009C4D2A">
          <w:t>47</w:t>
        </w:r>
      </w:fldSimple>
      <w:r w:rsidR="00413641" w:rsidRPr="009C4D2A">
        <w:t xml:space="preserve"> by following Steps 7.1 to 7.4.</w:t>
      </w:r>
    </w:p>
    <w:p w:rsidR="00413641" w:rsidRPr="009C4D2A" w:rsidRDefault="00413641" w:rsidP="00391A4A">
      <w:pPr>
        <w:pStyle w:val="Subheadingstyle"/>
        <w:rPr>
          <w:lang w:val="en-AU"/>
        </w:rPr>
      </w:pPr>
      <w:r w:rsidRPr="009C4D2A">
        <w:rPr>
          <w:lang w:val="en-AU"/>
        </w:rPr>
        <w:t>Step 7.1—Determin</w:t>
      </w:r>
      <w:r w:rsidR="004F116A" w:rsidRPr="009C4D2A">
        <w:rPr>
          <w:lang w:val="en-AU"/>
        </w:rPr>
        <w:t>ation of</w:t>
      </w:r>
      <w:r w:rsidRPr="009C4D2A">
        <w:rPr>
          <w:lang w:val="en-AU"/>
        </w:rPr>
        <w:t xml:space="preserve"> above-ground biomass</w:t>
      </w:r>
      <w:r w:rsidR="004F116A" w:rsidRPr="009C4D2A">
        <w:rPr>
          <w:lang w:val="en-AU"/>
        </w:rPr>
        <w:t xml:space="preserve"> </w:t>
      </w:r>
      <w:r w:rsidRPr="009C4D2A">
        <w:rPr>
          <w:lang w:val="en-AU"/>
        </w:rPr>
        <w:t>by applying</w:t>
      </w:r>
      <w:r w:rsidR="0034066C" w:rsidRPr="009C4D2A">
        <w:rPr>
          <w:lang w:val="en-AU"/>
        </w:rPr>
        <w:t xml:space="preserve"> </w:t>
      </w:r>
      <w:r w:rsidRPr="009C4D2A">
        <w:rPr>
          <w:lang w:val="en-AU"/>
        </w:rPr>
        <w:t>allometr</w:t>
      </w:r>
      <w:r w:rsidR="006A1109" w:rsidRPr="009C4D2A">
        <w:rPr>
          <w:lang w:val="en-AU"/>
        </w:rPr>
        <w:t>ic equations</w:t>
      </w:r>
    </w:p>
    <w:p w:rsidR="00A06AFE" w:rsidRPr="009C4D2A" w:rsidRDefault="00413641" w:rsidP="003553A2">
      <w:pPr>
        <w:pStyle w:val="EStext"/>
      </w:pPr>
      <w:r w:rsidRPr="009C4D2A">
        <w:t>Project proponents must have developed or validated all allometric equations</w:t>
      </w:r>
      <w:r w:rsidR="00A06AFE" w:rsidRPr="009C4D2A">
        <w:t xml:space="preserve"> used in the estimation</w:t>
      </w:r>
      <w:r w:rsidRPr="009C4D2A">
        <w:t xml:space="preserve"> of above-ground biomass in accordance with </w:t>
      </w:r>
      <w:r w:rsidR="00560C6D" w:rsidRPr="009C4D2A">
        <w:t>Subdivision</w:t>
      </w:r>
      <w:r w:rsidR="00E270FB" w:rsidRPr="009C4D2A">
        <w:t xml:space="preserve"> 1 </w:t>
      </w:r>
      <w:r w:rsidRPr="009C4D2A">
        <w:t>—Allometric equations. Once this is complete, proponents must convert the measurements made in the field sample plots into the above-ground biomass stock estimates for</w:t>
      </w:r>
      <w:r w:rsidR="00A06AFE" w:rsidRPr="009C4D2A">
        <w:t xml:space="preserve"> each tree, using the</w:t>
      </w:r>
      <w:r w:rsidRPr="009C4D2A">
        <w:t xml:space="preserve"> allometric equation for the species or group of species</w:t>
      </w:r>
      <w:r w:rsidR="00A06AFE" w:rsidRPr="009C4D2A">
        <w:t>.</w:t>
      </w:r>
    </w:p>
    <w:p w:rsidR="00A06AFE" w:rsidRPr="009C4D2A" w:rsidRDefault="00A06AFE" w:rsidP="00391A4A">
      <w:pPr>
        <w:pStyle w:val="Subheadingstyle"/>
        <w:rPr>
          <w:lang w:val="en-AU"/>
        </w:rPr>
      </w:pPr>
      <w:r w:rsidRPr="009C4D2A">
        <w:rPr>
          <w:lang w:val="en-AU"/>
        </w:rPr>
        <w:t>Step 7.2—Determin</w:t>
      </w:r>
      <w:r w:rsidR="004F116A" w:rsidRPr="009C4D2A">
        <w:rPr>
          <w:lang w:val="en-AU"/>
        </w:rPr>
        <w:t>ation of</w:t>
      </w:r>
      <w:r w:rsidRPr="009C4D2A">
        <w:rPr>
          <w:lang w:val="en-AU"/>
        </w:rPr>
        <w:t xml:space="preserve"> above-ground biomass in survey plots</w:t>
      </w:r>
    </w:p>
    <w:p w:rsidR="00AB728E" w:rsidRPr="009C4D2A" w:rsidRDefault="00A06AFE" w:rsidP="003553A2">
      <w:pPr>
        <w:pStyle w:val="EStext"/>
      </w:pPr>
      <w:r w:rsidRPr="009C4D2A">
        <w:t>Subsection (</w:t>
      </w:r>
      <w:r w:rsidR="00D04F0C" w:rsidRPr="009C4D2A">
        <w:t>4</w:t>
      </w:r>
      <w:r w:rsidRPr="009C4D2A">
        <w:t>) provides that project proponents must determine the above</w:t>
      </w:r>
      <w:r w:rsidR="00537472" w:rsidRPr="009C4D2A">
        <w:t>-</w:t>
      </w:r>
      <w:r w:rsidRPr="009C4D2A">
        <w:t xml:space="preserve">ground biomass stock in survey plot (sp) in </w:t>
      </w:r>
      <w:r w:rsidR="00650BE7" w:rsidRPr="009C4D2A">
        <w:t>carbon estimation area</w:t>
      </w:r>
      <w:r w:rsidRPr="009C4D2A">
        <w:t xml:space="preserve"> (i) by completing Equation 7.</w:t>
      </w:r>
    </w:p>
    <w:p w:rsidR="00AB728E" w:rsidRPr="009C4D2A" w:rsidRDefault="00AB728E" w:rsidP="00391A4A">
      <w:pPr>
        <w:pStyle w:val="Subheadingstyle"/>
        <w:rPr>
          <w:lang w:val="en-AU"/>
        </w:rPr>
      </w:pPr>
      <w:r w:rsidRPr="009C4D2A">
        <w:rPr>
          <w:lang w:val="en-AU"/>
        </w:rPr>
        <w:t>Step 7.3—Determin</w:t>
      </w:r>
      <w:r w:rsidR="004F116A" w:rsidRPr="009C4D2A">
        <w:rPr>
          <w:lang w:val="en-AU"/>
        </w:rPr>
        <w:t>ation of</w:t>
      </w:r>
      <w:r w:rsidRPr="009C4D2A">
        <w:rPr>
          <w:lang w:val="en-AU"/>
        </w:rPr>
        <w:t xml:space="preserve"> below-ground tree biomass in survey plots</w:t>
      </w:r>
    </w:p>
    <w:p w:rsidR="00AB728E" w:rsidRPr="009C4D2A" w:rsidRDefault="00AB728E" w:rsidP="003553A2">
      <w:pPr>
        <w:pStyle w:val="EStext"/>
      </w:pPr>
      <w:r w:rsidRPr="009C4D2A">
        <w:t>Subsection (</w:t>
      </w:r>
      <w:r w:rsidR="00D04F0C" w:rsidRPr="009C4D2A">
        <w:t>5</w:t>
      </w:r>
      <w:r w:rsidRPr="009C4D2A">
        <w:t xml:space="preserve">) provides that project proponents must determine the below-ground tree biomass in each plot surveyed as provided by Step 6 in section </w:t>
      </w:r>
      <w:fldSimple w:instr=" REF _Ref410240208 \r  \* MERGEFORMAT ">
        <w:r w:rsidR="00B506B7" w:rsidRPr="009C4D2A">
          <w:t>47</w:t>
        </w:r>
      </w:fldSimple>
      <w:r w:rsidRPr="009C4D2A">
        <w:t xml:space="preserve"> by completing Equation 8.</w:t>
      </w:r>
    </w:p>
    <w:p w:rsidR="00AB728E" w:rsidRPr="009C4D2A" w:rsidRDefault="00AB728E" w:rsidP="003553A2">
      <w:pPr>
        <w:pStyle w:val="EStext"/>
      </w:pPr>
      <w:r w:rsidRPr="009C4D2A">
        <w:t xml:space="preserve">Equation 8 requires the input of the appropriate root:shoot ratios, which are determined in accordance with section </w:t>
      </w:r>
      <w:fldSimple w:instr=" REF _Ref410240319 \r  \* MERGEFORMAT ">
        <w:r w:rsidR="00B506B7" w:rsidRPr="009C4D2A">
          <w:t>41</w:t>
        </w:r>
      </w:fldSimple>
      <w:r w:rsidRPr="009C4D2A">
        <w:t>.</w:t>
      </w:r>
    </w:p>
    <w:p w:rsidR="00AB728E" w:rsidRPr="009C4D2A" w:rsidRDefault="00AB728E" w:rsidP="00391A4A">
      <w:pPr>
        <w:pStyle w:val="Subheadingstyle"/>
        <w:rPr>
          <w:lang w:val="en-AU"/>
        </w:rPr>
      </w:pPr>
      <w:r w:rsidRPr="009C4D2A">
        <w:rPr>
          <w:lang w:val="en-AU"/>
        </w:rPr>
        <w:t>Step 7.4—Determin</w:t>
      </w:r>
      <w:r w:rsidR="004F116A" w:rsidRPr="009C4D2A">
        <w:rPr>
          <w:lang w:val="en-AU"/>
        </w:rPr>
        <w:t>ation of</w:t>
      </w:r>
      <w:r w:rsidRPr="009C4D2A">
        <w:rPr>
          <w:lang w:val="en-AU"/>
        </w:rPr>
        <w:t xml:space="preserve"> total tree biomass in each plot</w:t>
      </w:r>
    </w:p>
    <w:p w:rsidR="00AB728E" w:rsidRPr="009C4D2A" w:rsidRDefault="00AB728E" w:rsidP="003553A2">
      <w:pPr>
        <w:pStyle w:val="EStext"/>
      </w:pPr>
      <w:r w:rsidRPr="009C4D2A">
        <w:t>Subsection (</w:t>
      </w:r>
      <w:r w:rsidR="00D04F0C" w:rsidRPr="009C4D2A">
        <w:t>6</w:t>
      </w:r>
      <w:r w:rsidRPr="009C4D2A">
        <w:t>) provides that project proponents must determine the total tree biomass for each plot surveyed as provided by Step 6</w:t>
      </w:r>
      <w:r w:rsidR="00603FAB" w:rsidRPr="009C4D2A">
        <w:t>,</w:t>
      </w:r>
      <w:r w:rsidR="003E254B" w:rsidRPr="009C4D2A">
        <w:t xml:space="preserve"> </w:t>
      </w:r>
      <w:r w:rsidR="009B7A9A" w:rsidRPr="009C4D2A">
        <w:t>s</w:t>
      </w:r>
      <w:r w:rsidRPr="009C4D2A">
        <w:t>ection</w:t>
      </w:r>
      <w:r w:rsidR="003E1AC4" w:rsidRPr="009C4D2A">
        <w:t xml:space="preserve"> </w:t>
      </w:r>
      <w:fldSimple w:instr=" REF _Ref410240208 \n \h  \* MERGEFORMAT ">
        <w:r w:rsidR="003E1AC4" w:rsidRPr="009C4D2A">
          <w:t>47</w:t>
        </w:r>
      </w:fldSimple>
      <w:r w:rsidR="003E1AC4" w:rsidRPr="009C4D2A">
        <w:t>,</w:t>
      </w:r>
      <w:r w:rsidR="00BB04E2" w:rsidRPr="009C4D2A">
        <w:t xml:space="preserve"> </w:t>
      </w:r>
      <w:r w:rsidRPr="009C4D2A">
        <w:t>by completing Equation 9.</w:t>
      </w:r>
    </w:p>
    <w:p w:rsidR="00AB728E" w:rsidRPr="009C4D2A" w:rsidRDefault="00EE1197" w:rsidP="00391A4A">
      <w:pPr>
        <w:pStyle w:val="Minorheadingstyle"/>
      </w:pPr>
      <w:r w:rsidRPr="009C4D2A">
        <w:fldChar w:fldCharType="begin"/>
      </w:r>
      <w:bookmarkStart w:id="42" w:name="_Ref410242610"/>
      <w:bookmarkEnd w:id="42"/>
      <w:r w:rsidR="00D16488" w:rsidRPr="009C4D2A">
        <w:instrText xml:space="preserve"> LISTNUM  LegalDefault \l 1 </w:instrText>
      </w:r>
      <w:r w:rsidRPr="009C4D2A">
        <w:fldChar w:fldCharType="end"/>
      </w:r>
      <w:r w:rsidR="00AB728E" w:rsidRPr="009C4D2A">
        <w:tab/>
        <w:t>Step 8—Edge corrections</w:t>
      </w:r>
      <w:r w:rsidR="00537472" w:rsidRPr="009C4D2A">
        <w:t xml:space="preserve"> for plots</w:t>
      </w:r>
      <w:r w:rsidR="00AB728E" w:rsidRPr="009C4D2A">
        <w:t xml:space="preserve"> cross</w:t>
      </w:r>
      <w:r w:rsidR="00537472" w:rsidRPr="009C4D2A">
        <w:t>ing</w:t>
      </w:r>
      <w:r w:rsidR="00AB728E" w:rsidRPr="009C4D2A">
        <w:t xml:space="preserve"> carbon estimation area boundaries</w:t>
      </w:r>
    </w:p>
    <w:p w:rsidR="00AB728E" w:rsidRPr="009C4D2A" w:rsidRDefault="00C96BA9" w:rsidP="003553A2">
      <w:pPr>
        <w:pStyle w:val="EStext"/>
      </w:pPr>
      <w:r w:rsidRPr="009C4D2A">
        <w:t xml:space="preserve">Section </w:t>
      </w:r>
      <w:fldSimple w:instr=" REF _Ref410242610 \r  \* MERGEFORMAT ">
        <w:r w:rsidR="00B506B7" w:rsidRPr="009C4D2A">
          <w:t>49</w:t>
        </w:r>
      </w:fldSimple>
      <w:r w:rsidR="00392E70" w:rsidRPr="009C4D2A">
        <w:t xml:space="preserve"> </w:t>
      </w:r>
      <w:r w:rsidRPr="009C4D2A">
        <w:t xml:space="preserve">sets out the steps for correcting the edge effects that occur when a plot crosses the boundary of a </w:t>
      </w:r>
      <w:r w:rsidR="00650BE7" w:rsidRPr="009C4D2A">
        <w:t>carbon estimation area</w:t>
      </w:r>
      <w:r w:rsidRPr="009C4D2A">
        <w:t>.</w:t>
      </w:r>
    </w:p>
    <w:p w:rsidR="00C96BA9" w:rsidRPr="009C4D2A" w:rsidRDefault="00C96BA9" w:rsidP="003553A2">
      <w:pPr>
        <w:pStyle w:val="EStext"/>
      </w:pPr>
      <w:r w:rsidRPr="009C4D2A">
        <w:t xml:space="preserve">An edge correction must be applied if a plot, once established, moves into one or more strata outside of the </w:t>
      </w:r>
      <w:r w:rsidR="00650BE7" w:rsidRPr="009C4D2A">
        <w:t>carbon estimation area</w:t>
      </w:r>
      <w:r w:rsidRPr="009C4D2A">
        <w:t xml:space="preserve"> that is being surveyed. If it is determined that a plot, once established,</w:t>
      </w:r>
      <w:r w:rsidR="00AD011F" w:rsidRPr="009C4D2A">
        <w:t xml:space="preserve"> </w:t>
      </w:r>
      <w:r w:rsidRPr="009C4D2A">
        <w:t xml:space="preserve">will span multiple strata, then the collection of biomass data within the plot will lead to an erroneous plot estimate. </w:t>
      </w:r>
    </w:p>
    <w:p w:rsidR="00C96BA9" w:rsidRPr="009C4D2A" w:rsidRDefault="00C96BA9" w:rsidP="003553A2">
      <w:pPr>
        <w:pStyle w:val="EStext"/>
      </w:pPr>
      <w:r w:rsidRPr="009C4D2A">
        <w:t>Project proponents must omit the plot if more than 20</w:t>
      </w:r>
      <w:r w:rsidR="00543313" w:rsidRPr="009C4D2A">
        <w:t xml:space="preserve"> per cent</w:t>
      </w:r>
      <w:r w:rsidRPr="009C4D2A">
        <w:t xml:space="preserve"> of the plot falls outside of the </w:t>
      </w:r>
      <w:r w:rsidR="00650BE7" w:rsidRPr="009C4D2A">
        <w:t>carbon estimation area</w:t>
      </w:r>
      <w:r w:rsidRPr="009C4D2A">
        <w:t xml:space="preserve"> that is to be surveyed.</w:t>
      </w:r>
    </w:p>
    <w:p w:rsidR="00C96BA9" w:rsidRPr="009C4D2A" w:rsidRDefault="00C96BA9" w:rsidP="003553A2">
      <w:pPr>
        <w:pStyle w:val="EStext"/>
      </w:pPr>
      <w:r w:rsidRPr="009C4D2A">
        <w:lastRenderedPageBreak/>
        <w:t xml:space="preserve">For all other scenarios where plots have edge effects, project proponents must first use the mirage method to mirror the plot into the </w:t>
      </w:r>
      <w:r w:rsidR="00650BE7" w:rsidRPr="009C4D2A">
        <w:t>carbon estimation area</w:t>
      </w:r>
      <w:r w:rsidRPr="009C4D2A">
        <w:t xml:space="preserve"> that is being surveyed. </w:t>
      </w:r>
      <w:r w:rsidR="00AD011F" w:rsidRPr="009C4D2A">
        <w:t xml:space="preserve">Further </w:t>
      </w:r>
      <w:r w:rsidRPr="009C4D2A">
        <w:t>details on implementing the mirage method can be found in:</w:t>
      </w:r>
    </w:p>
    <w:p w:rsidR="006310FA" w:rsidRPr="009C4D2A" w:rsidRDefault="00C96BA9" w:rsidP="00391A4A">
      <w:pPr>
        <w:pStyle w:val="bullet1"/>
        <w:rPr>
          <w:color w:val="auto"/>
        </w:rPr>
      </w:pPr>
      <w:r w:rsidRPr="009C4D2A">
        <w:rPr>
          <w:rFonts w:eastAsia="Calibri"/>
          <w:color w:val="auto"/>
          <w:lang w:eastAsia="en-US"/>
        </w:rPr>
        <w:t>Beers</w:t>
      </w:r>
      <w:r w:rsidRPr="009C4D2A">
        <w:rPr>
          <w:color w:val="auto"/>
        </w:rPr>
        <w:t xml:space="preserve">, T.W. (1977) Practical correction of boundary overlap. </w:t>
      </w:r>
      <w:r w:rsidRPr="009C4D2A">
        <w:rPr>
          <w:i/>
          <w:color w:val="auto"/>
        </w:rPr>
        <w:t xml:space="preserve">Southern Journal of Applied Forestry </w:t>
      </w:r>
      <w:r w:rsidRPr="009C4D2A">
        <w:rPr>
          <w:color w:val="auto"/>
        </w:rPr>
        <w:t xml:space="preserve">1, 16–18. </w:t>
      </w:r>
    </w:p>
    <w:p w:rsidR="00C96BA9" w:rsidRPr="009C4D2A" w:rsidRDefault="004C2E31" w:rsidP="003553A2">
      <w:pPr>
        <w:pStyle w:val="EStext"/>
      </w:pPr>
      <w:r w:rsidRPr="009C4D2A">
        <w:t>With</w:t>
      </w:r>
      <w:r w:rsidR="00C96BA9" w:rsidRPr="009C4D2A">
        <w:t xml:space="preserve"> circular plots,</w:t>
      </w:r>
      <w:r w:rsidRPr="009C4D2A">
        <w:t xml:space="preserve"> for example, the proponents would</w:t>
      </w:r>
      <w:r w:rsidR="00C96BA9" w:rsidRPr="009C4D2A">
        <w:t xml:space="preserve"> measure the distance from the plot centre to the edge of the </w:t>
      </w:r>
      <w:r w:rsidR="00650BE7" w:rsidRPr="009C4D2A">
        <w:t>carbon estimation area</w:t>
      </w:r>
      <w:r w:rsidR="00C96BA9" w:rsidRPr="009C4D2A">
        <w:t xml:space="preserve">, then locate a second plot the same distance beyond the edge of the </w:t>
      </w:r>
      <w:r w:rsidR="00650BE7" w:rsidRPr="009C4D2A">
        <w:t>carbon estimation area</w:t>
      </w:r>
      <w:r w:rsidR="00C96BA9" w:rsidRPr="009C4D2A">
        <w:t xml:space="preserve">. </w:t>
      </w:r>
      <w:r w:rsidRPr="009C4D2A">
        <w:t>The proponent would then m</w:t>
      </w:r>
      <w:r w:rsidR="00C96BA9" w:rsidRPr="009C4D2A">
        <w:t xml:space="preserve">easure all trees located within the </w:t>
      </w:r>
      <w:r w:rsidR="00650BE7" w:rsidRPr="009C4D2A">
        <w:t>carbon estimation area</w:t>
      </w:r>
      <w:r w:rsidR="00C96BA9" w:rsidRPr="009C4D2A">
        <w:t xml:space="preserve"> as determined from the second plot, and allocate </w:t>
      </w:r>
      <w:r w:rsidRPr="009C4D2A">
        <w:t xml:space="preserve">these measures </w:t>
      </w:r>
      <w:r w:rsidR="00C96BA9" w:rsidRPr="009C4D2A">
        <w:t>to the first plot.</w:t>
      </w:r>
      <w:r w:rsidRPr="009C4D2A">
        <w:t xml:space="preserve"> The effect of this is that trees that fall in both the original and mirage plot will be measured twice.</w:t>
      </w:r>
    </w:p>
    <w:p w:rsidR="00B04895" w:rsidRPr="009C4D2A" w:rsidRDefault="00EE1197" w:rsidP="00391A4A">
      <w:pPr>
        <w:pStyle w:val="Minorheadingstyle"/>
        <w:rPr>
          <w:bCs/>
          <w:iCs/>
        </w:rPr>
      </w:pPr>
      <w:r w:rsidRPr="009C4D2A">
        <w:fldChar w:fldCharType="begin"/>
      </w:r>
      <w:bookmarkStart w:id="43" w:name="_Ref410241993"/>
      <w:bookmarkEnd w:id="43"/>
      <w:r w:rsidR="00D16488" w:rsidRPr="009C4D2A">
        <w:instrText xml:space="preserve"> LISTNUM  LegalDefault \l 1 </w:instrText>
      </w:r>
      <w:r w:rsidRPr="009C4D2A">
        <w:fldChar w:fldCharType="end"/>
      </w:r>
      <w:r w:rsidR="00B04895" w:rsidRPr="009C4D2A">
        <w:rPr>
          <w:bCs/>
          <w:iCs/>
        </w:rPr>
        <w:tab/>
        <w:t>Step 9—</w:t>
      </w:r>
      <w:r w:rsidR="00B04895" w:rsidRPr="009C4D2A">
        <w:t>Validat</w:t>
      </w:r>
      <w:r w:rsidR="00AD011F" w:rsidRPr="009C4D2A">
        <w:t>ion</w:t>
      </w:r>
      <w:r w:rsidR="00AD011F" w:rsidRPr="009C4D2A">
        <w:rPr>
          <w:bCs/>
          <w:iCs/>
        </w:rPr>
        <w:t xml:space="preserve"> </w:t>
      </w:r>
      <w:r w:rsidR="00AD011F" w:rsidRPr="009C4D2A">
        <w:t>of</w:t>
      </w:r>
      <w:r w:rsidR="00B04895" w:rsidRPr="009C4D2A">
        <w:rPr>
          <w:bCs/>
          <w:iCs/>
        </w:rPr>
        <w:t xml:space="preserve"> sample size</w:t>
      </w:r>
    </w:p>
    <w:p w:rsidR="00765739" w:rsidRPr="009C4D2A" w:rsidRDefault="00765739" w:rsidP="003553A2">
      <w:pPr>
        <w:pStyle w:val="EStext"/>
      </w:pPr>
      <w:r w:rsidRPr="009C4D2A">
        <w:t xml:space="preserve">Subsection (1) provides that the project proponent must perform an ex-post analysis of the data obtained in the biomass survey in order to verify that the survey performed as provided by this </w:t>
      </w:r>
      <w:r w:rsidR="00560C6D" w:rsidRPr="009C4D2A">
        <w:t>Subdivision</w:t>
      </w:r>
      <w:r w:rsidRPr="009C4D2A">
        <w:t xml:space="preserve"> has achieved Target</w:t>
      </w:r>
      <w:r w:rsidR="00443EAE" w:rsidRPr="009C4D2A">
        <w:t>ed</w:t>
      </w:r>
      <w:r w:rsidRPr="009C4D2A">
        <w:t xml:space="preserve"> Precision.</w:t>
      </w:r>
    </w:p>
    <w:p w:rsidR="00765739" w:rsidRPr="009C4D2A" w:rsidRDefault="00765739" w:rsidP="00391A4A">
      <w:pPr>
        <w:pStyle w:val="Subheadingstyle"/>
        <w:rPr>
          <w:lang w:val="en-AU"/>
        </w:rPr>
      </w:pPr>
      <w:r w:rsidRPr="009C4D2A">
        <w:rPr>
          <w:lang w:val="en-AU"/>
        </w:rPr>
        <w:t>Step 9.1—</w:t>
      </w:r>
      <w:r w:rsidR="00A04D27" w:rsidRPr="009C4D2A">
        <w:rPr>
          <w:lang w:val="en-AU"/>
        </w:rPr>
        <w:t>S</w:t>
      </w:r>
      <w:r w:rsidRPr="009C4D2A">
        <w:rPr>
          <w:lang w:val="en-AU"/>
        </w:rPr>
        <w:t>tandard error</w:t>
      </w:r>
    </w:p>
    <w:p w:rsidR="00765739" w:rsidRPr="009C4D2A" w:rsidRDefault="00603FAB" w:rsidP="003553A2">
      <w:pPr>
        <w:pStyle w:val="EStext"/>
      </w:pPr>
      <w:r w:rsidRPr="009C4D2A">
        <w:t xml:space="preserve">Subsection (2) requires that </w:t>
      </w:r>
      <w:r w:rsidR="00537472" w:rsidRPr="009C4D2A">
        <w:t>p</w:t>
      </w:r>
      <w:r w:rsidR="00765739" w:rsidRPr="009C4D2A">
        <w:t>roject proponents must complete Equation 10 in order to determine the standard error.</w:t>
      </w:r>
    </w:p>
    <w:p w:rsidR="00765739" w:rsidRPr="009C4D2A" w:rsidRDefault="00765739" w:rsidP="00391A4A">
      <w:pPr>
        <w:pStyle w:val="Subheadingstyle"/>
        <w:rPr>
          <w:lang w:val="en-AU"/>
        </w:rPr>
      </w:pPr>
      <w:r w:rsidRPr="009C4D2A">
        <w:rPr>
          <w:lang w:val="en-AU"/>
        </w:rPr>
        <w:t>Step 9.2—Determin</w:t>
      </w:r>
      <w:r w:rsidR="00A04D27" w:rsidRPr="009C4D2A">
        <w:rPr>
          <w:lang w:val="en-AU"/>
        </w:rPr>
        <w:t>ation of</w:t>
      </w:r>
      <w:r w:rsidRPr="009C4D2A">
        <w:rPr>
          <w:lang w:val="en-AU"/>
        </w:rPr>
        <w:t xml:space="preserve"> Target</w:t>
      </w:r>
      <w:r w:rsidR="00A04D27" w:rsidRPr="009C4D2A">
        <w:rPr>
          <w:lang w:val="en-AU"/>
        </w:rPr>
        <w:t>ed</w:t>
      </w:r>
      <w:r w:rsidRPr="009C4D2A">
        <w:rPr>
          <w:lang w:val="en-AU"/>
        </w:rPr>
        <w:t xml:space="preserve"> Precision</w:t>
      </w:r>
    </w:p>
    <w:p w:rsidR="00765739" w:rsidRPr="009C4D2A" w:rsidRDefault="00765739" w:rsidP="003553A2">
      <w:pPr>
        <w:pStyle w:val="EStext"/>
      </w:pPr>
      <w:r w:rsidRPr="009C4D2A">
        <w:t>Subsection (3) provides that project proponents must complete Equation 11 in order to verify that the survey has achieved Target</w:t>
      </w:r>
      <w:r w:rsidR="00443EAE" w:rsidRPr="009C4D2A">
        <w:t>ed</w:t>
      </w:r>
      <w:r w:rsidRPr="009C4D2A">
        <w:t xml:space="preserve"> Precision.</w:t>
      </w:r>
    </w:p>
    <w:p w:rsidR="00765739" w:rsidRPr="009C4D2A" w:rsidRDefault="00765739" w:rsidP="003553A2">
      <w:pPr>
        <w:pStyle w:val="EStext"/>
      </w:pPr>
      <w:r w:rsidRPr="009C4D2A">
        <w:t>Subsection (4) provides that project proponents must use the 90</w:t>
      </w:r>
      <w:r w:rsidR="00543313" w:rsidRPr="009C4D2A">
        <w:t xml:space="preserve"> per cent</w:t>
      </w:r>
      <w:r w:rsidRPr="009C4D2A">
        <w:t xml:space="preserve"> confidence level when determining the t-value.</w:t>
      </w:r>
    </w:p>
    <w:p w:rsidR="00765739" w:rsidRPr="009C4D2A" w:rsidRDefault="00765739" w:rsidP="003553A2">
      <w:pPr>
        <w:pStyle w:val="EStext"/>
      </w:pPr>
      <w:r w:rsidRPr="009C4D2A">
        <w:t>Subsection (5) provides that the final value of the Target</w:t>
      </w:r>
      <w:r w:rsidR="00443EAE" w:rsidRPr="009C4D2A">
        <w:t>ed</w:t>
      </w:r>
      <w:r w:rsidRPr="009C4D2A">
        <w:t xml:space="preserve"> Precision error limit of the primary biomass survey must be less than or equal to 10</w:t>
      </w:r>
      <w:r w:rsidR="00543313" w:rsidRPr="009C4D2A">
        <w:t xml:space="preserve"> per cent</w:t>
      </w:r>
      <w:r w:rsidRPr="009C4D2A">
        <w:t>.</w:t>
      </w:r>
    </w:p>
    <w:p w:rsidR="00F57CE7" w:rsidRPr="009C4D2A" w:rsidRDefault="00560C6D" w:rsidP="00391A4A">
      <w:pPr>
        <w:pStyle w:val="Majorheadingstyle"/>
        <w:rPr>
          <w:rFonts w:eastAsia="Calibri"/>
          <w:lang w:eastAsia="en-US"/>
        </w:rPr>
      </w:pPr>
      <w:r w:rsidRPr="009C4D2A">
        <w:rPr>
          <w:rFonts w:eastAsia="Calibri"/>
          <w:lang w:eastAsia="en-US"/>
        </w:rPr>
        <w:t>Subdivision</w:t>
      </w:r>
      <w:r w:rsidR="00F57CE7" w:rsidRPr="009C4D2A">
        <w:rPr>
          <w:rFonts w:eastAsia="Calibri"/>
          <w:lang w:eastAsia="en-US"/>
        </w:rPr>
        <w:t xml:space="preserve"> </w:t>
      </w:r>
      <w:r w:rsidR="00904909" w:rsidRPr="009C4D2A">
        <w:rPr>
          <w:rFonts w:eastAsia="Calibri"/>
          <w:lang w:eastAsia="en-US"/>
        </w:rPr>
        <w:t>3</w:t>
      </w:r>
      <w:r w:rsidR="006B44F2" w:rsidRPr="009C4D2A">
        <w:rPr>
          <w:rFonts w:eastAsia="Calibri"/>
          <w:lang w:eastAsia="en-US"/>
        </w:rPr>
        <w:t>—</w:t>
      </w:r>
      <w:r w:rsidR="00F57CE7" w:rsidRPr="009C4D2A">
        <w:rPr>
          <w:rFonts w:eastAsia="Calibri"/>
          <w:lang w:eastAsia="en-US"/>
        </w:rPr>
        <w:t xml:space="preserve">Calculation of </w:t>
      </w:r>
      <w:r w:rsidR="005B396B" w:rsidRPr="009C4D2A">
        <w:rPr>
          <w:rFonts w:eastAsia="Calibri"/>
          <w:lang w:eastAsia="en-US"/>
        </w:rPr>
        <w:t xml:space="preserve">baseline </w:t>
      </w:r>
      <w:r w:rsidR="00F57CE7" w:rsidRPr="009C4D2A">
        <w:rPr>
          <w:rFonts w:eastAsia="Calibri"/>
          <w:lang w:eastAsia="en-US"/>
        </w:rPr>
        <w:t>emissions</w:t>
      </w:r>
    </w:p>
    <w:p w:rsidR="00F57CE7" w:rsidRPr="009C4D2A" w:rsidRDefault="00EE1197" w:rsidP="00391A4A">
      <w:pPr>
        <w:pStyle w:val="Minorheadingstyle"/>
        <w:rPr>
          <w:bCs/>
          <w:iCs/>
        </w:rPr>
      </w:pPr>
      <w:r w:rsidRPr="009C4D2A">
        <w:fldChar w:fldCharType="begin"/>
      </w:r>
      <w:bookmarkStart w:id="44" w:name="_Ref410242717"/>
      <w:bookmarkEnd w:id="44"/>
      <w:r w:rsidR="00D16488" w:rsidRPr="009C4D2A">
        <w:instrText xml:space="preserve"> LISTNUM  LegalDefault \l 1 </w:instrText>
      </w:r>
      <w:r w:rsidRPr="009C4D2A">
        <w:fldChar w:fldCharType="end"/>
      </w:r>
      <w:r w:rsidR="00F57CE7" w:rsidRPr="009C4D2A">
        <w:rPr>
          <w:bCs/>
          <w:iCs/>
        </w:rPr>
        <w:tab/>
      </w:r>
      <w:r w:rsidR="00816C23" w:rsidRPr="009C4D2A">
        <w:t>C</w:t>
      </w:r>
      <w:r w:rsidR="00F57CE7" w:rsidRPr="009C4D2A">
        <w:t>alculating</w:t>
      </w:r>
      <w:r w:rsidR="00F57CE7" w:rsidRPr="009C4D2A">
        <w:rPr>
          <w:bCs/>
          <w:iCs/>
        </w:rPr>
        <w:t xml:space="preserve"> </w:t>
      </w:r>
      <w:r w:rsidR="005B396B" w:rsidRPr="009C4D2A">
        <w:rPr>
          <w:bCs/>
          <w:iCs/>
        </w:rPr>
        <w:t xml:space="preserve">baseline </w:t>
      </w:r>
      <w:r w:rsidR="00F57CE7" w:rsidRPr="009C4D2A">
        <w:t>emissions</w:t>
      </w:r>
    </w:p>
    <w:p w:rsidR="0065407D" w:rsidRPr="009C4D2A" w:rsidRDefault="004C2E31" w:rsidP="003553A2">
      <w:pPr>
        <w:pStyle w:val="EStext"/>
      </w:pPr>
      <w:r w:rsidRPr="009C4D2A">
        <w:t xml:space="preserve">Emissions from the </w:t>
      </w:r>
      <w:r w:rsidR="00085943" w:rsidRPr="009C4D2A">
        <w:t>baseline</w:t>
      </w:r>
      <w:r w:rsidRPr="009C4D2A">
        <w:t xml:space="preserve"> are calculated once for the project, using data collected for the first reporting period. Once calculated, the </w:t>
      </w:r>
      <w:r w:rsidR="00085943" w:rsidRPr="009C4D2A">
        <w:t>baseline</w:t>
      </w:r>
      <w:r w:rsidRPr="009C4D2A">
        <w:t xml:space="preserve"> is set for the remainder of the crediting period. </w:t>
      </w:r>
      <w:r w:rsidR="00F57CE7" w:rsidRPr="009C4D2A">
        <w:t xml:space="preserve">Section </w:t>
      </w:r>
      <w:fldSimple w:instr=" REF _Ref410242717 \r  \* MERGEFORMAT ">
        <w:r w:rsidR="00B506B7" w:rsidRPr="009C4D2A">
          <w:t>51</w:t>
        </w:r>
      </w:fldSimple>
      <w:r w:rsidR="00392E70" w:rsidRPr="009C4D2A">
        <w:t xml:space="preserve"> </w:t>
      </w:r>
      <w:r w:rsidR="00F57CE7" w:rsidRPr="009C4D2A">
        <w:t xml:space="preserve">explains that </w:t>
      </w:r>
      <w:r w:rsidR="00560C6D" w:rsidRPr="009C4D2A">
        <w:t>Subdivision</w:t>
      </w:r>
      <w:r w:rsidR="00F57CE7" w:rsidRPr="009C4D2A">
        <w:t xml:space="preserve"> 3 contains </w:t>
      </w:r>
      <w:r w:rsidRPr="009C4D2A">
        <w:t xml:space="preserve">the </w:t>
      </w:r>
      <w:r w:rsidR="00F57CE7" w:rsidRPr="009C4D2A">
        <w:t xml:space="preserve">steps to be followed for calculating the </w:t>
      </w:r>
      <w:r w:rsidR="00085943" w:rsidRPr="009C4D2A">
        <w:t>baseline</w:t>
      </w:r>
      <w:r w:rsidR="00F57CE7" w:rsidRPr="009C4D2A">
        <w:t xml:space="preserve"> emissions in the project area. </w:t>
      </w:r>
    </w:p>
    <w:p w:rsidR="00F57CE7" w:rsidRPr="009C4D2A" w:rsidRDefault="00EE1197" w:rsidP="00391A4A">
      <w:pPr>
        <w:pStyle w:val="Minorheadingstyle"/>
        <w:rPr>
          <w:bCs/>
          <w:iCs/>
        </w:rPr>
      </w:pPr>
      <w:r w:rsidRPr="009C4D2A">
        <w:fldChar w:fldCharType="begin"/>
      </w:r>
      <w:bookmarkStart w:id="45" w:name="_Ref410242758"/>
      <w:bookmarkEnd w:id="45"/>
      <w:r w:rsidR="00D16488" w:rsidRPr="009C4D2A">
        <w:instrText xml:space="preserve"> LISTNUM  LegalDefault \l 1 </w:instrText>
      </w:r>
      <w:r w:rsidRPr="009C4D2A">
        <w:fldChar w:fldCharType="end"/>
      </w:r>
      <w:r w:rsidR="00B9007A" w:rsidRPr="009C4D2A">
        <w:rPr>
          <w:bCs/>
          <w:iCs/>
        </w:rPr>
        <w:tab/>
      </w:r>
      <w:r w:rsidR="005B396B" w:rsidRPr="009C4D2A">
        <w:rPr>
          <w:bCs/>
          <w:iCs/>
        </w:rPr>
        <w:t xml:space="preserve">Baseline </w:t>
      </w:r>
      <w:r w:rsidR="00F57CE7" w:rsidRPr="009C4D2A">
        <w:t>relevant</w:t>
      </w:r>
      <w:r w:rsidR="00F57CE7" w:rsidRPr="009C4D2A">
        <w:rPr>
          <w:bCs/>
          <w:iCs/>
        </w:rPr>
        <w:t xml:space="preserve"> </w:t>
      </w:r>
      <w:r w:rsidR="00F57CE7" w:rsidRPr="009C4D2A">
        <w:t>carbon</w:t>
      </w:r>
      <w:r w:rsidR="00F57CE7" w:rsidRPr="009C4D2A">
        <w:rPr>
          <w:bCs/>
          <w:iCs/>
        </w:rPr>
        <w:t xml:space="preserve"> pools</w:t>
      </w:r>
    </w:p>
    <w:p w:rsidR="0065407D" w:rsidRPr="009C4D2A" w:rsidRDefault="00F57CE7" w:rsidP="003553A2">
      <w:pPr>
        <w:pStyle w:val="EStext"/>
      </w:pPr>
      <w:r w:rsidRPr="009C4D2A">
        <w:t xml:space="preserve">Section </w:t>
      </w:r>
      <w:fldSimple w:instr=" REF _Ref410242758 \r  \* MERGEFORMAT ">
        <w:r w:rsidR="00B506B7" w:rsidRPr="009C4D2A">
          <w:t>52</w:t>
        </w:r>
      </w:fldSimple>
      <w:r w:rsidR="00392E70" w:rsidRPr="009C4D2A">
        <w:t xml:space="preserve"> </w:t>
      </w:r>
      <w:r w:rsidRPr="009C4D2A">
        <w:t xml:space="preserve">provides that carbon pools relevant to the </w:t>
      </w:r>
      <w:r w:rsidR="00085943" w:rsidRPr="009C4D2A">
        <w:t>baseline</w:t>
      </w:r>
      <w:r w:rsidRPr="009C4D2A">
        <w:t xml:space="preserve"> are limited to above</w:t>
      </w:r>
      <w:r w:rsidR="00537472" w:rsidRPr="009C4D2A">
        <w:t>-</w:t>
      </w:r>
      <w:r w:rsidRPr="009C4D2A">
        <w:t>ground tree biomass, below</w:t>
      </w:r>
      <w:r w:rsidR="00537472" w:rsidRPr="009C4D2A">
        <w:t>-</w:t>
      </w:r>
      <w:r w:rsidRPr="009C4D2A">
        <w:t>ground tree biomass, and the burning of biomass for clearing purposes.</w:t>
      </w:r>
    </w:p>
    <w:p w:rsidR="00F57CE7" w:rsidRPr="009C4D2A" w:rsidRDefault="00EE1197" w:rsidP="00391A4A">
      <w:pPr>
        <w:pStyle w:val="Minorheadingstyle"/>
        <w:rPr>
          <w:bCs/>
          <w:iCs/>
        </w:rPr>
      </w:pPr>
      <w:r w:rsidRPr="009C4D2A">
        <w:lastRenderedPageBreak/>
        <w:fldChar w:fldCharType="begin"/>
      </w:r>
      <w:bookmarkStart w:id="46" w:name="_Ref410242781"/>
      <w:bookmarkEnd w:id="46"/>
      <w:r w:rsidR="00D16488" w:rsidRPr="009C4D2A">
        <w:instrText xml:space="preserve"> LISTNUM  LegalDefault \l 1 </w:instrText>
      </w:r>
      <w:r w:rsidRPr="009C4D2A">
        <w:fldChar w:fldCharType="end"/>
      </w:r>
      <w:r w:rsidR="00F57CE7" w:rsidRPr="009C4D2A">
        <w:rPr>
          <w:bCs/>
          <w:iCs/>
        </w:rPr>
        <w:tab/>
        <w:t>Step 1—</w:t>
      </w:r>
      <w:r w:rsidR="00816C23" w:rsidRPr="009C4D2A">
        <w:rPr>
          <w:bCs/>
          <w:iCs/>
        </w:rPr>
        <w:t>S</w:t>
      </w:r>
      <w:r w:rsidR="00F57CE7" w:rsidRPr="009C4D2A">
        <w:rPr>
          <w:bCs/>
          <w:iCs/>
        </w:rPr>
        <w:t xml:space="preserve">urveying </w:t>
      </w:r>
      <w:r w:rsidR="00F57CE7" w:rsidRPr="009C4D2A">
        <w:t>requirements</w:t>
      </w:r>
    </w:p>
    <w:p w:rsidR="00F57CE7" w:rsidRPr="009C4D2A" w:rsidRDefault="00F57CE7" w:rsidP="003553A2">
      <w:pPr>
        <w:pStyle w:val="EStext"/>
      </w:pPr>
      <w:r w:rsidRPr="009C4D2A">
        <w:t xml:space="preserve">Section </w:t>
      </w:r>
      <w:fldSimple w:instr=" REF _Ref410242781 \r  \* MERGEFORMAT ">
        <w:r w:rsidR="00B506B7" w:rsidRPr="009C4D2A">
          <w:t>53</w:t>
        </w:r>
      </w:fldSimple>
      <w:r w:rsidR="00392E70" w:rsidRPr="009C4D2A">
        <w:t xml:space="preserve"> </w:t>
      </w:r>
      <w:r w:rsidRPr="009C4D2A">
        <w:t xml:space="preserve">explains that the first step for calculating the </w:t>
      </w:r>
      <w:r w:rsidR="00085943" w:rsidRPr="009C4D2A">
        <w:t>baseline</w:t>
      </w:r>
      <w:r w:rsidRPr="009C4D2A">
        <w:t xml:space="preserve"> emissions is to conduct a biomass survey according to the process outlined in </w:t>
      </w:r>
      <w:r w:rsidR="00560C6D" w:rsidRPr="009C4D2A">
        <w:t>Subdivision</w:t>
      </w:r>
      <w:r w:rsidRPr="009C4D2A">
        <w:t xml:space="preserve"> </w:t>
      </w:r>
      <w:r w:rsidR="00FB211A" w:rsidRPr="009C4D2A">
        <w:t>3</w:t>
      </w:r>
      <w:r w:rsidRPr="009C4D2A">
        <w:t>. This ensures that project proponents have accurate carbon stock data for their project area as a basis for which to conduct subsequent calculations.</w:t>
      </w:r>
    </w:p>
    <w:p w:rsidR="00F57CE7" w:rsidRPr="009C4D2A" w:rsidRDefault="00EE1197" w:rsidP="00391A4A">
      <w:pPr>
        <w:pStyle w:val="Minorheadingstyle"/>
      </w:pPr>
      <w:r w:rsidRPr="009C4D2A">
        <w:fldChar w:fldCharType="begin"/>
      </w:r>
      <w:bookmarkStart w:id="47" w:name="_Ref410242808"/>
      <w:bookmarkEnd w:id="47"/>
      <w:r w:rsidR="00D16488" w:rsidRPr="009C4D2A">
        <w:instrText xml:space="preserve"> LISTNUM  LegalDefault \l 1 </w:instrText>
      </w:r>
      <w:r w:rsidRPr="009C4D2A">
        <w:fldChar w:fldCharType="end"/>
      </w:r>
      <w:r w:rsidR="00F57CE7" w:rsidRPr="009C4D2A">
        <w:tab/>
        <w:t>Step 2—Calculat</w:t>
      </w:r>
      <w:r w:rsidR="00816C23" w:rsidRPr="009C4D2A">
        <w:t>ing</w:t>
      </w:r>
      <w:r w:rsidR="00F57CE7" w:rsidRPr="009C4D2A">
        <w:t xml:space="preserve"> carbon stocks in carbon estimation area </w:t>
      </w:r>
    </w:p>
    <w:p w:rsidR="00F57CE7" w:rsidRPr="009C4D2A" w:rsidRDefault="00F57CE7" w:rsidP="003553A2">
      <w:pPr>
        <w:pStyle w:val="EStext"/>
      </w:pPr>
      <w:r w:rsidRPr="009C4D2A">
        <w:t xml:space="preserve">Section </w:t>
      </w:r>
      <w:fldSimple w:instr=" REF _Ref410242808 \r  \* MERGEFORMAT ">
        <w:r w:rsidR="00B506B7" w:rsidRPr="009C4D2A">
          <w:t>54</w:t>
        </w:r>
      </w:fldSimple>
      <w:r w:rsidR="00392E70" w:rsidRPr="009C4D2A">
        <w:t xml:space="preserve"> </w:t>
      </w:r>
      <w:r w:rsidR="004C4F69" w:rsidRPr="009C4D2A">
        <w:t xml:space="preserve">contains calculations that project proponents must complete in order </w:t>
      </w:r>
      <w:r w:rsidRPr="009C4D2A">
        <w:t xml:space="preserve">to calculate carbon stocks in each </w:t>
      </w:r>
      <w:r w:rsidR="00650BE7" w:rsidRPr="009C4D2A">
        <w:t>carbon estimation area</w:t>
      </w:r>
      <w:r w:rsidRPr="009C4D2A">
        <w:t>.</w:t>
      </w:r>
    </w:p>
    <w:p w:rsidR="00E13F42" w:rsidRPr="009C4D2A" w:rsidRDefault="00E13F42" w:rsidP="00391A4A">
      <w:pPr>
        <w:pStyle w:val="Subheadingstyle"/>
        <w:rPr>
          <w:lang w:val="en-AU"/>
        </w:rPr>
      </w:pPr>
      <w:r w:rsidRPr="009C4D2A">
        <w:rPr>
          <w:lang w:val="en-AU"/>
        </w:rPr>
        <w:t>Step 2.1—Determine mean carbon stocks in each carb</w:t>
      </w:r>
      <w:r w:rsidR="00443EAE" w:rsidRPr="009C4D2A">
        <w:rPr>
          <w:lang w:val="en-AU"/>
        </w:rPr>
        <w:t>on estimation area</w:t>
      </w:r>
    </w:p>
    <w:p w:rsidR="00F57CE7" w:rsidRPr="009C4D2A" w:rsidRDefault="00F57CE7" w:rsidP="003553A2">
      <w:pPr>
        <w:pStyle w:val="EStext"/>
      </w:pPr>
      <w:r w:rsidRPr="009C4D2A">
        <w:t xml:space="preserve">First, subsection </w:t>
      </w:r>
      <w:fldSimple w:instr=" REF _Ref410242808 \r  \* MERGEFORMAT ">
        <w:r w:rsidR="00B506B7" w:rsidRPr="009C4D2A">
          <w:t>54</w:t>
        </w:r>
      </w:fldSimple>
      <w:r w:rsidR="00784DE9" w:rsidRPr="009C4D2A" w:rsidDel="00784DE9">
        <w:t xml:space="preserve"> </w:t>
      </w:r>
      <w:r w:rsidRPr="009C4D2A">
        <w:t xml:space="preserve">(1) provides that </w:t>
      </w:r>
      <w:r w:rsidR="004C4F69" w:rsidRPr="009C4D2A">
        <w:t>E</w:t>
      </w:r>
      <w:r w:rsidRPr="009C4D2A">
        <w:t xml:space="preserve">quation 12 must be used to estimate the mean carbon stock in all pools in each </w:t>
      </w:r>
      <w:r w:rsidR="00650BE7" w:rsidRPr="009C4D2A">
        <w:t>carbon estimation area</w:t>
      </w:r>
      <w:r w:rsidRPr="009C4D2A">
        <w:t xml:space="preserve">. </w:t>
      </w:r>
      <w:r w:rsidR="00E63A43" w:rsidRPr="009C4D2A">
        <w:t xml:space="preserve"> </w:t>
      </w:r>
      <w:r w:rsidRPr="009C4D2A">
        <w:t xml:space="preserve">Under the </w:t>
      </w:r>
      <w:r w:rsidR="0010747D" w:rsidRPr="009C4D2A">
        <w:t>Determination</w:t>
      </w:r>
      <w:r w:rsidRPr="009C4D2A">
        <w:t xml:space="preserve">, it is assumed that the carbon stock at the time of the first offsets report is equivalent to the carbon stock prior to the planned deforestation. </w:t>
      </w:r>
      <w:r w:rsidR="00E63A43" w:rsidRPr="009C4D2A">
        <w:t>These forest carbon stocks represent the carbon stocks that would have be</w:t>
      </w:r>
      <w:r w:rsidR="00157C0D" w:rsidRPr="009C4D2A">
        <w:t>en</w:t>
      </w:r>
      <w:r w:rsidR="00E63A43" w:rsidRPr="009C4D2A">
        <w:t xml:space="preserve"> cleared in accordance with the deforestation plan. This same equation is used to estimate the carbon stocks for future reporting periods when a biomass survey is carried out.</w:t>
      </w:r>
    </w:p>
    <w:p w:rsidR="00E13F42" w:rsidRPr="009C4D2A" w:rsidRDefault="00E13F42" w:rsidP="00391A4A">
      <w:pPr>
        <w:pStyle w:val="Subheadingstyle"/>
        <w:rPr>
          <w:lang w:val="en-AU"/>
        </w:rPr>
      </w:pPr>
      <w:r w:rsidRPr="009C4D2A">
        <w:rPr>
          <w:lang w:val="en-AU"/>
        </w:rPr>
        <w:t>Step 2.2—</w:t>
      </w:r>
      <w:r w:rsidR="00A04D27" w:rsidRPr="009C4D2A">
        <w:rPr>
          <w:lang w:val="en-AU"/>
        </w:rPr>
        <w:t>N</w:t>
      </w:r>
      <w:r w:rsidRPr="009C4D2A">
        <w:rPr>
          <w:lang w:val="en-AU"/>
        </w:rPr>
        <w:t>on-project tree buffer</w:t>
      </w:r>
    </w:p>
    <w:p w:rsidR="00791E15" w:rsidRPr="009C4D2A" w:rsidRDefault="00CC75CB" w:rsidP="003553A2">
      <w:pPr>
        <w:pStyle w:val="EStext"/>
      </w:pPr>
      <w:r w:rsidRPr="009C4D2A">
        <w:t xml:space="preserve">If the </w:t>
      </w:r>
      <w:r w:rsidR="00CA3C67" w:rsidRPr="009C4D2A">
        <w:t>clearing consent</w:t>
      </w:r>
      <w:r w:rsidRPr="009C4D2A">
        <w:t xml:space="preserve"> excludes certain trees in a </w:t>
      </w:r>
      <w:r w:rsidR="00650BE7" w:rsidRPr="009C4D2A">
        <w:t>carbon estimation area</w:t>
      </w:r>
      <w:r w:rsidRPr="009C4D2A">
        <w:t xml:space="preserve"> from being cleared, the biomass in these trees cannot contribute to estimates of abatement. For example, some </w:t>
      </w:r>
      <w:r w:rsidR="00CA3C67" w:rsidRPr="009C4D2A">
        <w:t>clearing consent</w:t>
      </w:r>
      <w:r w:rsidR="007E09A9" w:rsidRPr="009C4D2A">
        <w:t>s</w:t>
      </w:r>
      <w:r w:rsidRPr="009C4D2A">
        <w:t xml:space="preserve"> may protect particular species or trees above a certain size from being cleared. To address this, subsections (</w:t>
      </w:r>
      <w:r w:rsidR="00791E15" w:rsidRPr="009C4D2A">
        <w:t>2</w:t>
      </w:r>
      <w:r w:rsidR="00F57CE7" w:rsidRPr="009C4D2A">
        <w:t xml:space="preserve">) </w:t>
      </w:r>
      <w:r w:rsidR="00791E15" w:rsidRPr="009C4D2A">
        <w:t xml:space="preserve">to </w:t>
      </w:r>
      <w:r w:rsidR="00F57CE7" w:rsidRPr="009C4D2A">
        <w:t>(</w:t>
      </w:r>
      <w:r w:rsidR="00327652" w:rsidRPr="009C4D2A">
        <w:t>5</w:t>
      </w:r>
      <w:r w:rsidR="00F57CE7" w:rsidRPr="009C4D2A">
        <w:t>) provide that the ‘non-project tree buffer’ is</w:t>
      </w:r>
      <w:r w:rsidR="00791E15" w:rsidRPr="009C4D2A">
        <w:t xml:space="preserve"> either</w:t>
      </w:r>
      <w:r w:rsidR="00F57CE7" w:rsidRPr="009C4D2A">
        <w:t xml:space="preserve"> calculated for each </w:t>
      </w:r>
      <w:r w:rsidR="00650BE7" w:rsidRPr="009C4D2A">
        <w:t>carbon estimation area</w:t>
      </w:r>
      <w:r w:rsidR="00F57CE7" w:rsidRPr="009C4D2A">
        <w:t xml:space="preserve"> using Equati</w:t>
      </w:r>
      <w:r w:rsidR="00E13F42" w:rsidRPr="009C4D2A">
        <w:t>on 13</w:t>
      </w:r>
      <w:r w:rsidR="0058643E" w:rsidRPr="009C4D2A">
        <w:t>,</w:t>
      </w:r>
      <w:r w:rsidR="00791E15" w:rsidRPr="009C4D2A">
        <w:t xml:space="preserve"> or biomass from-non-project trees </w:t>
      </w:r>
      <w:r w:rsidR="0060657A" w:rsidRPr="009C4D2A">
        <w:t>is</w:t>
      </w:r>
      <w:r w:rsidR="00791E15" w:rsidRPr="009C4D2A">
        <w:t xml:space="preserve"> always excluded from the results of biomass surveys</w:t>
      </w:r>
      <w:r w:rsidR="00E13F42" w:rsidRPr="009C4D2A">
        <w:t xml:space="preserve">. </w:t>
      </w:r>
      <w:r w:rsidR="004C4F69" w:rsidRPr="009C4D2A">
        <w:t>The result is</w:t>
      </w:r>
      <w:r w:rsidR="00F57CE7" w:rsidRPr="009C4D2A">
        <w:t xml:space="preserve"> </w:t>
      </w:r>
      <w:r w:rsidR="00E55338" w:rsidRPr="009C4D2A">
        <w:t xml:space="preserve">a </w:t>
      </w:r>
      <w:r w:rsidR="00E63A43" w:rsidRPr="009C4D2A">
        <w:t xml:space="preserve">proportion </w:t>
      </w:r>
      <w:r w:rsidR="00F57CE7" w:rsidRPr="009C4D2A">
        <w:t>of biomass that is not at threat of being cleared.</w:t>
      </w:r>
    </w:p>
    <w:p w:rsidR="00A8030D" w:rsidRPr="009C4D2A" w:rsidRDefault="00A8030D" w:rsidP="003553A2">
      <w:pPr>
        <w:pStyle w:val="EStext"/>
      </w:pPr>
      <w:r w:rsidRPr="009C4D2A">
        <w:t>Paragraph (2)(a) provides that proponents can opt to exclude the biomass of non-project trees from the results of the biomass estimate thereby setting the biomass as zero. The effect of this is that if future biomass surveys are conducted, for example if re-stratifying or measuring for carbon stock enhancement, then the same kinds of trees must also be excluded. For example, if trees with a stem diameter greater than 30cm cannot be cleared, and the project proponent opts to exclude these trees from the first biomass survey, then trees with a stem diameter greater than 30cm must be excluded for the first and all subsequent biomass surveys, regardless of their size at project commencement. That is, if</w:t>
      </w:r>
      <w:r w:rsidR="00FC0E23" w:rsidRPr="009C4D2A">
        <w:t xml:space="preserve"> only</w:t>
      </w:r>
      <w:r w:rsidRPr="009C4D2A">
        <w:t xml:space="preserve"> trees with a stem diameter of less than 30cm were included in the first biomass survey and the stem diameter of those trees is now greater than 30cm</w:t>
      </w:r>
      <w:r w:rsidR="00FC0E23" w:rsidRPr="009C4D2A">
        <w:t>,</w:t>
      </w:r>
      <w:r w:rsidRPr="009C4D2A">
        <w:t xml:space="preserve"> these trees will need to be excluded as they are now of a size that cannot be cleared in accordance with the pre-existing clearing consent. While non-project trees can be excluded from the results of the biomass survey, such trees must always be measured in accordance with Subdivisions 1 and 2.</w:t>
      </w:r>
    </w:p>
    <w:p w:rsidR="00A8030D" w:rsidRPr="009C4D2A" w:rsidRDefault="00A8030D" w:rsidP="003553A2">
      <w:pPr>
        <w:pStyle w:val="EStext"/>
      </w:pPr>
      <w:r w:rsidRPr="009C4D2A">
        <w:t xml:space="preserve">Paragraph (2)(b) provides an alternative approach, where proponents do not exclude non-project trees from the results of the biomass survey, but instead estimate the non-project tree buffer. This buffer is determined for each carbon estimation area at the beginning of the </w:t>
      </w:r>
      <w:r w:rsidRPr="009C4D2A">
        <w:lastRenderedPageBreak/>
        <w:t xml:space="preserve">project and only ever references the data collected for the first offsets report. It must be applied in assessing the project baseline and for all future assessments of tree biomass during the project period, including the monitoring of any biomass enhancement. That is, the non-project tree buffer is a fixed value throughout the crediting period except if it needs to be recalculated in accordance with subsection (3). In the circumstance that a new carbon estimation area is delineated as a result of a disturbance event, the non-project tree buffer of the original, un-delineated carbon estimation area must be used. </w:t>
      </w:r>
    </w:p>
    <w:p w:rsidR="00DA2DB4" w:rsidRPr="009C4D2A" w:rsidRDefault="00DA2DB4" w:rsidP="003553A2">
      <w:pPr>
        <w:pStyle w:val="EStext"/>
      </w:pPr>
      <w:r w:rsidRPr="009C4D2A">
        <w:t>Subsection (</w:t>
      </w:r>
      <w:r w:rsidR="00327652" w:rsidRPr="009C4D2A">
        <w:t>3</w:t>
      </w:r>
      <w:r w:rsidRPr="009C4D2A">
        <w:t>) provides that prop</w:t>
      </w:r>
      <w:r w:rsidR="004D7FA4" w:rsidRPr="009C4D2A">
        <w:t>onents</w:t>
      </w:r>
      <w:r w:rsidR="00330BDF" w:rsidRPr="009C4D2A">
        <w:t xml:space="preserve"> may</w:t>
      </w:r>
      <w:r w:rsidR="004D7FA4" w:rsidRPr="009C4D2A">
        <w:t xml:space="preserve"> re</w:t>
      </w:r>
      <w:r w:rsidR="00875EAF" w:rsidRPr="009C4D2A">
        <w:t>-</w:t>
      </w:r>
      <w:r w:rsidR="004D7FA4" w:rsidRPr="009C4D2A">
        <w:t>introduce kinds of trees that have previously been excluded, so long as the non-project tree buffer is re</w:t>
      </w:r>
      <w:r w:rsidR="00875EAF" w:rsidRPr="009C4D2A">
        <w:t>-</w:t>
      </w:r>
      <w:r w:rsidR="004D7FA4" w:rsidRPr="009C4D2A">
        <w:t xml:space="preserve">calculated using the original data from the first biomass survey. For example, if trees with a stem diameter greater than 30cm were excluded from the </w:t>
      </w:r>
      <w:r w:rsidR="002648FF" w:rsidRPr="009C4D2A">
        <w:t xml:space="preserve">results of </w:t>
      </w:r>
      <w:r w:rsidR="004D7FA4" w:rsidRPr="009C4D2A">
        <w:t xml:space="preserve">first biomass survey, they could be included in the second biomass survey so long as the non-project tree buffer is recalculated </w:t>
      </w:r>
      <w:r w:rsidR="002648FF" w:rsidRPr="009C4D2A">
        <w:t xml:space="preserve">using the data from the first biomass survey </w:t>
      </w:r>
      <w:r w:rsidR="004D7FA4" w:rsidRPr="009C4D2A">
        <w:t>and includes trees with a stem diameter greater than 30cm. If a kind of non-project tree is not represented in the non-project tree buffer, it cannot be included in the results of a biomass survey.</w:t>
      </w:r>
    </w:p>
    <w:p w:rsidR="00E13F42" w:rsidRPr="009C4D2A" w:rsidRDefault="00E13F42" w:rsidP="00391A4A">
      <w:pPr>
        <w:pStyle w:val="Subheadingstyle"/>
        <w:rPr>
          <w:lang w:val="en-AU"/>
        </w:rPr>
      </w:pPr>
      <w:r w:rsidRPr="009C4D2A">
        <w:rPr>
          <w:lang w:val="en-AU"/>
        </w:rPr>
        <w:t>Step 2.3—</w:t>
      </w:r>
      <w:r w:rsidR="00A04D27" w:rsidRPr="009C4D2A">
        <w:rPr>
          <w:lang w:val="en-AU"/>
        </w:rPr>
        <w:t>T</w:t>
      </w:r>
      <w:r w:rsidRPr="009C4D2A">
        <w:rPr>
          <w:lang w:val="en-AU"/>
        </w:rPr>
        <w:t>otal biomass of non-project trees within each</w:t>
      </w:r>
      <w:r w:rsidR="00A04D27" w:rsidRPr="009C4D2A">
        <w:rPr>
          <w:lang w:val="en-AU"/>
        </w:rPr>
        <w:t xml:space="preserve"> plot</w:t>
      </w:r>
    </w:p>
    <w:p w:rsidR="00F57CE7" w:rsidRPr="009C4D2A" w:rsidRDefault="00E13F42" w:rsidP="003553A2">
      <w:pPr>
        <w:pStyle w:val="EStext"/>
      </w:pPr>
      <w:r w:rsidRPr="009C4D2A">
        <w:t>Equation 14 calculates the total biomass of non-project trees in each plot by applying the non</w:t>
      </w:r>
      <w:r w:rsidR="009769F0" w:rsidRPr="009C4D2A">
        <w:noBreakHyphen/>
      </w:r>
      <w:r w:rsidRPr="009C4D2A">
        <w:t>project tree buffer.</w:t>
      </w:r>
    </w:p>
    <w:p w:rsidR="00F57CE7" w:rsidRPr="009C4D2A" w:rsidRDefault="00EE1197" w:rsidP="00391A4A">
      <w:pPr>
        <w:pStyle w:val="Minorheadingstyle"/>
      </w:pPr>
      <w:r w:rsidRPr="009C4D2A">
        <w:fldChar w:fldCharType="begin"/>
      </w:r>
      <w:bookmarkStart w:id="48" w:name="_Ref410242956"/>
      <w:bookmarkEnd w:id="48"/>
      <w:r w:rsidR="00D16488" w:rsidRPr="009C4D2A">
        <w:instrText xml:space="preserve"> LISTNUM  LegalDefault \l 1 </w:instrText>
      </w:r>
      <w:r w:rsidRPr="009C4D2A">
        <w:fldChar w:fldCharType="end"/>
      </w:r>
      <w:r w:rsidR="00F57CE7" w:rsidRPr="009C4D2A">
        <w:tab/>
        <w:t>Step 3—Cal</w:t>
      </w:r>
      <w:r w:rsidR="00B51B49" w:rsidRPr="009C4D2A">
        <w:t>culat</w:t>
      </w:r>
      <w:r w:rsidR="00816C23" w:rsidRPr="009C4D2A">
        <w:t>ing</w:t>
      </w:r>
      <w:r w:rsidR="00B51B49" w:rsidRPr="009C4D2A">
        <w:t xml:space="preserve"> carbon stocks in carbon estimation area</w:t>
      </w:r>
      <w:r w:rsidR="00F57CE7" w:rsidRPr="009C4D2A">
        <w:t xml:space="preserve"> following clearing </w:t>
      </w:r>
    </w:p>
    <w:p w:rsidR="00F57CE7" w:rsidRPr="009C4D2A" w:rsidRDefault="004C4F69" w:rsidP="003553A2">
      <w:pPr>
        <w:pStyle w:val="EStext"/>
      </w:pPr>
      <w:r w:rsidRPr="009C4D2A">
        <w:t xml:space="preserve">Section </w:t>
      </w:r>
      <w:fldSimple w:instr=" REF _Ref410242956 \r  \* MERGEFORMAT ">
        <w:r w:rsidR="00B506B7" w:rsidRPr="009C4D2A">
          <w:t>55</w:t>
        </w:r>
      </w:fldSimple>
      <w:r w:rsidR="00392E70" w:rsidRPr="009C4D2A">
        <w:t xml:space="preserve"> </w:t>
      </w:r>
      <w:r w:rsidRPr="009C4D2A">
        <w:t>contains</w:t>
      </w:r>
      <w:r w:rsidR="00F57CE7" w:rsidRPr="009C4D2A">
        <w:t xml:space="preserve"> equations to calculate the </w:t>
      </w:r>
      <w:r w:rsidR="00560C6D" w:rsidRPr="009C4D2A">
        <w:t>long-term</w:t>
      </w:r>
      <w:r w:rsidR="00F57CE7" w:rsidRPr="009C4D2A">
        <w:t xml:space="preserve"> average carbon stock in each </w:t>
      </w:r>
      <w:r w:rsidR="00650BE7" w:rsidRPr="009C4D2A">
        <w:t>carbon estimation area</w:t>
      </w:r>
      <w:r w:rsidR="00F57CE7" w:rsidRPr="009C4D2A">
        <w:t xml:space="preserve"> that would have </w:t>
      </w:r>
      <w:r w:rsidR="00B51B49" w:rsidRPr="009C4D2A">
        <w:t xml:space="preserve">existed in the </w:t>
      </w:r>
      <w:r w:rsidR="00085943" w:rsidRPr="009C4D2A">
        <w:t>baseline</w:t>
      </w:r>
      <w:r w:rsidR="00F57CE7" w:rsidRPr="009C4D2A">
        <w:t xml:space="preserve"> following clearing</w:t>
      </w:r>
      <w:r w:rsidR="00AA57B5" w:rsidRPr="009C4D2A">
        <w:t xml:space="preserve"> as stated in Subsection (1)</w:t>
      </w:r>
      <w:r w:rsidR="00F57CE7" w:rsidRPr="009C4D2A">
        <w:t xml:space="preserve">. </w:t>
      </w:r>
    </w:p>
    <w:p w:rsidR="00415A5B" w:rsidRPr="009C4D2A" w:rsidRDefault="00415A5B" w:rsidP="003553A2">
      <w:pPr>
        <w:pStyle w:val="EStext"/>
      </w:pPr>
      <w:r w:rsidRPr="009C4D2A">
        <w:t xml:space="preserve">Subsection (2) provides that Equation 15 is to be used to calculate the long-term average mean carbon stock in all pools in each </w:t>
      </w:r>
      <w:r w:rsidR="00650BE7" w:rsidRPr="009C4D2A">
        <w:t>carbon estimation area</w:t>
      </w:r>
      <w:r w:rsidRPr="009C4D2A">
        <w:t xml:space="preserve"> following clearing according to the deforestation plan. This represents the </w:t>
      </w:r>
      <w:r w:rsidR="00560C6D" w:rsidRPr="009C4D2A">
        <w:t>long-term</w:t>
      </w:r>
      <w:r w:rsidRPr="009C4D2A">
        <w:t xml:space="preserve"> average carbon stock that would have remained following deforestation, accounting for stock changes resulting from burning and decay of biomass. To complete Equation 15, Equations 16 to 20 must first be calculated.</w:t>
      </w:r>
    </w:p>
    <w:p w:rsidR="00415A5B" w:rsidRPr="009C4D2A" w:rsidRDefault="00415A5B" w:rsidP="003553A2">
      <w:pPr>
        <w:pStyle w:val="EStext"/>
      </w:pPr>
      <w:r w:rsidRPr="009C4D2A">
        <w:t>Because the post-deforestation l</w:t>
      </w:r>
      <w:r w:rsidR="00341626" w:rsidRPr="009C4D2A">
        <w:t xml:space="preserve">and use in the </w:t>
      </w:r>
      <w:r w:rsidR="00085943" w:rsidRPr="009C4D2A">
        <w:t>baseline</w:t>
      </w:r>
      <w:r w:rsidRPr="009C4D2A">
        <w:t xml:space="preserve"> is cropping or grazing, regrowth events are assumed to be continuously suppressed and so</w:t>
      </w:r>
      <w:r w:rsidR="00157C0D" w:rsidRPr="009C4D2A">
        <w:t xml:space="preserve"> would</w:t>
      </w:r>
      <w:r w:rsidRPr="009C4D2A">
        <w:t xml:space="preserve"> be immaterial.  Accordingly, the </w:t>
      </w:r>
      <w:r w:rsidR="0010747D" w:rsidRPr="009C4D2A">
        <w:t>Determination</w:t>
      </w:r>
      <w:r w:rsidRPr="009C4D2A">
        <w:t xml:space="preserve"> limits </w:t>
      </w:r>
      <w:r w:rsidR="00085943" w:rsidRPr="009C4D2A">
        <w:t>baseline</w:t>
      </w:r>
      <w:r w:rsidRPr="009C4D2A">
        <w:t xml:space="preserve"> calculations to the degradation of the debris pool remaining after deforestation. This is calculated by determining the impact of any treatment on the debris pool after clearing and the decay of the residual biomass after treatment.</w:t>
      </w:r>
    </w:p>
    <w:p w:rsidR="00F07427" w:rsidRPr="009C4D2A" w:rsidRDefault="00F07427" w:rsidP="00391A4A">
      <w:pPr>
        <w:pStyle w:val="Subheadingstyle"/>
        <w:rPr>
          <w:lang w:val="en-AU"/>
        </w:rPr>
      </w:pPr>
      <w:r w:rsidRPr="009C4D2A">
        <w:rPr>
          <w:lang w:val="en-AU"/>
        </w:rPr>
        <w:t>Step 3.1—100 year average of biomass within sample</w:t>
      </w:r>
      <w:r w:rsidR="00AA57B5" w:rsidRPr="009C4D2A">
        <w:rPr>
          <w:lang w:val="en-AU"/>
        </w:rPr>
        <w:t xml:space="preserve"> </w:t>
      </w:r>
      <w:r w:rsidRPr="009C4D2A">
        <w:rPr>
          <w:lang w:val="en-AU"/>
        </w:rPr>
        <w:t xml:space="preserve">plots following clearing </w:t>
      </w:r>
    </w:p>
    <w:p w:rsidR="00F57CE7" w:rsidRPr="009C4D2A" w:rsidRDefault="00F57CE7" w:rsidP="003553A2">
      <w:pPr>
        <w:pStyle w:val="EStext"/>
      </w:pPr>
      <w:r w:rsidRPr="009C4D2A">
        <w:t xml:space="preserve">Subsection (3) provides that project proponents must complete </w:t>
      </w:r>
      <w:r w:rsidR="00F07427" w:rsidRPr="009C4D2A">
        <w:t>E</w:t>
      </w:r>
      <w:r w:rsidRPr="009C4D2A">
        <w:t xml:space="preserve">quations 16 to 20 in order to determine the 100 year average biomass stock that would exist in the sample plots following clearing. </w:t>
      </w:r>
    </w:p>
    <w:p w:rsidR="00E1403A" w:rsidRPr="009C4D2A" w:rsidRDefault="00F07427" w:rsidP="00391A4A">
      <w:pPr>
        <w:pStyle w:val="Subheadingstyle"/>
        <w:rPr>
          <w:lang w:val="en-AU"/>
        </w:rPr>
      </w:pPr>
      <w:r w:rsidRPr="009C4D2A">
        <w:rPr>
          <w:lang w:val="en-AU"/>
        </w:rPr>
        <w:lastRenderedPageBreak/>
        <w:t xml:space="preserve">Step </w:t>
      </w:r>
      <w:r w:rsidR="00E1403A" w:rsidRPr="009C4D2A">
        <w:rPr>
          <w:lang w:val="en-AU"/>
        </w:rPr>
        <w:t xml:space="preserve">3.1.1—Model biomass in debris pool </w:t>
      </w:r>
    </w:p>
    <w:p w:rsidR="00F57CE7" w:rsidRPr="009C4D2A" w:rsidRDefault="00F57CE7" w:rsidP="003553A2">
      <w:pPr>
        <w:pStyle w:val="EStext"/>
      </w:pPr>
      <w:r w:rsidRPr="009C4D2A">
        <w:t xml:space="preserve">Subsection </w:t>
      </w:r>
      <w:r w:rsidR="00E1403A" w:rsidRPr="009C4D2A">
        <w:t>(</w:t>
      </w:r>
      <w:r w:rsidRPr="009C4D2A">
        <w:t xml:space="preserve">4) provides that </w:t>
      </w:r>
      <w:r w:rsidR="00E1403A" w:rsidRPr="009C4D2A">
        <w:t>E</w:t>
      </w:r>
      <w:r w:rsidRPr="009C4D2A">
        <w:t>quation 16 is used to calculate the biomass in the debris pool within each sample plot, post-deforestation</w:t>
      </w:r>
      <w:r w:rsidR="00157C0D" w:rsidRPr="009C4D2A">
        <w:t xml:space="preserve"> in the </w:t>
      </w:r>
      <w:r w:rsidR="00085943" w:rsidRPr="009C4D2A">
        <w:t>baseline</w:t>
      </w:r>
      <w:r w:rsidRPr="009C4D2A">
        <w:t>. All biomass subject to clearing, consistent with the National Inventory approach, is treated as moved to the debris pool following the clearing event; and therefore the biomass stock sampled within plots represents the biomass stock of the debris pool.</w:t>
      </w:r>
      <w:r w:rsidR="009717C1" w:rsidRPr="009C4D2A">
        <w:t xml:space="preserve"> Under the </w:t>
      </w:r>
      <w:r w:rsidR="0010747D" w:rsidRPr="009C4D2A">
        <w:t>Determination</w:t>
      </w:r>
      <w:r w:rsidR="009717C1" w:rsidRPr="009C4D2A">
        <w:t xml:space="preserve">, the non-project tree buffer is not applied for estimating the </w:t>
      </w:r>
      <w:r w:rsidR="00560C6D" w:rsidRPr="009C4D2A">
        <w:t>long-term</w:t>
      </w:r>
      <w:r w:rsidR="009717C1" w:rsidRPr="009C4D2A">
        <w:t xml:space="preserve"> carbon stocks. The effect of this is a conservative </w:t>
      </w:r>
      <w:r w:rsidR="00085943" w:rsidRPr="009C4D2A">
        <w:t>baseline</w:t>
      </w:r>
      <w:r w:rsidR="009717C1" w:rsidRPr="009C4D2A">
        <w:t xml:space="preserve">. </w:t>
      </w:r>
    </w:p>
    <w:p w:rsidR="00E1403A" w:rsidRPr="009C4D2A" w:rsidRDefault="00E1403A" w:rsidP="00391A4A">
      <w:pPr>
        <w:pStyle w:val="Subheadingstyle"/>
        <w:rPr>
          <w:lang w:val="en-AU"/>
        </w:rPr>
      </w:pPr>
      <w:r w:rsidRPr="009C4D2A">
        <w:rPr>
          <w:lang w:val="en-AU"/>
        </w:rPr>
        <w:t xml:space="preserve">Step 3.1.2—Partition </w:t>
      </w:r>
      <w:r w:rsidR="00A04D27" w:rsidRPr="009C4D2A">
        <w:rPr>
          <w:lang w:val="en-AU"/>
        </w:rPr>
        <w:t xml:space="preserve">of </w:t>
      </w:r>
      <w:r w:rsidRPr="009C4D2A">
        <w:rPr>
          <w:lang w:val="en-AU"/>
        </w:rPr>
        <w:t>biomass into Major Vegetation Group tree components</w:t>
      </w:r>
    </w:p>
    <w:p w:rsidR="00F57CE7" w:rsidRPr="009C4D2A" w:rsidRDefault="00F57CE7" w:rsidP="003553A2">
      <w:pPr>
        <w:pStyle w:val="EStext"/>
      </w:pPr>
      <w:r w:rsidRPr="009C4D2A">
        <w:t xml:space="preserve">In order to determine the impact of treatment (such as fire) and decay on each component of the tree, subsection </w:t>
      </w:r>
      <w:r w:rsidR="00E1403A" w:rsidRPr="009C4D2A">
        <w:t>(</w:t>
      </w:r>
      <w:r w:rsidRPr="009C4D2A">
        <w:t>5) requires the biomass of each sample plot to be partitioned into its Major Vegetation Group tree components (stem, branch, bark, leave</w:t>
      </w:r>
      <w:r w:rsidR="00537472" w:rsidRPr="009C4D2A">
        <w:t>s</w:t>
      </w:r>
      <w:r w:rsidRPr="009C4D2A">
        <w:t>, coarse roots and fine roots). Subsection (6) provides that biomass partitioning must be done in accordance with the yield alloca</w:t>
      </w:r>
      <w:r w:rsidR="00E1403A" w:rsidRPr="009C4D2A">
        <w:t>tions in Schedule 1</w:t>
      </w:r>
      <w:r w:rsidRPr="009C4D2A">
        <w:t xml:space="preserve">. Subsection (7) provides that </w:t>
      </w:r>
      <w:r w:rsidR="00E1403A" w:rsidRPr="009C4D2A">
        <w:t>E</w:t>
      </w:r>
      <w:r w:rsidRPr="009C4D2A">
        <w:t>quation 17 must be used to calculate the biomass of each tree component in each sample plot in order to determine the impact of treatment and decay on each component of the tree, using the applicable biomass frac</w:t>
      </w:r>
      <w:r w:rsidR="00E1403A" w:rsidRPr="009C4D2A">
        <w:t>tions in Schedule 1</w:t>
      </w:r>
      <w:r w:rsidRPr="009C4D2A">
        <w:t xml:space="preserve">. </w:t>
      </w:r>
    </w:p>
    <w:p w:rsidR="00E1403A" w:rsidRPr="009C4D2A" w:rsidRDefault="00E1403A" w:rsidP="00391A4A">
      <w:pPr>
        <w:pStyle w:val="Subheadingstyle"/>
        <w:rPr>
          <w:lang w:val="en-AU"/>
        </w:rPr>
      </w:pPr>
      <w:r w:rsidRPr="009C4D2A">
        <w:rPr>
          <w:lang w:val="en-AU"/>
        </w:rPr>
        <w:t>Step 3.1.3—Treatment of the debris pool</w:t>
      </w:r>
    </w:p>
    <w:p w:rsidR="00F57CE7" w:rsidRPr="009C4D2A" w:rsidRDefault="00F57CE7" w:rsidP="003553A2">
      <w:pPr>
        <w:pStyle w:val="EStext"/>
      </w:pPr>
      <w:r w:rsidRPr="009C4D2A">
        <w:t>Once the debris pool has been partitioned into the respective tree components, the debris pool</w:t>
      </w:r>
      <w:r w:rsidR="009717C1" w:rsidRPr="009C4D2A">
        <w:t xml:space="preserve"> is assumed to be</w:t>
      </w:r>
      <w:r w:rsidRPr="009C4D2A">
        <w:t xml:space="preserve"> treated by fire</w:t>
      </w:r>
      <w:r w:rsidR="009769F0" w:rsidRPr="009C4D2A">
        <w:t xml:space="preserve">. </w:t>
      </w:r>
      <w:r w:rsidR="00E1403A" w:rsidRPr="009C4D2A">
        <w:t>Equation 18</w:t>
      </w:r>
      <w:r w:rsidRPr="009C4D2A">
        <w:t xml:space="preserve"> must be completed to determine the</w:t>
      </w:r>
      <w:r w:rsidR="009717C1" w:rsidRPr="009C4D2A">
        <w:t xml:space="preserve"> </w:t>
      </w:r>
      <w:r w:rsidRPr="009C4D2A">
        <w:t>biomass of each tree component after bur</w:t>
      </w:r>
      <w:r w:rsidR="00E1403A" w:rsidRPr="009C4D2A">
        <w:t>ning, using Schedule 1</w:t>
      </w:r>
      <w:r w:rsidRPr="009C4D2A">
        <w:t xml:space="preserve"> for burn efficiency data. Where fire is not used as a treatment and the biomass is left to decay, this step can be om</w:t>
      </w:r>
      <w:r w:rsidR="00E1403A" w:rsidRPr="009C4D2A">
        <w:t xml:space="preserve">itted and decay modelled using </w:t>
      </w:r>
      <w:r w:rsidR="009717C1" w:rsidRPr="009C4D2A">
        <w:t>Equation </w:t>
      </w:r>
      <w:r w:rsidRPr="009C4D2A">
        <w:t>19.</w:t>
      </w:r>
    </w:p>
    <w:p w:rsidR="00E1403A" w:rsidRPr="009C4D2A" w:rsidRDefault="00E1403A" w:rsidP="00391A4A">
      <w:pPr>
        <w:pStyle w:val="Subheadingstyle"/>
        <w:rPr>
          <w:lang w:val="en-AU"/>
        </w:rPr>
      </w:pPr>
      <w:r w:rsidRPr="009C4D2A">
        <w:rPr>
          <w:lang w:val="en-AU"/>
        </w:rPr>
        <w:t xml:space="preserve">Step 3.1.4—Average </w:t>
      </w:r>
      <w:r w:rsidR="00560C6D" w:rsidRPr="009C4D2A">
        <w:rPr>
          <w:lang w:val="en-AU"/>
        </w:rPr>
        <w:t>long-term</w:t>
      </w:r>
      <w:r w:rsidRPr="009C4D2A">
        <w:rPr>
          <w:lang w:val="en-AU"/>
        </w:rPr>
        <w:t xml:space="preserve"> carbon stock of tree component</w:t>
      </w:r>
      <w:r w:rsidR="00473444" w:rsidRPr="009C4D2A">
        <w:rPr>
          <w:lang w:val="en-AU"/>
        </w:rPr>
        <w:t>s</w:t>
      </w:r>
      <w:r w:rsidRPr="009C4D2A">
        <w:rPr>
          <w:lang w:val="en-AU"/>
        </w:rPr>
        <w:t xml:space="preserve"> </w:t>
      </w:r>
    </w:p>
    <w:p w:rsidR="00F57CE7" w:rsidRPr="009C4D2A" w:rsidRDefault="0051043F" w:rsidP="003553A2">
      <w:pPr>
        <w:pStyle w:val="EStext"/>
      </w:pPr>
      <w:r w:rsidRPr="009C4D2A">
        <w:t>Once the biomass</w:t>
      </w:r>
      <w:r w:rsidR="009717C1" w:rsidRPr="009C4D2A">
        <w:t xml:space="preserve"> residue</w:t>
      </w:r>
      <w:r w:rsidRPr="009C4D2A">
        <w:t xml:space="preserve"> has been determined </w:t>
      </w:r>
      <w:r w:rsidR="009717C1" w:rsidRPr="009C4D2A">
        <w:t xml:space="preserve">for each tree component in each plot </w:t>
      </w:r>
      <w:r w:rsidRPr="009C4D2A">
        <w:t>(using Equations 1</w:t>
      </w:r>
      <w:r w:rsidR="003B5817" w:rsidRPr="009C4D2A">
        <w:t>8</w:t>
      </w:r>
      <w:r w:rsidRPr="009C4D2A">
        <w:t xml:space="preserve">), the </w:t>
      </w:r>
      <w:r w:rsidR="00560C6D" w:rsidRPr="009C4D2A">
        <w:t>long-term</w:t>
      </w:r>
      <w:r w:rsidRPr="009C4D2A">
        <w:t xml:space="preserve"> average carbon stock</w:t>
      </w:r>
      <w:r w:rsidR="003B5817" w:rsidRPr="009C4D2A">
        <w:t xml:space="preserve"> (for each tree component in each plot)</w:t>
      </w:r>
      <w:r w:rsidRPr="009C4D2A">
        <w:t>, must be determined</w:t>
      </w:r>
      <w:r w:rsidR="003B5817" w:rsidRPr="009C4D2A">
        <w:t xml:space="preserve"> while accounting for decay</w:t>
      </w:r>
      <w:r w:rsidRPr="009C4D2A">
        <w:t xml:space="preserve">. </w:t>
      </w:r>
      <w:r w:rsidR="00A67139" w:rsidRPr="009C4D2A">
        <w:t>E</w:t>
      </w:r>
      <w:r w:rsidR="00F57CE7" w:rsidRPr="009C4D2A">
        <w:t>quation 19 is to be used to calculate the 100</w:t>
      </w:r>
      <w:r w:rsidR="00D1216B" w:rsidRPr="009C4D2A">
        <w:t> </w:t>
      </w:r>
      <w:r w:rsidR="00F57CE7" w:rsidRPr="009C4D2A">
        <w:t xml:space="preserve">year average biomass of each tree component in each sample plot. </w:t>
      </w:r>
    </w:p>
    <w:p w:rsidR="00A67139" w:rsidRPr="009C4D2A" w:rsidRDefault="00A67139" w:rsidP="00391A4A">
      <w:pPr>
        <w:pStyle w:val="Subheadingstyle"/>
        <w:rPr>
          <w:lang w:val="en-AU"/>
        </w:rPr>
      </w:pPr>
      <w:r w:rsidRPr="009C4D2A">
        <w:rPr>
          <w:lang w:val="en-AU"/>
        </w:rPr>
        <w:t xml:space="preserve">Step 3.1.5—Sum of average </w:t>
      </w:r>
      <w:r w:rsidR="00560C6D" w:rsidRPr="009C4D2A">
        <w:rPr>
          <w:lang w:val="en-AU"/>
        </w:rPr>
        <w:t>long-term</w:t>
      </w:r>
      <w:r w:rsidRPr="009C4D2A">
        <w:rPr>
          <w:lang w:val="en-AU"/>
        </w:rPr>
        <w:t xml:space="preserve"> carbon stock of each tree</w:t>
      </w:r>
      <w:r w:rsidR="00B1640A" w:rsidRPr="009C4D2A">
        <w:rPr>
          <w:lang w:val="en-AU"/>
        </w:rPr>
        <w:t xml:space="preserve"> </w:t>
      </w:r>
      <w:r w:rsidRPr="009C4D2A">
        <w:rPr>
          <w:lang w:val="en-AU"/>
        </w:rPr>
        <w:t xml:space="preserve">component </w:t>
      </w:r>
    </w:p>
    <w:p w:rsidR="00F57CE7" w:rsidRPr="009C4D2A" w:rsidRDefault="00A67139" w:rsidP="003553A2">
      <w:pPr>
        <w:pStyle w:val="EStext"/>
      </w:pPr>
      <w:r w:rsidRPr="009C4D2A">
        <w:t xml:space="preserve">Subsection </w:t>
      </w:r>
      <w:r w:rsidR="00F57CE7" w:rsidRPr="009C4D2A">
        <w:t>(10) provides that the long</w:t>
      </w:r>
      <w:r w:rsidRPr="009C4D2A">
        <w:t>-</w:t>
      </w:r>
      <w:r w:rsidR="00F57CE7" w:rsidRPr="009C4D2A">
        <w:t>term average biomass in each sample plot mu</w:t>
      </w:r>
      <w:r w:rsidRPr="009C4D2A">
        <w:t>st then be calculated by using E</w:t>
      </w:r>
      <w:r w:rsidR="00F57CE7" w:rsidRPr="009C4D2A">
        <w:t>quation 20, which sums the 100 year average biomass of each tree component in th</w:t>
      </w:r>
      <w:r w:rsidRPr="009C4D2A">
        <w:t>e sample plot (</w:t>
      </w:r>
      <w:r w:rsidR="00F57CE7" w:rsidRPr="009C4D2A">
        <w:t xml:space="preserve">calculated in </w:t>
      </w:r>
      <w:r w:rsidRPr="009C4D2A">
        <w:t>E</w:t>
      </w:r>
      <w:r w:rsidR="00F57CE7" w:rsidRPr="009C4D2A">
        <w:t>quation 19).</w:t>
      </w:r>
    </w:p>
    <w:p w:rsidR="00F57CE7" w:rsidRPr="009C4D2A" w:rsidRDefault="00EE1197" w:rsidP="00391A4A">
      <w:pPr>
        <w:pStyle w:val="Minorheadingstyle"/>
      </w:pPr>
      <w:r w:rsidRPr="009C4D2A">
        <w:fldChar w:fldCharType="begin"/>
      </w:r>
      <w:bookmarkStart w:id="49" w:name="_Ref410243127"/>
      <w:bookmarkEnd w:id="49"/>
      <w:r w:rsidR="00D16488" w:rsidRPr="009C4D2A">
        <w:instrText xml:space="preserve"> LISTNUM  LegalDefault \l 1 </w:instrText>
      </w:r>
      <w:r w:rsidRPr="009C4D2A">
        <w:fldChar w:fldCharType="end"/>
      </w:r>
      <w:r w:rsidR="00F57CE7" w:rsidRPr="009C4D2A">
        <w:tab/>
        <w:t>Step 4—Calculat</w:t>
      </w:r>
      <w:r w:rsidR="00A04D27" w:rsidRPr="009C4D2A">
        <w:t>ing</w:t>
      </w:r>
      <w:r w:rsidR="00F57CE7" w:rsidRPr="009C4D2A">
        <w:t xml:space="preserve"> changes in </w:t>
      </w:r>
      <w:r w:rsidR="00085943" w:rsidRPr="009C4D2A">
        <w:t>baseline</w:t>
      </w:r>
      <w:r w:rsidR="00F57CE7" w:rsidRPr="009C4D2A">
        <w:t xml:space="preserve"> carbon stock in each carbon estimation area</w:t>
      </w:r>
    </w:p>
    <w:p w:rsidR="00F57CE7" w:rsidRPr="009C4D2A" w:rsidRDefault="00F57CE7" w:rsidP="003553A2">
      <w:pPr>
        <w:pStyle w:val="EStext"/>
      </w:pPr>
      <w:r w:rsidRPr="009C4D2A">
        <w:t xml:space="preserve">Section </w:t>
      </w:r>
      <w:fldSimple w:instr=" REF _Ref410243127 \r  \* MERGEFORMAT ">
        <w:r w:rsidR="00B506B7" w:rsidRPr="009C4D2A">
          <w:t>56</w:t>
        </w:r>
      </w:fldSimple>
      <w:r w:rsidR="00392E70" w:rsidRPr="009C4D2A">
        <w:t xml:space="preserve"> </w:t>
      </w:r>
      <w:r w:rsidRPr="009C4D2A">
        <w:t xml:space="preserve">provides that the parameters obtained in sections </w:t>
      </w:r>
      <w:fldSimple w:instr=" REF _Ref410242808 \r  \* MERGEFORMAT ">
        <w:r w:rsidR="00B506B7" w:rsidRPr="009C4D2A">
          <w:t>54</w:t>
        </w:r>
      </w:fldSimple>
      <w:r w:rsidR="00392E70" w:rsidRPr="009C4D2A">
        <w:t xml:space="preserve"> </w:t>
      </w:r>
      <w:r w:rsidRPr="009C4D2A">
        <w:t xml:space="preserve">and </w:t>
      </w:r>
      <w:fldSimple w:instr=" REF _Ref410242956 \r  \* MERGEFORMAT ">
        <w:r w:rsidR="00B506B7" w:rsidRPr="009C4D2A">
          <w:t>55</w:t>
        </w:r>
      </w:fldSimple>
      <w:r w:rsidR="00392E70" w:rsidRPr="009C4D2A">
        <w:t xml:space="preserve"> </w:t>
      </w:r>
      <w:r w:rsidRPr="009C4D2A">
        <w:t xml:space="preserve">are to be used to complete </w:t>
      </w:r>
      <w:r w:rsidR="00842B31" w:rsidRPr="009C4D2A">
        <w:t>E</w:t>
      </w:r>
      <w:r w:rsidRPr="009C4D2A">
        <w:t xml:space="preserve">quation 21, which </w:t>
      </w:r>
      <w:r w:rsidR="003B5817" w:rsidRPr="009C4D2A">
        <w:t>estimate</w:t>
      </w:r>
      <w:r w:rsidR="00157C0D" w:rsidRPr="009C4D2A">
        <w:t>s</w:t>
      </w:r>
      <w:r w:rsidR="003B5817" w:rsidRPr="009C4D2A">
        <w:t xml:space="preserve"> </w:t>
      </w:r>
      <w:r w:rsidRPr="009C4D2A">
        <w:t xml:space="preserve">the change in </w:t>
      </w:r>
      <w:r w:rsidR="00085943" w:rsidRPr="009C4D2A">
        <w:t>baseline</w:t>
      </w:r>
      <w:r w:rsidRPr="009C4D2A">
        <w:t xml:space="preserve"> </w:t>
      </w:r>
      <w:r w:rsidR="00842B31" w:rsidRPr="009C4D2A">
        <w:t>carbon stocks during the</w:t>
      </w:r>
      <w:r w:rsidRPr="009C4D2A">
        <w:t xml:space="preserve"> crediting period as a result of the implementation of the deforestation plan. </w:t>
      </w:r>
    </w:p>
    <w:p w:rsidR="00F57CE7" w:rsidRPr="009C4D2A" w:rsidRDefault="00EE1197" w:rsidP="00391A4A">
      <w:pPr>
        <w:pStyle w:val="Minorheadingstyle"/>
      </w:pPr>
      <w:r w:rsidRPr="009C4D2A">
        <w:lastRenderedPageBreak/>
        <w:fldChar w:fldCharType="begin"/>
      </w:r>
      <w:bookmarkStart w:id="50" w:name="_Ref410243131"/>
      <w:bookmarkEnd w:id="50"/>
      <w:r w:rsidR="00D16488" w:rsidRPr="009C4D2A">
        <w:instrText xml:space="preserve"> LISTNUM  LegalDefault \l 1 </w:instrText>
      </w:r>
      <w:r w:rsidRPr="009C4D2A">
        <w:fldChar w:fldCharType="end"/>
      </w:r>
      <w:r w:rsidR="00F57CE7" w:rsidRPr="009C4D2A">
        <w:tab/>
        <w:t>Step 5—</w:t>
      </w:r>
      <w:r w:rsidR="00443EAE" w:rsidRPr="009C4D2A">
        <w:t>C</w:t>
      </w:r>
      <w:r w:rsidR="00F57CE7" w:rsidRPr="009C4D2A">
        <w:t xml:space="preserve">alculation of emissions in each carbon estimation area in the </w:t>
      </w:r>
      <w:r w:rsidR="00085943" w:rsidRPr="009C4D2A">
        <w:t>baseline</w:t>
      </w:r>
    </w:p>
    <w:p w:rsidR="00F57CE7" w:rsidRPr="009C4D2A" w:rsidRDefault="00F57CE7" w:rsidP="003553A2">
      <w:pPr>
        <w:pStyle w:val="EStext"/>
      </w:pPr>
      <w:r w:rsidRPr="009C4D2A">
        <w:t xml:space="preserve">Subsection (1) provides </w:t>
      </w:r>
      <w:r w:rsidR="00F06554" w:rsidRPr="009C4D2A">
        <w:t>that project proponents must</w:t>
      </w:r>
      <w:r w:rsidRPr="009C4D2A">
        <w:t xml:space="preserve"> account for methane and nitrous oxide emissions released as a result of the burning.</w:t>
      </w:r>
    </w:p>
    <w:p w:rsidR="00842B31" w:rsidRPr="009C4D2A" w:rsidRDefault="00842B31" w:rsidP="00391A4A">
      <w:pPr>
        <w:pStyle w:val="Subheadingstyle"/>
        <w:rPr>
          <w:lang w:val="en-AU"/>
        </w:rPr>
      </w:pPr>
      <w:r w:rsidRPr="009C4D2A">
        <w:rPr>
          <w:lang w:val="en-AU"/>
        </w:rPr>
        <w:t>Step 5.1—</w:t>
      </w:r>
      <w:r w:rsidR="00A04D27" w:rsidRPr="009C4D2A">
        <w:rPr>
          <w:lang w:val="en-AU"/>
        </w:rPr>
        <w:t>P</w:t>
      </w:r>
      <w:r w:rsidRPr="009C4D2A">
        <w:rPr>
          <w:lang w:val="en-AU"/>
        </w:rPr>
        <w:t>re-fire above-ground biomass stock</w:t>
      </w:r>
    </w:p>
    <w:p w:rsidR="00F57CE7" w:rsidRPr="009C4D2A" w:rsidRDefault="00B1640A" w:rsidP="003553A2">
      <w:pPr>
        <w:pStyle w:val="EStext"/>
      </w:pPr>
      <w:r w:rsidRPr="009C4D2A">
        <w:t>Subsection (1) specifies that t</w:t>
      </w:r>
      <w:r w:rsidR="00F57CE7" w:rsidRPr="009C4D2A">
        <w:t>he first step in this calculation is to determine the pre</w:t>
      </w:r>
      <w:r w:rsidR="00F57B50" w:rsidRPr="009C4D2A">
        <w:noBreakHyphen/>
      </w:r>
      <w:r w:rsidR="00F57CE7" w:rsidRPr="009C4D2A">
        <w:t>fir</w:t>
      </w:r>
      <w:r w:rsidR="00004D05" w:rsidRPr="009C4D2A">
        <w:t xml:space="preserve">e above-ground </w:t>
      </w:r>
      <w:r w:rsidR="00F57CE7" w:rsidRPr="009C4D2A">
        <w:t xml:space="preserve">biomass stock in each </w:t>
      </w:r>
      <w:r w:rsidR="00650BE7" w:rsidRPr="009C4D2A">
        <w:t>carbon estimation area</w:t>
      </w:r>
      <w:r w:rsidR="00F57CE7" w:rsidRPr="009C4D2A">
        <w:t xml:space="preserve"> that would have been burned. </w:t>
      </w:r>
      <w:r w:rsidR="00297681" w:rsidRPr="009C4D2A">
        <w:t xml:space="preserve">This is calculated from data collected from the biomass survey for the first reporting period. </w:t>
      </w:r>
      <w:r w:rsidR="00F57CE7" w:rsidRPr="009C4D2A">
        <w:t xml:space="preserve">Subsection (2) provides that this is to be done using </w:t>
      </w:r>
      <w:r w:rsidR="00842B31" w:rsidRPr="009C4D2A">
        <w:t>E</w:t>
      </w:r>
      <w:r w:rsidR="00F57CE7" w:rsidRPr="009C4D2A">
        <w:t xml:space="preserve">quation 22. </w:t>
      </w:r>
    </w:p>
    <w:p w:rsidR="00842B31" w:rsidRPr="009C4D2A" w:rsidRDefault="00455353" w:rsidP="00391A4A">
      <w:pPr>
        <w:pStyle w:val="Subheadingstyle"/>
        <w:rPr>
          <w:lang w:val="en-AU"/>
        </w:rPr>
      </w:pPr>
      <w:r w:rsidRPr="009C4D2A">
        <w:rPr>
          <w:lang w:val="en-AU"/>
        </w:rPr>
        <w:t>Step 5.2—Determin</w:t>
      </w:r>
      <w:r w:rsidR="00A04D27" w:rsidRPr="009C4D2A">
        <w:rPr>
          <w:lang w:val="en-AU"/>
        </w:rPr>
        <w:t>ation of</w:t>
      </w:r>
      <w:r w:rsidRPr="009C4D2A">
        <w:rPr>
          <w:lang w:val="en-AU"/>
        </w:rPr>
        <w:t xml:space="preserve"> methane and nitrous oxide emissions from</w:t>
      </w:r>
      <w:r w:rsidR="00B1640A" w:rsidRPr="009C4D2A">
        <w:rPr>
          <w:lang w:val="en-AU"/>
        </w:rPr>
        <w:t xml:space="preserve"> </w:t>
      </w:r>
      <w:r w:rsidRPr="009C4D2A">
        <w:rPr>
          <w:lang w:val="en-AU"/>
        </w:rPr>
        <w:t>biomass burns</w:t>
      </w:r>
    </w:p>
    <w:p w:rsidR="00F57CE7" w:rsidRPr="009C4D2A" w:rsidRDefault="00842B31" w:rsidP="003553A2">
      <w:pPr>
        <w:pStyle w:val="EStext"/>
      </w:pPr>
      <w:r w:rsidRPr="009C4D2A">
        <w:t>S</w:t>
      </w:r>
      <w:r w:rsidR="00F57CE7" w:rsidRPr="009C4D2A">
        <w:t xml:space="preserve">ubsection (3) provides that methane and nitrous oxide emissions from fire events are to be determined using </w:t>
      </w:r>
      <w:r w:rsidRPr="009C4D2A">
        <w:t>E</w:t>
      </w:r>
      <w:r w:rsidR="00F57CE7" w:rsidRPr="009C4D2A">
        <w:t xml:space="preserve">quation 23 (for methane) and </w:t>
      </w:r>
      <w:r w:rsidRPr="009C4D2A">
        <w:t>E</w:t>
      </w:r>
      <w:r w:rsidR="00F57CE7" w:rsidRPr="009C4D2A">
        <w:t xml:space="preserve">quation 24 (for nitrous oxide). These equations use the results obtained in </w:t>
      </w:r>
      <w:r w:rsidRPr="009C4D2A">
        <w:t>E</w:t>
      </w:r>
      <w:r w:rsidR="00F57CE7" w:rsidRPr="009C4D2A">
        <w:t xml:space="preserve">quation 22. </w:t>
      </w:r>
    </w:p>
    <w:p w:rsidR="00455353" w:rsidRPr="009C4D2A" w:rsidRDefault="00455353" w:rsidP="00391A4A">
      <w:pPr>
        <w:pStyle w:val="Subheadingstyle"/>
        <w:rPr>
          <w:lang w:val="en-AU"/>
        </w:rPr>
      </w:pPr>
      <w:r w:rsidRPr="009C4D2A">
        <w:rPr>
          <w:lang w:val="en-AU"/>
        </w:rPr>
        <w:t>Step 5.3—Determin</w:t>
      </w:r>
      <w:r w:rsidR="00A04D27" w:rsidRPr="009C4D2A">
        <w:rPr>
          <w:lang w:val="en-AU"/>
        </w:rPr>
        <w:t>ation of</w:t>
      </w:r>
      <w:r w:rsidRPr="009C4D2A">
        <w:rPr>
          <w:lang w:val="en-AU"/>
        </w:rPr>
        <w:t xml:space="preserve"> greenhouse gas emissions from biomass burning</w:t>
      </w:r>
    </w:p>
    <w:p w:rsidR="00443EAE" w:rsidRPr="009C4D2A" w:rsidRDefault="00F57CE7" w:rsidP="003553A2">
      <w:pPr>
        <w:pStyle w:val="EStext"/>
      </w:pPr>
      <w:r w:rsidRPr="009C4D2A">
        <w:t xml:space="preserve">Having determined the methane and nitrous oxide emissions from biomass burning, greenhouse gas emissions from a biomass burning event must be calculated for each </w:t>
      </w:r>
      <w:r w:rsidR="00650BE7" w:rsidRPr="009C4D2A">
        <w:t>carbon estimation area</w:t>
      </w:r>
      <w:r w:rsidR="00455353" w:rsidRPr="009C4D2A">
        <w:t xml:space="preserve"> by completing E</w:t>
      </w:r>
      <w:r w:rsidRPr="009C4D2A">
        <w:t xml:space="preserve">quation 25, which sums the results of </w:t>
      </w:r>
      <w:r w:rsidR="00455353" w:rsidRPr="009C4D2A">
        <w:t>E</w:t>
      </w:r>
      <w:r w:rsidRPr="009C4D2A">
        <w:t>quations 23 and 24. Equation 25 is also used when estimating emissions from a post-deforestation biom</w:t>
      </w:r>
      <w:r w:rsidR="00341626" w:rsidRPr="009C4D2A">
        <w:t>ass burn in the project</w:t>
      </w:r>
      <w:r w:rsidRPr="009C4D2A">
        <w:t>.</w:t>
      </w:r>
    </w:p>
    <w:p w:rsidR="00F57CE7" w:rsidRPr="009C4D2A" w:rsidRDefault="00F57CE7" w:rsidP="003553A2">
      <w:pPr>
        <w:pStyle w:val="EStext"/>
      </w:pPr>
      <w:r w:rsidRPr="009C4D2A">
        <w:t>Subsection (5)</w:t>
      </w:r>
      <w:r w:rsidR="00CC7C8E" w:rsidRPr="009C4D2A">
        <w:t xml:space="preserve"> redefines the output of Equation 25 to refer specifically to the </w:t>
      </w:r>
      <w:r w:rsidR="00085943" w:rsidRPr="009C4D2A">
        <w:t>baseline</w:t>
      </w:r>
      <w:r w:rsidR="00CC7C8E" w:rsidRPr="009C4D2A">
        <w:t xml:space="preserve"> for each </w:t>
      </w:r>
      <w:r w:rsidR="00650BE7" w:rsidRPr="009C4D2A">
        <w:t>carbon estimation area</w:t>
      </w:r>
      <w:r w:rsidR="00CC7C8E" w:rsidRPr="009C4D2A">
        <w:t>.</w:t>
      </w:r>
    </w:p>
    <w:p w:rsidR="00F57CE7" w:rsidRPr="009C4D2A" w:rsidRDefault="00EE1197" w:rsidP="00391A4A">
      <w:pPr>
        <w:pStyle w:val="Minorheadingstyle"/>
      </w:pPr>
      <w:r w:rsidRPr="009C4D2A">
        <w:fldChar w:fldCharType="begin"/>
      </w:r>
      <w:bookmarkStart w:id="51" w:name="_Ref410243234"/>
      <w:bookmarkEnd w:id="51"/>
      <w:r w:rsidR="00D16488" w:rsidRPr="009C4D2A">
        <w:instrText xml:space="preserve"> LISTNUM  LegalDefault \l 1 </w:instrText>
      </w:r>
      <w:r w:rsidRPr="009C4D2A">
        <w:fldChar w:fldCharType="end"/>
      </w:r>
      <w:r w:rsidR="00F57CE7" w:rsidRPr="009C4D2A">
        <w:tab/>
        <w:t>Step 6—Calculat</w:t>
      </w:r>
      <w:r w:rsidR="00A04D27" w:rsidRPr="009C4D2A">
        <w:t>ing</w:t>
      </w:r>
      <w:r w:rsidR="00F57CE7" w:rsidRPr="009C4D2A">
        <w:t xml:space="preserve"> net </w:t>
      </w:r>
      <w:r w:rsidR="00085943" w:rsidRPr="009C4D2A">
        <w:t>baseline</w:t>
      </w:r>
      <w:r w:rsidR="00B1640A" w:rsidRPr="009C4D2A">
        <w:t xml:space="preserve"> </w:t>
      </w:r>
      <w:r w:rsidR="00F57CE7" w:rsidRPr="009C4D2A">
        <w:t>greenhouse gas emissions</w:t>
      </w:r>
      <w:r w:rsidR="00004D05" w:rsidRPr="009C4D2A">
        <w:t xml:space="preserve"> and removals</w:t>
      </w:r>
      <w:r w:rsidR="00F57CE7" w:rsidRPr="009C4D2A">
        <w:t xml:space="preserve"> </w:t>
      </w:r>
    </w:p>
    <w:p w:rsidR="00F57CE7" w:rsidRPr="009C4D2A" w:rsidRDefault="00F57CE7" w:rsidP="003553A2">
      <w:pPr>
        <w:pStyle w:val="EStext"/>
      </w:pPr>
      <w:r w:rsidRPr="009C4D2A">
        <w:t xml:space="preserve">Section </w:t>
      </w:r>
      <w:fldSimple w:instr=" REF _Ref410243234 \r  \* MERGEFORMAT ">
        <w:r w:rsidR="00B506B7" w:rsidRPr="009C4D2A">
          <w:t>58</w:t>
        </w:r>
      </w:fldSimple>
      <w:r w:rsidR="00392E70" w:rsidRPr="009C4D2A">
        <w:t xml:space="preserve"> </w:t>
      </w:r>
      <w:r w:rsidRPr="009C4D2A">
        <w:t xml:space="preserve">provides that </w:t>
      </w:r>
      <w:r w:rsidR="00455353" w:rsidRPr="009C4D2A">
        <w:t>E</w:t>
      </w:r>
      <w:r w:rsidRPr="009C4D2A">
        <w:t>quation 27 is to be used to calculate the net greenhouse gas em</w:t>
      </w:r>
      <w:r w:rsidR="00341626" w:rsidRPr="009C4D2A">
        <w:t xml:space="preserve">issions in the </w:t>
      </w:r>
      <w:r w:rsidR="00085943" w:rsidRPr="009C4D2A">
        <w:t>baseline</w:t>
      </w:r>
      <w:r w:rsidRPr="009C4D2A">
        <w:t xml:space="preserve">. The results of </w:t>
      </w:r>
      <w:r w:rsidR="00455353" w:rsidRPr="009C4D2A">
        <w:t>E</w:t>
      </w:r>
      <w:r w:rsidRPr="009C4D2A">
        <w:t xml:space="preserve">quations 21 and </w:t>
      </w:r>
      <w:r w:rsidR="00455353" w:rsidRPr="009C4D2A">
        <w:t>26 are to be used as inputs in E</w:t>
      </w:r>
      <w:r w:rsidRPr="009C4D2A">
        <w:t>quation 27.</w:t>
      </w:r>
    </w:p>
    <w:p w:rsidR="00F57CE7" w:rsidRPr="009C4D2A" w:rsidRDefault="00560C6D" w:rsidP="00391A4A">
      <w:pPr>
        <w:pStyle w:val="Majorheadingstyle"/>
        <w:rPr>
          <w:rFonts w:eastAsia="Calibri"/>
          <w:lang w:eastAsia="en-US"/>
        </w:rPr>
      </w:pPr>
      <w:r w:rsidRPr="009C4D2A">
        <w:rPr>
          <w:rFonts w:eastAsia="Calibri"/>
          <w:lang w:eastAsia="en-US"/>
        </w:rPr>
        <w:t>Subdivision</w:t>
      </w:r>
      <w:r w:rsidR="000447E2" w:rsidRPr="009C4D2A">
        <w:rPr>
          <w:rFonts w:eastAsia="Calibri"/>
          <w:lang w:eastAsia="en-US"/>
        </w:rPr>
        <w:t xml:space="preserve"> </w:t>
      </w:r>
      <w:r w:rsidR="006A6D0A" w:rsidRPr="009C4D2A">
        <w:rPr>
          <w:rFonts w:eastAsia="Calibri"/>
          <w:lang w:eastAsia="en-US"/>
        </w:rPr>
        <w:t>4—</w:t>
      </w:r>
      <w:r w:rsidR="00F57CE7" w:rsidRPr="009C4D2A">
        <w:rPr>
          <w:rFonts w:eastAsia="Calibri"/>
          <w:lang w:eastAsia="en-US"/>
        </w:rPr>
        <w:t xml:space="preserve">Calculation </w:t>
      </w:r>
      <w:r w:rsidR="000447E2" w:rsidRPr="009C4D2A">
        <w:rPr>
          <w:rFonts w:eastAsia="Calibri"/>
          <w:lang w:eastAsia="en-US"/>
        </w:rPr>
        <w:t>of project emissions</w:t>
      </w:r>
      <w:r w:rsidR="00004D05" w:rsidRPr="009C4D2A">
        <w:rPr>
          <w:rFonts w:eastAsia="Calibri"/>
          <w:lang w:eastAsia="en-US"/>
        </w:rPr>
        <w:t xml:space="preserve"> and removals</w:t>
      </w:r>
    </w:p>
    <w:p w:rsidR="00F57CE7" w:rsidRPr="009C4D2A" w:rsidRDefault="00560C6D" w:rsidP="003553A2">
      <w:pPr>
        <w:pStyle w:val="EStext"/>
      </w:pPr>
      <w:r w:rsidRPr="009C4D2A">
        <w:t>Subdivision</w:t>
      </w:r>
      <w:r w:rsidR="00F57CE7" w:rsidRPr="009C4D2A">
        <w:t xml:space="preserve"> </w:t>
      </w:r>
      <w:r w:rsidR="006A6D0A" w:rsidRPr="009C4D2A">
        <w:t>4</w:t>
      </w:r>
      <w:r w:rsidR="00F57CE7" w:rsidRPr="009C4D2A">
        <w:t xml:space="preserve"> provides calculations to enable project proponents to calculate the net greenhouse gas emissions and removals arising from project activities. The output is the parameter </w:t>
      </w:r>
      <w:r w:rsidR="00AC267A" w:rsidRPr="009C4D2A">
        <w:t>E</w:t>
      </w:r>
      <w:r w:rsidR="00F57CE7" w:rsidRPr="009C4D2A">
        <w:rPr>
          <w:vertAlign w:val="subscript"/>
        </w:rPr>
        <w:t>P</w:t>
      </w:r>
      <w:r w:rsidR="00AC267A" w:rsidRPr="009C4D2A">
        <w:rPr>
          <w:vertAlign w:val="subscript"/>
        </w:rPr>
        <w:t>r,r</w:t>
      </w:r>
      <w:r w:rsidR="00F57CE7" w:rsidRPr="009C4D2A">
        <w:t xml:space="preserve">, which is used in </w:t>
      </w:r>
      <w:r w:rsidRPr="009C4D2A">
        <w:t>Subdivision</w:t>
      </w:r>
      <w:r w:rsidR="00F57CE7" w:rsidRPr="009C4D2A">
        <w:t xml:space="preserve"> </w:t>
      </w:r>
      <w:r w:rsidR="006A6D0A" w:rsidRPr="009C4D2A">
        <w:t>5</w:t>
      </w:r>
      <w:r w:rsidR="00F57CE7" w:rsidRPr="009C4D2A">
        <w:t xml:space="preserve"> to calculate net greenhouse gas abatement for the project.</w:t>
      </w:r>
    </w:p>
    <w:p w:rsidR="00F57CE7" w:rsidRPr="009C4D2A" w:rsidRDefault="00EE1197" w:rsidP="00391A4A">
      <w:pPr>
        <w:pStyle w:val="Minorheadingstyle"/>
      </w:pPr>
      <w:r w:rsidRPr="009C4D2A">
        <w:fldChar w:fldCharType="begin"/>
      </w:r>
      <w:bookmarkStart w:id="52" w:name="_Ref410243319"/>
      <w:bookmarkEnd w:id="52"/>
      <w:r w:rsidR="00D16488" w:rsidRPr="009C4D2A">
        <w:instrText xml:space="preserve"> LISTNUM  LegalDefault \l 1 </w:instrText>
      </w:r>
      <w:r w:rsidRPr="009C4D2A">
        <w:fldChar w:fldCharType="end"/>
      </w:r>
      <w:r w:rsidR="00F57CE7" w:rsidRPr="009C4D2A">
        <w:tab/>
      </w:r>
      <w:r w:rsidR="00A04D27" w:rsidRPr="009C4D2A">
        <w:t>C</w:t>
      </w:r>
      <w:r w:rsidR="00443EAE" w:rsidRPr="009C4D2A">
        <w:t>alculating</w:t>
      </w:r>
      <w:r w:rsidR="00F57CE7" w:rsidRPr="009C4D2A">
        <w:t xml:space="preserve"> project emissions</w:t>
      </w:r>
      <w:r w:rsidR="007A3B2A" w:rsidRPr="009C4D2A">
        <w:t xml:space="preserve"> and removals</w:t>
      </w:r>
    </w:p>
    <w:p w:rsidR="00F57CE7" w:rsidRPr="009C4D2A" w:rsidRDefault="00F57CE7" w:rsidP="003553A2">
      <w:pPr>
        <w:pStyle w:val="EStext"/>
      </w:pPr>
      <w:r w:rsidRPr="009C4D2A">
        <w:t xml:space="preserve">Section </w:t>
      </w:r>
      <w:fldSimple w:instr=" REF _Ref410243319 \r  \* MERGEFORMAT ">
        <w:r w:rsidR="00B506B7" w:rsidRPr="009C4D2A">
          <w:t>59</w:t>
        </w:r>
      </w:fldSimple>
      <w:r w:rsidR="00392E70" w:rsidRPr="009C4D2A">
        <w:t xml:space="preserve"> </w:t>
      </w:r>
      <w:r w:rsidRPr="009C4D2A">
        <w:t xml:space="preserve">provides that project emissions must be calculated by following the steps in </w:t>
      </w:r>
      <w:r w:rsidR="006A6D0A" w:rsidRPr="009C4D2A">
        <w:t xml:space="preserve">the present </w:t>
      </w:r>
      <w:r w:rsidR="00560C6D" w:rsidRPr="009C4D2A">
        <w:t>Subdivision</w:t>
      </w:r>
      <w:r w:rsidR="00157C0D" w:rsidRPr="009C4D2A">
        <w:t>.</w:t>
      </w:r>
      <w:r w:rsidRPr="009C4D2A">
        <w:t xml:space="preserve"> At the end of </w:t>
      </w:r>
      <w:r w:rsidR="00683238" w:rsidRPr="009C4D2A">
        <w:t>each</w:t>
      </w:r>
      <w:r w:rsidRPr="009C4D2A">
        <w:t xml:space="preserve"> reporting period, </w:t>
      </w:r>
      <w:r w:rsidR="007A3B2A" w:rsidRPr="009C4D2A">
        <w:t xml:space="preserve">emissions </w:t>
      </w:r>
      <w:r w:rsidRPr="009C4D2A">
        <w:t xml:space="preserve">data collected </w:t>
      </w:r>
      <w:r w:rsidR="007A3B2A" w:rsidRPr="009C4D2A">
        <w:t>during the reporting period must be</w:t>
      </w:r>
      <w:r w:rsidR="00683238" w:rsidRPr="009C4D2A">
        <w:t xml:space="preserve"> used for</w:t>
      </w:r>
      <w:r w:rsidRPr="009C4D2A">
        <w:t xml:space="preserve"> the equations in </w:t>
      </w:r>
      <w:r w:rsidR="006A6D0A" w:rsidRPr="009C4D2A">
        <w:t xml:space="preserve">the present </w:t>
      </w:r>
      <w:r w:rsidR="00560C6D" w:rsidRPr="009C4D2A">
        <w:t>Subdivision</w:t>
      </w:r>
      <w:r w:rsidRPr="009C4D2A">
        <w:t xml:space="preserve">. </w:t>
      </w:r>
      <w:r w:rsidR="007A3B2A" w:rsidRPr="009C4D2A">
        <w:t xml:space="preserve">The </w:t>
      </w:r>
      <w:r w:rsidR="0010747D" w:rsidRPr="009C4D2A">
        <w:t>Determination</w:t>
      </w:r>
      <w:r w:rsidR="00157C0D" w:rsidRPr="009C4D2A">
        <w:t xml:space="preserve"> also provides a mechanism</w:t>
      </w:r>
      <w:r w:rsidR="007A3B2A" w:rsidRPr="009C4D2A">
        <w:t xml:space="preserve"> for proponents to account for any removals detected during the reporting period.</w:t>
      </w:r>
    </w:p>
    <w:p w:rsidR="00F57CE7" w:rsidRPr="009C4D2A" w:rsidRDefault="00EE1197" w:rsidP="00391A4A">
      <w:pPr>
        <w:pStyle w:val="Minorheadingstyle"/>
        <w:rPr>
          <w:bCs/>
          <w:iCs/>
        </w:rPr>
      </w:pPr>
      <w:r w:rsidRPr="009C4D2A">
        <w:lastRenderedPageBreak/>
        <w:fldChar w:fldCharType="begin"/>
      </w:r>
      <w:bookmarkStart w:id="53" w:name="_Ref410243367"/>
      <w:bookmarkEnd w:id="53"/>
      <w:r w:rsidR="00D16488" w:rsidRPr="009C4D2A">
        <w:instrText xml:space="preserve"> LISTNUM  LegalDefault \l 1 </w:instrText>
      </w:r>
      <w:r w:rsidRPr="009C4D2A">
        <w:fldChar w:fldCharType="end"/>
      </w:r>
      <w:r w:rsidR="00F57CE7" w:rsidRPr="009C4D2A">
        <w:rPr>
          <w:bCs/>
          <w:iCs/>
        </w:rPr>
        <w:tab/>
      </w:r>
      <w:r w:rsidR="00F57CE7" w:rsidRPr="009C4D2A">
        <w:t>Project</w:t>
      </w:r>
      <w:r w:rsidR="00F57CE7" w:rsidRPr="009C4D2A">
        <w:rPr>
          <w:bCs/>
          <w:iCs/>
        </w:rPr>
        <w:t xml:space="preserve"> relevant </w:t>
      </w:r>
      <w:r w:rsidR="00F57CE7" w:rsidRPr="009C4D2A">
        <w:t>carbon</w:t>
      </w:r>
      <w:r w:rsidR="00F57CE7" w:rsidRPr="009C4D2A">
        <w:rPr>
          <w:bCs/>
          <w:iCs/>
        </w:rPr>
        <w:t xml:space="preserve"> pools</w:t>
      </w:r>
    </w:p>
    <w:p w:rsidR="00F57CE7" w:rsidRPr="009C4D2A" w:rsidRDefault="005B396B" w:rsidP="003553A2">
      <w:pPr>
        <w:pStyle w:val="EStext"/>
      </w:pPr>
      <w:r w:rsidRPr="009C4D2A">
        <w:t xml:space="preserve">Section </w:t>
      </w:r>
      <w:fldSimple w:instr=" REF _Ref410243367 \r  \* MERGEFORMAT ">
        <w:r w:rsidR="00B506B7" w:rsidRPr="009C4D2A">
          <w:t>60</w:t>
        </w:r>
      </w:fldSimple>
      <w:r w:rsidR="00FF6CE3" w:rsidRPr="009C4D2A">
        <w:t xml:space="preserve"> </w:t>
      </w:r>
      <w:r w:rsidR="00F57CE7" w:rsidRPr="009C4D2A">
        <w:t xml:space="preserve">specifies the relevant carbon pools for the purposes of </w:t>
      </w:r>
      <w:r w:rsidR="00F13EC5" w:rsidRPr="009C4D2A">
        <w:t xml:space="preserve">the present </w:t>
      </w:r>
      <w:r w:rsidR="00560C6D" w:rsidRPr="009C4D2A">
        <w:t>Subdivision</w:t>
      </w:r>
      <w:r w:rsidR="00F57CE7" w:rsidRPr="009C4D2A">
        <w:t>. Relevant carbon pools are limited to:</w:t>
      </w:r>
    </w:p>
    <w:p w:rsidR="006310FA" w:rsidRPr="009C4D2A" w:rsidRDefault="00004D05" w:rsidP="00391A4A">
      <w:pPr>
        <w:pStyle w:val="bullet1"/>
        <w:rPr>
          <w:color w:val="auto"/>
        </w:rPr>
      </w:pPr>
      <w:r w:rsidRPr="009C4D2A">
        <w:rPr>
          <w:color w:val="auto"/>
        </w:rPr>
        <w:t>a</w:t>
      </w:r>
      <w:r w:rsidR="00F57CE7" w:rsidRPr="009C4D2A">
        <w:rPr>
          <w:color w:val="auto"/>
        </w:rPr>
        <w:t>bove</w:t>
      </w:r>
      <w:r w:rsidRPr="009C4D2A">
        <w:rPr>
          <w:color w:val="auto"/>
        </w:rPr>
        <w:t>-</w:t>
      </w:r>
      <w:r w:rsidR="00F57CE7" w:rsidRPr="009C4D2A">
        <w:rPr>
          <w:rFonts w:eastAsia="Calibri"/>
          <w:color w:val="auto"/>
          <w:lang w:eastAsia="en-US"/>
        </w:rPr>
        <w:t>ground</w:t>
      </w:r>
      <w:r w:rsidR="00F57CE7" w:rsidRPr="009C4D2A">
        <w:rPr>
          <w:color w:val="auto"/>
        </w:rPr>
        <w:t xml:space="preserve"> tree biomass;</w:t>
      </w:r>
    </w:p>
    <w:p w:rsidR="006310FA" w:rsidRPr="009C4D2A" w:rsidRDefault="00004D05" w:rsidP="00391A4A">
      <w:pPr>
        <w:pStyle w:val="bullet1"/>
        <w:rPr>
          <w:color w:val="auto"/>
        </w:rPr>
      </w:pPr>
      <w:r w:rsidRPr="009C4D2A">
        <w:rPr>
          <w:color w:val="auto"/>
        </w:rPr>
        <w:t>b</w:t>
      </w:r>
      <w:r w:rsidR="00F57CE7" w:rsidRPr="009C4D2A">
        <w:rPr>
          <w:color w:val="auto"/>
        </w:rPr>
        <w:t>elow</w:t>
      </w:r>
      <w:r w:rsidRPr="009C4D2A">
        <w:rPr>
          <w:color w:val="auto"/>
        </w:rPr>
        <w:t>-</w:t>
      </w:r>
      <w:r w:rsidR="00F57CE7" w:rsidRPr="009C4D2A">
        <w:rPr>
          <w:rFonts w:eastAsia="Calibri"/>
          <w:color w:val="auto"/>
          <w:lang w:eastAsia="en-US"/>
        </w:rPr>
        <w:t>ground</w:t>
      </w:r>
      <w:r w:rsidR="00F57CE7" w:rsidRPr="009C4D2A">
        <w:rPr>
          <w:color w:val="auto"/>
        </w:rPr>
        <w:t xml:space="preserve"> tree biomass;</w:t>
      </w:r>
    </w:p>
    <w:p w:rsidR="006310FA" w:rsidRPr="009C4D2A" w:rsidRDefault="00F57CE7" w:rsidP="00391A4A">
      <w:pPr>
        <w:pStyle w:val="bullet1"/>
        <w:rPr>
          <w:color w:val="auto"/>
        </w:rPr>
      </w:pPr>
      <w:r w:rsidRPr="009C4D2A">
        <w:rPr>
          <w:color w:val="auto"/>
        </w:rPr>
        <w:t xml:space="preserve">the combustion of fossil fuels in vehicles, machinery and </w:t>
      </w:r>
      <w:r w:rsidRPr="009C4D2A">
        <w:rPr>
          <w:rFonts w:eastAsia="Calibri"/>
          <w:color w:val="auto"/>
          <w:lang w:eastAsia="en-US"/>
        </w:rPr>
        <w:t>equipment</w:t>
      </w:r>
      <w:r w:rsidRPr="009C4D2A">
        <w:rPr>
          <w:color w:val="auto"/>
        </w:rPr>
        <w:t>; and</w:t>
      </w:r>
    </w:p>
    <w:p w:rsidR="006310FA" w:rsidRPr="009C4D2A" w:rsidRDefault="00F57CE7" w:rsidP="00391A4A">
      <w:pPr>
        <w:pStyle w:val="bullet1"/>
        <w:rPr>
          <w:color w:val="auto"/>
        </w:rPr>
      </w:pPr>
      <w:r w:rsidRPr="009C4D2A">
        <w:rPr>
          <w:color w:val="auto"/>
        </w:rPr>
        <w:t xml:space="preserve">the </w:t>
      </w:r>
      <w:r w:rsidRPr="009C4D2A">
        <w:rPr>
          <w:rFonts w:eastAsia="Calibri"/>
          <w:color w:val="auto"/>
          <w:lang w:eastAsia="en-US"/>
        </w:rPr>
        <w:t>burning</w:t>
      </w:r>
      <w:r w:rsidRPr="009C4D2A">
        <w:rPr>
          <w:color w:val="auto"/>
        </w:rPr>
        <w:t xml:space="preserve"> of biomass </w:t>
      </w:r>
      <w:r w:rsidR="00F60855" w:rsidRPr="009C4D2A">
        <w:rPr>
          <w:color w:val="auto"/>
        </w:rPr>
        <w:t>from fires</w:t>
      </w:r>
      <w:r w:rsidRPr="009C4D2A">
        <w:rPr>
          <w:color w:val="auto"/>
        </w:rPr>
        <w:t>.</w:t>
      </w:r>
    </w:p>
    <w:p w:rsidR="00F57CE7" w:rsidRPr="009C4D2A" w:rsidRDefault="00EE1197" w:rsidP="00391A4A">
      <w:pPr>
        <w:pStyle w:val="Minorheadingstyle"/>
      </w:pPr>
      <w:r w:rsidRPr="009C4D2A">
        <w:fldChar w:fldCharType="begin"/>
      </w:r>
      <w:bookmarkStart w:id="54" w:name="_Ref410243424"/>
      <w:bookmarkEnd w:id="54"/>
      <w:r w:rsidR="00D16488" w:rsidRPr="009C4D2A">
        <w:instrText xml:space="preserve"> LISTNUM  LegalDefault \l 1 </w:instrText>
      </w:r>
      <w:r w:rsidRPr="009C4D2A">
        <w:fldChar w:fldCharType="end"/>
      </w:r>
      <w:r w:rsidR="00F57CE7" w:rsidRPr="009C4D2A">
        <w:tab/>
        <w:t>Step 1—</w:t>
      </w:r>
      <w:r w:rsidR="00A04D27" w:rsidRPr="009C4D2A">
        <w:t>Project</w:t>
      </w:r>
      <w:r w:rsidR="00F57CE7" w:rsidRPr="009C4D2A">
        <w:t xml:space="preserve"> forest carbon stock changes in carbon estimation area result</w:t>
      </w:r>
      <w:r w:rsidR="003E1DE5" w:rsidRPr="009C4D2A">
        <w:t>ing from</w:t>
      </w:r>
      <w:r w:rsidR="00F57CE7" w:rsidRPr="009C4D2A">
        <w:t xml:space="preserve"> disturbances</w:t>
      </w:r>
    </w:p>
    <w:p w:rsidR="00F57CE7" w:rsidRPr="009C4D2A" w:rsidRDefault="00F57CE7" w:rsidP="003553A2">
      <w:pPr>
        <w:pStyle w:val="EStext"/>
      </w:pPr>
      <w:r w:rsidRPr="009C4D2A">
        <w:t xml:space="preserve">Section </w:t>
      </w:r>
      <w:fldSimple w:instr=" REF _Ref410243424 \r  \* MERGEFORMAT ">
        <w:r w:rsidR="00B506B7" w:rsidRPr="009C4D2A">
          <w:t>61</w:t>
        </w:r>
      </w:fldSimple>
      <w:r w:rsidR="00392E70" w:rsidRPr="009C4D2A">
        <w:t xml:space="preserve"> </w:t>
      </w:r>
      <w:r w:rsidRPr="009C4D2A">
        <w:t>provides calculations to determine emissions in areas wh</w:t>
      </w:r>
      <w:r w:rsidR="00936914" w:rsidRPr="009C4D2A">
        <w:t xml:space="preserve">ere </w:t>
      </w:r>
      <w:r w:rsidRPr="009C4D2A">
        <w:t>degradation or natural disturbance have been dete</w:t>
      </w:r>
      <w:r w:rsidR="00936914" w:rsidRPr="009C4D2A">
        <w:t xml:space="preserve">cted in a </w:t>
      </w:r>
      <w:r w:rsidR="00650BE7" w:rsidRPr="009C4D2A">
        <w:t>carbon estimation area</w:t>
      </w:r>
      <w:r w:rsidR="00936914" w:rsidRPr="009C4D2A">
        <w:t xml:space="preserve"> or clearing buffer.</w:t>
      </w:r>
    </w:p>
    <w:p w:rsidR="00F57CE7" w:rsidRPr="009C4D2A" w:rsidRDefault="0051043F" w:rsidP="003553A2">
      <w:pPr>
        <w:pStyle w:val="EStext"/>
      </w:pPr>
      <w:r w:rsidRPr="009C4D2A">
        <w:t>If</w:t>
      </w:r>
      <w:r w:rsidR="00E9082D" w:rsidRPr="009C4D2A">
        <w:t xml:space="preserve"> a</w:t>
      </w:r>
      <w:r w:rsidRPr="009C4D2A">
        <w:t xml:space="preserve"> disturbance is detected in a </w:t>
      </w:r>
      <w:r w:rsidR="00650BE7" w:rsidRPr="009C4D2A">
        <w:t>carbon estimation area</w:t>
      </w:r>
      <w:r w:rsidRPr="009C4D2A">
        <w:t xml:space="preserve"> (where </w:t>
      </w:r>
      <w:r w:rsidR="00443EAE" w:rsidRPr="009C4D2A">
        <w:t>‘</w:t>
      </w:r>
      <w:r w:rsidRPr="009C4D2A">
        <w:t>disturbance</w:t>
      </w:r>
      <w:r w:rsidR="00443EAE" w:rsidRPr="009C4D2A">
        <w:t>’</w:t>
      </w:r>
      <w:r w:rsidRPr="009C4D2A">
        <w:t xml:space="preserve"> is defined in section </w:t>
      </w:r>
      <w:fldSimple w:instr=" REF _Ref409687035 \r  \* MERGEFORMAT ">
        <w:r w:rsidR="00B506B7" w:rsidRPr="009C4D2A">
          <w:t>5</w:t>
        </w:r>
      </w:fldSimple>
      <w:r w:rsidR="008C16F1" w:rsidRPr="009C4D2A">
        <w:t xml:space="preserve"> </w:t>
      </w:r>
      <w:r w:rsidRPr="009C4D2A">
        <w:t>as degradation</w:t>
      </w:r>
      <w:r w:rsidR="00D75096" w:rsidRPr="009C4D2A">
        <w:t xml:space="preserve"> or a</w:t>
      </w:r>
      <w:r w:rsidRPr="009C4D2A">
        <w:t xml:space="preserve"> natural disturbance), then the </w:t>
      </w:r>
      <w:r w:rsidR="00650BE7" w:rsidRPr="009C4D2A">
        <w:t>carbon estimation area</w:t>
      </w:r>
      <w:r w:rsidRPr="009C4D2A">
        <w:t xml:space="preserve"> must be re</w:t>
      </w:r>
      <w:r w:rsidR="0020256A" w:rsidRPr="009C4D2A">
        <w:noBreakHyphen/>
      </w:r>
      <w:r w:rsidRPr="009C4D2A">
        <w:t xml:space="preserve">stratified by delineating a new </w:t>
      </w:r>
      <w:r w:rsidR="00650BE7" w:rsidRPr="009C4D2A">
        <w:t>carbon estimation area</w:t>
      </w:r>
      <w:r w:rsidRPr="009C4D2A">
        <w:t xml:space="preserve"> where the disturbance has occurred, in accordance with section </w:t>
      </w:r>
      <w:fldSimple w:instr=" REF _Ref410239445 \r  \* MERGEFORMAT ">
        <w:r w:rsidR="00B506B7" w:rsidRPr="009C4D2A">
          <w:t>23</w:t>
        </w:r>
      </w:fldSimple>
      <w:r w:rsidRPr="009C4D2A">
        <w:t xml:space="preserve">. </w:t>
      </w:r>
      <w:r w:rsidR="00443EAE" w:rsidRPr="009C4D2A">
        <w:t xml:space="preserve">Subsections (1) to (5) </w:t>
      </w:r>
      <w:r w:rsidR="00F57CE7" w:rsidRPr="009C4D2A">
        <w:t xml:space="preserve">provide instructions for calculating the mean carbon stock changes in a new </w:t>
      </w:r>
      <w:r w:rsidR="00650BE7" w:rsidRPr="009C4D2A">
        <w:t>carbon estimation area</w:t>
      </w:r>
      <w:r w:rsidR="00F57CE7" w:rsidRPr="009C4D2A">
        <w:t xml:space="preserve"> that has been created under </w:t>
      </w:r>
      <w:r w:rsidR="00157C0D" w:rsidRPr="009C4D2A">
        <w:t>s</w:t>
      </w:r>
      <w:r w:rsidR="00F57CE7" w:rsidRPr="009C4D2A">
        <w:t>ection 3.</w:t>
      </w:r>
      <w:r w:rsidR="00C24FD8" w:rsidRPr="009C4D2A">
        <w:t>6</w:t>
      </w:r>
      <w:r w:rsidR="00F57CE7" w:rsidRPr="009C4D2A">
        <w:t xml:space="preserve"> due to a disturbance.</w:t>
      </w:r>
    </w:p>
    <w:p w:rsidR="00F57CE7" w:rsidRPr="009C4D2A" w:rsidRDefault="00F57CE7" w:rsidP="003553A2">
      <w:pPr>
        <w:pStyle w:val="EStext"/>
      </w:pPr>
      <w:r w:rsidRPr="009C4D2A">
        <w:t xml:space="preserve">Instructions for calculating the biomass stocks in the new </w:t>
      </w:r>
      <w:r w:rsidR="00650BE7" w:rsidRPr="009C4D2A">
        <w:t>carbon estimation area</w:t>
      </w:r>
      <w:r w:rsidRPr="009C4D2A">
        <w:t xml:space="preserve"> after degradation or natural disturbance are contained in subsections (1) </w:t>
      </w:r>
      <w:r w:rsidR="006E1B89" w:rsidRPr="009C4D2A">
        <w:t>to (3</w:t>
      </w:r>
      <w:r w:rsidRPr="009C4D2A">
        <w:t>). These subsections specify that project proponents can calculate the new biomass stocks by either re</w:t>
      </w:r>
      <w:r w:rsidR="00004D05" w:rsidRPr="009C4D2A">
        <w:t>-</w:t>
      </w:r>
      <w:r w:rsidRPr="009C4D2A">
        <w:t xml:space="preserve">surveying the new </w:t>
      </w:r>
      <w:r w:rsidR="00650BE7" w:rsidRPr="009C4D2A">
        <w:t>carbon estimation area</w:t>
      </w:r>
      <w:r w:rsidRPr="009C4D2A">
        <w:t xml:space="preserve"> in accordance with </w:t>
      </w:r>
      <w:r w:rsidR="00560C6D" w:rsidRPr="009C4D2A">
        <w:t>Subdivision</w:t>
      </w:r>
      <w:r w:rsidRPr="009C4D2A">
        <w:t xml:space="preserve"> </w:t>
      </w:r>
      <w:r w:rsidR="00FB2E47" w:rsidRPr="009C4D2A">
        <w:t>2</w:t>
      </w:r>
      <w:r w:rsidRPr="009C4D2A">
        <w:t xml:space="preserve">, or by conservatively electing to set carbon stocks at zero in the deforested area. </w:t>
      </w:r>
      <w:r w:rsidR="00D75096" w:rsidRPr="009C4D2A">
        <w:t xml:space="preserve">Re-surveyed </w:t>
      </w:r>
      <w:r w:rsidR="00B40270">
        <w:t>c</w:t>
      </w:r>
      <w:r w:rsidR="00650BE7" w:rsidRPr="009C4D2A">
        <w:t>arbon estimation area</w:t>
      </w:r>
      <w:r w:rsidR="00B40270">
        <w:t>s</w:t>
      </w:r>
      <w:r w:rsidR="00D75096" w:rsidRPr="009C4D2A">
        <w:t xml:space="preserve"> must achieve the Targeted Precision.</w:t>
      </w:r>
    </w:p>
    <w:p w:rsidR="00BD7894" w:rsidRPr="009C4D2A" w:rsidRDefault="00F57CE7" w:rsidP="003553A2">
      <w:pPr>
        <w:pStyle w:val="EStext"/>
      </w:pPr>
      <w:r w:rsidRPr="009C4D2A">
        <w:t>After determining the carbon stocks remaining after the disturbance, project proponents must determine the mean carbon stock changes per hectare as a result of the di</w:t>
      </w:r>
      <w:r w:rsidR="006E1B89" w:rsidRPr="009C4D2A">
        <w:t xml:space="preserve">sturbance in each affected </w:t>
      </w:r>
      <w:r w:rsidR="00650BE7" w:rsidRPr="009C4D2A">
        <w:t>carbon estimation area</w:t>
      </w:r>
      <w:r w:rsidR="006E1B89" w:rsidRPr="009C4D2A">
        <w:t xml:space="preserve"> </w:t>
      </w:r>
      <w:r w:rsidRPr="009C4D2A">
        <w:t>us</w:t>
      </w:r>
      <w:r w:rsidR="006E1B89" w:rsidRPr="009C4D2A">
        <w:t>ing</w:t>
      </w:r>
      <w:r w:rsidR="00FE1BC0" w:rsidRPr="009C4D2A">
        <w:t xml:space="preserve"> E</w:t>
      </w:r>
      <w:r w:rsidRPr="009C4D2A">
        <w:t>quation 28. The net carbon stock changes in all pools as a result of the disturbance</w:t>
      </w:r>
      <w:r w:rsidR="00FE1BC0" w:rsidRPr="009C4D2A">
        <w:t xml:space="preserve"> must then be calculated using E</w:t>
      </w:r>
      <w:r w:rsidRPr="009C4D2A">
        <w:t xml:space="preserve">quation </w:t>
      </w:r>
      <w:r w:rsidR="006E1B89" w:rsidRPr="009C4D2A">
        <w:t>29</w:t>
      </w:r>
      <w:r w:rsidRPr="009C4D2A">
        <w:t xml:space="preserve">. These equations specify that the net carbon stock changes within each </w:t>
      </w:r>
      <w:r w:rsidR="00650BE7" w:rsidRPr="009C4D2A">
        <w:t>carbon estimation area</w:t>
      </w:r>
      <w:r w:rsidRPr="009C4D2A">
        <w:t xml:space="preserve"> resulting from the disturbance are equal to the spatial extent of the disturbance event multiplied by the emissions from the event, represented by the change in carbon pools.  </w:t>
      </w:r>
    </w:p>
    <w:p w:rsidR="00F57CE7" w:rsidRPr="009C4D2A" w:rsidRDefault="00EE1197" w:rsidP="00391A4A">
      <w:pPr>
        <w:pStyle w:val="Minorheadingstyle"/>
      </w:pPr>
      <w:r w:rsidRPr="009C4D2A">
        <w:fldChar w:fldCharType="begin"/>
      </w:r>
      <w:bookmarkStart w:id="55" w:name="_Ref410243631"/>
      <w:bookmarkEnd w:id="55"/>
      <w:r w:rsidR="00D16488" w:rsidRPr="009C4D2A">
        <w:instrText xml:space="preserve"> LISTNUM  LegalDefault \l 1 </w:instrText>
      </w:r>
      <w:r w:rsidRPr="009C4D2A">
        <w:fldChar w:fldCharType="end"/>
      </w:r>
      <w:r w:rsidR="00392E70" w:rsidRPr="009C4D2A">
        <w:t xml:space="preserve"> </w:t>
      </w:r>
      <w:r w:rsidR="003E1DE5" w:rsidRPr="009C4D2A">
        <w:tab/>
      </w:r>
      <w:r w:rsidR="00F57CE7" w:rsidRPr="009C4D2A">
        <w:t xml:space="preserve">Step 2—Optional calculation of carbon stock enhancements </w:t>
      </w:r>
    </w:p>
    <w:p w:rsidR="00F57CE7" w:rsidRPr="009C4D2A" w:rsidRDefault="00F57CE7" w:rsidP="003553A2">
      <w:pPr>
        <w:pStyle w:val="EStext"/>
      </w:pPr>
      <w:r w:rsidRPr="009C4D2A">
        <w:t xml:space="preserve">Section </w:t>
      </w:r>
      <w:fldSimple w:instr=" REF _Ref410243631 \r  \* MERGEFORMAT ">
        <w:r w:rsidR="00B506B7" w:rsidRPr="009C4D2A">
          <w:t>62</w:t>
        </w:r>
      </w:fldSimple>
      <w:r w:rsidR="00392E70" w:rsidRPr="009C4D2A">
        <w:t xml:space="preserve"> </w:t>
      </w:r>
      <w:r w:rsidRPr="009C4D2A">
        <w:t xml:space="preserve">specifies optional calculations to determine net carbon stock changes in each </w:t>
      </w:r>
      <w:r w:rsidR="00650BE7" w:rsidRPr="009C4D2A">
        <w:t>carbon estimation area</w:t>
      </w:r>
      <w:r w:rsidRPr="009C4D2A">
        <w:t xml:space="preserve"> as a result of forest carbon stock enhancement. Forest carbon stock enhancement may occur through both natural growth and human assisted growth in biomass stocks in a </w:t>
      </w:r>
      <w:r w:rsidR="00650BE7" w:rsidRPr="009C4D2A">
        <w:t>carbon estimation area</w:t>
      </w:r>
      <w:r w:rsidRPr="009C4D2A">
        <w:t>. These calculations are optional as the omission of the calculations is conservative.</w:t>
      </w:r>
    </w:p>
    <w:p w:rsidR="00F57CE7" w:rsidRPr="009C4D2A" w:rsidRDefault="00F57CE7" w:rsidP="003553A2">
      <w:pPr>
        <w:pStyle w:val="EStext"/>
      </w:pPr>
      <w:r w:rsidRPr="009C4D2A">
        <w:lastRenderedPageBreak/>
        <w:t xml:space="preserve">If project proponents wish to account for carbon stock enhancements, subsections (2) to (4) provide that to determine growth in biomass stocks, a complete biomass survey must be conducted at the end of each reporting period in the </w:t>
      </w:r>
      <w:r w:rsidR="00E03D15" w:rsidRPr="009C4D2A">
        <w:t>c</w:t>
      </w:r>
      <w:r w:rsidR="00650BE7" w:rsidRPr="009C4D2A">
        <w:t>arbon estimation area</w:t>
      </w:r>
      <w:r w:rsidRPr="009C4D2A">
        <w:t xml:space="preserve"> that undergo carbon stock enhancements. </w:t>
      </w:r>
      <w:r w:rsidR="00650BE7" w:rsidRPr="009C4D2A">
        <w:t>Carbon estimation area</w:t>
      </w:r>
      <w:r w:rsidRPr="009C4D2A">
        <w:t xml:space="preserve"> must be surveyed in accordance with </w:t>
      </w:r>
      <w:r w:rsidR="00560C6D" w:rsidRPr="009C4D2A">
        <w:t>Subdivision</w:t>
      </w:r>
      <w:r w:rsidRPr="009C4D2A">
        <w:t xml:space="preserve"> </w:t>
      </w:r>
      <w:r w:rsidR="00E03D15" w:rsidRPr="009C4D2A">
        <w:t>2</w:t>
      </w:r>
      <w:r w:rsidR="00E61955" w:rsidRPr="009C4D2A">
        <w:t xml:space="preserve"> </w:t>
      </w:r>
      <w:r w:rsidRPr="009C4D2A">
        <w:t>and must achieve the Targeted Precision.</w:t>
      </w:r>
    </w:p>
    <w:p w:rsidR="00F57CE7" w:rsidRPr="009C4D2A" w:rsidRDefault="00F57CE7" w:rsidP="003553A2">
      <w:pPr>
        <w:pStyle w:val="EStext"/>
      </w:pPr>
      <w:r w:rsidRPr="009C4D2A">
        <w:t xml:space="preserve">For each of the surveyed </w:t>
      </w:r>
      <w:r w:rsidR="00E03D15" w:rsidRPr="009C4D2A">
        <w:t>c</w:t>
      </w:r>
      <w:r w:rsidR="00650BE7" w:rsidRPr="009C4D2A">
        <w:t>arbon estimation area</w:t>
      </w:r>
      <w:r w:rsidRPr="009C4D2A">
        <w:t xml:space="preserve">, the net carbon stock changes as a result of forest carbon stock enhancement are then calculated for the relevant reporting period using </w:t>
      </w:r>
      <w:r w:rsidR="009D5EFE" w:rsidRPr="009C4D2A">
        <w:t>E</w:t>
      </w:r>
      <w:r w:rsidRPr="009C4D2A">
        <w:t xml:space="preserve">quation </w:t>
      </w:r>
      <w:r w:rsidR="006E1B89" w:rsidRPr="009C4D2A">
        <w:t>30</w:t>
      </w:r>
      <w:r w:rsidRPr="009C4D2A">
        <w:t>.</w:t>
      </w:r>
    </w:p>
    <w:p w:rsidR="00F57CE7" w:rsidRPr="009C4D2A" w:rsidRDefault="00EE1197" w:rsidP="00391A4A">
      <w:pPr>
        <w:pStyle w:val="Minorheadingstyle"/>
        <w:rPr>
          <w:bCs/>
          <w:iCs/>
        </w:rPr>
      </w:pPr>
      <w:r w:rsidRPr="009C4D2A">
        <w:fldChar w:fldCharType="begin"/>
      </w:r>
      <w:bookmarkStart w:id="56" w:name="_Ref410243766"/>
      <w:bookmarkEnd w:id="56"/>
      <w:r w:rsidR="00D16488" w:rsidRPr="009C4D2A">
        <w:instrText xml:space="preserve"> LISTNUM  LegalDefault \l 1 </w:instrText>
      </w:r>
      <w:r w:rsidRPr="009C4D2A">
        <w:fldChar w:fldCharType="end"/>
      </w:r>
      <w:r w:rsidR="003E1DE5" w:rsidRPr="009C4D2A">
        <w:rPr>
          <w:bCs/>
          <w:iCs/>
        </w:rPr>
        <w:tab/>
      </w:r>
      <w:r w:rsidR="00F57CE7" w:rsidRPr="009C4D2A">
        <w:rPr>
          <w:bCs/>
          <w:iCs/>
        </w:rPr>
        <w:t>Step 3—</w:t>
      </w:r>
      <w:r w:rsidR="00F57CE7" w:rsidRPr="009C4D2A">
        <w:t>Calculat</w:t>
      </w:r>
      <w:r w:rsidR="00C24FD8" w:rsidRPr="009C4D2A">
        <w:t>ing</w:t>
      </w:r>
      <w:r w:rsidR="00C24FD8" w:rsidRPr="009C4D2A">
        <w:rPr>
          <w:bCs/>
          <w:iCs/>
        </w:rPr>
        <w:t xml:space="preserve"> project emissions</w:t>
      </w:r>
    </w:p>
    <w:p w:rsidR="00F57CE7" w:rsidRPr="009C4D2A" w:rsidRDefault="00F57CE7" w:rsidP="003553A2">
      <w:pPr>
        <w:pStyle w:val="EStext"/>
      </w:pPr>
      <w:r w:rsidRPr="009C4D2A">
        <w:t xml:space="preserve">Section </w:t>
      </w:r>
      <w:fldSimple w:instr=" REF _Ref410243766 \r  \* MERGEFORMAT ">
        <w:r w:rsidR="00B506B7" w:rsidRPr="009C4D2A">
          <w:t>63</w:t>
        </w:r>
      </w:fldSimple>
      <w:r w:rsidR="00392E70" w:rsidRPr="009C4D2A">
        <w:t xml:space="preserve"> </w:t>
      </w:r>
      <w:r w:rsidRPr="009C4D2A">
        <w:t>contains instructions for calculating the emissions resulting from fires in the project area and from the combustion of fossil fuels used in the project.</w:t>
      </w:r>
    </w:p>
    <w:p w:rsidR="00F57CE7" w:rsidRPr="009C4D2A" w:rsidRDefault="00F57CE7" w:rsidP="003553A2">
      <w:pPr>
        <w:pStyle w:val="EStext"/>
      </w:pPr>
      <w:r w:rsidRPr="009C4D2A">
        <w:t>Calculations to determine emissions from fires in the project area are specified in subsections (2) and (3).</w:t>
      </w:r>
    </w:p>
    <w:p w:rsidR="00004D05" w:rsidRPr="009C4D2A" w:rsidRDefault="00F57CE7" w:rsidP="003553A2">
      <w:pPr>
        <w:pStyle w:val="EStext"/>
      </w:pPr>
      <w:r w:rsidRPr="009C4D2A">
        <w:t xml:space="preserve">Subsection (2) provides that the biomass burnt by fires in each </w:t>
      </w:r>
      <w:r w:rsidR="00650BE7" w:rsidRPr="009C4D2A">
        <w:t>carbon estimation area</w:t>
      </w:r>
      <w:r w:rsidRPr="009C4D2A">
        <w:t xml:space="preserve"> for a reporting period must be calculated using </w:t>
      </w:r>
      <w:r w:rsidR="008B3368" w:rsidRPr="009C4D2A">
        <w:t>E</w:t>
      </w:r>
      <w:r w:rsidR="006E1B89" w:rsidRPr="009C4D2A">
        <w:t>quation 31</w:t>
      </w:r>
      <w:r w:rsidRPr="009C4D2A">
        <w:t>, which requires project proponents to determine the area burned and the fire type. The burn efficiency factor in this equation adjusts the biomass burnt according to fire type (wildfire or controlled burn), recognising that the mass of biomass burnt varies with different types of fire.</w:t>
      </w:r>
    </w:p>
    <w:p w:rsidR="00F57CE7" w:rsidRPr="009C4D2A" w:rsidRDefault="00F57CE7" w:rsidP="003553A2">
      <w:pPr>
        <w:pStyle w:val="EStext"/>
      </w:pPr>
      <w:r w:rsidRPr="009C4D2A">
        <w:t>Subsection (3) provide</w:t>
      </w:r>
      <w:r w:rsidR="008B3368" w:rsidRPr="009C4D2A">
        <w:t>s that the mass of biomass burned</w:t>
      </w:r>
      <w:r w:rsidRPr="009C4D2A">
        <w:t xml:space="preserve"> in each </w:t>
      </w:r>
      <w:r w:rsidR="00650BE7" w:rsidRPr="009C4D2A">
        <w:t>carbon estimation area</w:t>
      </w:r>
      <w:r w:rsidRPr="009C4D2A">
        <w:t xml:space="preserve"> (</w:t>
      </w:r>
      <w:r w:rsidR="006E1B89" w:rsidRPr="009C4D2A">
        <w:t>calculated in</w:t>
      </w:r>
      <w:r w:rsidRPr="009C4D2A">
        <w:t xml:space="preserve"> </w:t>
      </w:r>
      <w:r w:rsidR="008B3368" w:rsidRPr="009C4D2A">
        <w:t>E</w:t>
      </w:r>
      <w:r w:rsidRPr="009C4D2A">
        <w:t>quation</w:t>
      </w:r>
      <w:r w:rsidR="008B3368" w:rsidRPr="009C4D2A">
        <w:t> </w:t>
      </w:r>
      <w:r w:rsidR="006E1B89" w:rsidRPr="009C4D2A">
        <w:t>31</w:t>
      </w:r>
      <w:r w:rsidRPr="009C4D2A">
        <w:t xml:space="preserve">) must be used to calculate the methane and nitrous oxide emissions associated with each fire event in each </w:t>
      </w:r>
      <w:r w:rsidR="00650BE7" w:rsidRPr="009C4D2A">
        <w:t>carbon estimation area</w:t>
      </w:r>
      <w:r w:rsidRPr="009C4D2A">
        <w:t>. Emissi</w:t>
      </w:r>
      <w:r w:rsidR="00FE1BC0" w:rsidRPr="009C4D2A">
        <w:t>ons are to be calculated using Equation</w:t>
      </w:r>
      <w:r w:rsidRPr="009C4D2A">
        <w:t xml:space="preserve"> 3</w:t>
      </w:r>
      <w:r w:rsidR="006E1B89" w:rsidRPr="009C4D2A">
        <w:t>2</w:t>
      </w:r>
      <w:r w:rsidR="00FE1BC0" w:rsidRPr="009C4D2A">
        <w:t xml:space="preserve"> (for methane emissions) and E</w:t>
      </w:r>
      <w:r w:rsidRPr="009C4D2A">
        <w:t>quation 3</w:t>
      </w:r>
      <w:r w:rsidR="006E1B89" w:rsidRPr="009C4D2A">
        <w:t>3</w:t>
      </w:r>
      <w:r w:rsidRPr="009C4D2A">
        <w:t xml:space="preserve"> (for nitrous oxide emissions). These emissions must then be summed in </w:t>
      </w:r>
      <w:r w:rsidR="008B3368" w:rsidRPr="009C4D2A">
        <w:t>E</w:t>
      </w:r>
      <w:r w:rsidRPr="009C4D2A">
        <w:t>quation 3</w:t>
      </w:r>
      <w:r w:rsidR="006E1B89" w:rsidRPr="009C4D2A">
        <w:t>4</w:t>
      </w:r>
      <w:r w:rsidRPr="009C4D2A">
        <w:t xml:space="preserve"> to determine total emissions due to fire events in the </w:t>
      </w:r>
      <w:r w:rsidR="00650BE7" w:rsidRPr="009C4D2A">
        <w:t>carbon estimation area</w:t>
      </w:r>
      <w:r w:rsidRPr="009C4D2A">
        <w:t xml:space="preserve">. </w:t>
      </w:r>
      <w:r w:rsidR="008B3368" w:rsidRPr="009C4D2A">
        <w:t>S</w:t>
      </w:r>
      <w:r w:rsidR="00D75096" w:rsidRPr="009C4D2A">
        <w:t xml:space="preserve">ection </w:t>
      </w:r>
      <w:fldSimple w:instr=" REF _Ref410243424 \r  \* MERGEFORMAT ">
        <w:r w:rsidR="00B506B7" w:rsidRPr="009C4D2A">
          <w:t>61</w:t>
        </w:r>
      </w:fldSimple>
      <w:r w:rsidR="00392E70" w:rsidRPr="009C4D2A">
        <w:t xml:space="preserve"> </w:t>
      </w:r>
      <w:r w:rsidR="00D75096" w:rsidRPr="009C4D2A">
        <w:t>accounts for any changes in carbon stocks as a result of a fire.</w:t>
      </w:r>
    </w:p>
    <w:p w:rsidR="00F57CE7" w:rsidRPr="009C4D2A" w:rsidRDefault="00F57CE7" w:rsidP="003553A2">
      <w:pPr>
        <w:pStyle w:val="EStext"/>
      </w:pPr>
      <w:r w:rsidRPr="009C4D2A">
        <w:t>Calculations to determine emissions from fuel use in the project are specified in subsection</w:t>
      </w:r>
      <w:r w:rsidR="008B3368" w:rsidRPr="009C4D2A">
        <w:t>s</w:t>
      </w:r>
      <w:r w:rsidRPr="009C4D2A">
        <w:t xml:space="preserve"> (</w:t>
      </w:r>
      <w:r w:rsidR="006E1B89" w:rsidRPr="009C4D2A">
        <w:t>4</w:t>
      </w:r>
      <w:r w:rsidRPr="009C4D2A">
        <w:t>) and (</w:t>
      </w:r>
      <w:r w:rsidR="006E1B89" w:rsidRPr="009C4D2A">
        <w:t>5</w:t>
      </w:r>
      <w:r w:rsidRPr="009C4D2A">
        <w:t xml:space="preserve">). Subsection </w:t>
      </w:r>
      <w:r w:rsidR="006E1B89" w:rsidRPr="009C4D2A">
        <w:t>(4</w:t>
      </w:r>
      <w:r w:rsidRPr="009C4D2A">
        <w:t xml:space="preserve">) provides that net total emissions of fuel consumption during a reporting period must be calculated for each </w:t>
      </w:r>
      <w:r w:rsidR="00650BE7" w:rsidRPr="009C4D2A">
        <w:t>carbon estimation area</w:t>
      </w:r>
      <w:r w:rsidR="006E1B89" w:rsidRPr="009C4D2A">
        <w:t xml:space="preserve"> </w:t>
      </w:r>
      <w:r w:rsidR="00FE1BC0" w:rsidRPr="009C4D2A">
        <w:t>using E</w:t>
      </w:r>
      <w:r w:rsidRPr="009C4D2A">
        <w:t xml:space="preserve">quation </w:t>
      </w:r>
      <w:r w:rsidR="006E1B89" w:rsidRPr="009C4D2A">
        <w:t>35</w:t>
      </w:r>
      <w:r w:rsidRPr="009C4D2A">
        <w:t xml:space="preserve">. This equation sums the results of </w:t>
      </w:r>
      <w:r w:rsidR="008B3368" w:rsidRPr="009C4D2A">
        <w:t>E</w:t>
      </w:r>
      <w:r w:rsidRPr="009C4D2A">
        <w:t xml:space="preserve">quation </w:t>
      </w:r>
      <w:r w:rsidR="006E1B89" w:rsidRPr="009C4D2A">
        <w:t>36</w:t>
      </w:r>
      <w:r w:rsidRPr="009C4D2A">
        <w:t xml:space="preserve"> in subsection (</w:t>
      </w:r>
      <w:r w:rsidR="006E1B89" w:rsidRPr="009C4D2A">
        <w:t>5</w:t>
      </w:r>
      <w:r w:rsidRPr="009C4D2A">
        <w:t xml:space="preserve">), which provides that the emissions of each greenhouse gas (carbon dioxide, methane and nitrous oxide) must be separately calculated for each fuel type (diesel, gasoline, etc.) for fuel used </w:t>
      </w:r>
      <w:r w:rsidR="006E1B89" w:rsidRPr="009C4D2A">
        <w:t xml:space="preserve">for each </w:t>
      </w:r>
      <w:r w:rsidR="00650BE7" w:rsidRPr="009C4D2A">
        <w:t>carbon estimation area</w:t>
      </w:r>
      <w:r w:rsidRPr="009C4D2A">
        <w:t xml:space="preserve"> during the reporting period. </w:t>
      </w:r>
    </w:p>
    <w:p w:rsidR="009D30B7" w:rsidRPr="009C4D2A" w:rsidRDefault="00F57CE7" w:rsidP="003553A2">
      <w:pPr>
        <w:pStyle w:val="EStext"/>
      </w:pPr>
      <w:r w:rsidRPr="009C4D2A">
        <w:t xml:space="preserve">Subsection </w:t>
      </w:r>
      <w:r w:rsidR="006E1B89" w:rsidRPr="009C4D2A">
        <w:t>(6</w:t>
      </w:r>
      <w:r w:rsidRPr="009C4D2A">
        <w:t>) provides that total greenhouse gas emissions for the project during a reporting per</w:t>
      </w:r>
      <w:r w:rsidR="00FE1BC0" w:rsidRPr="009C4D2A">
        <w:t>iod are to be calculated using E</w:t>
      </w:r>
      <w:r w:rsidRPr="009C4D2A">
        <w:t xml:space="preserve">quation </w:t>
      </w:r>
      <w:r w:rsidR="0054711C" w:rsidRPr="009C4D2A">
        <w:t>37</w:t>
      </w:r>
      <w:r w:rsidRPr="009C4D2A">
        <w:t>. This equation sums the emissions from fossil fuel combustion calculated u</w:t>
      </w:r>
      <w:r w:rsidR="00FE1BC0" w:rsidRPr="009C4D2A">
        <w:t>sing E</w:t>
      </w:r>
      <w:r w:rsidRPr="009C4D2A">
        <w:t xml:space="preserve">quation </w:t>
      </w:r>
      <w:r w:rsidR="0054711C" w:rsidRPr="009C4D2A">
        <w:t>35</w:t>
      </w:r>
      <w:r w:rsidR="00004D05" w:rsidRPr="009C4D2A">
        <w:t xml:space="preserve"> and</w:t>
      </w:r>
      <w:r w:rsidRPr="009C4D2A">
        <w:t xml:space="preserve"> the emissions from biomass burnt due to fires in the reporting peri</w:t>
      </w:r>
      <w:r w:rsidR="00FE1BC0" w:rsidRPr="009C4D2A">
        <w:t>od calculated using E</w:t>
      </w:r>
      <w:r w:rsidR="0054711C" w:rsidRPr="009C4D2A">
        <w:t>quation 36</w:t>
      </w:r>
      <w:r w:rsidRPr="009C4D2A">
        <w:t>.</w:t>
      </w:r>
    </w:p>
    <w:p w:rsidR="00F57CE7" w:rsidRPr="009C4D2A" w:rsidRDefault="00EE1197" w:rsidP="00391A4A">
      <w:pPr>
        <w:pStyle w:val="Minorheadingstyle"/>
      </w:pPr>
      <w:r w:rsidRPr="009C4D2A">
        <w:lastRenderedPageBreak/>
        <w:fldChar w:fldCharType="begin"/>
      </w:r>
      <w:bookmarkStart w:id="57" w:name="_Ref410244087"/>
      <w:bookmarkEnd w:id="57"/>
      <w:r w:rsidR="00D16488" w:rsidRPr="009C4D2A">
        <w:instrText xml:space="preserve"> LISTNUM  LegalDefault \l 1 </w:instrText>
      </w:r>
      <w:r w:rsidRPr="009C4D2A">
        <w:fldChar w:fldCharType="end"/>
      </w:r>
      <w:r w:rsidR="0054711C" w:rsidRPr="009C4D2A">
        <w:tab/>
      </w:r>
      <w:r w:rsidR="00F57CE7" w:rsidRPr="009C4D2A">
        <w:t>Step 4—</w:t>
      </w:r>
      <w:r w:rsidR="006C2E33" w:rsidRPr="009C4D2A">
        <w:t xml:space="preserve"> Calculating total net greenhouse gas project emissions at the end of the reporting period</w:t>
      </w:r>
    </w:p>
    <w:p w:rsidR="00F57CE7" w:rsidRPr="009C4D2A" w:rsidRDefault="00F57CE7" w:rsidP="003553A2">
      <w:pPr>
        <w:pStyle w:val="EStext"/>
      </w:pPr>
      <w:r w:rsidRPr="009C4D2A">
        <w:t xml:space="preserve">Section </w:t>
      </w:r>
      <w:fldSimple w:instr=" REF _Ref410244087 \r  \* MERGEFORMAT ">
        <w:r w:rsidR="00B506B7" w:rsidRPr="009C4D2A">
          <w:t>64</w:t>
        </w:r>
      </w:fldSimple>
      <w:r w:rsidR="00392E70" w:rsidRPr="009C4D2A">
        <w:t xml:space="preserve"> </w:t>
      </w:r>
      <w:r w:rsidRPr="009C4D2A">
        <w:t xml:space="preserve">specifies that the total net greenhouse gas project emissions for the project </w:t>
      </w:r>
      <w:r w:rsidR="00EB6B9B" w:rsidRPr="009C4D2A">
        <w:t>at the end of a</w:t>
      </w:r>
      <w:r w:rsidRPr="009C4D2A">
        <w:t xml:space="preserve"> reporting period are to be calculated using </w:t>
      </w:r>
      <w:r w:rsidR="008B3368" w:rsidRPr="009C4D2A">
        <w:t>E</w:t>
      </w:r>
      <w:r w:rsidRPr="009C4D2A">
        <w:t xml:space="preserve">quation </w:t>
      </w:r>
      <w:r w:rsidR="005A72C6" w:rsidRPr="009C4D2A">
        <w:t>38</w:t>
      </w:r>
      <w:r w:rsidRPr="009C4D2A">
        <w:t xml:space="preserve">. </w:t>
      </w:r>
    </w:p>
    <w:p w:rsidR="00A049A2" w:rsidRPr="009C4D2A" w:rsidRDefault="00A049A2" w:rsidP="003553A2">
      <w:pPr>
        <w:pStyle w:val="EStext"/>
      </w:pPr>
      <w:r w:rsidRPr="009C4D2A">
        <w:t xml:space="preserve">The </w:t>
      </w:r>
      <w:r w:rsidR="00B15A9B" w:rsidRPr="009C4D2A">
        <w:t>output</w:t>
      </w:r>
      <w:r w:rsidRPr="009C4D2A">
        <w:t xml:space="preserve"> of Equation 38 is a cumulative total of project emissions through time. </w:t>
      </w:r>
      <w:r w:rsidR="00B15A9B" w:rsidRPr="009C4D2A">
        <w:t>Equation </w:t>
      </w:r>
      <w:r w:rsidR="005A72C6" w:rsidRPr="009C4D2A">
        <w:t>38</w:t>
      </w:r>
      <w:r w:rsidR="00F57CE7" w:rsidRPr="009C4D2A">
        <w:t xml:space="preserve"> requires total net greenhouse gas emissions to be calculated for each </w:t>
      </w:r>
      <w:r w:rsidR="00650BE7" w:rsidRPr="009C4D2A">
        <w:t>carbon estimation area</w:t>
      </w:r>
      <w:r w:rsidR="00F57CE7" w:rsidRPr="009C4D2A">
        <w:t xml:space="preserve"> for </w:t>
      </w:r>
      <w:r w:rsidRPr="009C4D2A">
        <w:t>the current</w:t>
      </w:r>
      <w:r w:rsidR="00F57CE7" w:rsidRPr="009C4D2A">
        <w:t xml:space="preserve"> reporting period, and then requires these results to be summed to determine total net project emissions </w:t>
      </w:r>
      <w:r w:rsidRPr="009C4D2A">
        <w:t>for the current reporting period</w:t>
      </w:r>
      <w:r w:rsidR="00F57CE7" w:rsidRPr="009C4D2A">
        <w:t>.</w:t>
      </w:r>
      <w:r w:rsidRPr="009C4D2A">
        <w:t xml:space="preserve"> The emissions for the reporting period are then added to the emissions reported for the previous reporting period to get an estimate of all emissions across all reporting periods for the project. </w:t>
      </w:r>
    </w:p>
    <w:p w:rsidR="00BD7894" w:rsidRPr="009C4D2A" w:rsidRDefault="00F57CE7" w:rsidP="003553A2">
      <w:pPr>
        <w:pStyle w:val="EStext"/>
      </w:pPr>
      <w:r w:rsidRPr="009C4D2A">
        <w:t xml:space="preserve">Total net greenhouse gas emissions for each </w:t>
      </w:r>
      <w:r w:rsidR="00650BE7" w:rsidRPr="009C4D2A">
        <w:t>carbon estimation area</w:t>
      </w:r>
      <w:r w:rsidRPr="009C4D2A">
        <w:t xml:space="preserve"> are calculated as the sum of all net carbon stock changes as a result of degradation and natural disturbance (</w:t>
      </w:r>
      <w:r w:rsidR="00FE1BC0" w:rsidRPr="009C4D2A">
        <w:t>calculated in E</w:t>
      </w:r>
      <w:r w:rsidRPr="009C4D2A">
        <w:t xml:space="preserve">quations </w:t>
      </w:r>
      <w:r w:rsidR="005A72C6" w:rsidRPr="009C4D2A">
        <w:t>28</w:t>
      </w:r>
      <w:r w:rsidRPr="009C4D2A">
        <w:t xml:space="preserve"> and </w:t>
      </w:r>
      <w:r w:rsidR="005A72C6" w:rsidRPr="009C4D2A">
        <w:t>29</w:t>
      </w:r>
      <w:r w:rsidRPr="009C4D2A">
        <w:t>), plus the total greenhouse gas emissions from fi</w:t>
      </w:r>
      <w:r w:rsidR="00F57B50" w:rsidRPr="009C4D2A">
        <w:t>re and fuel use (calculated in E</w:t>
      </w:r>
      <w:r w:rsidRPr="009C4D2A">
        <w:t xml:space="preserve">quation </w:t>
      </w:r>
      <w:r w:rsidR="005A72C6" w:rsidRPr="009C4D2A">
        <w:t>37</w:t>
      </w:r>
      <w:r w:rsidRPr="009C4D2A">
        <w:t xml:space="preserve">), less the net carbon stock change as a result of forest carbon stock enhancement (calculated in </w:t>
      </w:r>
      <w:r w:rsidR="009D5EFE" w:rsidRPr="009C4D2A">
        <w:t>E</w:t>
      </w:r>
      <w:r w:rsidRPr="009C4D2A">
        <w:t xml:space="preserve">quation </w:t>
      </w:r>
      <w:r w:rsidR="005A72C6" w:rsidRPr="009C4D2A">
        <w:t>30</w:t>
      </w:r>
      <w:r w:rsidRPr="009C4D2A">
        <w:t>).</w:t>
      </w:r>
      <w:r w:rsidR="00AC0219" w:rsidRPr="009C4D2A">
        <w:t xml:space="preserve"> For the first reporting period under this Determination for projects transitioning from the original </w:t>
      </w:r>
      <w:r w:rsidR="00AC0219" w:rsidRPr="009C4D2A">
        <w:rPr>
          <w:i/>
        </w:rPr>
        <w:t xml:space="preserve">Avoided Deforestation </w:t>
      </w:r>
      <w:r w:rsidR="00AC0219" w:rsidRPr="009C4D2A">
        <w:t xml:space="preserve">method,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Pr,r-1</m:t>
            </m:r>
          </m:sub>
        </m:sSub>
      </m:oMath>
      <w:r w:rsidR="00AC0219" w:rsidRPr="009C4D2A">
        <w:t xml:space="preserve"> is equivalent to </w:t>
      </w:r>
      <m:oMath>
        <m:sSub>
          <m:sSubPr>
            <m:ctrlPr>
              <w:rPr>
                <w:rFonts w:ascii="Cambria Math" w:hAnsi="Cambria Math"/>
              </w:rPr>
            </m:ctrlPr>
          </m:sSubPr>
          <m:e>
            <m:r>
              <m:rPr>
                <m:sty m:val="p"/>
              </m:rPr>
              <w:rPr>
                <w:rFonts w:ascii="Cambria Math" w:hAnsi="Cambria Math"/>
              </w:rPr>
              <m:t>GHG</m:t>
            </m:r>
          </m:e>
          <m:sub>
            <m:r>
              <m:rPr>
                <m:sty m:val="p"/>
              </m:rPr>
              <w:rPr>
                <w:rFonts w:ascii="Cambria Math" w:hAnsi="Cambria Math"/>
              </w:rPr>
              <m:t>NET P</m:t>
            </m:r>
          </m:sub>
        </m:sSub>
      </m:oMath>
      <w:r w:rsidR="00AC0219" w:rsidRPr="009C4D2A">
        <w:t xml:space="preserve"> in </w:t>
      </w:r>
      <w:r w:rsidR="00E07DC3" w:rsidRPr="009C4D2A">
        <w:t xml:space="preserve">the original </w:t>
      </w:r>
      <w:r w:rsidR="00E07DC3" w:rsidRPr="009C4D2A">
        <w:rPr>
          <w:i/>
        </w:rPr>
        <w:t xml:space="preserve">Avoided Deforestation </w:t>
      </w:r>
      <w:r w:rsidR="00E07DC3" w:rsidRPr="009C4D2A">
        <w:t>method</w:t>
      </w:r>
      <w:r w:rsidR="00AC0219" w:rsidRPr="009C4D2A">
        <w:t>.</w:t>
      </w:r>
    </w:p>
    <w:p w:rsidR="00F57CE7" w:rsidRPr="009C4D2A" w:rsidRDefault="000417BF" w:rsidP="00391A4A">
      <w:pPr>
        <w:pStyle w:val="Majorheadingstyle"/>
        <w:rPr>
          <w:rFonts w:eastAsia="Calibri"/>
          <w:lang w:eastAsia="en-US"/>
        </w:rPr>
      </w:pPr>
      <w:r w:rsidRPr="009C4D2A">
        <w:rPr>
          <w:rFonts w:eastAsia="Calibri"/>
          <w:lang w:eastAsia="en-US"/>
        </w:rPr>
        <w:t xml:space="preserve">Subdivision </w:t>
      </w:r>
      <w:r w:rsidR="00B44688" w:rsidRPr="009C4D2A">
        <w:rPr>
          <w:rFonts w:eastAsia="Calibri"/>
          <w:lang w:eastAsia="en-US"/>
        </w:rPr>
        <w:t>5—</w:t>
      </w:r>
      <w:r w:rsidRPr="009C4D2A">
        <w:rPr>
          <w:rFonts w:eastAsia="Calibri"/>
          <w:lang w:eastAsia="en-US"/>
        </w:rPr>
        <w:t>Calculating net greenhouse gas abatement</w:t>
      </w:r>
    </w:p>
    <w:p w:rsidR="00FE3EB7" w:rsidRPr="009C4D2A" w:rsidRDefault="00EE1197" w:rsidP="00FE3EB7">
      <w:pPr>
        <w:pStyle w:val="Minorheadingstyle"/>
      </w:pPr>
      <w:r w:rsidRPr="009C4D2A">
        <w:fldChar w:fldCharType="begin"/>
      </w:r>
      <w:r w:rsidR="00FE3EB7" w:rsidRPr="009C4D2A">
        <w:instrText xml:space="preserve"> LISTNUM  LegalDefault \l 1 </w:instrText>
      </w:r>
      <w:r w:rsidRPr="009C4D2A">
        <w:fldChar w:fldCharType="end"/>
      </w:r>
      <w:r w:rsidR="00FE3EB7" w:rsidRPr="009C4D2A">
        <w:tab/>
        <w:t>Net abatement amount</w:t>
      </w:r>
    </w:p>
    <w:p w:rsidR="00152B8E" w:rsidRPr="009C4D2A" w:rsidRDefault="000417BF" w:rsidP="003553A2">
      <w:pPr>
        <w:pStyle w:val="EStext"/>
      </w:pPr>
      <w:r w:rsidRPr="009C4D2A">
        <w:t xml:space="preserve">Subdivision </w:t>
      </w:r>
      <w:r w:rsidR="00B44688" w:rsidRPr="009C4D2A">
        <w:t>5</w:t>
      </w:r>
      <w:r w:rsidRPr="009C4D2A">
        <w:t xml:space="preserve"> specifies calculations to determine the project’s net abatement amount for the reporting period. </w:t>
      </w:r>
      <w:bookmarkStart w:id="58" w:name="_Toc358371945"/>
      <w:r w:rsidRPr="009C4D2A">
        <w:t xml:space="preserve">This is calculated by estimating the net greenhouse gas abatement for the crediting period (Equation 39), from which the carbon dioxide equivalent net abatement amount for the project for the reporting period can be calculated </w:t>
      </w:r>
      <w:r w:rsidR="00E55338" w:rsidRPr="009C4D2A">
        <w:t xml:space="preserve">as an annual rate </w:t>
      </w:r>
      <w:r w:rsidRPr="009C4D2A">
        <w:t>(Equation 40</w:t>
      </w:r>
      <w:r w:rsidR="00520A01" w:rsidRPr="009C4D2A">
        <w:t>A and Equation 40B</w:t>
      </w:r>
      <w:r w:rsidRPr="009C4D2A">
        <w:t xml:space="preserve">).  </w:t>
      </w:r>
    </w:p>
    <w:p w:rsidR="001E4E42" w:rsidRPr="009C4D2A" w:rsidRDefault="000417BF" w:rsidP="003553A2">
      <w:pPr>
        <w:pStyle w:val="EStext"/>
      </w:pPr>
      <w:r w:rsidRPr="009C4D2A">
        <w:t>In Equation</w:t>
      </w:r>
      <w:r w:rsidR="00520A01" w:rsidRPr="009C4D2A">
        <w:t>s</w:t>
      </w:r>
      <w:r w:rsidRPr="009C4D2A">
        <w:t xml:space="preserve"> 40</w:t>
      </w:r>
      <w:r w:rsidR="00E7098C" w:rsidRPr="009C4D2A">
        <w:t>B</w:t>
      </w:r>
      <w:r w:rsidR="00520A01" w:rsidRPr="009C4D2A">
        <w:t xml:space="preserve"> </w:t>
      </w:r>
      <w:r w:rsidRPr="009C4D2A">
        <w:t>there is reference to</w:t>
      </w:r>
      <w:r w:rsidR="00453FBC" w:rsidRPr="009C4D2A">
        <w:t xml:space="preserve"> both</w:t>
      </w:r>
      <w:r w:rsidRPr="009C4D2A">
        <w:t xml:space="preserve"> </w:t>
      </w:r>
      <w:r w:rsidR="00E7098C" w:rsidRPr="009C4D2A">
        <w:t>A</w:t>
      </w:r>
      <w:r w:rsidR="00E7098C" w:rsidRPr="009C4D2A">
        <w:rPr>
          <w:vertAlign w:val="subscript"/>
        </w:rPr>
        <w:t>rp</w:t>
      </w:r>
      <w:r w:rsidR="00E7098C" w:rsidRPr="009C4D2A">
        <w:t xml:space="preserve"> </w:t>
      </w:r>
      <w:r w:rsidRPr="009C4D2A">
        <w:t>and</w:t>
      </w:r>
      <w:r w:rsidR="00E7098C" w:rsidRPr="009C4D2A">
        <w:t xml:space="preserve"> A</w:t>
      </w:r>
      <w:r w:rsidR="00E7098C" w:rsidRPr="009C4D2A">
        <w:rPr>
          <w:vertAlign w:val="subscript"/>
        </w:rPr>
        <w:t>AD</w:t>
      </w:r>
      <w:r w:rsidRPr="009C4D2A">
        <w:t xml:space="preserve">. </w:t>
      </w:r>
      <w:r w:rsidR="00E7098C" w:rsidRPr="009C4D2A">
        <w:t>A</w:t>
      </w:r>
      <w:r w:rsidR="00E7098C" w:rsidRPr="009C4D2A">
        <w:rPr>
          <w:vertAlign w:val="subscript"/>
        </w:rPr>
        <w:t>AD</w:t>
      </w:r>
      <w:r w:rsidR="00E7098C" w:rsidRPr="009C4D2A">
        <w:t xml:space="preserve"> </w:t>
      </w:r>
      <w:r w:rsidRPr="009C4D2A">
        <w:t xml:space="preserve">is net greenhouse gas abatement already credited to projects under the </w:t>
      </w:r>
      <w:r w:rsidR="009E5B34" w:rsidRPr="009C4D2A">
        <w:rPr>
          <w:i/>
        </w:rPr>
        <w:t>Carbon Credits (Carbon Farming Initiative) (Avoided Deforestation) Methodology Determination 2013</w:t>
      </w:r>
      <w:r w:rsidR="00152B8E" w:rsidRPr="009C4D2A">
        <w:t>.</w:t>
      </w:r>
      <w:r w:rsidRPr="009C4D2A">
        <w:t xml:space="preserve"> </w:t>
      </w:r>
      <w:r w:rsidR="00152B8E" w:rsidRPr="009C4D2A">
        <w:t xml:space="preserve">This is only applicable for projects that were registered and credited under the original </w:t>
      </w:r>
      <w:r w:rsidR="00AA38F0" w:rsidRPr="009C4D2A">
        <w:rPr>
          <w:i/>
        </w:rPr>
        <w:t>Avoided Deforestation</w:t>
      </w:r>
      <w:r w:rsidR="00AA38F0" w:rsidRPr="009C4D2A">
        <w:t xml:space="preserve"> method. On the other hand, </w:t>
      </w:r>
      <w:r w:rsidR="00E7098C" w:rsidRPr="009C4D2A">
        <w:t>A</w:t>
      </w:r>
      <w:r w:rsidRPr="009C4D2A">
        <w:rPr>
          <w:vertAlign w:val="subscript"/>
        </w:rPr>
        <w:t>rp</w:t>
      </w:r>
      <w:r w:rsidRPr="009C4D2A">
        <w:t xml:space="preserve"> is carbon dioxide equivalent net abatement amount for each previous reporting period since project commencement.</w:t>
      </w:r>
      <w:r w:rsidR="00152B8E" w:rsidRPr="009C4D2A">
        <w:t xml:space="preserve"> </w:t>
      </w:r>
      <w:r w:rsidR="001E4E42" w:rsidRPr="009C4D2A">
        <w:t xml:space="preserve">As </w:t>
      </w:r>
      <w:r w:rsidR="00E7098C" w:rsidRPr="009C4D2A">
        <w:t>A</w:t>
      </w:r>
      <w:r w:rsidR="001E4E42" w:rsidRPr="009C4D2A">
        <w:rPr>
          <w:vertAlign w:val="subscript"/>
        </w:rPr>
        <w:t>r</w:t>
      </w:r>
      <w:r w:rsidR="00E7098C" w:rsidRPr="009C4D2A">
        <w:rPr>
          <w:vertAlign w:val="subscript"/>
        </w:rPr>
        <w:t>p</w:t>
      </w:r>
      <w:r w:rsidR="001E4E42" w:rsidRPr="009C4D2A">
        <w:rPr>
          <w:vertAlign w:val="subscript"/>
        </w:rPr>
        <w:t xml:space="preserve"> </w:t>
      </w:r>
      <w:r w:rsidRPr="009C4D2A">
        <w:t>is</w:t>
      </w:r>
      <w:r w:rsidR="001E4E42" w:rsidRPr="009C4D2A">
        <w:t xml:space="preserve"> not calculated in the original </w:t>
      </w:r>
      <w:r w:rsidR="00AA38F0" w:rsidRPr="009C4D2A">
        <w:rPr>
          <w:i/>
        </w:rPr>
        <w:t>Avoided Deforestation</w:t>
      </w:r>
      <w:r w:rsidR="00AA38F0" w:rsidRPr="009C4D2A">
        <w:t xml:space="preserve"> method, this only applies reporting periods where this </w:t>
      </w:r>
      <w:r w:rsidR="0010747D" w:rsidRPr="009C4D2A">
        <w:t>Determination</w:t>
      </w:r>
      <w:r w:rsidR="00AA38F0" w:rsidRPr="009C4D2A">
        <w:t xml:space="preserve"> is applied. </w:t>
      </w:r>
    </w:p>
    <w:p w:rsidR="006C1F96" w:rsidRPr="009C4D2A" w:rsidRDefault="00AA38F0" w:rsidP="003553A2">
      <w:pPr>
        <w:pStyle w:val="EStext"/>
      </w:pPr>
      <w:r w:rsidRPr="009C4D2A">
        <w:t>For example, a project proponent had their project registered under</w:t>
      </w:r>
      <w:r w:rsidR="000417BF" w:rsidRPr="009C4D2A">
        <w:t xml:space="preserve"> the original </w:t>
      </w:r>
      <w:r w:rsidR="000417BF" w:rsidRPr="009C4D2A">
        <w:rPr>
          <w:i/>
        </w:rPr>
        <w:t xml:space="preserve">Avoided Deforestation </w:t>
      </w:r>
      <w:r w:rsidR="000417BF" w:rsidRPr="009C4D2A">
        <w:t>method</w:t>
      </w:r>
      <w:r w:rsidR="000417BF" w:rsidRPr="009C4D2A">
        <w:rPr>
          <w:i/>
        </w:rPr>
        <w:t>.</w:t>
      </w:r>
      <w:r w:rsidR="000417BF" w:rsidRPr="009C4D2A">
        <w:t xml:space="preserve"> </w:t>
      </w:r>
      <w:r w:rsidR="001E4E42" w:rsidRPr="009C4D2A">
        <w:t>Under</w:t>
      </w:r>
      <w:r w:rsidR="000417BF" w:rsidRPr="009C4D2A">
        <w:t xml:space="preserve"> that method </w:t>
      </w:r>
      <w:r w:rsidR="001E4E42" w:rsidRPr="009C4D2A">
        <w:t>they were credite</w:t>
      </w:r>
      <w:r w:rsidR="00355F42" w:rsidRPr="009C4D2A">
        <w:t>d for 1000 tonnes of abatement</w:t>
      </w:r>
      <w:r w:rsidR="000417BF" w:rsidRPr="009C4D2A">
        <w:t xml:space="preserve"> as calculated from Equation 41</w:t>
      </w:r>
      <w:r w:rsidR="00355F42" w:rsidRPr="009C4D2A">
        <w:t xml:space="preserve">. For the first reporting period under this </w:t>
      </w:r>
      <w:r w:rsidR="0010747D" w:rsidRPr="009C4D2A">
        <w:t>Determination</w:t>
      </w:r>
      <w:r w:rsidR="00355F42" w:rsidRPr="009C4D2A">
        <w:t xml:space="preserve">, the proponent would report </w:t>
      </w:r>
      <w:r w:rsidR="00E7098C" w:rsidRPr="009C4D2A">
        <w:t>A</w:t>
      </w:r>
      <w:r w:rsidR="00E7098C" w:rsidRPr="009C4D2A">
        <w:rPr>
          <w:vertAlign w:val="subscript"/>
        </w:rPr>
        <w:t>AD</w:t>
      </w:r>
      <w:r w:rsidR="00E7098C" w:rsidRPr="009C4D2A">
        <w:t xml:space="preserve"> </w:t>
      </w:r>
      <w:r w:rsidR="00355F42" w:rsidRPr="009C4D2A">
        <w:t>as</w:t>
      </w:r>
      <w:r w:rsidR="00152B8E" w:rsidRPr="009C4D2A">
        <w:t xml:space="preserve"> </w:t>
      </w:r>
      <w:r w:rsidRPr="009C4D2A">
        <w:t xml:space="preserve">1000, and </w:t>
      </w:r>
      <w:r w:rsidR="00E7098C" w:rsidRPr="009C4D2A">
        <w:t>A</w:t>
      </w:r>
      <w:r w:rsidR="00E7098C" w:rsidRPr="009C4D2A">
        <w:rPr>
          <w:vertAlign w:val="subscript"/>
        </w:rPr>
        <w:t>rp</w:t>
      </w:r>
      <w:r w:rsidR="00E7098C" w:rsidRPr="009C4D2A" w:rsidDel="00E7098C">
        <w:t xml:space="preserve"> </w:t>
      </w:r>
      <w:r w:rsidRPr="009C4D2A">
        <w:t xml:space="preserve">as zero. </w:t>
      </w:r>
      <w:r w:rsidR="000417BF" w:rsidRPr="009C4D2A">
        <w:t xml:space="preserve">In this example, assume </w:t>
      </w:r>
      <w:r w:rsidR="00E7098C" w:rsidRPr="009C4D2A">
        <w:t>A</w:t>
      </w:r>
      <w:r w:rsidR="000417BF" w:rsidRPr="009C4D2A">
        <w:rPr>
          <w:vertAlign w:val="subscript"/>
        </w:rPr>
        <w:t xml:space="preserve">r </w:t>
      </w:r>
      <w:r w:rsidR="000417BF" w:rsidRPr="009C4D2A">
        <w:t xml:space="preserve">is calculated as 500 at the end of the first reporting period. For the second reporting period the project proponent would report </w:t>
      </w:r>
      <w:r w:rsidR="00E7098C" w:rsidRPr="009C4D2A">
        <w:t>A</w:t>
      </w:r>
      <w:r w:rsidR="00E7098C" w:rsidRPr="009C4D2A">
        <w:rPr>
          <w:vertAlign w:val="subscript"/>
        </w:rPr>
        <w:t>AD</w:t>
      </w:r>
      <w:r w:rsidR="00E7098C" w:rsidRPr="009C4D2A">
        <w:t xml:space="preserve"> </w:t>
      </w:r>
      <w:r w:rsidR="000417BF" w:rsidRPr="009C4D2A">
        <w:t xml:space="preserve">as 1000 and </w:t>
      </w:r>
      <w:r w:rsidR="00E7098C" w:rsidRPr="009C4D2A">
        <w:t>A</w:t>
      </w:r>
      <w:r w:rsidR="00E7098C" w:rsidRPr="009C4D2A">
        <w:rPr>
          <w:vertAlign w:val="subscript"/>
        </w:rPr>
        <w:t>rp</w:t>
      </w:r>
      <w:r w:rsidR="00E7098C" w:rsidRPr="009C4D2A" w:rsidDel="00E7098C">
        <w:t xml:space="preserve"> </w:t>
      </w:r>
      <w:r w:rsidR="000417BF" w:rsidRPr="009C4D2A">
        <w:t xml:space="preserve">as 500. </w:t>
      </w:r>
    </w:p>
    <w:p w:rsidR="00FE1BC0" w:rsidRPr="009C4D2A" w:rsidRDefault="006C1F96" w:rsidP="003553A2">
      <w:pPr>
        <w:pStyle w:val="EStext"/>
        <w:rPr>
          <w:b/>
        </w:rPr>
      </w:pPr>
      <w:r w:rsidRPr="009C4D2A">
        <w:t xml:space="preserve">For </w:t>
      </w:r>
      <w:r w:rsidR="00EE5277" w:rsidRPr="009C4D2A">
        <w:t xml:space="preserve">projects that have transitioned from the original </w:t>
      </w:r>
      <w:r w:rsidR="00EE5277" w:rsidRPr="009C4D2A">
        <w:rPr>
          <w:i/>
        </w:rPr>
        <w:t xml:space="preserve">Avoided Deforestation </w:t>
      </w:r>
      <w:r w:rsidR="00EE5277" w:rsidRPr="009C4D2A">
        <w:t>method</w:t>
      </w:r>
      <w:r w:rsidRPr="009C4D2A">
        <w:t>, credits already issued for the project must be accounted for in the calculations (Equation 41)</w:t>
      </w:r>
      <w:r w:rsidR="00AA38F0" w:rsidRPr="009C4D2A">
        <w:t>.</w:t>
      </w:r>
      <w:r w:rsidR="00A85B9A" w:rsidRPr="009C4D2A">
        <w:t xml:space="preserve"> </w:t>
      </w:r>
      <w:r w:rsidR="00FE1BC0" w:rsidRPr="009C4D2A">
        <w:rPr>
          <w:b/>
        </w:rPr>
        <w:br w:type="page"/>
      </w:r>
    </w:p>
    <w:p w:rsidR="0079615B" w:rsidRPr="009C4D2A" w:rsidRDefault="0079615B" w:rsidP="00391A4A">
      <w:pPr>
        <w:pStyle w:val="Majorheadingstyle"/>
      </w:pPr>
      <w:r w:rsidRPr="009C4D2A">
        <w:lastRenderedPageBreak/>
        <w:t xml:space="preserve">Part </w:t>
      </w:r>
      <w:r w:rsidR="00FE3EB7" w:rsidRPr="009C4D2A">
        <w:t>5—</w:t>
      </w:r>
      <w:r w:rsidR="0082289E" w:rsidRPr="009C4D2A">
        <w:t xml:space="preserve"> Reporting, record-keeping and monitoring requirements</w:t>
      </w:r>
    </w:p>
    <w:p w:rsidR="00B506B7" w:rsidRPr="009C4D2A" w:rsidRDefault="00B506B7" w:rsidP="00B506B7">
      <w:pPr>
        <w:pStyle w:val="EStext"/>
      </w:pPr>
      <w:r w:rsidRPr="009C4D2A">
        <w:t xml:space="preserve">Subsection 106(3) of the Act provides that a methodology determination may provide that the project proponent of an eligible offsets project </w:t>
      </w:r>
      <w:r w:rsidR="00DA79FA" w:rsidRPr="009C4D2A">
        <w:t xml:space="preserve">to which the determination applies </w:t>
      </w:r>
      <w:r w:rsidRPr="009C4D2A">
        <w:t>is subject to specified monitoring, record</w:t>
      </w:r>
      <w:r w:rsidRPr="009C4D2A">
        <w:noBreakHyphen/>
        <w:t>keep</w:t>
      </w:r>
      <w:r w:rsidR="00DA79FA" w:rsidRPr="009C4D2A">
        <w:t>ing and reporting requirements.</w:t>
      </w:r>
    </w:p>
    <w:p w:rsidR="00B506B7" w:rsidRPr="009C4D2A" w:rsidRDefault="00B506B7" w:rsidP="00B506B7">
      <w:pPr>
        <w:pStyle w:val="EStext"/>
      </w:pPr>
      <w:r w:rsidRPr="009C4D2A">
        <w:t>Under Parts 17 and 21 of the Act, a failure to comply with these requirements may constitute a breach of a civil penalty provision, and a financial penalty may be payable.</w:t>
      </w:r>
    </w:p>
    <w:p w:rsidR="00B506B7" w:rsidRPr="009C4D2A" w:rsidRDefault="00B506B7" w:rsidP="00B506B7">
      <w:pPr>
        <w:pStyle w:val="EStext"/>
      </w:pPr>
      <w:r w:rsidRPr="009C4D2A">
        <w:t xml:space="preserve">The </w:t>
      </w:r>
      <w:r w:rsidR="00DA79FA" w:rsidRPr="009C4D2A">
        <w:t xml:space="preserve">offsets report, </w:t>
      </w:r>
      <w:r w:rsidRPr="009C4D2A">
        <w:t>record-keeping and monitoring requirements specified in Part 5 of the Determination are in addition to any requirements specified in the regulations or rules made under the Act.</w:t>
      </w:r>
    </w:p>
    <w:p w:rsidR="00B506B7" w:rsidRPr="009C4D2A" w:rsidRDefault="0079615B" w:rsidP="0082289E">
      <w:pPr>
        <w:pStyle w:val="Majorheadingstyle"/>
        <w:rPr>
          <w:rFonts w:eastAsia="Calibri"/>
          <w:lang w:eastAsia="en-US"/>
        </w:rPr>
      </w:pPr>
      <w:r w:rsidRPr="009C4D2A">
        <w:rPr>
          <w:rFonts w:eastAsia="Calibri"/>
          <w:lang w:eastAsia="en-US"/>
        </w:rPr>
        <w:t xml:space="preserve">Division </w:t>
      </w:r>
      <w:r w:rsidR="007903FB" w:rsidRPr="009C4D2A">
        <w:rPr>
          <w:rFonts w:eastAsia="Calibri"/>
          <w:lang w:eastAsia="en-US"/>
        </w:rPr>
        <w:t>1</w:t>
      </w:r>
      <w:r w:rsidR="00F148C8" w:rsidRPr="009C4D2A">
        <w:rPr>
          <w:rFonts w:eastAsia="Calibri"/>
          <w:lang w:eastAsia="en-US"/>
        </w:rPr>
        <w:t>—Offsets report requirements</w:t>
      </w:r>
    </w:p>
    <w:p w:rsidR="00F148C8" w:rsidRPr="009C4D2A" w:rsidRDefault="00EE1197" w:rsidP="00F148C8">
      <w:pPr>
        <w:pStyle w:val="Minorheadingstyle"/>
      </w:pPr>
      <w:r w:rsidRPr="009C4D2A">
        <w:fldChar w:fldCharType="begin"/>
      </w:r>
      <w:bookmarkStart w:id="59" w:name="_Ref410244791"/>
      <w:bookmarkEnd w:id="59"/>
      <w:r w:rsidR="00F148C8" w:rsidRPr="009C4D2A">
        <w:instrText xml:space="preserve"> LISTNUM  LegalDefault \l 1 </w:instrText>
      </w:r>
      <w:r w:rsidRPr="009C4D2A">
        <w:fldChar w:fldCharType="end"/>
      </w:r>
      <w:r w:rsidR="00F148C8" w:rsidRPr="009C4D2A">
        <w:tab/>
        <w:t xml:space="preserve">Operation of this </w:t>
      </w:r>
      <w:r w:rsidR="00C273DC" w:rsidRPr="009C4D2A">
        <w:t>Division</w:t>
      </w:r>
    </w:p>
    <w:p w:rsidR="00B506B7" w:rsidRPr="009C4D2A" w:rsidRDefault="00B506B7" w:rsidP="00B506B7">
      <w:pPr>
        <w:pStyle w:val="EStext"/>
      </w:pPr>
      <w:r w:rsidRPr="009C4D2A">
        <w:t>Section </w:t>
      </w:r>
      <w:fldSimple w:instr=" REF _Ref410244791 \r  \* MERGEFORMAT ">
        <w:r w:rsidRPr="009C4D2A">
          <w:t>66</w:t>
        </w:r>
      </w:fldSimple>
      <w:r w:rsidRPr="009C4D2A">
        <w:t xml:space="preserve"> provides that, for paragraph 106(3)(a) of the Act, this Division sets out information that must be included in an offsets project report about an avoided deforestation project that is an eligible offsets project.</w:t>
      </w:r>
    </w:p>
    <w:p w:rsidR="00F148C8" w:rsidRPr="009C4D2A" w:rsidRDefault="00EE1197" w:rsidP="00F148C8">
      <w:pPr>
        <w:pStyle w:val="Minorheadingstyle"/>
      </w:pPr>
      <w:r w:rsidRPr="009C4D2A">
        <w:fldChar w:fldCharType="begin"/>
      </w:r>
      <w:bookmarkStart w:id="60" w:name="_Ref410244860"/>
      <w:bookmarkEnd w:id="60"/>
      <w:r w:rsidR="00F148C8" w:rsidRPr="009C4D2A">
        <w:instrText xml:space="preserve"> LISTNUM  LegalDefault \l 1 </w:instrText>
      </w:r>
      <w:r w:rsidRPr="009C4D2A">
        <w:fldChar w:fldCharType="end"/>
      </w:r>
      <w:r w:rsidR="00F148C8" w:rsidRPr="009C4D2A">
        <w:tab/>
        <w:t>Requirement for first offsets report</w:t>
      </w:r>
    </w:p>
    <w:p w:rsidR="00F148C8" w:rsidRPr="009C4D2A" w:rsidRDefault="00F148C8" w:rsidP="00F148C8">
      <w:pPr>
        <w:pStyle w:val="EStext"/>
      </w:pPr>
      <w:r w:rsidRPr="009C4D2A">
        <w:t xml:space="preserve">Section </w:t>
      </w:r>
      <w:fldSimple w:instr=" REF _Ref410244860 \r  \* MERGEFORMAT ">
        <w:r w:rsidR="00B506B7" w:rsidRPr="009C4D2A">
          <w:t>67</w:t>
        </w:r>
      </w:fldSimple>
      <w:r w:rsidRPr="009C4D2A">
        <w:t xml:space="preserve"> sets out the information that must be included in the first offsets report submitted for the project. General information that must be contained in all offsets reports is set out in section </w:t>
      </w:r>
      <w:fldSimple w:instr=" REF _Ref410244898 \r  \* MERGEFORMAT ">
        <w:r w:rsidR="00B506B7" w:rsidRPr="009C4D2A">
          <w:t>68</w:t>
        </w:r>
      </w:fldSimple>
      <w:r w:rsidRPr="009C4D2A">
        <w:t xml:space="preserve">. </w:t>
      </w:r>
    </w:p>
    <w:p w:rsidR="00F148C8" w:rsidRPr="009C4D2A" w:rsidRDefault="00EE1197" w:rsidP="00F148C8">
      <w:pPr>
        <w:pStyle w:val="Minorheadingstyle"/>
      </w:pPr>
      <w:r w:rsidRPr="009C4D2A">
        <w:fldChar w:fldCharType="begin"/>
      </w:r>
      <w:bookmarkStart w:id="61" w:name="_Ref410244898"/>
      <w:bookmarkEnd w:id="61"/>
      <w:r w:rsidR="00F148C8" w:rsidRPr="009C4D2A">
        <w:instrText xml:space="preserve"> LISTNUM  LegalDefault \l 1 </w:instrText>
      </w:r>
      <w:r w:rsidRPr="009C4D2A">
        <w:fldChar w:fldCharType="end"/>
      </w:r>
      <w:r w:rsidR="00F148C8" w:rsidRPr="009C4D2A">
        <w:tab/>
        <w:t>Information that must be included in all offsets reports</w:t>
      </w:r>
    </w:p>
    <w:p w:rsidR="00F148C8" w:rsidRPr="009C4D2A" w:rsidRDefault="002F1E99" w:rsidP="00F148C8">
      <w:pPr>
        <w:pStyle w:val="EStext"/>
      </w:pPr>
      <w:r w:rsidRPr="009C4D2A">
        <w:t>A</w:t>
      </w:r>
      <w:r w:rsidR="00F148C8" w:rsidRPr="009C4D2A">
        <w:t xml:space="preserve">n offsets report </w:t>
      </w:r>
      <w:r w:rsidRPr="009C4D2A">
        <w:t xml:space="preserve">is required to </w:t>
      </w:r>
      <w:r w:rsidR="00F148C8" w:rsidRPr="009C4D2A">
        <w:t xml:space="preserve">set out any information that has to be submitted in the report under the applicable methodology determination. </w:t>
      </w:r>
    </w:p>
    <w:p w:rsidR="00F148C8" w:rsidRPr="009C4D2A" w:rsidRDefault="00F148C8" w:rsidP="00F148C8">
      <w:pPr>
        <w:pStyle w:val="EStext"/>
      </w:pPr>
      <w:r w:rsidRPr="009C4D2A">
        <w:t xml:space="preserve">Section </w:t>
      </w:r>
      <w:fldSimple w:instr=" REF _Ref410244898 \r  \* MERGEFORMAT ">
        <w:r w:rsidR="00B506B7" w:rsidRPr="009C4D2A">
          <w:t>68</w:t>
        </w:r>
      </w:fldSimple>
      <w:r w:rsidRPr="009C4D2A">
        <w:t xml:space="preserve"> sets out the information that must be submitted in all offsets reports for the project. This includes the first and all subsequent reports.</w:t>
      </w:r>
    </w:p>
    <w:p w:rsidR="002F1E99" w:rsidRPr="009C4D2A" w:rsidRDefault="00EE1197" w:rsidP="002F1E99">
      <w:pPr>
        <w:pStyle w:val="Minorheadingstyle"/>
      </w:pPr>
      <w:r w:rsidRPr="009C4D2A">
        <w:fldChar w:fldCharType="begin"/>
      </w:r>
      <w:bookmarkStart w:id="62" w:name="_Ref410635536"/>
      <w:bookmarkEnd w:id="62"/>
      <w:r w:rsidR="002F1E99" w:rsidRPr="009C4D2A">
        <w:instrText xml:space="preserve"> LISTNUM  LegalDefault \l 1 </w:instrText>
      </w:r>
      <w:r w:rsidRPr="009C4D2A">
        <w:fldChar w:fldCharType="end"/>
      </w:r>
      <w:r w:rsidR="002F1E99" w:rsidRPr="009C4D2A">
        <w:tab/>
        <w:t>Determination of certain factors and parameters</w:t>
      </w:r>
    </w:p>
    <w:p w:rsidR="007B7BE3" w:rsidRPr="009C4D2A" w:rsidRDefault="007B7BE3" w:rsidP="00B506B7">
      <w:pPr>
        <w:pStyle w:val="EStext"/>
      </w:pPr>
      <w:r w:rsidRPr="009C4D2A">
        <w:t xml:space="preserve">Section </w:t>
      </w:r>
      <w:fldSimple w:instr=" REF _Ref410635536 \r  \* MERGEFORMAT ">
        <w:r w:rsidR="00DA79FA" w:rsidRPr="009C4D2A">
          <w:t>69</w:t>
        </w:r>
      </w:fldSimple>
      <w:r w:rsidRPr="009C4D2A">
        <w:t xml:space="preserve"> </w:t>
      </w:r>
      <w:r w:rsidR="00DD01BA" w:rsidRPr="009C4D2A">
        <w:t xml:space="preserve">provides </w:t>
      </w:r>
      <w:r w:rsidRPr="009C4D2A">
        <w:t xml:space="preserve">that the offsets reporting requirements in this section apply where it is not possible to meet the requirements of subsection </w:t>
      </w:r>
      <w:fldSimple w:instr=" REF _Ref410214181 \r  \* MERGEFORMAT ">
        <w:r w:rsidR="00DA79FA" w:rsidRPr="009C4D2A">
          <w:t>19</w:t>
        </w:r>
      </w:fldSimple>
      <w:r w:rsidRPr="009C4D2A">
        <w:t xml:space="preserve">(1), as outlined in paragraph </w:t>
      </w:r>
      <w:fldSimple w:instr=" REF _Ref410214181 \r  \* MERGEFORMAT ">
        <w:r w:rsidR="00DA79FA" w:rsidRPr="009C4D2A">
          <w:t>19</w:t>
        </w:r>
      </w:fldSimple>
      <w:r w:rsidRPr="009C4D2A">
        <w:t xml:space="preserve">(2)(b). Further explanation of these circumstances is provided in section </w:t>
      </w:r>
      <w:fldSimple w:instr=" REF _Ref410214181 \r  \* MERGEFORMAT ">
        <w:r w:rsidR="00DA79FA" w:rsidRPr="009C4D2A">
          <w:t>19</w:t>
        </w:r>
      </w:fldSimple>
      <w:r w:rsidRPr="009C4D2A">
        <w:t xml:space="preserve">. The purpose of section </w:t>
      </w:r>
      <w:fldSimple w:instr=" REF _Ref410635536 \r  \* MERGEFORMAT ">
        <w:r w:rsidR="00DA79FA" w:rsidRPr="009C4D2A">
          <w:t>69</w:t>
        </w:r>
      </w:fldSimple>
      <w:r w:rsidRPr="009C4D2A">
        <w:t xml:space="preserve"> is to provide the Regulator with information on which version of the </w:t>
      </w:r>
      <w:r w:rsidRPr="009C4D2A">
        <w:rPr>
          <w:i/>
          <w:iCs/>
        </w:rPr>
        <w:t xml:space="preserve">NGER (Measurement) Determination </w:t>
      </w:r>
      <w:r w:rsidRPr="009C4D2A">
        <w:t xml:space="preserve">or other relevant external source has been used by a project proponent to meet the monitoring requirements. The proponent is required to detail in their offsets report the version of the </w:t>
      </w:r>
      <w:r w:rsidRPr="009C4D2A">
        <w:rPr>
          <w:i/>
          <w:iCs/>
        </w:rPr>
        <w:t>NGER (Measurement) Determination</w:t>
      </w:r>
      <w:r w:rsidRPr="009C4D2A">
        <w:t xml:space="preserve"> or external source that was used when undertaking monitoring, the dates that the version was used and why it was not possible for the proponent to use the version that was in force at the end of the reporting period. </w:t>
      </w:r>
    </w:p>
    <w:p w:rsidR="00C00209" w:rsidRPr="009C4D2A" w:rsidRDefault="00C00209" w:rsidP="00C00209">
      <w:pPr>
        <w:pStyle w:val="Majorheadingstyle"/>
        <w:rPr>
          <w:rFonts w:eastAsia="Calibri"/>
          <w:lang w:eastAsia="en-US"/>
        </w:rPr>
      </w:pPr>
      <w:r w:rsidRPr="009C4D2A">
        <w:rPr>
          <w:rFonts w:eastAsia="Calibri"/>
          <w:lang w:eastAsia="en-US"/>
        </w:rPr>
        <w:lastRenderedPageBreak/>
        <w:t xml:space="preserve">Division </w:t>
      </w:r>
      <w:r w:rsidR="00DD01BA" w:rsidRPr="009C4D2A">
        <w:rPr>
          <w:rFonts w:eastAsia="Calibri"/>
          <w:lang w:eastAsia="en-US"/>
        </w:rPr>
        <w:t>2</w:t>
      </w:r>
      <w:r w:rsidRPr="009C4D2A">
        <w:rPr>
          <w:rFonts w:eastAsia="Calibri"/>
          <w:lang w:eastAsia="en-US"/>
        </w:rPr>
        <w:t>—Record-</w:t>
      </w:r>
      <w:r w:rsidRPr="009C4D2A">
        <w:t>keeping</w:t>
      </w:r>
      <w:r w:rsidRPr="009C4D2A">
        <w:rPr>
          <w:rFonts w:eastAsia="Calibri"/>
          <w:lang w:eastAsia="en-US"/>
        </w:rPr>
        <w:t xml:space="preserve"> requirements</w:t>
      </w:r>
    </w:p>
    <w:p w:rsidR="00C00209" w:rsidRPr="009C4D2A" w:rsidRDefault="00EE1197" w:rsidP="00C00209">
      <w:pPr>
        <w:pStyle w:val="Minorheadingstyle"/>
      </w:pPr>
      <w:r w:rsidRPr="009C4D2A">
        <w:fldChar w:fldCharType="begin"/>
      </w:r>
      <w:bookmarkStart w:id="63" w:name="_Ref410245164"/>
      <w:bookmarkEnd w:id="63"/>
      <w:r w:rsidR="00C00209" w:rsidRPr="009C4D2A">
        <w:instrText xml:space="preserve"> LISTNUM  LegalDefault \l 1 </w:instrText>
      </w:r>
      <w:r w:rsidRPr="009C4D2A">
        <w:fldChar w:fldCharType="end"/>
      </w:r>
      <w:r w:rsidR="00C00209" w:rsidRPr="009C4D2A">
        <w:tab/>
        <w:t>Operation of this Division</w:t>
      </w:r>
    </w:p>
    <w:p w:rsidR="00C00209" w:rsidRPr="009C4D2A" w:rsidRDefault="00C00209" w:rsidP="00C00209">
      <w:pPr>
        <w:pStyle w:val="EStext"/>
      </w:pPr>
      <w:r w:rsidRPr="009C4D2A">
        <w:t>Section </w:t>
      </w:r>
      <w:fldSimple w:instr=" REF _Ref410245164 \r  \* MERGEFORMAT ">
        <w:r w:rsidR="00B506B7" w:rsidRPr="009C4D2A">
          <w:t>70</w:t>
        </w:r>
      </w:fldSimple>
      <w:r w:rsidRPr="009C4D2A">
        <w:t xml:space="preserve"> provides that, for paragraph 106(3)(c) of the Act, this Division sets out record keeping requirements for an avoided deforestation project that is an eligible offsets project.</w:t>
      </w:r>
    </w:p>
    <w:p w:rsidR="00C00209" w:rsidRPr="009C4D2A" w:rsidRDefault="00C00209" w:rsidP="00C00209">
      <w:pPr>
        <w:pStyle w:val="EStext"/>
      </w:pPr>
      <w:r w:rsidRPr="009C4D2A">
        <w:t>Other requirements are specified in the Act and in other instruments under the Act.</w:t>
      </w:r>
    </w:p>
    <w:p w:rsidR="00C00209" w:rsidRPr="009C4D2A" w:rsidRDefault="00EE1197" w:rsidP="00C00209">
      <w:pPr>
        <w:pStyle w:val="Minorheadingstyle"/>
      </w:pPr>
      <w:r w:rsidRPr="009C4D2A">
        <w:fldChar w:fldCharType="begin"/>
      </w:r>
      <w:bookmarkStart w:id="64" w:name="_Ref410245260"/>
      <w:bookmarkEnd w:id="64"/>
      <w:r w:rsidR="00C00209" w:rsidRPr="009C4D2A">
        <w:instrText xml:space="preserve"> LISTNUM  LegalDefault \l 1 </w:instrText>
      </w:r>
      <w:r w:rsidRPr="009C4D2A">
        <w:fldChar w:fldCharType="end"/>
      </w:r>
      <w:r w:rsidR="00C00209" w:rsidRPr="009C4D2A">
        <w:tab/>
        <w:t>Information relating to remotely sensed imagery</w:t>
      </w:r>
    </w:p>
    <w:p w:rsidR="00C00209" w:rsidRPr="009C4D2A" w:rsidRDefault="00C00209" w:rsidP="00C00209">
      <w:pPr>
        <w:pStyle w:val="EStext"/>
      </w:pPr>
      <w:r w:rsidRPr="009C4D2A">
        <w:t xml:space="preserve">Section </w:t>
      </w:r>
      <w:fldSimple w:instr=" REF _Ref410245260 \r  \* MERGEFORMAT ">
        <w:r w:rsidR="00B506B7" w:rsidRPr="009C4D2A">
          <w:t>71</w:t>
        </w:r>
      </w:fldSimple>
      <w:r w:rsidRPr="009C4D2A">
        <w:t xml:space="preserve"> provides that records must be kept in relation to each of the requirements for remotely sensed imagery set out in section </w:t>
      </w:r>
      <w:fldSimple w:instr=" REF _Ref410245275 \r  \* MERGEFORMAT ">
        <w:r w:rsidR="00B506B7" w:rsidRPr="009C4D2A">
          <w:t>22</w:t>
        </w:r>
      </w:fldSimple>
      <w:r w:rsidRPr="009C4D2A">
        <w:t>.</w:t>
      </w:r>
    </w:p>
    <w:p w:rsidR="0079615B" w:rsidRPr="009C4D2A" w:rsidRDefault="00283E27" w:rsidP="00391A4A">
      <w:pPr>
        <w:pStyle w:val="Majorheadingstyle"/>
        <w:rPr>
          <w:rFonts w:eastAsia="Calibri"/>
          <w:lang w:eastAsia="en-US"/>
        </w:rPr>
      </w:pPr>
      <w:r w:rsidRPr="009C4D2A">
        <w:rPr>
          <w:rFonts w:eastAsia="Calibri"/>
          <w:lang w:eastAsia="en-US"/>
        </w:rPr>
        <w:t>Division </w:t>
      </w:r>
      <w:r w:rsidR="00DD01BA" w:rsidRPr="009C4D2A">
        <w:rPr>
          <w:rFonts w:eastAsia="Calibri"/>
          <w:lang w:eastAsia="en-US"/>
        </w:rPr>
        <w:t>3</w:t>
      </w:r>
      <w:r w:rsidRPr="009C4D2A">
        <w:rPr>
          <w:rFonts w:eastAsia="Calibri"/>
          <w:lang w:eastAsia="en-US"/>
        </w:rPr>
        <w:t>—</w:t>
      </w:r>
      <w:r w:rsidR="0079615B" w:rsidRPr="009C4D2A">
        <w:rPr>
          <w:rFonts w:eastAsia="Calibri"/>
          <w:lang w:eastAsia="en-US"/>
        </w:rPr>
        <w:t xml:space="preserve">Monitoring </w:t>
      </w:r>
      <w:r w:rsidR="0079615B" w:rsidRPr="009C4D2A">
        <w:t>Requirements</w:t>
      </w:r>
    </w:p>
    <w:p w:rsidR="00283E27" w:rsidRPr="009C4D2A" w:rsidRDefault="00EE1197" w:rsidP="00283E27">
      <w:pPr>
        <w:pStyle w:val="Minorheadingstyle"/>
      </w:pPr>
      <w:r w:rsidRPr="009C4D2A">
        <w:fldChar w:fldCharType="begin"/>
      </w:r>
      <w:bookmarkStart w:id="65" w:name="_Ref410245408"/>
      <w:bookmarkEnd w:id="65"/>
      <w:r w:rsidR="00283E27" w:rsidRPr="009C4D2A">
        <w:instrText xml:space="preserve"> LISTNUM  LegalDefault \l 1 </w:instrText>
      </w:r>
      <w:r w:rsidRPr="009C4D2A">
        <w:fldChar w:fldCharType="end"/>
      </w:r>
      <w:r w:rsidR="00283E27" w:rsidRPr="009C4D2A">
        <w:tab/>
        <w:t xml:space="preserve">Operation of this </w:t>
      </w:r>
      <w:r w:rsidR="007B7BE3" w:rsidRPr="009C4D2A">
        <w:t xml:space="preserve">Division </w:t>
      </w:r>
      <w:r w:rsidR="00283E27" w:rsidRPr="009C4D2A">
        <w:t xml:space="preserve"> </w:t>
      </w:r>
    </w:p>
    <w:p w:rsidR="00283E27" w:rsidRPr="009C4D2A" w:rsidRDefault="00283E27" w:rsidP="00283E27">
      <w:pPr>
        <w:pStyle w:val="EStext"/>
      </w:pPr>
      <w:r w:rsidRPr="009C4D2A">
        <w:t>Section </w:t>
      </w:r>
      <w:fldSimple w:instr=" REF _Ref410245408 \r  \* MERGEFORMAT ">
        <w:r w:rsidR="00B506B7" w:rsidRPr="009C4D2A">
          <w:t>72</w:t>
        </w:r>
      </w:fldSimple>
      <w:r w:rsidRPr="009C4D2A">
        <w:t xml:space="preserve"> provides that, for paragraph 106(3)(</w:t>
      </w:r>
      <w:r w:rsidR="007903FB" w:rsidRPr="009C4D2A">
        <w:t>d</w:t>
      </w:r>
      <w:r w:rsidRPr="009C4D2A">
        <w:t xml:space="preserve">) of the Act, this </w:t>
      </w:r>
      <w:r w:rsidR="00DA79FA" w:rsidRPr="009C4D2A">
        <w:t>Division</w:t>
      </w:r>
      <w:r w:rsidRPr="009C4D2A">
        <w:t xml:space="preserve"> sets out monitoring requirements for an avoided deforestation project that is an eligible offsets project.</w:t>
      </w:r>
    </w:p>
    <w:p w:rsidR="00283E27" w:rsidRPr="009C4D2A" w:rsidRDefault="00283E27" w:rsidP="00283E27">
      <w:pPr>
        <w:pStyle w:val="EStext"/>
      </w:pPr>
      <w:r w:rsidRPr="009C4D2A">
        <w:t>Other requirements are specified in the Act and in other instruments under the Act.</w:t>
      </w:r>
    </w:p>
    <w:p w:rsidR="006E226E" w:rsidRPr="009C4D2A" w:rsidRDefault="00EE1197" w:rsidP="00391A4A">
      <w:pPr>
        <w:pStyle w:val="Minorheadingstyle"/>
      </w:pPr>
      <w:r w:rsidRPr="009C4D2A">
        <w:fldChar w:fldCharType="begin"/>
      </w:r>
      <w:r w:rsidR="00D16488" w:rsidRPr="009C4D2A">
        <w:instrText xml:space="preserve"> LISTNUM  LegalDefault \l 1 </w:instrText>
      </w:r>
      <w:r w:rsidRPr="009C4D2A">
        <w:fldChar w:fldCharType="end"/>
      </w:r>
      <w:r w:rsidR="00C04DE6" w:rsidRPr="009C4D2A">
        <w:tab/>
      </w:r>
      <w:r w:rsidR="006E226E" w:rsidRPr="009C4D2A">
        <w:t>Monitoring for disturbance</w:t>
      </w:r>
    </w:p>
    <w:p w:rsidR="00350F80" w:rsidRPr="009C4D2A" w:rsidRDefault="00350F80" w:rsidP="003553A2">
      <w:pPr>
        <w:pStyle w:val="EStext"/>
      </w:pPr>
      <w:r w:rsidRPr="009C4D2A">
        <w:t>Subsection (1) provides that the project area must be monitored for disturbances during</w:t>
      </w:r>
      <w:r w:rsidR="00C116B5" w:rsidRPr="009C4D2A">
        <w:t xml:space="preserve"> the</w:t>
      </w:r>
      <w:r w:rsidRPr="009C4D2A">
        <w:t xml:space="preserve"> reporting periods.</w:t>
      </w:r>
    </w:p>
    <w:p w:rsidR="00004D05" w:rsidRPr="009C4D2A" w:rsidRDefault="00283E27" w:rsidP="003553A2">
      <w:pPr>
        <w:pStyle w:val="EStext"/>
      </w:pPr>
      <w:r w:rsidRPr="009C4D2A">
        <w:t>Subsection</w:t>
      </w:r>
      <w:r w:rsidR="008B3368" w:rsidRPr="009C4D2A">
        <w:t xml:space="preserve"> (2) </w:t>
      </w:r>
      <w:r w:rsidR="00350F80" w:rsidRPr="009C4D2A">
        <w:t>sp</w:t>
      </w:r>
      <w:r w:rsidR="008B3368" w:rsidRPr="009C4D2A">
        <w:t>ecif</w:t>
      </w:r>
      <w:r w:rsidRPr="009C4D2A">
        <w:t>ies</w:t>
      </w:r>
      <w:r w:rsidR="008B3368" w:rsidRPr="009C4D2A">
        <w:t xml:space="preserve"> </w:t>
      </w:r>
      <w:r w:rsidR="007C43CD" w:rsidRPr="009C4D2A">
        <w:t>that monitoring is undertaken through</w:t>
      </w:r>
      <w:r w:rsidR="008B3368" w:rsidRPr="009C4D2A">
        <w:t xml:space="preserve"> land </w:t>
      </w:r>
      <w:r w:rsidR="009D5EFE" w:rsidRPr="009C4D2A">
        <w:t xml:space="preserve">cover assessments with remotely </w:t>
      </w:r>
      <w:r w:rsidR="008B3368" w:rsidRPr="009C4D2A">
        <w:t>sensed imagery.</w:t>
      </w:r>
    </w:p>
    <w:p w:rsidR="00440C6C" w:rsidRPr="009C4D2A" w:rsidRDefault="00440C6C" w:rsidP="00391A4A">
      <w:pPr>
        <w:pStyle w:val="Majorheadingstyle"/>
        <w:rPr>
          <w:rFonts w:eastAsia="Calibri"/>
          <w:lang w:eastAsia="en-US"/>
        </w:rPr>
      </w:pPr>
      <w:r w:rsidRPr="009C4D2A">
        <w:rPr>
          <w:rFonts w:eastAsia="Calibri"/>
          <w:lang w:eastAsia="en-US"/>
        </w:rPr>
        <w:t xml:space="preserve">Division </w:t>
      </w:r>
      <w:r w:rsidR="00DD01BA" w:rsidRPr="009C4D2A">
        <w:rPr>
          <w:rFonts w:eastAsia="Calibri"/>
          <w:lang w:eastAsia="en-US"/>
        </w:rPr>
        <w:t>4</w:t>
      </w:r>
      <w:r w:rsidR="00283E27" w:rsidRPr="009C4D2A">
        <w:rPr>
          <w:rFonts w:eastAsia="Calibri"/>
          <w:lang w:eastAsia="en-US"/>
        </w:rPr>
        <w:t>—</w:t>
      </w:r>
      <w:r w:rsidRPr="009C4D2A">
        <w:rPr>
          <w:rFonts w:eastAsia="Calibri"/>
          <w:lang w:eastAsia="en-US"/>
        </w:rPr>
        <w:t>Reporting under section 77A of the Act</w:t>
      </w:r>
    </w:p>
    <w:p w:rsidR="00440C6C" w:rsidRPr="009C4D2A" w:rsidRDefault="00EE1197" w:rsidP="00391A4A">
      <w:pPr>
        <w:pStyle w:val="Minorheadingstyle"/>
      </w:pPr>
      <w:r w:rsidRPr="009C4D2A">
        <w:fldChar w:fldCharType="begin"/>
      </w:r>
      <w:bookmarkStart w:id="66" w:name="_Ref410245493"/>
      <w:bookmarkEnd w:id="66"/>
      <w:r w:rsidR="00D16488" w:rsidRPr="009C4D2A">
        <w:instrText xml:space="preserve"> LISTNUM  LegalDefault \l 1 </w:instrText>
      </w:r>
      <w:r w:rsidRPr="009C4D2A">
        <w:fldChar w:fldCharType="end"/>
      </w:r>
      <w:r w:rsidR="00440C6C" w:rsidRPr="009C4D2A">
        <w:tab/>
        <w:t>No division of carbon estimation area</w:t>
      </w:r>
    </w:p>
    <w:p w:rsidR="0058311C" w:rsidRPr="009C4D2A" w:rsidRDefault="00C80240" w:rsidP="003553A2">
      <w:pPr>
        <w:pStyle w:val="EStext"/>
      </w:pPr>
      <w:r w:rsidRPr="009C4D2A">
        <w:t xml:space="preserve">Section </w:t>
      </w:r>
      <w:fldSimple w:instr=" REF _Ref410245493 \r  \* MERGEFORMAT ">
        <w:r w:rsidR="00B506B7" w:rsidRPr="009C4D2A">
          <w:t>74</w:t>
        </w:r>
      </w:fldSimple>
      <w:r w:rsidRPr="009C4D2A">
        <w:t xml:space="preserve"> provides that </w:t>
      </w:r>
      <w:r w:rsidR="00F3746B" w:rsidRPr="009C4D2A">
        <w:t xml:space="preserve">the </w:t>
      </w:r>
      <w:r w:rsidRPr="009C4D2A">
        <w:t xml:space="preserve">project proponent can partially </w:t>
      </w:r>
      <w:r w:rsidR="00F3746B" w:rsidRPr="009C4D2A">
        <w:t>report on a project</w:t>
      </w:r>
      <w:r w:rsidRPr="009C4D2A">
        <w:t xml:space="preserve"> in accordance with subsection 77A(2) of the Act; however they may not partially repo</w:t>
      </w:r>
      <w:r w:rsidR="00F3746B" w:rsidRPr="009C4D2A">
        <w:t xml:space="preserve">rt on </w:t>
      </w:r>
      <w:r w:rsidR="00CA1249" w:rsidRPr="009C4D2A">
        <w:t xml:space="preserve">only a part of </w:t>
      </w:r>
      <w:r w:rsidR="00F3746B" w:rsidRPr="009C4D2A">
        <w:t xml:space="preserve">a carbon estimation area. </w:t>
      </w:r>
    </w:p>
    <w:p w:rsidR="00C04DE6" w:rsidRPr="009C4D2A" w:rsidRDefault="007B7BE3" w:rsidP="00391A4A">
      <w:pPr>
        <w:pStyle w:val="Majorheadingstyle"/>
        <w:rPr>
          <w:rFonts w:eastAsia="Calibri"/>
          <w:lang w:eastAsia="en-US"/>
        </w:rPr>
      </w:pPr>
      <w:r w:rsidRPr="009C4D2A">
        <w:rPr>
          <w:rFonts w:eastAsia="Calibri"/>
          <w:lang w:eastAsia="en-US"/>
        </w:rPr>
        <w:br w:type="column"/>
      </w:r>
      <w:r w:rsidR="002C7918" w:rsidRPr="009C4D2A">
        <w:rPr>
          <w:rFonts w:eastAsia="Calibri"/>
          <w:lang w:eastAsia="en-US"/>
        </w:rPr>
        <w:lastRenderedPageBreak/>
        <w:t>Schedule 1</w:t>
      </w:r>
      <w:r w:rsidR="002C7918" w:rsidRPr="009C4D2A">
        <w:rPr>
          <w:rFonts w:eastAsia="Calibri"/>
          <w:lang w:eastAsia="en-US"/>
        </w:rPr>
        <w:tab/>
      </w:r>
      <w:r w:rsidR="00C04DE6" w:rsidRPr="009C4D2A">
        <w:rPr>
          <w:rFonts w:eastAsia="Calibri"/>
          <w:lang w:eastAsia="en-US"/>
        </w:rPr>
        <w:t>Partitioning of Biomass</w:t>
      </w:r>
    </w:p>
    <w:p w:rsidR="00C273DC" w:rsidRPr="009C4D2A" w:rsidRDefault="00FC600F" w:rsidP="004E3FA9">
      <w:pPr>
        <w:pStyle w:val="EStext"/>
        <w:jc w:val="right"/>
        <w:rPr>
          <w:u w:val="single"/>
        </w:rPr>
      </w:pPr>
      <w:r w:rsidRPr="009C4D2A">
        <w:t xml:space="preserve">Schedule 1 </w:t>
      </w:r>
      <w:r w:rsidR="005A4A64" w:rsidRPr="009C4D2A">
        <w:t>provides</w:t>
      </w:r>
      <w:r w:rsidRPr="009C4D2A">
        <w:t xml:space="preserve"> four tables which specify numeric values for the partitioning of biomass</w:t>
      </w:r>
      <w:r w:rsidR="005A4A64" w:rsidRPr="009C4D2A">
        <w:t>, bu</w:t>
      </w:r>
      <w:r w:rsidR="00553720" w:rsidRPr="009C4D2A">
        <w:t xml:space="preserve">rn efficiency and decay rates. </w:t>
      </w:r>
      <w:r w:rsidR="005A4A64" w:rsidRPr="009C4D2A">
        <w:t>The values are</w:t>
      </w:r>
      <w:r w:rsidRPr="009C4D2A">
        <w:t xml:space="preserve"> used as specified input values for the </w:t>
      </w:r>
      <w:r w:rsidR="00CA1249" w:rsidRPr="009C4D2A">
        <w:t xml:space="preserve">Equations </w:t>
      </w:r>
      <w:r w:rsidR="007B7BE3" w:rsidRPr="009C4D2A">
        <w:t xml:space="preserve">14, </w:t>
      </w:r>
      <w:r w:rsidR="00235C14" w:rsidRPr="009C4D2A">
        <w:t xml:space="preserve">17, </w:t>
      </w:r>
      <w:r w:rsidR="00CA1249" w:rsidRPr="009C4D2A">
        <w:t>18, 19</w:t>
      </w:r>
      <w:r w:rsidRPr="009C4D2A">
        <w:t>.</w:t>
      </w:r>
      <w:bookmarkEnd w:id="58"/>
      <w:r w:rsidR="00CA1249" w:rsidRPr="009C4D2A">
        <w:t xml:space="preserve"> </w:t>
      </w:r>
      <w:bookmarkStart w:id="67" w:name="_GoBack"/>
      <w:bookmarkEnd w:id="67"/>
      <w:r w:rsidR="007B7BE3" w:rsidRPr="009C4D2A">
        <w:br/>
      </w:r>
      <w:r w:rsidR="00C273DC" w:rsidRPr="009C4D2A">
        <w:br w:type="column"/>
      </w:r>
      <w:r w:rsidR="00C273DC" w:rsidRPr="009C4D2A">
        <w:rPr>
          <w:u w:val="single"/>
        </w:rPr>
        <w:lastRenderedPageBreak/>
        <w:t>Attachment B</w:t>
      </w:r>
    </w:p>
    <w:p w:rsidR="00C273DC" w:rsidRPr="009C4D2A" w:rsidRDefault="00C273DC" w:rsidP="00C273DC">
      <w:pPr>
        <w:keepNext/>
        <w:keepLines/>
        <w:spacing w:before="360" w:after="120"/>
        <w:jc w:val="center"/>
        <w:rPr>
          <w:b/>
        </w:rPr>
      </w:pPr>
      <w:r w:rsidRPr="009C4D2A">
        <w:rPr>
          <w:b/>
        </w:rPr>
        <w:t>Statement of Compatibility with Human Rights</w:t>
      </w:r>
    </w:p>
    <w:p w:rsidR="00C273DC" w:rsidRPr="009C4D2A" w:rsidRDefault="00C273DC" w:rsidP="00C273DC">
      <w:pPr>
        <w:keepNext/>
        <w:keepLines/>
        <w:spacing w:before="120" w:after="120"/>
        <w:jc w:val="center"/>
      </w:pPr>
      <w:r w:rsidRPr="009C4D2A">
        <w:t xml:space="preserve">Prepared in accordance with Part 3 of the </w:t>
      </w:r>
      <w:r w:rsidRPr="009C4D2A">
        <w:rPr>
          <w:i/>
        </w:rPr>
        <w:t>Human Rights (Parliamentary Scrutiny) Act 2011</w:t>
      </w:r>
    </w:p>
    <w:p w:rsidR="00C273DC" w:rsidRPr="009C4D2A" w:rsidRDefault="00C273DC" w:rsidP="00C273DC">
      <w:pPr>
        <w:keepNext/>
        <w:keepLines/>
        <w:spacing w:after="120"/>
        <w:jc w:val="center"/>
        <w:rPr>
          <w:i/>
        </w:rPr>
      </w:pPr>
      <w:r w:rsidRPr="009C4D2A">
        <w:rPr>
          <w:i/>
        </w:rPr>
        <w:t>Carbon Credits (Carbon Farming Initiative—Avoided Deforestation 1.1) Methodology Determination 2015</w:t>
      </w:r>
    </w:p>
    <w:p w:rsidR="00C273DC" w:rsidRPr="009C4D2A" w:rsidRDefault="00C273DC" w:rsidP="00C273DC">
      <w:pPr>
        <w:keepNext/>
        <w:keepLines/>
        <w:spacing w:after="120"/>
      </w:pPr>
      <w:r w:rsidRPr="009C4D2A">
        <w:t xml:space="preserve">This legislative instrument is compatible with the human rights and freedoms recognised or declared in the international instruments listed in section 3 of the </w:t>
      </w:r>
      <w:r w:rsidRPr="009C4D2A">
        <w:rPr>
          <w:i/>
        </w:rPr>
        <w:t>Human Rights (Parliamentary Scrutiny) Act 2011</w:t>
      </w:r>
      <w:r w:rsidRPr="009C4D2A">
        <w:t>.</w:t>
      </w:r>
    </w:p>
    <w:p w:rsidR="00C273DC" w:rsidRPr="009C4D2A" w:rsidRDefault="00C273DC" w:rsidP="00C273DC">
      <w:pPr>
        <w:keepNext/>
        <w:keepLines/>
        <w:spacing w:after="120"/>
        <w:rPr>
          <w:b/>
        </w:rPr>
      </w:pPr>
      <w:r w:rsidRPr="009C4D2A">
        <w:rPr>
          <w:b/>
        </w:rPr>
        <w:t>Overview of the Legislative Instrument</w:t>
      </w:r>
    </w:p>
    <w:p w:rsidR="00C273DC" w:rsidRPr="009C4D2A" w:rsidRDefault="00C273DC" w:rsidP="00C273DC">
      <w:pPr>
        <w:pStyle w:val="CommentText"/>
        <w:rPr>
          <w:sz w:val="24"/>
          <w:szCs w:val="24"/>
        </w:rPr>
      </w:pPr>
      <w:r w:rsidRPr="009C4D2A">
        <w:rPr>
          <w:sz w:val="24"/>
          <w:szCs w:val="24"/>
        </w:rPr>
        <w:t xml:space="preserve">The </w:t>
      </w:r>
      <w:r w:rsidRPr="009C4D2A">
        <w:rPr>
          <w:i/>
          <w:sz w:val="24"/>
          <w:szCs w:val="24"/>
        </w:rPr>
        <w:t>Carbon Credits (Carbon Farming Initiative—Avoided Deforestation 1.1) Methodology Determination 2015</w:t>
      </w:r>
      <w:r w:rsidRPr="009C4D2A">
        <w:rPr>
          <w:sz w:val="24"/>
          <w:szCs w:val="24"/>
        </w:rPr>
        <w:t xml:space="preserve"> (the Determination) sets out the detailed rules for implementing and monitoring offsets projects that sequester carbon by not clearing native forests. The Determination applies to projects on land with native forest cover at risk of clearing.</w:t>
      </w:r>
      <w:r w:rsidRPr="009C4D2A">
        <w:t xml:space="preserve"> </w:t>
      </w:r>
      <w:r w:rsidRPr="009C4D2A">
        <w:rPr>
          <w:sz w:val="24"/>
          <w:szCs w:val="24"/>
        </w:rPr>
        <w:t>It uses historical clearing practices to estimate when the clearing was going to occur, and abatement is estimated from this clearing event onwards.</w:t>
      </w:r>
    </w:p>
    <w:p w:rsidR="00C273DC" w:rsidRPr="009C4D2A" w:rsidRDefault="00C273DC" w:rsidP="00C273DC">
      <w:pPr>
        <w:keepNext/>
        <w:keepLines/>
        <w:spacing w:after="120"/>
      </w:pPr>
      <w:r w:rsidRPr="009C4D2A">
        <w:t xml:space="preserve">Project proponents wishing to implement the Determination must make an application to the Clean Energy Regulator (the Regulator) and meet the eligibility requirements set out under the </w:t>
      </w:r>
      <w:r w:rsidRPr="009C4D2A">
        <w:rPr>
          <w:i/>
        </w:rPr>
        <w:t>Carbon Credits (Carbon Farming Initiative) Act 2011</w:t>
      </w:r>
      <w:r w:rsidRPr="009C4D2A">
        <w:t>. Offsets projects that are approved by the Regulator can generate Australian carbon credit units.</w:t>
      </w:r>
    </w:p>
    <w:p w:rsidR="00C273DC" w:rsidRPr="009C4D2A" w:rsidRDefault="00C273DC" w:rsidP="00C273DC">
      <w:pPr>
        <w:keepNext/>
        <w:keepLines/>
        <w:spacing w:after="120"/>
        <w:rPr>
          <w:b/>
        </w:rPr>
      </w:pPr>
      <w:r w:rsidRPr="009C4D2A">
        <w:rPr>
          <w:b/>
        </w:rPr>
        <w:t>Human rights implications</w:t>
      </w:r>
    </w:p>
    <w:p w:rsidR="00C273DC" w:rsidRPr="009C4D2A" w:rsidRDefault="00C273DC" w:rsidP="00C273DC">
      <w:pPr>
        <w:keepNext/>
        <w:keepLines/>
        <w:spacing w:after="120"/>
      </w:pPr>
      <w:r w:rsidRPr="009C4D2A">
        <w:t>This legislative instrument does not engage any of the applicable rights or freedoms.</w:t>
      </w:r>
    </w:p>
    <w:p w:rsidR="00C273DC" w:rsidRPr="009C4D2A" w:rsidRDefault="00C273DC" w:rsidP="00C273DC">
      <w:pPr>
        <w:keepNext/>
        <w:keepLines/>
        <w:spacing w:after="120"/>
        <w:rPr>
          <w:b/>
        </w:rPr>
      </w:pPr>
      <w:r w:rsidRPr="009C4D2A">
        <w:rPr>
          <w:b/>
        </w:rPr>
        <w:t>Conclusion</w:t>
      </w:r>
    </w:p>
    <w:p w:rsidR="00C273DC" w:rsidRPr="009C4D2A" w:rsidRDefault="00C273DC" w:rsidP="00C273DC">
      <w:pPr>
        <w:keepNext/>
        <w:keepLines/>
        <w:spacing w:after="120"/>
      </w:pPr>
      <w:r w:rsidRPr="009C4D2A">
        <w:t>This legislative instrument is compatible with human rights as it does not raise any human rights issues.</w:t>
      </w:r>
    </w:p>
    <w:p w:rsidR="00C273DC" w:rsidRPr="009C4D2A" w:rsidRDefault="00C273DC" w:rsidP="00C273DC">
      <w:pPr>
        <w:keepNext/>
        <w:keepLines/>
        <w:spacing w:before="120" w:after="120"/>
      </w:pPr>
    </w:p>
    <w:p w:rsidR="00C273DC" w:rsidRPr="009C4D2A" w:rsidRDefault="00C273DC" w:rsidP="00C273DC">
      <w:pPr>
        <w:keepNext/>
        <w:keepLines/>
        <w:spacing w:before="360"/>
      </w:pPr>
      <w:r w:rsidRPr="009C4D2A">
        <w:rPr>
          <w:b/>
        </w:rPr>
        <w:t>Greg Hunt, Minister for the Environment</w:t>
      </w:r>
    </w:p>
    <w:p w:rsidR="006C7938" w:rsidRPr="009C4D2A" w:rsidRDefault="006C7938">
      <w:pPr>
        <w:pStyle w:val="EStext"/>
      </w:pPr>
    </w:p>
    <w:sectPr w:rsidR="006C7938" w:rsidRPr="009C4D2A" w:rsidSect="007607F2">
      <w:footerReference w:type="default" r:id="rId14"/>
      <w:footerReference w:type="first" r:id="rId15"/>
      <w:pgSz w:w="11906" w:h="16838" w:code="9"/>
      <w:pgMar w:top="1440" w:right="1440" w:bottom="1440"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1BF791" w15:done="0"/>
  <w15:commentEx w15:paraId="0EF538BD" w15:done="0"/>
  <w15:commentEx w15:paraId="708E73F0" w15:done="0"/>
  <w15:commentEx w15:paraId="2402B0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9D" w:rsidRDefault="0084569D" w:rsidP="00391A4A">
      <w:r>
        <w:separator/>
      </w:r>
    </w:p>
    <w:p w:rsidR="0084569D" w:rsidRDefault="0084569D" w:rsidP="00391A4A"/>
  </w:endnote>
  <w:endnote w:type="continuationSeparator" w:id="0">
    <w:p w:rsidR="0084569D" w:rsidRDefault="0084569D" w:rsidP="00391A4A">
      <w:r>
        <w:continuationSeparator/>
      </w:r>
    </w:p>
    <w:p w:rsidR="0084569D" w:rsidRDefault="0084569D" w:rsidP="00391A4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962804"/>
      <w:docPartObj>
        <w:docPartGallery w:val="Page Numbers (Bottom of Page)"/>
        <w:docPartUnique/>
      </w:docPartObj>
    </w:sdtPr>
    <w:sdtEndPr>
      <w:rPr>
        <w:noProof/>
      </w:rPr>
    </w:sdtEndPr>
    <w:sdtContent>
      <w:p w:rsidR="0084569D" w:rsidRDefault="00EE1197" w:rsidP="00391A4A">
        <w:pPr>
          <w:pStyle w:val="Footer"/>
        </w:pPr>
        <w:fldSimple w:instr=" PAGE   \* MERGEFORMAT ">
          <w:r w:rsidR="00AD26E1">
            <w:rPr>
              <w:noProof/>
            </w:rPr>
            <w:t>37</w:t>
          </w:r>
        </w:fldSimple>
      </w:p>
    </w:sdtContent>
  </w:sdt>
  <w:p w:rsidR="0084569D" w:rsidRDefault="0084569D" w:rsidP="00391A4A">
    <w:pPr>
      <w:pStyle w:val="Footer"/>
    </w:pPr>
  </w:p>
  <w:p w:rsidR="0084569D" w:rsidRDefault="0084569D" w:rsidP="00391A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872227"/>
      <w:docPartObj>
        <w:docPartGallery w:val="Page Numbers (Bottom of Page)"/>
        <w:docPartUnique/>
      </w:docPartObj>
    </w:sdtPr>
    <w:sdtEndPr>
      <w:rPr>
        <w:noProof/>
      </w:rPr>
    </w:sdtEndPr>
    <w:sdtContent>
      <w:p w:rsidR="0084569D" w:rsidRDefault="00EE1197" w:rsidP="00391A4A">
        <w:pPr>
          <w:pStyle w:val="Footer"/>
        </w:pPr>
        <w:fldSimple w:instr=" PAGE   \* MERGEFORMAT ">
          <w:r w:rsidR="00AD26E1">
            <w:rPr>
              <w:noProof/>
            </w:rPr>
            <w:t>1</w:t>
          </w:r>
        </w:fldSimple>
      </w:p>
    </w:sdtContent>
  </w:sdt>
  <w:p w:rsidR="0084569D" w:rsidRDefault="0084569D" w:rsidP="00391A4A">
    <w:pPr>
      <w:pStyle w:val="Footer"/>
    </w:pPr>
  </w:p>
  <w:p w:rsidR="0084569D" w:rsidRDefault="0084569D" w:rsidP="00391A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9D" w:rsidRDefault="0084569D" w:rsidP="00391A4A">
      <w:r>
        <w:separator/>
      </w:r>
    </w:p>
    <w:p w:rsidR="0084569D" w:rsidRDefault="0084569D" w:rsidP="00391A4A"/>
  </w:footnote>
  <w:footnote w:type="continuationSeparator" w:id="0">
    <w:p w:rsidR="0084569D" w:rsidRDefault="0084569D" w:rsidP="00391A4A">
      <w:r>
        <w:continuationSeparator/>
      </w:r>
    </w:p>
    <w:p w:rsidR="0084569D" w:rsidRDefault="0084569D" w:rsidP="00391A4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7D1"/>
    <w:multiLevelType w:val="hybridMultilevel"/>
    <w:tmpl w:val="313C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9292463"/>
    <w:multiLevelType w:val="hybridMultilevel"/>
    <w:tmpl w:val="524E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C43FDF"/>
    <w:multiLevelType w:val="multilevel"/>
    <w:tmpl w:val="F9CE1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71A6C65"/>
    <w:multiLevelType w:val="hybridMultilevel"/>
    <w:tmpl w:val="147092DA"/>
    <w:lvl w:ilvl="0" w:tplc="23DE689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2B34A0"/>
    <w:multiLevelType w:val="hybridMultilevel"/>
    <w:tmpl w:val="43E8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3092C"/>
    <w:multiLevelType w:val="hybridMultilevel"/>
    <w:tmpl w:val="2022FF84"/>
    <w:lvl w:ilvl="0" w:tplc="A92A5E4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0D29F7"/>
    <w:multiLevelType w:val="hybridMultilevel"/>
    <w:tmpl w:val="61E64D44"/>
    <w:lvl w:ilvl="0" w:tplc="B9C667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0">
    <w:nsid w:val="2D677C72"/>
    <w:multiLevelType w:val="hybridMultilevel"/>
    <w:tmpl w:val="F720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DB47A6"/>
    <w:multiLevelType w:val="hybridMultilevel"/>
    <w:tmpl w:val="C512E970"/>
    <w:lvl w:ilvl="0" w:tplc="0A7ED808">
      <w:start w:val="1"/>
      <w:numFmt w:val="bullet"/>
      <w:pStyle w:val="bullet2"/>
      <w:lvlText w:val="–"/>
      <w:lvlJc w:val="left"/>
      <w:pPr>
        <w:ind w:left="1800" w:hanging="360"/>
      </w:pPr>
      <w:rPr>
        <w:rFonts w:ascii="Impact" w:hAnsi="Impac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33396037"/>
    <w:multiLevelType w:val="hybridMultilevel"/>
    <w:tmpl w:val="CCFC94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725166"/>
    <w:multiLevelType w:val="hybridMultilevel"/>
    <w:tmpl w:val="E100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51F82"/>
    <w:multiLevelType w:val="hybridMultilevel"/>
    <w:tmpl w:val="E1725734"/>
    <w:lvl w:ilvl="0" w:tplc="A92A5E4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8A5535"/>
    <w:multiLevelType w:val="hybridMultilevel"/>
    <w:tmpl w:val="AD96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9E4273"/>
    <w:multiLevelType w:val="hybridMultilevel"/>
    <w:tmpl w:val="0DBAFFAA"/>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C9612F"/>
    <w:multiLevelType w:val="hybridMultilevel"/>
    <w:tmpl w:val="457E3E3E"/>
    <w:lvl w:ilvl="0" w:tplc="19F2CCB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2">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FC61DE"/>
    <w:multiLevelType w:val="hybridMultilevel"/>
    <w:tmpl w:val="0EA0905E"/>
    <w:lvl w:ilvl="0" w:tplc="85406162">
      <w:start w:val="1"/>
      <w:numFmt w:val="bullet"/>
      <w:pStyle w:val="bullet1"/>
      <w:lvlText w:val=""/>
      <w:lvlJc w:val="left"/>
      <w:pPr>
        <w:ind w:left="720" w:hanging="360"/>
      </w:pPr>
      <w:rPr>
        <w:rFonts w:ascii="Symbol" w:hAnsi="Symbol" w:hint="default"/>
      </w:rPr>
    </w:lvl>
    <w:lvl w:ilvl="1" w:tplc="A740F10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BB00D0"/>
    <w:multiLevelType w:val="hybridMultilevel"/>
    <w:tmpl w:val="A9D0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18207A"/>
    <w:multiLevelType w:val="hybridMultilevel"/>
    <w:tmpl w:val="0736F0DA"/>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28">
    <w:nsid w:val="70525419"/>
    <w:multiLevelType w:val="hybridMultilevel"/>
    <w:tmpl w:val="0606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0">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D935262"/>
    <w:multiLevelType w:val="hybridMultilevel"/>
    <w:tmpl w:val="84B0D1B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9"/>
  </w:num>
  <w:num w:numId="2">
    <w:abstractNumId w:val="1"/>
  </w:num>
  <w:num w:numId="3">
    <w:abstractNumId w:val="26"/>
  </w:num>
  <w:num w:numId="4">
    <w:abstractNumId w:val="17"/>
  </w:num>
  <w:num w:numId="5">
    <w:abstractNumId w:val="24"/>
  </w:num>
  <w:num w:numId="6">
    <w:abstractNumId w:val="10"/>
  </w:num>
  <w:num w:numId="7">
    <w:abstractNumId w:val="31"/>
  </w:num>
  <w:num w:numId="8">
    <w:abstractNumId w:val="16"/>
  </w:num>
  <w:num w:numId="9">
    <w:abstractNumId w:val="12"/>
  </w:num>
  <w:num w:numId="10">
    <w:abstractNumId w:val="20"/>
  </w:num>
  <w:num w:numId="11">
    <w:abstractNumId w:val="5"/>
  </w:num>
  <w:num w:numId="12">
    <w:abstractNumId w:val="25"/>
  </w:num>
  <w:num w:numId="13">
    <w:abstractNumId w:val="2"/>
  </w:num>
  <w:num w:numId="14">
    <w:abstractNumId w:val="30"/>
  </w:num>
  <w:num w:numId="15">
    <w:abstractNumId w:val="0"/>
  </w:num>
  <w:num w:numId="16">
    <w:abstractNumId w:val="21"/>
  </w:num>
  <w:num w:numId="17">
    <w:abstractNumId w:val="9"/>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8"/>
  </w:num>
  <w:num w:numId="26">
    <w:abstractNumId w:val="22"/>
  </w:num>
  <w:num w:numId="27">
    <w:abstractNumId w:val="23"/>
  </w:num>
  <w:num w:numId="28">
    <w:abstractNumId w:val="28"/>
  </w:num>
  <w:num w:numId="29">
    <w:abstractNumId w:val="7"/>
  </w:num>
  <w:num w:numId="30">
    <w:abstractNumId w:val="14"/>
  </w:num>
  <w:num w:numId="31">
    <w:abstractNumId w:val="27"/>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11"/>
  </w:num>
  <w:num w:numId="69">
    <w:abstractNumId w:val="2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ourke, Michael">
    <w15:presenceInfo w15:providerId="None" w15:userId="O'Rourke, Micha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3009"/>
  </w:hdrShapeDefaults>
  <w:footnotePr>
    <w:footnote w:id="-1"/>
    <w:footnote w:id="0"/>
  </w:footnotePr>
  <w:endnotePr>
    <w:endnote w:id="-1"/>
    <w:endnote w:id="0"/>
  </w:endnotePr>
  <w:compat/>
  <w:rsids>
    <w:rsidRoot w:val="00A57799"/>
    <w:rsid w:val="000007D3"/>
    <w:rsid w:val="00001B59"/>
    <w:rsid w:val="0000239D"/>
    <w:rsid w:val="00002A80"/>
    <w:rsid w:val="000037F1"/>
    <w:rsid w:val="000042DF"/>
    <w:rsid w:val="00004D05"/>
    <w:rsid w:val="00005399"/>
    <w:rsid w:val="00005701"/>
    <w:rsid w:val="00005C19"/>
    <w:rsid w:val="00006F3C"/>
    <w:rsid w:val="00010406"/>
    <w:rsid w:val="00010495"/>
    <w:rsid w:val="0001095D"/>
    <w:rsid w:val="00010A20"/>
    <w:rsid w:val="00011B30"/>
    <w:rsid w:val="00011CEA"/>
    <w:rsid w:val="0001249F"/>
    <w:rsid w:val="00012E9A"/>
    <w:rsid w:val="0001372A"/>
    <w:rsid w:val="0001412C"/>
    <w:rsid w:val="00014145"/>
    <w:rsid w:val="000145AA"/>
    <w:rsid w:val="00014ED2"/>
    <w:rsid w:val="000157B4"/>
    <w:rsid w:val="0001687B"/>
    <w:rsid w:val="00016D5B"/>
    <w:rsid w:val="000177D3"/>
    <w:rsid w:val="000179AD"/>
    <w:rsid w:val="00020055"/>
    <w:rsid w:val="000207D8"/>
    <w:rsid w:val="00020AD9"/>
    <w:rsid w:val="000214F0"/>
    <w:rsid w:val="00021E9F"/>
    <w:rsid w:val="000227D5"/>
    <w:rsid w:val="00022887"/>
    <w:rsid w:val="00023BDD"/>
    <w:rsid w:val="00023F52"/>
    <w:rsid w:val="00023F72"/>
    <w:rsid w:val="000244DB"/>
    <w:rsid w:val="00024BAB"/>
    <w:rsid w:val="00025877"/>
    <w:rsid w:val="0002619A"/>
    <w:rsid w:val="00026528"/>
    <w:rsid w:val="00026AA6"/>
    <w:rsid w:val="00026E04"/>
    <w:rsid w:val="0003006A"/>
    <w:rsid w:val="00030C3F"/>
    <w:rsid w:val="0003119D"/>
    <w:rsid w:val="000326C3"/>
    <w:rsid w:val="00032C01"/>
    <w:rsid w:val="0003333F"/>
    <w:rsid w:val="00034279"/>
    <w:rsid w:val="0003516A"/>
    <w:rsid w:val="00035A0B"/>
    <w:rsid w:val="00035DA0"/>
    <w:rsid w:val="00036128"/>
    <w:rsid w:val="000366D6"/>
    <w:rsid w:val="00036A01"/>
    <w:rsid w:val="00036E5E"/>
    <w:rsid w:val="00037348"/>
    <w:rsid w:val="00037CE7"/>
    <w:rsid w:val="00041252"/>
    <w:rsid w:val="00041504"/>
    <w:rsid w:val="000417BF"/>
    <w:rsid w:val="000422BD"/>
    <w:rsid w:val="00042435"/>
    <w:rsid w:val="0004268A"/>
    <w:rsid w:val="00042C4B"/>
    <w:rsid w:val="000435CA"/>
    <w:rsid w:val="000441B9"/>
    <w:rsid w:val="00044385"/>
    <w:rsid w:val="000443E5"/>
    <w:rsid w:val="0004449D"/>
    <w:rsid w:val="000447E2"/>
    <w:rsid w:val="0004490C"/>
    <w:rsid w:val="00044AF5"/>
    <w:rsid w:val="000457DE"/>
    <w:rsid w:val="00047BA9"/>
    <w:rsid w:val="00050753"/>
    <w:rsid w:val="00051D53"/>
    <w:rsid w:val="00051D6C"/>
    <w:rsid w:val="00051ED0"/>
    <w:rsid w:val="00051F44"/>
    <w:rsid w:val="00051FE6"/>
    <w:rsid w:val="0005212E"/>
    <w:rsid w:val="00053937"/>
    <w:rsid w:val="000542CE"/>
    <w:rsid w:val="00054CD9"/>
    <w:rsid w:val="00055037"/>
    <w:rsid w:val="0005585F"/>
    <w:rsid w:val="00057551"/>
    <w:rsid w:val="000612E4"/>
    <w:rsid w:val="000615B1"/>
    <w:rsid w:val="00063614"/>
    <w:rsid w:val="00064080"/>
    <w:rsid w:val="00064E18"/>
    <w:rsid w:val="00065A89"/>
    <w:rsid w:val="000667DB"/>
    <w:rsid w:val="00066BFC"/>
    <w:rsid w:val="00066D3B"/>
    <w:rsid w:val="00067334"/>
    <w:rsid w:val="00067429"/>
    <w:rsid w:val="0006773B"/>
    <w:rsid w:val="00067AB3"/>
    <w:rsid w:val="00067D97"/>
    <w:rsid w:val="000700F2"/>
    <w:rsid w:val="000727B7"/>
    <w:rsid w:val="00072AC6"/>
    <w:rsid w:val="00072CB4"/>
    <w:rsid w:val="00072FD5"/>
    <w:rsid w:val="0007461F"/>
    <w:rsid w:val="000756E4"/>
    <w:rsid w:val="0007669C"/>
    <w:rsid w:val="00077022"/>
    <w:rsid w:val="00077095"/>
    <w:rsid w:val="00077F54"/>
    <w:rsid w:val="0008048E"/>
    <w:rsid w:val="00080BCB"/>
    <w:rsid w:val="00080FE9"/>
    <w:rsid w:val="0008102D"/>
    <w:rsid w:val="00081434"/>
    <w:rsid w:val="00081531"/>
    <w:rsid w:val="000822E2"/>
    <w:rsid w:val="00082C43"/>
    <w:rsid w:val="000836B6"/>
    <w:rsid w:val="00083D4E"/>
    <w:rsid w:val="000855F0"/>
    <w:rsid w:val="00085943"/>
    <w:rsid w:val="00085D4C"/>
    <w:rsid w:val="00085ED5"/>
    <w:rsid w:val="0008703A"/>
    <w:rsid w:val="000871D6"/>
    <w:rsid w:val="000875D5"/>
    <w:rsid w:val="00087ADA"/>
    <w:rsid w:val="00087BD5"/>
    <w:rsid w:val="00087EDB"/>
    <w:rsid w:val="0009062C"/>
    <w:rsid w:val="00090789"/>
    <w:rsid w:val="00090940"/>
    <w:rsid w:val="00091117"/>
    <w:rsid w:val="00091EE4"/>
    <w:rsid w:val="00093293"/>
    <w:rsid w:val="00094C2F"/>
    <w:rsid w:val="0009612C"/>
    <w:rsid w:val="00096835"/>
    <w:rsid w:val="00096C07"/>
    <w:rsid w:val="00097070"/>
    <w:rsid w:val="000A1464"/>
    <w:rsid w:val="000A1E31"/>
    <w:rsid w:val="000A44D8"/>
    <w:rsid w:val="000A4748"/>
    <w:rsid w:val="000A47CD"/>
    <w:rsid w:val="000A47FF"/>
    <w:rsid w:val="000A6B88"/>
    <w:rsid w:val="000A6D4D"/>
    <w:rsid w:val="000A7A4A"/>
    <w:rsid w:val="000A7B9D"/>
    <w:rsid w:val="000B1089"/>
    <w:rsid w:val="000B1AA2"/>
    <w:rsid w:val="000B2BD7"/>
    <w:rsid w:val="000B3127"/>
    <w:rsid w:val="000B37F2"/>
    <w:rsid w:val="000B44B5"/>
    <w:rsid w:val="000B5356"/>
    <w:rsid w:val="000B64D1"/>
    <w:rsid w:val="000B7C94"/>
    <w:rsid w:val="000C03DB"/>
    <w:rsid w:val="000C17E9"/>
    <w:rsid w:val="000C258F"/>
    <w:rsid w:val="000C2843"/>
    <w:rsid w:val="000C2A65"/>
    <w:rsid w:val="000C2EF6"/>
    <w:rsid w:val="000C332B"/>
    <w:rsid w:val="000C352D"/>
    <w:rsid w:val="000C3D7A"/>
    <w:rsid w:val="000C403B"/>
    <w:rsid w:val="000C44D8"/>
    <w:rsid w:val="000C489C"/>
    <w:rsid w:val="000C5376"/>
    <w:rsid w:val="000D0A80"/>
    <w:rsid w:val="000D1A62"/>
    <w:rsid w:val="000D344E"/>
    <w:rsid w:val="000D428A"/>
    <w:rsid w:val="000D4FB1"/>
    <w:rsid w:val="000D5647"/>
    <w:rsid w:val="000D5B81"/>
    <w:rsid w:val="000D7078"/>
    <w:rsid w:val="000E0B2B"/>
    <w:rsid w:val="000E21B1"/>
    <w:rsid w:val="000E47CC"/>
    <w:rsid w:val="000E4C9E"/>
    <w:rsid w:val="000E647C"/>
    <w:rsid w:val="000E68D7"/>
    <w:rsid w:val="000E7F10"/>
    <w:rsid w:val="000E7FCD"/>
    <w:rsid w:val="000F02E5"/>
    <w:rsid w:val="000F0469"/>
    <w:rsid w:val="000F052F"/>
    <w:rsid w:val="000F0DBA"/>
    <w:rsid w:val="000F0F7A"/>
    <w:rsid w:val="000F215D"/>
    <w:rsid w:val="000F2709"/>
    <w:rsid w:val="000F2F4A"/>
    <w:rsid w:val="000F340F"/>
    <w:rsid w:val="000F4AA2"/>
    <w:rsid w:val="000F5C9D"/>
    <w:rsid w:val="000F5FD7"/>
    <w:rsid w:val="000F70B5"/>
    <w:rsid w:val="000F77FE"/>
    <w:rsid w:val="000F7F32"/>
    <w:rsid w:val="00100734"/>
    <w:rsid w:val="00101974"/>
    <w:rsid w:val="00101A1D"/>
    <w:rsid w:val="00101BDA"/>
    <w:rsid w:val="00102579"/>
    <w:rsid w:val="00103C61"/>
    <w:rsid w:val="00104741"/>
    <w:rsid w:val="00105827"/>
    <w:rsid w:val="00106067"/>
    <w:rsid w:val="001070DF"/>
    <w:rsid w:val="001072FA"/>
    <w:rsid w:val="0010747D"/>
    <w:rsid w:val="00107C60"/>
    <w:rsid w:val="001101DA"/>
    <w:rsid w:val="00110361"/>
    <w:rsid w:val="00110A43"/>
    <w:rsid w:val="00110A8E"/>
    <w:rsid w:val="00111473"/>
    <w:rsid w:val="00111E99"/>
    <w:rsid w:val="00112AD1"/>
    <w:rsid w:val="00112AD9"/>
    <w:rsid w:val="00113A00"/>
    <w:rsid w:val="001142B7"/>
    <w:rsid w:val="001149B3"/>
    <w:rsid w:val="00115189"/>
    <w:rsid w:val="00115DAC"/>
    <w:rsid w:val="00116643"/>
    <w:rsid w:val="00116876"/>
    <w:rsid w:val="00117344"/>
    <w:rsid w:val="00117D39"/>
    <w:rsid w:val="0012081F"/>
    <w:rsid w:val="00121726"/>
    <w:rsid w:val="0012174D"/>
    <w:rsid w:val="00121D29"/>
    <w:rsid w:val="00122EE3"/>
    <w:rsid w:val="0012354B"/>
    <w:rsid w:val="0012429A"/>
    <w:rsid w:val="0012449F"/>
    <w:rsid w:val="00124C47"/>
    <w:rsid w:val="001250A6"/>
    <w:rsid w:val="0012700C"/>
    <w:rsid w:val="001279C8"/>
    <w:rsid w:val="00130448"/>
    <w:rsid w:val="001308FB"/>
    <w:rsid w:val="0013107F"/>
    <w:rsid w:val="001313F0"/>
    <w:rsid w:val="00132367"/>
    <w:rsid w:val="00132BC5"/>
    <w:rsid w:val="00133478"/>
    <w:rsid w:val="0013458C"/>
    <w:rsid w:val="0013522A"/>
    <w:rsid w:val="00135304"/>
    <w:rsid w:val="00135884"/>
    <w:rsid w:val="00135981"/>
    <w:rsid w:val="00135B44"/>
    <w:rsid w:val="0013718A"/>
    <w:rsid w:val="00137328"/>
    <w:rsid w:val="001375DF"/>
    <w:rsid w:val="0013798A"/>
    <w:rsid w:val="00137AE4"/>
    <w:rsid w:val="00137B26"/>
    <w:rsid w:val="001406D8"/>
    <w:rsid w:val="0014075D"/>
    <w:rsid w:val="00140F6E"/>
    <w:rsid w:val="001414C8"/>
    <w:rsid w:val="0014167D"/>
    <w:rsid w:val="00141745"/>
    <w:rsid w:val="00141D2F"/>
    <w:rsid w:val="001422C9"/>
    <w:rsid w:val="001429CA"/>
    <w:rsid w:val="001446CE"/>
    <w:rsid w:val="00144D4E"/>
    <w:rsid w:val="001450E9"/>
    <w:rsid w:val="0014543F"/>
    <w:rsid w:val="001457CB"/>
    <w:rsid w:val="001503E0"/>
    <w:rsid w:val="001507DD"/>
    <w:rsid w:val="001512A7"/>
    <w:rsid w:val="0015239C"/>
    <w:rsid w:val="00152B8E"/>
    <w:rsid w:val="00153817"/>
    <w:rsid w:val="0015481A"/>
    <w:rsid w:val="00154B5A"/>
    <w:rsid w:val="00154BDF"/>
    <w:rsid w:val="001550EA"/>
    <w:rsid w:val="001552BF"/>
    <w:rsid w:val="0015536E"/>
    <w:rsid w:val="00156605"/>
    <w:rsid w:val="00156F2C"/>
    <w:rsid w:val="001570F0"/>
    <w:rsid w:val="00157C0D"/>
    <w:rsid w:val="00160060"/>
    <w:rsid w:val="00160264"/>
    <w:rsid w:val="00161E72"/>
    <w:rsid w:val="001628ED"/>
    <w:rsid w:val="0016295D"/>
    <w:rsid w:val="0016339A"/>
    <w:rsid w:val="00163594"/>
    <w:rsid w:val="001637AA"/>
    <w:rsid w:val="00163B20"/>
    <w:rsid w:val="00163D76"/>
    <w:rsid w:val="00163D7F"/>
    <w:rsid w:val="001642E7"/>
    <w:rsid w:val="001645EF"/>
    <w:rsid w:val="00164A10"/>
    <w:rsid w:val="00164CE1"/>
    <w:rsid w:val="00165D91"/>
    <w:rsid w:val="00165F55"/>
    <w:rsid w:val="0016703E"/>
    <w:rsid w:val="0016792D"/>
    <w:rsid w:val="00167998"/>
    <w:rsid w:val="001707AE"/>
    <w:rsid w:val="0017174C"/>
    <w:rsid w:val="001733E8"/>
    <w:rsid w:val="0017346B"/>
    <w:rsid w:val="00173511"/>
    <w:rsid w:val="001735EC"/>
    <w:rsid w:val="00173B0A"/>
    <w:rsid w:val="00174200"/>
    <w:rsid w:val="001747AB"/>
    <w:rsid w:val="00175A80"/>
    <w:rsid w:val="00175D12"/>
    <w:rsid w:val="001775B7"/>
    <w:rsid w:val="001777A8"/>
    <w:rsid w:val="00177DFA"/>
    <w:rsid w:val="0018002E"/>
    <w:rsid w:val="001807B0"/>
    <w:rsid w:val="001810B6"/>
    <w:rsid w:val="00181B12"/>
    <w:rsid w:val="00182C2A"/>
    <w:rsid w:val="00183A0A"/>
    <w:rsid w:val="00183E93"/>
    <w:rsid w:val="00184623"/>
    <w:rsid w:val="001847B0"/>
    <w:rsid w:val="0018481F"/>
    <w:rsid w:val="001849F1"/>
    <w:rsid w:val="00184A83"/>
    <w:rsid w:val="0018599C"/>
    <w:rsid w:val="001859E9"/>
    <w:rsid w:val="00185CAF"/>
    <w:rsid w:val="001874B9"/>
    <w:rsid w:val="00191E83"/>
    <w:rsid w:val="00191FCA"/>
    <w:rsid w:val="0019289C"/>
    <w:rsid w:val="00194CF4"/>
    <w:rsid w:val="001955B5"/>
    <w:rsid w:val="0019598C"/>
    <w:rsid w:val="001961B4"/>
    <w:rsid w:val="001966E7"/>
    <w:rsid w:val="0019691D"/>
    <w:rsid w:val="0019770A"/>
    <w:rsid w:val="00197B37"/>
    <w:rsid w:val="001A0B36"/>
    <w:rsid w:val="001A14EF"/>
    <w:rsid w:val="001A1952"/>
    <w:rsid w:val="001A3294"/>
    <w:rsid w:val="001A3B3E"/>
    <w:rsid w:val="001A4296"/>
    <w:rsid w:val="001A4543"/>
    <w:rsid w:val="001A4661"/>
    <w:rsid w:val="001A49CF"/>
    <w:rsid w:val="001A4A64"/>
    <w:rsid w:val="001A4B97"/>
    <w:rsid w:val="001A5DD9"/>
    <w:rsid w:val="001A7E2C"/>
    <w:rsid w:val="001B0BE6"/>
    <w:rsid w:val="001B1008"/>
    <w:rsid w:val="001B11DB"/>
    <w:rsid w:val="001B1D62"/>
    <w:rsid w:val="001B2CE1"/>
    <w:rsid w:val="001B2E5B"/>
    <w:rsid w:val="001B2FBE"/>
    <w:rsid w:val="001B3CDC"/>
    <w:rsid w:val="001B457F"/>
    <w:rsid w:val="001B4896"/>
    <w:rsid w:val="001B5D47"/>
    <w:rsid w:val="001B6911"/>
    <w:rsid w:val="001B6B59"/>
    <w:rsid w:val="001B70EB"/>
    <w:rsid w:val="001B73D9"/>
    <w:rsid w:val="001B7C4D"/>
    <w:rsid w:val="001B7D41"/>
    <w:rsid w:val="001C1E04"/>
    <w:rsid w:val="001C2418"/>
    <w:rsid w:val="001C298B"/>
    <w:rsid w:val="001C3260"/>
    <w:rsid w:val="001C3857"/>
    <w:rsid w:val="001C3C9D"/>
    <w:rsid w:val="001C401C"/>
    <w:rsid w:val="001C426A"/>
    <w:rsid w:val="001C5AB5"/>
    <w:rsid w:val="001C695E"/>
    <w:rsid w:val="001C79AB"/>
    <w:rsid w:val="001D1969"/>
    <w:rsid w:val="001D1D96"/>
    <w:rsid w:val="001D375B"/>
    <w:rsid w:val="001D3C0D"/>
    <w:rsid w:val="001D3E6E"/>
    <w:rsid w:val="001D4292"/>
    <w:rsid w:val="001D4F87"/>
    <w:rsid w:val="001D56C1"/>
    <w:rsid w:val="001D57DF"/>
    <w:rsid w:val="001D5BA8"/>
    <w:rsid w:val="001D5F82"/>
    <w:rsid w:val="001D65D9"/>
    <w:rsid w:val="001D6EDB"/>
    <w:rsid w:val="001D7000"/>
    <w:rsid w:val="001D72AE"/>
    <w:rsid w:val="001D77AA"/>
    <w:rsid w:val="001D78D0"/>
    <w:rsid w:val="001E1611"/>
    <w:rsid w:val="001E1858"/>
    <w:rsid w:val="001E195D"/>
    <w:rsid w:val="001E1C11"/>
    <w:rsid w:val="001E2EEE"/>
    <w:rsid w:val="001E357D"/>
    <w:rsid w:val="001E3832"/>
    <w:rsid w:val="001E436C"/>
    <w:rsid w:val="001E4E42"/>
    <w:rsid w:val="001E5E80"/>
    <w:rsid w:val="001E629C"/>
    <w:rsid w:val="001E63E5"/>
    <w:rsid w:val="001E6A5D"/>
    <w:rsid w:val="001E6ED4"/>
    <w:rsid w:val="001E74AE"/>
    <w:rsid w:val="001E77A3"/>
    <w:rsid w:val="001E7987"/>
    <w:rsid w:val="001F008A"/>
    <w:rsid w:val="001F0312"/>
    <w:rsid w:val="001F0FDE"/>
    <w:rsid w:val="001F11FA"/>
    <w:rsid w:val="001F1939"/>
    <w:rsid w:val="001F3B27"/>
    <w:rsid w:val="001F41FC"/>
    <w:rsid w:val="001F59E4"/>
    <w:rsid w:val="001F632C"/>
    <w:rsid w:val="001F64C7"/>
    <w:rsid w:val="001F74E2"/>
    <w:rsid w:val="00200120"/>
    <w:rsid w:val="00200F3F"/>
    <w:rsid w:val="0020112E"/>
    <w:rsid w:val="00201581"/>
    <w:rsid w:val="00201B9E"/>
    <w:rsid w:val="00202031"/>
    <w:rsid w:val="00202557"/>
    <w:rsid w:val="0020256A"/>
    <w:rsid w:val="002035A7"/>
    <w:rsid w:val="00203E0E"/>
    <w:rsid w:val="002045EC"/>
    <w:rsid w:val="00205BAF"/>
    <w:rsid w:val="002061BE"/>
    <w:rsid w:val="00206876"/>
    <w:rsid w:val="00206F61"/>
    <w:rsid w:val="00207251"/>
    <w:rsid w:val="00207785"/>
    <w:rsid w:val="00207E53"/>
    <w:rsid w:val="002106F5"/>
    <w:rsid w:val="00210758"/>
    <w:rsid w:val="00210A0C"/>
    <w:rsid w:val="00211AA5"/>
    <w:rsid w:val="00211DBB"/>
    <w:rsid w:val="0021236F"/>
    <w:rsid w:val="00212D1B"/>
    <w:rsid w:val="00214384"/>
    <w:rsid w:val="00215720"/>
    <w:rsid w:val="0021589F"/>
    <w:rsid w:val="002158E6"/>
    <w:rsid w:val="002174E5"/>
    <w:rsid w:val="002175C6"/>
    <w:rsid w:val="00217611"/>
    <w:rsid w:val="002177E0"/>
    <w:rsid w:val="002206D9"/>
    <w:rsid w:val="00220746"/>
    <w:rsid w:val="00221059"/>
    <w:rsid w:val="00221995"/>
    <w:rsid w:val="00221A1D"/>
    <w:rsid w:val="002229C0"/>
    <w:rsid w:val="002233AC"/>
    <w:rsid w:val="00224BA3"/>
    <w:rsid w:val="00224C78"/>
    <w:rsid w:val="00224DA4"/>
    <w:rsid w:val="002250C9"/>
    <w:rsid w:val="00225195"/>
    <w:rsid w:val="002259CB"/>
    <w:rsid w:val="002260B2"/>
    <w:rsid w:val="002262B8"/>
    <w:rsid w:val="002267CA"/>
    <w:rsid w:val="00226D20"/>
    <w:rsid w:val="00227545"/>
    <w:rsid w:val="0022770B"/>
    <w:rsid w:val="00230331"/>
    <w:rsid w:val="0023402E"/>
    <w:rsid w:val="002344B5"/>
    <w:rsid w:val="00234ADE"/>
    <w:rsid w:val="00235293"/>
    <w:rsid w:val="00235545"/>
    <w:rsid w:val="00235C14"/>
    <w:rsid w:val="002368AB"/>
    <w:rsid w:val="00236C1D"/>
    <w:rsid w:val="00237140"/>
    <w:rsid w:val="00240104"/>
    <w:rsid w:val="002406B7"/>
    <w:rsid w:val="0024096C"/>
    <w:rsid w:val="00241904"/>
    <w:rsid w:val="00241F92"/>
    <w:rsid w:val="002437C1"/>
    <w:rsid w:val="00243DEB"/>
    <w:rsid w:val="0024500C"/>
    <w:rsid w:val="00245C29"/>
    <w:rsid w:val="00246574"/>
    <w:rsid w:val="00246B92"/>
    <w:rsid w:val="00246F90"/>
    <w:rsid w:val="0024705B"/>
    <w:rsid w:val="00247076"/>
    <w:rsid w:val="00247789"/>
    <w:rsid w:val="0025005E"/>
    <w:rsid w:val="0025079A"/>
    <w:rsid w:val="00250BEA"/>
    <w:rsid w:val="00252D81"/>
    <w:rsid w:val="00253A41"/>
    <w:rsid w:val="00253B66"/>
    <w:rsid w:val="00255321"/>
    <w:rsid w:val="00255617"/>
    <w:rsid w:val="0025575C"/>
    <w:rsid w:val="00255D5D"/>
    <w:rsid w:val="00255FF5"/>
    <w:rsid w:val="0025688A"/>
    <w:rsid w:val="0025689B"/>
    <w:rsid w:val="00256B1F"/>
    <w:rsid w:val="00261676"/>
    <w:rsid w:val="0026240F"/>
    <w:rsid w:val="0026394B"/>
    <w:rsid w:val="002648FF"/>
    <w:rsid w:val="00264957"/>
    <w:rsid w:val="0026619D"/>
    <w:rsid w:val="002679FC"/>
    <w:rsid w:val="00270506"/>
    <w:rsid w:val="002709DF"/>
    <w:rsid w:val="00270B51"/>
    <w:rsid w:val="00270B63"/>
    <w:rsid w:val="00270DD3"/>
    <w:rsid w:val="00271545"/>
    <w:rsid w:val="002717CB"/>
    <w:rsid w:val="00271B4F"/>
    <w:rsid w:val="002729E4"/>
    <w:rsid w:val="00272A37"/>
    <w:rsid w:val="00272F72"/>
    <w:rsid w:val="0027301A"/>
    <w:rsid w:val="002736F9"/>
    <w:rsid w:val="0027431D"/>
    <w:rsid w:val="00275B3E"/>
    <w:rsid w:val="00275B50"/>
    <w:rsid w:val="00276030"/>
    <w:rsid w:val="002765AB"/>
    <w:rsid w:val="00276714"/>
    <w:rsid w:val="00276E1D"/>
    <w:rsid w:val="00276F6F"/>
    <w:rsid w:val="002774E1"/>
    <w:rsid w:val="0027796E"/>
    <w:rsid w:val="00277C91"/>
    <w:rsid w:val="00280669"/>
    <w:rsid w:val="002808EF"/>
    <w:rsid w:val="002815B3"/>
    <w:rsid w:val="00281737"/>
    <w:rsid w:val="002818ED"/>
    <w:rsid w:val="00281E82"/>
    <w:rsid w:val="00281FB5"/>
    <w:rsid w:val="002828E7"/>
    <w:rsid w:val="00282D3B"/>
    <w:rsid w:val="00282DAC"/>
    <w:rsid w:val="00282F51"/>
    <w:rsid w:val="002833DE"/>
    <w:rsid w:val="0028385C"/>
    <w:rsid w:val="00283E27"/>
    <w:rsid w:val="00283F4F"/>
    <w:rsid w:val="002846CA"/>
    <w:rsid w:val="00285F4D"/>
    <w:rsid w:val="00285FFF"/>
    <w:rsid w:val="00286AE4"/>
    <w:rsid w:val="0028705A"/>
    <w:rsid w:val="0029009A"/>
    <w:rsid w:val="00290FA8"/>
    <w:rsid w:val="002914DB"/>
    <w:rsid w:val="0029157A"/>
    <w:rsid w:val="002917BD"/>
    <w:rsid w:val="00291FAE"/>
    <w:rsid w:val="0029273F"/>
    <w:rsid w:val="00292B86"/>
    <w:rsid w:val="00292DC3"/>
    <w:rsid w:val="00292DFC"/>
    <w:rsid w:val="00293CA4"/>
    <w:rsid w:val="00294821"/>
    <w:rsid w:val="0029550F"/>
    <w:rsid w:val="00296731"/>
    <w:rsid w:val="00296B4F"/>
    <w:rsid w:val="00297681"/>
    <w:rsid w:val="002A0025"/>
    <w:rsid w:val="002A0918"/>
    <w:rsid w:val="002A1044"/>
    <w:rsid w:val="002A19A6"/>
    <w:rsid w:val="002A2303"/>
    <w:rsid w:val="002A28AD"/>
    <w:rsid w:val="002A3461"/>
    <w:rsid w:val="002A3521"/>
    <w:rsid w:val="002A39BF"/>
    <w:rsid w:val="002A3B81"/>
    <w:rsid w:val="002A4283"/>
    <w:rsid w:val="002A4B21"/>
    <w:rsid w:val="002A4BC2"/>
    <w:rsid w:val="002A5664"/>
    <w:rsid w:val="002A5778"/>
    <w:rsid w:val="002A602B"/>
    <w:rsid w:val="002A73A3"/>
    <w:rsid w:val="002A7B9C"/>
    <w:rsid w:val="002B17EF"/>
    <w:rsid w:val="002B18E3"/>
    <w:rsid w:val="002B1F4E"/>
    <w:rsid w:val="002B36D3"/>
    <w:rsid w:val="002B3B35"/>
    <w:rsid w:val="002B3BB0"/>
    <w:rsid w:val="002B40C4"/>
    <w:rsid w:val="002B483D"/>
    <w:rsid w:val="002B4D31"/>
    <w:rsid w:val="002B520C"/>
    <w:rsid w:val="002B5CCC"/>
    <w:rsid w:val="002B60FD"/>
    <w:rsid w:val="002B63B1"/>
    <w:rsid w:val="002C0F7E"/>
    <w:rsid w:val="002C181D"/>
    <w:rsid w:val="002C1A0B"/>
    <w:rsid w:val="002C239E"/>
    <w:rsid w:val="002C38DD"/>
    <w:rsid w:val="002C4006"/>
    <w:rsid w:val="002C44BA"/>
    <w:rsid w:val="002C4A9C"/>
    <w:rsid w:val="002C4EA6"/>
    <w:rsid w:val="002C4EFB"/>
    <w:rsid w:val="002C51D9"/>
    <w:rsid w:val="002C5278"/>
    <w:rsid w:val="002C56C6"/>
    <w:rsid w:val="002C69F3"/>
    <w:rsid w:val="002C70AD"/>
    <w:rsid w:val="002C7918"/>
    <w:rsid w:val="002D06D5"/>
    <w:rsid w:val="002D0812"/>
    <w:rsid w:val="002D082A"/>
    <w:rsid w:val="002D0D9D"/>
    <w:rsid w:val="002D19BE"/>
    <w:rsid w:val="002D1B42"/>
    <w:rsid w:val="002D389C"/>
    <w:rsid w:val="002D3C78"/>
    <w:rsid w:val="002D46A5"/>
    <w:rsid w:val="002D4706"/>
    <w:rsid w:val="002D5334"/>
    <w:rsid w:val="002D5C2A"/>
    <w:rsid w:val="002D6088"/>
    <w:rsid w:val="002D7347"/>
    <w:rsid w:val="002D796C"/>
    <w:rsid w:val="002E149E"/>
    <w:rsid w:val="002E14E8"/>
    <w:rsid w:val="002E1587"/>
    <w:rsid w:val="002E24F3"/>
    <w:rsid w:val="002E2E0C"/>
    <w:rsid w:val="002E323A"/>
    <w:rsid w:val="002E347A"/>
    <w:rsid w:val="002E47EE"/>
    <w:rsid w:val="002E584A"/>
    <w:rsid w:val="002E58C7"/>
    <w:rsid w:val="002E73A0"/>
    <w:rsid w:val="002E7705"/>
    <w:rsid w:val="002E7D66"/>
    <w:rsid w:val="002F1170"/>
    <w:rsid w:val="002F117B"/>
    <w:rsid w:val="002F1D1F"/>
    <w:rsid w:val="002F1E99"/>
    <w:rsid w:val="002F22E5"/>
    <w:rsid w:val="002F2A33"/>
    <w:rsid w:val="002F35F2"/>
    <w:rsid w:val="002F36CE"/>
    <w:rsid w:val="002F3936"/>
    <w:rsid w:val="002F3EF0"/>
    <w:rsid w:val="002F56A9"/>
    <w:rsid w:val="002F56F6"/>
    <w:rsid w:val="002F56FE"/>
    <w:rsid w:val="002F5A3A"/>
    <w:rsid w:val="002F6250"/>
    <w:rsid w:val="002F6809"/>
    <w:rsid w:val="002F6E33"/>
    <w:rsid w:val="002F7019"/>
    <w:rsid w:val="002F7165"/>
    <w:rsid w:val="002F71A7"/>
    <w:rsid w:val="002F7A31"/>
    <w:rsid w:val="003006F6"/>
    <w:rsid w:val="00300E39"/>
    <w:rsid w:val="003022E6"/>
    <w:rsid w:val="003028C4"/>
    <w:rsid w:val="00302B3C"/>
    <w:rsid w:val="00303120"/>
    <w:rsid w:val="00304088"/>
    <w:rsid w:val="003042BB"/>
    <w:rsid w:val="003043A7"/>
    <w:rsid w:val="003044FD"/>
    <w:rsid w:val="00304552"/>
    <w:rsid w:val="00304C24"/>
    <w:rsid w:val="00305142"/>
    <w:rsid w:val="00305B10"/>
    <w:rsid w:val="00306833"/>
    <w:rsid w:val="00306A78"/>
    <w:rsid w:val="003073EC"/>
    <w:rsid w:val="00310C1D"/>
    <w:rsid w:val="003116BD"/>
    <w:rsid w:val="00312B8D"/>
    <w:rsid w:val="0031368F"/>
    <w:rsid w:val="003143F6"/>
    <w:rsid w:val="003146C5"/>
    <w:rsid w:val="00314847"/>
    <w:rsid w:val="0031494B"/>
    <w:rsid w:val="00316700"/>
    <w:rsid w:val="003168CE"/>
    <w:rsid w:val="003171BD"/>
    <w:rsid w:val="0031755C"/>
    <w:rsid w:val="00317A57"/>
    <w:rsid w:val="00321C9B"/>
    <w:rsid w:val="00322748"/>
    <w:rsid w:val="00322955"/>
    <w:rsid w:val="00323E01"/>
    <w:rsid w:val="00324B45"/>
    <w:rsid w:val="00326592"/>
    <w:rsid w:val="00327652"/>
    <w:rsid w:val="0032787F"/>
    <w:rsid w:val="003278B5"/>
    <w:rsid w:val="003305EA"/>
    <w:rsid w:val="003307DB"/>
    <w:rsid w:val="00330BDF"/>
    <w:rsid w:val="00330D8F"/>
    <w:rsid w:val="003312C4"/>
    <w:rsid w:val="00331A87"/>
    <w:rsid w:val="00331DFF"/>
    <w:rsid w:val="00331FC1"/>
    <w:rsid w:val="003328E1"/>
    <w:rsid w:val="00333396"/>
    <w:rsid w:val="0033394A"/>
    <w:rsid w:val="00333B68"/>
    <w:rsid w:val="003348ED"/>
    <w:rsid w:val="003359D3"/>
    <w:rsid w:val="00335F0D"/>
    <w:rsid w:val="003361EF"/>
    <w:rsid w:val="00336432"/>
    <w:rsid w:val="003364EE"/>
    <w:rsid w:val="003377C5"/>
    <w:rsid w:val="00337C2B"/>
    <w:rsid w:val="00340456"/>
    <w:rsid w:val="0034066C"/>
    <w:rsid w:val="00340DBF"/>
    <w:rsid w:val="003412B6"/>
    <w:rsid w:val="003412DA"/>
    <w:rsid w:val="00341626"/>
    <w:rsid w:val="003421FB"/>
    <w:rsid w:val="00342E43"/>
    <w:rsid w:val="00342F28"/>
    <w:rsid w:val="00344627"/>
    <w:rsid w:val="00344CD4"/>
    <w:rsid w:val="00344EAD"/>
    <w:rsid w:val="003464F2"/>
    <w:rsid w:val="0034695C"/>
    <w:rsid w:val="0034752A"/>
    <w:rsid w:val="0034773B"/>
    <w:rsid w:val="003479F0"/>
    <w:rsid w:val="0035007E"/>
    <w:rsid w:val="00350249"/>
    <w:rsid w:val="0035074E"/>
    <w:rsid w:val="00350F80"/>
    <w:rsid w:val="003511C2"/>
    <w:rsid w:val="00352030"/>
    <w:rsid w:val="003542B6"/>
    <w:rsid w:val="00355107"/>
    <w:rsid w:val="003553A2"/>
    <w:rsid w:val="00355F42"/>
    <w:rsid w:val="00356643"/>
    <w:rsid w:val="00356B39"/>
    <w:rsid w:val="00357123"/>
    <w:rsid w:val="00357669"/>
    <w:rsid w:val="00357EDC"/>
    <w:rsid w:val="003603DB"/>
    <w:rsid w:val="00360660"/>
    <w:rsid w:val="00360851"/>
    <w:rsid w:val="003609E9"/>
    <w:rsid w:val="00360ADA"/>
    <w:rsid w:val="00360D68"/>
    <w:rsid w:val="00361159"/>
    <w:rsid w:val="003614E7"/>
    <w:rsid w:val="00361ADA"/>
    <w:rsid w:val="00362E78"/>
    <w:rsid w:val="003639CB"/>
    <w:rsid w:val="003643A1"/>
    <w:rsid w:val="003655ED"/>
    <w:rsid w:val="00366F14"/>
    <w:rsid w:val="003672E9"/>
    <w:rsid w:val="0036793D"/>
    <w:rsid w:val="003708E8"/>
    <w:rsid w:val="0037167F"/>
    <w:rsid w:val="0037195F"/>
    <w:rsid w:val="00371CF7"/>
    <w:rsid w:val="00372A01"/>
    <w:rsid w:val="00372DD2"/>
    <w:rsid w:val="00372E04"/>
    <w:rsid w:val="00373B5D"/>
    <w:rsid w:val="00374466"/>
    <w:rsid w:val="00374D3C"/>
    <w:rsid w:val="00375812"/>
    <w:rsid w:val="0037644A"/>
    <w:rsid w:val="00376640"/>
    <w:rsid w:val="00377653"/>
    <w:rsid w:val="00380098"/>
    <w:rsid w:val="003803CF"/>
    <w:rsid w:val="00380CC9"/>
    <w:rsid w:val="003820F5"/>
    <w:rsid w:val="00382FE1"/>
    <w:rsid w:val="0038304A"/>
    <w:rsid w:val="0038356C"/>
    <w:rsid w:val="00383AB9"/>
    <w:rsid w:val="00383B8A"/>
    <w:rsid w:val="003854E0"/>
    <w:rsid w:val="00390B02"/>
    <w:rsid w:val="003916DA"/>
    <w:rsid w:val="00391A4A"/>
    <w:rsid w:val="00391DEC"/>
    <w:rsid w:val="00392972"/>
    <w:rsid w:val="00392E70"/>
    <w:rsid w:val="0039301C"/>
    <w:rsid w:val="003934E6"/>
    <w:rsid w:val="00393BDA"/>
    <w:rsid w:val="00393F1E"/>
    <w:rsid w:val="00394DD3"/>
    <w:rsid w:val="0039566F"/>
    <w:rsid w:val="003959A3"/>
    <w:rsid w:val="00396927"/>
    <w:rsid w:val="00396DFE"/>
    <w:rsid w:val="003A075D"/>
    <w:rsid w:val="003A2EA4"/>
    <w:rsid w:val="003A31D5"/>
    <w:rsid w:val="003A3A79"/>
    <w:rsid w:val="003A41EC"/>
    <w:rsid w:val="003A44CF"/>
    <w:rsid w:val="003A4E92"/>
    <w:rsid w:val="003A5730"/>
    <w:rsid w:val="003A6213"/>
    <w:rsid w:val="003A6346"/>
    <w:rsid w:val="003A671A"/>
    <w:rsid w:val="003A68CD"/>
    <w:rsid w:val="003A7269"/>
    <w:rsid w:val="003B224C"/>
    <w:rsid w:val="003B267B"/>
    <w:rsid w:val="003B2C27"/>
    <w:rsid w:val="003B3801"/>
    <w:rsid w:val="003B3B35"/>
    <w:rsid w:val="003B49EF"/>
    <w:rsid w:val="003B5202"/>
    <w:rsid w:val="003B5817"/>
    <w:rsid w:val="003B5BFC"/>
    <w:rsid w:val="003B5C4E"/>
    <w:rsid w:val="003B6072"/>
    <w:rsid w:val="003B60AA"/>
    <w:rsid w:val="003B62C7"/>
    <w:rsid w:val="003B66A8"/>
    <w:rsid w:val="003B7DA6"/>
    <w:rsid w:val="003C0531"/>
    <w:rsid w:val="003C093E"/>
    <w:rsid w:val="003C1062"/>
    <w:rsid w:val="003C18CC"/>
    <w:rsid w:val="003C1F23"/>
    <w:rsid w:val="003C2154"/>
    <w:rsid w:val="003C3A8B"/>
    <w:rsid w:val="003C46D1"/>
    <w:rsid w:val="003C4F6F"/>
    <w:rsid w:val="003C5F80"/>
    <w:rsid w:val="003C6B54"/>
    <w:rsid w:val="003C6CA0"/>
    <w:rsid w:val="003C7127"/>
    <w:rsid w:val="003C73CC"/>
    <w:rsid w:val="003C759A"/>
    <w:rsid w:val="003C77A7"/>
    <w:rsid w:val="003C77DD"/>
    <w:rsid w:val="003C7C67"/>
    <w:rsid w:val="003C7FD3"/>
    <w:rsid w:val="003D0559"/>
    <w:rsid w:val="003D08A2"/>
    <w:rsid w:val="003D1031"/>
    <w:rsid w:val="003D150C"/>
    <w:rsid w:val="003D16A5"/>
    <w:rsid w:val="003D2947"/>
    <w:rsid w:val="003D2D14"/>
    <w:rsid w:val="003D3ACC"/>
    <w:rsid w:val="003D4583"/>
    <w:rsid w:val="003D46FA"/>
    <w:rsid w:val="003D4983"/>
    <w:rsid w:val="003D553E"/>
    <w:rsid w:val="003D59F4"/>
    <w:rsid w:val="003D6045"/>
    <w:rsid w:val="003D61DB"/>
    <w:rsid w:val="003D6932"/>
    <w:rsid w:val="003D7B59"/>
    <w:rsid w:val="003E0E63"/>
    <w:rsid w:val="003E1742"/>
    <w:rsid w:val="003E1AC4"/>
    <w:rsid w:val="003E1C2C"/>
    <w:rsid w:val="003E1CB5"/>
    <w:rsid w:val="003E1DE5"/>
    <w:rsid w:val="003E1F52"/>
    <w:rsid w:val="003E234E"/>
    <w:rsid w:val="003E2421"/>
    <w:rsid w:val="003E254B"/>
    <w:rsid w:val="003E3C92"/>
    <w:rsid w:val="003E5209"/>
    <w:rsid w:val="003E5352"/>
    <w:rsid w:val="003E5683"/>
    <w:rsid w:val="003E5949"/>
    <w:rsid w:val="003E601E"/>
    <w:rsid w:val="003E6323"/>
    <w:rsid w:val="003E690D"/>
    <w:rsid w:val="003E6D04"/>
    <w:rsid w:val="003E6D3F"/>
    <w:rsid w:val="003E7FAC"/>
    <w:rsid w:val="003F11E6"/>
    <w:rsid w:val="003F1465"/>
    <w:rsid w:val="003F28D5"/>
    <w:rsid w:val="003F31E7"/>
    <w:rsid w:val="003F408E"/>
    <w:rsid w:val="003F4EBE"/>
    <w:rsid w:val="003F583C"/>
    <w:rsid w:val="003F589E"/>
    <w:rsid w:val="003F5BF1"/>
    <w:rsid w:val="003F68B0"/>
    <w:rsid w:val="003F6ABD"/>
    <w:rsid w:val="003F786A"/>
    <w:rsid w:val="003F7AA6"/>
    <w:rsid w:val="004003F9"/>
    <w:rsid w:val="004006AF"/>
    <w:rsid w:val="0040083F"/>
    <w:rsid w:val="00403629"/>
    <w:rsid w:val="00403B42"/>
    <w:rsid w:val="00404374"/>
    <w:rsid w:val="00404426"/>
    <w:rsid w:val="00404DAF"/>
    <w:rsid w:val="0040520B"/>
    <w:rsid w:val="0040537D"/>
    <w:rsid w:val="00405400"/>
    <w:rsid w:val="00405992"/>
    <w:rsid w:val="0040605E"/>
    <w:rsid w:val="004067CA"/>
    <w:rsid w:val="004100F3"/>
    <w:rsid w:val="004111A8"/>
    <w:rsid w:val="00411711"/>
    <w:rsid w:val="00411F8A"/>
    <w:rsid w:val="00412376"/>
    <w:rsid w:val="00413641"/>
    <w:rsid w:val="00413870"/>
    <w:rsid w:val="00414B6F"/>
    <w:rsid w:val="00414CB2"/>
    <w:rsid w:val="00415A5B"/>
    <w:rsid w:val="00416AAB"/>
    <w:rsid w:val="00417304"/>
    <w:rsid w:val="004178E1"/>
    <w:rsid w:val="0041791A"/>
    <w:rsid w:val="00417AA8"/>
    <w:rsid w:val="00417FCB"/>
    <w:rsid w:val="00420EDC"/>
    <w:rsid w:val="004215F6"/>
    <w:rsid w:val="00421E06"/>
    <w:rsid w:val="00421FB6"/>
    <w:rsid w:val="0042336D"/>
    <w:rsid w:val="00423993"/>
    <w:rsid w:val="00424A33"/>
    <w:rsid w:val="0042563A"/>
    <w:rsid w:val="004259B8"/>
    <w:rsid w:val="004260F1"/>
    <w:rsid w:val="0042634C"/>
    <w:rsid w:val="00426D80"/>
    <w:rsid w:val="004272DF"/>
    <w:rsid w:val="004273B8"/>
    <w:rsid w:val="004279CF"/>
    <w:rsid w:val="00427AB6"/>
    <w:rsid w:val="00427FC8"/>
    <w:rsid w:val="004304A9"/>
    <w:rsid w:val="00430756"/>
    <w:rsid w:val="004307E0"/>
    <w:rsid w:val="00431103"/>
    <w:rsid w:val="00431532"/>
    <w:rsid w:val="0043299F"/>
    <w:rsid w:val="00432ED4"/>
    <w:rsid w:val="0043368B"/>
    <w:rsid w:val="00433CA2"/>
    <w:rsid w:val="0043431A"/>
    <w:rsid w:val="00434841"/>
    <w:rsid w:val="00434D25"/>
    <w:rsid w:val="004350FD"/>
    <w:rsid w:val="004360B1"/>
    <w:rsid w:val="00436283"/>
    <w:rsid w:val="0043684D"/>
    <w:rsid w:val="0043692E"/>
    <w:rsid w:val="00436D57"/>
    <w:rsid w:val="004374CB"/>
    <w:rsid w:val="00437DBF"/>
    <w:rsid w:val="00440C6C"/>
    <w:rsid w:val="004413AA"/>
    <w:rsid w:val="00441418"/>
    <w:rsid w:val="00441CF5"/>
    <w:rsid w:val="004428CA"/>
    <w:rsid w:val="00442B8E"/>
    <w:rsid w:val="00442C1F"/>
    <w:rsid w:val="004433DF"/>
    <w:rsid w:val="00443EAE"/>
    <w:rsid w:val="00445236"/>
    <w:rsid w:val="00445A24"/>
    <w:rsid w:val="004461E5"/>
    <w:rsid w:val="00447C06"/>
    <w:rsid w:val="00450334"/>
    <w:rsid w:val="0045053F"/>
    <w:rsid w:val="004506D9"/>
    <w:rsid w:val="004513C5"/>
    <w:rsid w:val="00452459"/>
    <w:rsid w:val="00452DDF"/>
    <w:rsid w:val="00453FBC"/>
    <w:rsid w:val="0045425B"/>
    <w:rsid w:val="00454E83"/>
    <w:rsid w:val="0045519D"/>
    <w:rsid w:val="00455353"/>
    <w:rsid w:val="004560BB"/>
    <w:rsid w:val="00457D36"/>
    <w:rsid w:val="00457E44"/>
    <w:rsid w:val="004600B0"/>
    <w:rsid w:val="004616FA"/>
    <w:rsid w:val="00461AA0"/>
    <w:rsid w:val="00461C14"/>
    <w:rsid w:val="00462BAA"/>
    <w:rsid w:val="00462E09"/>
    <w:rsid w:val="00462FF6"/>
    <w:rsid w:val="004637EA"/>
    <w:rsid w:val="00463C19"/>
    <w:rsid w:val="00465854"/>
    <w:rsid w:val="00465D21"/>
    <w:rsid w:val="00466E18"/>
    <w:rsid w:val="0046711C"/>
    <w:rsid w:val="0046730B"/>
    <w:rsid w:val="004714A5"/>
    <w:rsid w:val="0047188A"/>
    <w:rsid w:val="00471FFC"/>
    <w:rsid w:val="00472D67"/>
    <w:rsid w:val="00473444"/>
    <w:rsid w:val="004737AC"/>
    <w:rsid w:val="00473A08"/>
    <w:rsid w:val="00473D32"/>
    <w:rsid w:val="00474526"/>
    <w:rsid w:val="00474569"/>
    <w:rsid w:val="00474DE1"/>
    <w:rsid w:val="0047576B"/>
    <w:rsid w:val="00476945"/>
    <w:rsid w:val="00481258"/>
    <w:rsid w:val="0048190C"/>
    <w:rsid w:val="00481ADB"/>
    <w:rsid w:val="00482247"/>
    <w:rsid w:val="0048262D"/>
    <w:rsid w:val="0048295B"/>
    <w:rsid w:val="00482BB6"/>
    <w:rsid w:val="00483595"/>
    <w:rsid w:val="00483631"/>
    <w:rsid w:val="0048375B"/>
    <w:rsid w:val="00483FB9"/>
    <w:rsid w:val="00485813"/>
    <w:rsid w:val="00486F1F"/>
    <w:rsid w:val="00487273"/>
    <w:rsid w:val="00487B2C"/>
    <w:rsid w:val="00490B84"/>
    <w:rsid w:val="00492019"/>
    <w:rsid w:val="004921E0"/>
    <w:rsid w:val="00492AD8"/>
    <w:rsid w:val="00493697"/>
    <w:rsid w:val="004936BA"/>
    <w:rsid w:val="00494758"/>
    <w:rsid w:val="0049486B"/>
    <w:rsid w:val="004950D9"/>
    <w:rsid w:val="004955D5"/>
    <w:rsid w:val="004958CE"/>
    <w:rsid w:val="00495B0C"/>
    <w:rsid w:val="00495EDC"/>
    <w:rsid w:val="00496707"/>
    <w:rsid w:val="00496868"/>
    <w:rsid w:val="00496F1C"/>
    <w:rsid w:val="00497A4D"/>
    <w:rsid w:val="004A00B6"/>
    <w:rsid w:val="004A0591"/>
    <w:rsid w:val="004A0D87"/>
    <w:rsid w:val="004A1340"/>
    <w:rsid w:val="004A19D8"/>
    <w:rsid w:val="004A2E57"/>
    <w:rsid w:val="004A2E8B"/>
    <w:rsid w:val="004A314E"/>
    <w:rsid w:val="004A42E8"/>
    <w:rsid w:val="004A556F"/>
    <w:rsid w:val="004A610B"/>
    <w:rsid w:val="004B1043"/>
    <w:rsid w:val="004B19A1"/>
    <w:rsid w:val="004B246B"/>
    <w:rsid w:val="004B2C98"/>
    <w:rsid w:val="004B3AF1"/>
    <w:rsid w:val="004B47E0"/>
    <w:rsid w:val="004B4844"/>
    <w:rsid w:val="004B5284"/>
    <w:rsid w:val="004B7024"/>
    <w:rsid w:val="004B7835"/>
    <w:rsid w:val="004B78E7"/>
    <w:rsid w:val="004B7FEC"/>
    <w:rsid w:val="004C044D"/>
    <w:rsid w:val="004C07B0"/>
    <w:rsid w:val="004C0AF3"/>
    <w:rsid w:val="004C0BB4"/>
    <w:rsid w:val="004C0BE8"/>
    <w:rsid w:val="004C0E30"/>
    <w:rsid w:val="004C20D8"/>
    <w:rsid w:val="004C2532"/>
    <w:rsid w:val="004C2CF1"/>
    <w:rsid w:val="004C2E31"/>
    <w:rsid w:val="004C3286"/>
    <w:rsid w:val="004C348B"/>
    <w:rsid w:val="004C34F1"/>
    <w:rsid w:val="004C3A56"/>
    <w:rsid w:val="004C47B4"/>
    <w:rsid w:val="004C47D9"/>
    <w:rsid w:val="004C4971"/>
    <w:rsid w:val="004C4EE8"/>
    <w:rsid w:val="004C4F69"/>
    <w:rsid w:val="004C5397"/>
    <w:rsid w:val="004C6A0A"/>
    <w:rsid w:val="004C6F96"/>
    <w:rsid w:val="004C716A"/>
    <w:rsid w:val="004C77C6"/>
    <w:rsid w:val="004C7AA9"/>
    <w:rsid w:val="004D0639"/>
    <w:rsid w:val="004D141F"/>
    <w:rsid w:val="004D29E5"/>
    <w:rsid w:val="004D2DAE"/>
    <w:rsid w:val="004D3239"/>
    <w:rsid w:val="004D3275"/>
    <w:rsid w:val="004D32D3"/>
    <w:rsid w:val="004D4254"/>
    <w:rsid w:val="004D4A4F"/>
    <w:rsid w:val="004D5244"/>
    <w:rsid w:val="004D5836"/>
    <w:rsid w:val="004D5C1D"/>
    <w:rsid w:val="004D5C87"/>
    <w:rsid w:val="004D6D43"/>
    <w:rsid w:val="004D6DF4"/>
    <w:rsid w:val="004D7782"/>
    <w:rsid w:val="004D7FA4"/>
    <w:rsid w:val="004E0287"/>
    <w:rsid w:val="004E05FE"/>
    <w:rsid w:val="004E0B6F"/>
    <w:rsid w:val="004E0DFE"/>
    <w:rsid w:val="004E19B5"/>
    <w:rsid w:val="004E27F2"/>
    <w:rsid w:val="004E2E77"/>
    <w:rsid w:val="004E3657"/>
    <w:rsid w:val="004E3738"/>
    <w:rsid w:val="004E3971"/>
    <w:rsid w:val="004E3FA9"/>
    <w:rsid w:val="004E512E"/>
    <w:rsid w:val="004E5795"/>
    <w:rsid w:val="004E5CAF"/>
    <w:rsid w:val="004E6566"/>
    <w:rsid w:val="004E658D"/>
    <w:rsid w:val="004E717D"/>
    <w:rsid w:val="004E75D3"/>
    <w:rsid w:val="004F07C6"/>
    <w:rsid w:val="004F116A"/>
    <w:rsid w:val="004F11F4"/>
    <w:rsid w:val="004F3489"/>
    <w:rsid w:val="004F4AEE"/>
    <w:rsid w:val="004F4C41"/>
    <w:rsid w:val="004F4DC2"/>
    <w:rsid w:val="004F4EE2"/>
    <w:rsid w:val="004F52ED"/>
    <w:rsid w:val="004F58A2"/>
    <w:rsid w:val="004F5D36"/>
    <w:rsid w:val="004F624E"/>
    <w:rsid w:val="004F6EA0"/>
    <w:rsid w:val="004F6EF7"/>
    <w:rsid w:val="004F72E7"/>
    <w:rsid w:val="00500446"/>
    <w:rsid w:val="005007D0"/>
    <w:rsid w:val="00501F95"/>
    <w:rsid w:val="005034ED"/>
    <w:rsid w:val="005036EF"/>
    <w:rsid w:val="00503843"/>
    <w:rsid w:val="00505449"/>
    <w:rsid w:val="0050567F"/>
    <w:rsid w:val="005072F3"/>
    <w:rsid w:val="00507BF2"/>
    <w:rsid w:val="0051043F"/>
    <w:rsid w:val="005105BA"/>
    <w:rsid w:val="00510ABF"/>
    <w:rsid w:val="0051168D"/>
    <w:rsid w:val="00511B7E"/>
    <w:rsid w:val="00512481"/>
    <w:rsid w:val="00512BE3"/>
    <w:rsid w:val="00513035"/>
    <w:rsid w:val="005140DB"/>
    <w:rsid w:val="00514E86"/>
    <w:rsid w:val="00514FE7"/>
    <w:rsid w:val="005158BF"/>
    <w:rsid w:val="005159C7"/>
    <w:rsid w:val="00515EF8"/>
    <w:rsid w:val="005163EE"/>
    <w:rsid w:val="00516739"/>
    <w:rsid w:val="00516D89"/>
    <w:rsid w:val="0051745F"/>
    <w:rsid w:val="0051763D"/>
    <w:rsid w:val="005204F8"/>
    <w:rsid w:val="005206B3"/>
    <w:rsid w:val="00520A01"/>
    <w:rsid w:val="00521114"/>
    <w:rsid w:val="00521384"/>
    <w:rsid w:val="0052177B"/>
    <w:rsid w:val="005222C7"/>
    <w:rsid w:val="00522CE9"/>
    <w:rsid w:val="00522DA1"/>
    <w:rsid w:val="00523C7C"/>
    <w:rsid w:val="00524168"/>
    <w:rsid w:val="00524182"/>
    <w:rsid w:val="0052453C"/>
    <w:rsid w:val="00524A92"/>
    <w:rsid w:val="0052635F"/>
    <w:rsid w:val="00526ED2"/>
    <w:rsid w:val="00526F15"/>
    <w:rsid w:val="0052749F"/>
    <w:rsid w:val="00527648"/>
    <w:rsid w:val="00527C78"/>
    <w:rsid w:val="0053007E"/>
    <w:rsid w:val="00530A3F"/>
    <w:rsid w:val="00531A6A"/>
    <w:rsid w:val="005325AD"/>
    <w:rsid w:val="00532B38"/>
    <w:rsid w:val="00532D84"/>
    <w:rsid w:val="00532E46"/>
    <w:rsid w:val="00532EC4"/>
    <w:rsid w:val="00533274"/>
    <w:rsid w:val="005336D5"/>
    <w:rsid w:val="00533FE1"/>
    <w:rsid w:val="00535CC5"/>
    <w:rsid w:val="0053611F"/>
    <w:rsid w:val="0053719D"/>
    <w:rsid w:val="00537259"/>
    <w:rsid w:val="00537472"/>
    <w:rsid w:val="00537FC8"/>
    <w:rsid w:val="005400A4"/>
    <w:rsid w:val="00540574"/>
    <w:rsid w:val="00540B5C"/>
    <w:rsid w:val="00540E1B"/>
    <w:rsid w:val="005419C8"/>
    <w:rsid w:val="00541C83"/>
    <w:rsid w:val="00542AC7"/>
    <w:rsid w:val="00543313"/>
    <w:rsid w:val="00543889"/>
    <w:rsid w:val="005446AF"/>
    <w:rsid w:val="00544D65"/>
    <w:rsid w:val="00545656"/>
    <w:rsid w:val="0054711C"/>
    <w:rsid w:val="005474E2"/>
    <w:rsid w:val="00547CC0"/>
    <w:rsid w:val="00547D21"/>
    <w:rsid w:val="00547EB5"/>
    <w:rsid w:val="0055029F"/>
    <w:rsid w:val="0055051C"/>
    <w:rsid w:val="00550D67"/>
    <w:rsid w:val="00551011"/>
    <w:rsid w:val="00551022"/>
    <w:rsid w:val="00551192"/>
    <w:rsid w:val="005522CC"/>
    <w:rsid w:val="0055232D"/>
    <w:rsid w:val="0055277E"/>
    <w:rsid w:val="005531E6"/>
    <w:rsid w:val="00553213"/>
    <w:rsid w:val="0055369A"/>
    <w:rsid w:val="00553720"/>
    <w:rsid w:val="005539BD"/>
    <w:rsid w:val="00553F8B"/>
    <w:rsid w:val="00554627"/>
    <w:rsid w:val="005549D6"/>
    <w:rsid w:val="00554C27"/>
    <w:rsid w:val="00554DE7"/>
    <w:rsid w:val="00555BA1"/>
    <w:rsid w:val="00556281"/>
    <w:rsid w:val="00557818"/>
    <w:rsid w:val="0055788E"/>
    <w:rsid w:val="00560A5B"/>
    <w:rsid w:val="00560B3E"/>
    <w:rsid w:val="00560B6F"/>
    <w:rsid w:val="00560B98"/>
    <w:rsid w:val="00560C6D"/>
    <w:rsid w:val="005615DC"/>
    <w:rsid w:val="005618B8"/>
    <w:rsid w:val="00562158"/>
    <w:rsid w:val="00562C81"/>
    <w:rsid w:val="00563A2F"/>
    <w:rsid w:val="005641D8"/>
    <w:rsid w:val="005643A6"/>
    <w:rsid w:val="005645DC"/>
    <w:rsid w:val="00565806"/>
    <w:rsid w:val="00565BBF"/>
    <w:rsid w:val="00567433"/>
    <w:rsid w:val="00567A3F"/>
    <w:rsid w:val="00570214"/>
    <w:rsid w:val="005720B8"/>
    <w:rsid w:val="005724E2"/>
    <w:rsid w:val="00572AF1"/>
    <w:rsid w:val="0057304F"/>
    <w:rsid w:val="005735A8"/>
    <w:rsid w:val="005739C1"/>
    <w:rsid w:val="00573AF5"/>
    <w:rsid w:val="00573C2B"/>
    <w:rsid w:val="00574271"/>
    <w:rsid w:val="005747AB"/>
    <w:rsid w:val="00574FAB"/>
    <w:rsid w:val="0057588D"/>
    <w:rsid w:val="00577025"/>
    <w:rsid w:val="005770D0"/>
    <w:rsid w:val="00577863"/>
    <w:rsid w:val="005806B8"/>
    <w:rsid w:val="005807D0"/>
    <w:rsid w:val="00580BFA"/>
    <w:rsid w:val="00581697"/>
    <w:rsid w:val="00581EF5"/>
    <w:rsid w:val="00582F80"/>
    <w:rsid w:val="0058311C"/>
    <w:rsid w:val="0058467A"/>
    <w:rsid w:val="0058532E"/>
    <w:rsid w:val="0058553B"/>
    <w:rsid w:val="00585D19"/>
    <w:rsid w:val="0058643E"/>
    <w:rsid w:val="0058722F"/>
    <w:rsid w:val="00587813"/>
    <w:rsid w:val="00587AE7"/>
    <w:rsid w:val="00590023"/>
    <w:rsid w:val="00590270"/>
    <w:rsid w:val="00591038"/>
    <w:rsid w:val="0059156C"/>
    <w:rsid w:val="005927CF"/>
    <w:rsid w:val="0059289B"/>
    <w:rsid w:val="00592BF9"/>
    <w:rsid w:val="00593F8E"/>
    <w:rsid w:val="00594182"/>
    <w:rsid w:val="00595ED6"/>
    <w:rsid w:val="00595F0E"/>
    <w:rsid w:val="00595FA3"/>
    <w:rsid w:val="00596F80"/>
    <w:rsid w:val="0059715C"/>
    <w:rsid w:val="005973FC"/>
    <w:rsid w:val="00597708"/>
    <w:rsid w:val="00597738"/>
    <w:rsid w:val="005979D4"/>
    <w:rsid w:val="005A0B05"/>
    <w:rsid w:val="005A0E8F"/>
    <w:rsid w:val="005A0FA8"/>
    <w:rsid w:val="005A11E2"/>
    <w:rsid w:val="005A173A"/>
    <w:rsid w:val="005A2249"/>
    <w:rsid w:val="005A36F8"/>
    <w:rsid w:val="005A3A87"/>
    <w:rsid w:val="005A3C1A"/>
    <w:rsid w:val="005A408F"/>
    <w:rsid w:val="005A4A64"/>
    <w:rsid w:val="005A59A8"/>
    <w:rsid w:val="005A5AEB"/>
    <w:rsid w:val="005A63C8"/>
    <w:rsid w:val="005A6621"/>
    <w:rsid w:val="005A7165"/>
    <w:rsid w:val="005A72C6"/>
    <w:rsid w:val="005B0400"/>
    <w:rsid w:val="005B0F2B"/>
    <w:rsid w:val="005B1716"/>
    <w:rsid w:val="005B1EC3"/>
    <w:rsid w:val="005B396B"/>
    <w:rsid w:val="005B3CCF"/>
    <w:rsid w:val="005B4588"/>
    <w:rsid w:val="005B4D4F"/>
    <w:rsid w:val="005B5650"/>
    <w:rsid w:val="005B56FC"/>
    <w:rsid w:val="005B710D"/>
    <w:rsid w:val="005B77D0"/>
    <w:rsid w:val="005B780B"/>
    <w:rsid w:val="005B7B0D"/>
    <w:rsid w:val="005B7B59"/>
    <w:rsid w:val="005C0082"/>
    <w:rsid w:val="005C047E"/>
    <w:rsid w:val="005C24C0"/>
    <w:rsid w:val="005C275B"/>
    <w:rsid w:val="005C431D"/>
    <w:rsid w:val="005C51ED"/>
    <w:rsid w:val="005C55F4"/>
    <w:rsid w:val="005C562F"/>
    <w:rsid w:val="005C5B5A"/>
    <w:rsid w:val="005C61A1"/>
    <w:rsid w:val="005C731F"/>
    <w:rsid w:val="005C7E1C"/>
    <w:rsid w:val="005D0CE4"/>
    <w:rsid w:val="005D1CC0"/>
    <w:rsid w:val="005D1D67"/>
    <w:rsid w:val="005D39DB"/>
    <w:rsid w:val="005D4863"/>
    <w:rsid w:val="005D4A67"/>
    <w:rsid w:val="005D5F11"/>
    <w:rsid w:val="005E01D0"/>
    <w:rsid w:val="005E1929"/>
    <w:rsid w:val="005E2222"/>
    <w:rsid w:val="005E2F08"/>
    <w:rsid w:val="005E34F3"/>
    <w:rsid w:val="005E40BB"/>
    <w:rsid w:val="005E4D3A"/>
    <w:rsid w:val="005E5ABE"/>
    <w:rsid w:val="005E6519"/>
    <w:rsid w:val="005E6CD8"/>
    <w:rsid w:val="005F1145"/>
    <w:rsid w:val="005F17AC"/>
    <w:rsid w:val="005F2078"/>
    <w:rsid w:val="005F242D"/>
    <w:rsid w:val="005F2AC8"/>
    <w:rsid w:val="005F2FEB"/>
    <w:rsid w:val="005F3798"/>
    <w:rsid w:val="005F3865"/>
    <w:rsid w:val="005F38CA"/>
    <w:rsid w:val="005F4018"/>
    <w:rsid w:val="005F483F"/>
    <w:rsid w:val="005F4A5F"/>
    <w:rsid w:val="005F5575"/>
    <w:rsid w:val="005F5A66"/>
    <w:rsid w:val="005F5C5E"/>
    <w:rsid w:val="006000C0"/>
    <w:rsid w:val="006005B0"/>
    <w:rsid w:val="00600650"/>
    <w:rsid w:val="0060074B"/>
    <w:rsid w:val="00600773"/>
    <w:rsid w:val="006007F6"/>
    <w:rsid w:val="00603455"/>
    <w:rsid w:val="00603EA4"/>
    <w:rsid w:val="00603FAB"/>
    <w:rsid w:val="00604167"/>
    <w:rsid w:val="00604D75"/>
    <w:rsid w:val="006056AF"/>
    <w:rsid w:val="00605BF2"/>
    <w:rsid w:val="0060657A"/>
    <w:rsid w:val="00606FF1"/>
    <w:rsid w:val="00607F91"/>
    <w:rsid w:val="0061177F"/>
    <w:rsid w:val="00612226"/>
    <w:rsid w:val="0061240F"/>
    <w:rsid w:val="00612512"/>
    <w:rsid w:val="00613991"/>
    <w:rsid w:val="0061466D"/>
    <w:rsid w:val="0061497F"/>
    <w:rsid w:val="00614BCF"/>
    <w:rsid w:val="00615BAA"/>
    <w:rsid w:val="00615EAF"/>
    <w:rsid w:val="00616076"/>
    <w:rsid w:val="006161D9"/>
    <w:rsid w:val="00616B56"/>
    <w:rsid w:val="00616F8A"/>
    <w:rsid w:val="00616FD1"/>
    <w:rsid w:val="00617DBB"/>
    <w:rsid w:val="00617F84"/>
    <w:rsid w:val="006213FF"/>
    <w:rsid w:val="00621CDA"/>
    <w:rsid w:val="00621DDE"/>
    <w:rsid w:val="00622C2D"/>
    <w:rsid w:val="00622E81"/>
    <w:rsid w:val="006235F7"/>
    <w:rsid w:val="006236B3"/>
    <w:rsid w:val="00624C86"/>
    <w:rsid w:val="00624F75"/>
    <w:rsid w:val="0062508C"/>
    <w:rsid w:val="006252B6"/>
    <w:rsid w:val="006253F9"/>
    <w:rsid w:val="00625782"/>
    <w:rsid w:val="006269F8"/>
    <w:rsid w:val="00627F95"/>
    <w:rsid w:val="00630597"/>
    <w:rsid w:val="006306B1"/>
    <w:rsid w:val="00630C28"/>
    <w:rsid w:val="006310FA"/>
    <w:rsid w:val="00631C4E"/>
    <w:rsid w:val="006320D3"/>
    <w:rsid w:val="0063236F"/>
    <w:rsid w:val="006323B2"/>
    <w:rsid w:val="006337DD"/>
    <w:rsid w:val="00634699"/>
    <w:rsid w:val="006347F0"/>
    <w:rsid w:val="0063588D"/>
    <w:rsid w:val="00635C42"/>
    <w:rsid w:val="00635FD5"/>
    <w:rsid w:val="00636F72"/>
    <w:rsid w:val="00637157"/>
    <w:rsid w:val="00637433"/>
    <w:rsid w:val="00640372"/>
    <w:rsid w:val="0064150F"/>
    <w:rsid w:val="00642340"/>
    <w:rsid w:val="006427C6"/>
    <w:rsid w:val="00642DAD"/>
    <w:rsid w:val="00643FB5"/>
    <w:rsid w:val="006442D7"/>
    <w:rsid w:val="00644DC0"/>
    <w:rsid w:val="00645065"/>
    <w:rsid w:val="00645813"/>
    <w:rsid w:val="00646CFD"/>
    <w:rsid w:val="00647191"/>
    <w:rsid w:val="00647245"/>
    <w:rsid w:val="006475FE"/>
    <w:rsid w:val="00650BE7"/>
    <w:rsid w:val="00650DA0"/>
    <w:rsid w:val="0065113B"/>
    <w:rsid w:val="006512F4"/>
    <w:rsid w:val="006516FC"/>
    <w:rsid w:val="006522E9"/>
    <w:rsid w:val="00652CC1"/>
    <w:rsid w:val="0065340B"/>
    <w:rsid w:val="00653649"/>
    <w:rsid w:val="0065407D"/>
    <w:rsid w:val="006543D0"/>
    <w:rsid w:val="00654D60"/>
    <w:rsid w:val="00655474"/>
    <w:rsid w:val="00655DFF"/>
    <w:rsid w:val="00656306"/>
    <w:rsid w:val="00656317"/>
    <w:rsid w:val="006567D6"/>
    <w:rsid w:val="00657CF9"/>
    <w:rsid w:val="006602D3"/>
    <w:rsid w:val="00660F94"/>
    <w:rsid w:val="00661953"/>
    <w:rsid w:val="00661EB1"/>
    <w:rsid w:val="00662D72"/>
    <w:rsid w:val="00663213"/>
    <w:rsid w:val="006646F3"/>
    <w:rsid w:val="00665395"/>
    <w:rsid w:val="00665629"/>
    <w:rsid w:val="00665CD5"/>
    <w:rsid w:val="00665F5C"/>
    <w:rsid w:val="00666393"/>
    <w:rsid w:val="00666822"/>
    <w:rsid w:val="00667775"/>
    <w:rsid w:val="00667B8E"/>
    <w:rsid w:val="006703E3"/>
    <w:rsid w:val="00670A25"/>
    <w:rsid w:val="00671999"/>
    <w:rsid w:val="00671AB3"/>
    <w:rsid w:val="00671D01"/>
    <w:rsid w:val="00671FE8"/>
    <w:rsid w:val="00672580"/>
    <w:rsid w:val="00672E86"/>
    <w:rsid w:val="00672F0D"/>
    <w:rsid w:val="0067310A"/>
    <w:rsid w:val="00673172"/>
    <w:rsid w:val="00673F3B"/>
    <w:rsid w:val="00675018"/>
    <w:rsid w:val="00675255"/>
    <w:rsid w:val="00675498"/>
    <w:rsid w:val="0067615A"/>
    <w:rsid w:val="00676680"/>
    <w:rsid w:val="006771CD"/>
    <w:rsid w:val="00677CB6"/>
    <w:rsid w:val="00680433"/>
    <w:rsid w:val="00680661"/>
    <w:rsid w:val="00681E1F"/>
    <w:rsid w:val="0068233A"/>
    <w:rsid w:val="00682430"/>
    <w:rsid w:val="00682C93"/>
    <w:rsid w:val="00682F9E"/>
    <w:rsid w:val="00683238"/>
    <w:rsid w:val="00683B7F"/>
    <w:rsid w:val="0068417D"/>
    <w:rsid w:val="0068474E"/>
    <w:rsid w:val="00685473"/>
    <w:rsid w:val="00686AAB"/>
    <w:rsid w:val="00686AD7"/>
    <w:rsid w:val="00686CB4"/>
    <w:rsid w:val="00686FFF"/>
    <w:rsid w:val="00690A98"/>
    <w:rsid w:val="006911F1"/>
    <w:rsid w:val="006916C5"/>
    <w:rsid w:val="00692D14"/>
    <w:rsid w:val="006933DE"/>
    <w:rsid w:val="00693B8C"/>
    <w:rsid w:val="00693F5A"/>
    <w:rsid w:val="00693FB3"/>
    <w:rsid w:val="00693FDE"/>
    <w:rsid w:val="006943A7"/>
    <w:rsid w:val="0069656B"/>
    <w:rsid w:val="00696B12"/>
    <w:rsid w:val="00696E42"/>
    <w:rsid w:val="00696FC9"/>
    <w:rsid w:val="006973AE"/>
    <w:rsid w:val="006975D4"/>
    <w:rsid w:val="00697EE5"/>
    <w:rsid w:val="006A01C7"/>
    <w:rsid w:val="006A026D"/>
    <w:rsid w:val="006A06D6"/>
    <w:rsid w:val="006A08CB"/>
    <w:rsid w:val="006A0D12"/>
    <w:rsid w:val="006A1109"/>
    <w:rsid w:val="006A1D4E"/>
    <w:rsid w:val="006A214D"/>
    <w:rsid w:val="006A2BE9"/>
    <w:rsid w:val="006A318F"/>
    <w:rsid w:val="006A382B"/>
    <w:rsid w:val="006A3DD6"/>
    <w:rsid w:val="006A6042"/>
    <w:rsid w:val="006A6D0A"/>
    <w:rsid w:val="006A7AE8"/>
    <w:rsid w:val="006A7C6D"/>
    <w:rsid w:val="006B0288"/>
    <w:rsid w:val="006B0CEE"/>
    <w:rsid w:val="006B191D"/>
    <w:rsid w:val="006B21ED"/>
    <w:rsid w:val="006B44F2"/>
    <w:rsid w:val="006B4B59"/>
    <w:rsid w:val="006B4C13"/>
    <w:rsid w:val="006B50A3"/>
    <w:rsid w:val="006B50DA"/>
    <w:rsid w:val="006B5F50"/>
    <w:rsid w:val="006B66B2"/>
    <w:rsid w:val="006B6959"/>
    <w:rsid w:val="006B7B14"/>
    <w:rsid w:val="006B7B9F"/>
    <w:rsid w:val="006C0585"/>
    <w:rsid w:val="006C06BA"/>
    <w:rsid w:val="006C1099"/>
    <w:rsid w:val="006C134D"/>
    <w:rsid w:val="006C1892"/>
    <w:rsid w:val="006C1F96"/>
    <w:rsid w:val="006C2B19"/>
    <w:rsid w:val="006C2CF1"/>
    <w:rsid w:val="006C2E33"/>
    <w:rsid w:val="006C31B5"/>
    <w:rsid w:val="006C31C4"/>
    <w:rsid w:val="006C3558"/>
    <w:rsid w:val="006C3EDA"/>
    <w:rsid w:val="006C6155"/>
    <w:rsid w:val="006C620D"/>
    <w:rsid w:val="006C632F"/>
    <w:rsid w:val="006C63BC"/>
    <w:rsid w:val="006C6D8F"/>
    <w:rsid w:val="006C7938"/>
    <w:rsid w:val="006C7957"/>
    <w:rsid w:val="006D064A"/>
    <w:rsid w:val="006D167A"/>
    <w:rsid w:val="006D1F6A"/>
    <w:rsid w:val="006D20F9"/>
    <w:rsid w:val="006D2384"/>
    <w:rsid w:val="006D238B"/>
    <w:rsid w:val="006D25B4"/>
    <w:rsid w:val="006D282F"/>
    <w:rsid w:val="006D2E19"/>
    <w:rsid w:val="006D330D"/>
    <w:rsid w:val="006D547D"/>
    <w:rsid w:val="006D58D2"/>
    <w:rsid w:val="006D5DA1"/>
    <w:rsid w:val="006D5EF7"/>
    <w:rsid w:val="006D64FB"/>
    <w:rsid w:val="006E0CDE"/>
    <w:rsid w:val="006E13F2"/>
    <w:rsid w:val="006E1425"/>
    <w:rsid w:val="006E1469"/>
    <w:rsid w:val="006E17B9"/>
    <w:rsid w:val="006E17F7"/>
    <w:rsid w:val="006E1B89"/>
    <w:rsid w:val="006E1C9A"/>
    <w:rsid w:val="006E226E"/>
    <w:rsid w:val="006E2D59"/>
    <w:rsid w:val="006E2F23"/>
    <w:rsid w:val="006E5E41"/>
    <w:rsid w:val="006E6EE8"/>
    <w:rsid w:val="006F07D3"/>
    <w:rsid w:val="006F1D22"/>
    <w:rsid w:val="006F1FC6"/>
    <w:rsid w:val="006F2A0A"/>
    <w:rsid w:val="006F2D0E"/>
    <w:rsid w:val="006F32A6"/>
    <w:rsid w:val="006F34A3"/>
    <w:rsid w:val="006F4296"/>
    <w:rsid w:val="006F46B0"/>
    <w:rsid w:val="006F4C2F"/>
    <w:rsid w:val="006F5A01"/>
    <w:rsid w:val="006F6454"/>
    <w:rsid w:val="006F66E0"/>
    <w:rsid w:val="006F6AE0"/>
    <w:rsid w:val="006F6EEA"/>
    <w:rsid w:val="007007A9"/>
    <w:rsid w:val="00700E8D"/>
    <w:rsid w:val="007012FA"/>
    <w:rsid w:val="0070158E"/>
    <w:rsid w:val="007019D4"/>
    <w:rsid w:val="00701CF3"/>
    <w:rsid w:val="00702290"/>
    <w:rsid w:val="00703160"/>
    <w:rsid w:val="007034E2"/>
    <w:rsid w:val="00703863"/>
    <w:rsid w:val="007039BD"/>
    <w:rsid w:val="00703D76"/>
    <w:rsid w:val="00704345"/>
    <w:rsid w:val="0070483C"/>
    <w:rsid w:val="00705784"/>
    <w:rsid w:val="00705C5E"/>
    <w:rsid w:val="00705FA7"/>
    <w:rsid w:val="00706364"/>
    <w:rsid w:val="007067DE"/>
    <w:rsid w:val="00706E1A"/>
    <w:rsid w:val="00706F15"/>
    <w:rsid w:val="00707205"/>
    <w:rsid w:val="00707270"/>
    <w:rsid w:val="0070743D"/>
    <w:rsid w:val="00707776"/>
    <w:rsid w:val="00707D88"/>
    <w:rsid w:val="00710DC4"/>
    <w:rsid w:val="007112FF"/>
    <w:rsid w:val="0071142E"/>
    <w:rsid w:val="00712762"/>
    <w:rsid w:val="0071378D"/>
    <w:rsid w:val="00713E38"/>
    <w:rsid w:val="00714F58"/>
    <w:rsid w:val="00716477"/>
    <w:rsid w:val="0071695D"/>
    <w:rsid w:val="00716D3A"/>
    <w:rsid w:val="00717230"/>
    <w:rsid w:val="00717ECB"/>
    <w:rsid w:val="00717FC5"/>
    <w:rsid w:val="007205D9"/>
    <w:rsid w:val="00720B50"/>
    <w:rsid w:val="00720D63"/>
    <w:rsid w:val="00720D70"/>
    <w:rsid w:val="007213D8"/>
    <w:rsid w:val="007214D9"/>
    <w:rsid w:val="0072164A"/>
    <w:rsid w:val="007221CD"/>
    <w:rsid w:val="00722363"/>
    <w:rsid w:val="00722AEB"/>
    <w:rsid w:val="00723C91"/>
    <w:rsid w:val="0072432E"/>
    <w:rsid w:val="007245AE"/>
    <w:rsid w:val="007248BD"/>
    <w:rsid w:val="007249D2"/>
    <w:rsid w:val="00724BBD"/>
    <w:rsid w:val="00724E59"/>
    <w:rsid w:val="00725CA3"/>
    <w:rsid w:val="00725D7A"/>
    <w:rsid w:val="0072605D"/>
    <w:rsid w:val="00726127"/>
    <w:rsid w:val="00726EA2"/>
    <w:rsid w:val="00727A3C"/>
    <w:rsid w:val="007306B6"/>
    <w:rsid w:val="00730B1E"/>
    <w:rsid w:val="00730FDB"/>
    <w:rsid w:val="00731E63"/>
    <w:rsid w:val="00732277"/>
    <w:rsid w:val="00732658"/>
    <w:rsid w:val="0073310D"/>
    <w:rsid w:val="00733EC6"/>
    <w:rsid w:val="007340C9"/>
    <w:rsid w:val="00734ACE"/>
    <w:rsid w:val="00734F87"/>
    <w:rsid w:val="007355DB"/>
    <w:rsid w:val="00736C1E"/>
    <w:rsid w:val="00736CC3"/>
    <w:rsid w:val="00736DF1"/>
    <w:rsid w:val="007370E5"/>
    <w:rsid w:val="007376DF"/>
    <w:rsid w:val="0073780B"/>
    <w:rsid w:val="00737E8D"/>
    <w:rsid w:val="00740DF4"/>
    <w:rsid w:val="007429FB"/>
    <w:rsid w:val="00742B63"/>
    <w:rsid w:val="00742BA5"/>
    <w:rsid w:val="00742F69"/>
    <w:rsid w:val="007430DA"/>
    <w:rsid w:val="007433D4"/>
    <w:rsid w:val="007433F6"/>
    <w:rsid w:val="007436CC"/>
    <w:rsid w:val="00743AA7"/>
    <w:rsid w:val="0074582F"/>
    <w:rsid w:val="00745FA9"/>
    <w:rsid w:val="007463FB"/>
    <w:rsid w:val="00746D84"/>
    <w:rsid w:val="00747779"/>
    <w:rsid w:val="007502FC"/>
    <w:rsid w:val="00752458"/>
    <w:rsid w:val="0075288E"/>
    <w:rsid w:val="00753348"/>
    <w:rsid w:val="00753E1D"/>
    <w:rsid w:val="00754723"/>
    <w:rsid w:val="007559F4"/>
    <w:rsid w:val="00755D84"/>
    <w:rsid w:val="0075632E"/>
    <w:rsid w:val="00756B26"/>
    <w:rsid w:val="007607F2"/>
    <w:rsid w:val="0076101F"/>
    <w:rsid w:val="00761094"/>
    <w:rsid w:val="007622A5"/>
    <w:rsid w:val="007630AE"/>
    <w:rsid w:val="007636D9"/>
    <w:rsid w:val="00763B4A"/>
    <w:rsid w:val="00765739"/>
    <w:rsid w:val="00765AAE"/>
    <w:rsid w:val="00766C73"/>
    <w:rsid w:val="00767B51"/>
    <w:rsid w:val="0077051D"/>
    <w:rsid w:val="00770811"/>
    <w:rsid w:val="00770FE8"/>
    <w:rsid w:val="0077204E"/>
    <w:rsid w:val="007736E6"/>
    <w:rsid w:val="007739A7"/>
    <w:rsid w:val="00774004"/>
    <w:rsid w:val="007743FD"/>
    <w:rsid w:val="00775306"/>
    <w:rsid w:val="007760F2"/>
    <w:rsid w:val="007769F7"/>
    <w:rsid w:val="00777788"/>
    <w:rsid w:val="007778F0"/>
    <w:rsid w:val="00781968"/>
    <w:rsid w:val="00781DD0"/>
    <w:rsid w:val="00782353"/>
    <w:rsid w:val="0078291A"/>
    <w:rsid w:val="00782977"/>
    <w:rsid w:val="00783491"/>
    <w:rsid w:val="00783C5B"/>
    <w:rsid w:val="00784854"/>
    <w:rsid w:val="00784A58"/>
    <w:rsid w:val="00784DE9"/>
    <w:rsid w:val="00785124"/>
    <w:rsid w:val="00786956"/>
    <w:rsid w:val="00786A57"/>
    <w:rsid w:val="00787094"/>
    <w:rsid w:val="007903FB"/>
    <w:rsid w:val="007906A1"/>
    <w:rsid w:val="00790CBB"/>
    <w:rsid w:val="00791342"/>
    <w:rsid w:val="00791E15"/>
    <w:rsid w:val="00792C0B"/>
    <w:rsid w:val="00792E5C"/>
    <w:rsid w:val="00793ADC"/>
    <w:rsid w:val="00793E9A"/>
    <w:rsid w:val="0079540E"/>
    <w:rsid w:val="0079615B"/>
    <w:rsid w:val="00796707"/>
    <w:rsid w:val="007970DD"/>
    <w:rsid w:val="00797A3C"/>
    <w:rsid w:val="007A006B"/>
    <w:rsid w:val="007A0280"/>
    <w:rsid w:val="007A1D25"/>
    <w:rsid w:val="007A1E91"/>
    <w:rsid w:val="007A2154"/>
    <w:rsid w:val="007A2156"/>
    <w:rsid w:val="007A2323"/>
    <w:rsid w:val="007A24D6"/>
    <w:rsid w:val="007A25EE"/>
    <w:rsid w:val="007A2EE4"/>
    <w:rsid w:val="007A3242"/>
    <w:rsid w:val="007A3B2A"/>
    <w:rsid w:val="007A49B9"/>
    <w:rsid w:val="007A4F0E"/>
    <w:rsid w:val="007A4F12"/>
    <w:rsid w:val="007A62AA"/>
    <w:rsid w:val="007A6779"/>
    <w:rsid w:val="007A7D35"/>
    <w:rsid w:val="007A7E50"/>
    <w:rsid w:val="007B05FE"/>
    <w:rsid w:val="007B0617"/>
    <w:rsid w:val="007B0770"/>
    <w:rsid w:val="007B0A46"/>
    <w:rsid w:val="007B0F5F"/>
    <w:rsid w:val="007B1C76"/>
    <w:rsid w:val="007B1CF1"/>
    <w:rsid w:val="007B265A"/>
    <w:rsid w:val="007B266B"/>
    <w:rsid w:val="007B2D03"/>
    <w:rsid w:val="007B316B"/>
    <w:rsid w:val="007B3995"/>
    <w:rsid w:val="007B39FF"/>
    <w:rsid w:val="007B477F"/>
    <w:rsid w:val="007B4852"/>
    <w:rsid w:val="007B4F90"/>
    <w:rsid w:val="007B558F"/>
    <w:rsid w:val="007B6EA1"/>
    <w:rsid w:val="007B77D0"/>
    <w:rsid w:val="007B7AB9"/>
    <w:rsid w:val="007B7BE3"/>
    <w:rsid w:val="007C16FD"/>
    <w:rsid w:val="007C1742"/>
    <w:rsid w:val="007C1AC8"/>
    <w:rsid w:val="007C2844"/>
    <w:rsid w:val="007C2E03"/>
    <w:rsid w:val="007C2ED3"/>
    <w:rsid w:val="007C349B"/>
    <w:rsid w:val="007C397B"/>
    <w:rsid w:val="007C3AD5"/>
    <w:rsid w:val="007C3AF6"/>
    <w:rsid w:val="007C4203"/>
    <w:rsid w:val="007C43CD"/>
    <w:rsid w:val="007C46A2"/>
    <w:rsid w:val="007C506E"/>
    <w:rsid w:val="007C538E"/>
    <w:rsid w:val="007C5A78"/>
    <w:rsid w:val="007C67E3"/>
    <w:rsid w:val="007C7D2B"/>
    <w:rsid w:val="007C7FAD"/>
    <w:rsid w:val="007D0088"/>
    <w:rsid w:val="007D13A5"/>
    <w:rsid w:val="007D1450"/>
    <w:rsid w:val="007D1560"/>
    <w:rsid w:val="007D190A"/>
    <w:rsid w:val="007D2369"/>
    <w:rsid w:val="007D2701"/>
    <w:rsid w:val="007D3254"/>
    <w:rsid w:val="007D33C4"/>
    <w:rsid w:val="007D40AE"/>
    <w:rsid w:val="007D4960"/>
    <w:rsid w:val="007D4C16"/>
    <w:rsid w:val="007D4C30"/>
    <w:rsid w:val="007D55C9"/>
    <w:rsid w:val="007D5F37"/>
    <w:rsid w:val="007D623B"/>
    <w:rsid w:val="007D62FF"/>
    <w:rsid w:val="007D6916"/>
    <w:rsid w:val="007D6A79"/>
    <w:rsid w:val="007D6D8C"/>
    <w:rsid w:val="007D6F85"/>
    <w:rsid w:val="007D725F"/>
    <w:rsid w:val="007D789B"/>
    <w:rsid w:val="007D7DEA"/>
    <w:rsid w:val="007E0248"/>
    <w:rsid w:val="007E0631"/>
    <w:rsid w:val="007E086C"/>
    <w:rsid w:val="007E09A9"/>
    <w:rsid w:val="007E0A24"/>
    <w:rsid w:val="007E1B8E"/>
    <w:rsid w:val="007E201A"/>
    <w:rsid w:val="007E2B47"/>
    <w:rsid w:val="007E31CA"/>
    <w:rsid w:val="007E3D27"/>
    <w:rsid w:val="007E3E08"/>
    <w:rsid w:val="007E45CF"/>
    <w:rsid w:val="007E5059"/>
    <w:rsid w:val="007E61BD"/>
    <w:rsid w:val="007E63BC"/>
    <w:rsid w:val="007E7C8E"/>
    <w:rsid w:val="007F0260"/>
    <w:rsid w:val="007F0592"/>
    <w:rsid w:val="007F05EA"/>
    <w:rsid w:val="007F0626"/>
    <w:rsid w:val="007F0787"/>
    <w:rsid w:val="007F1ADA"/>
    <w:rsid w:val="007F1CDF"/>
    <w:rsid w:val="007F27D0"/>
    <w:rsid w:val="007F2B50"/>
    <w:rsid w:val="007F2EDD"/>
    <w:rsid w:val="007F42C6"/>
    <w:rsid w:val="007F4375"/>
    <w:rsid w:val="007F4A83"/>
    <w:rsid w:val="007F77D8"/>
    <w:rsid w:val="007F7D6C"/>
    <w:rsid w:val="008001C8"/>
    <w:rsid w:val="0080123B"/>
    <w:rsid w:val="00801242"/>
    <w:rsid w:val="00801904"/>
    <w:rsid w:val="00801CCB"/>
    <w:rsid w:val="00803EDE"/>
    <w:rsid w:val="00805DD1"/>
    <w:rsid w:val="008068A1"/>
    <w:rsid w:val="00807287"/>
    <w:rsid w:val="008109E4"/>
    <w:rsid w:val="00811D09"/>
    <w:rsid w:val="00812339"/>
    <w:rsid w:val="00812E00"/>
    <w:rsid w:val="00813648"/>
    <w:rsid w:val="00814598"/>
    <w:rsid w:val="0081472B"/>
    <w:rsid w:val="00815E72"/>
    <w:rsid w:val="00816C23"/>
    <w:rsid w:val="00817150"/>
    <w:rsid w:val="008207C4"/>
    <w:rsid w:val="00820DA8"/>
    <w:rsid w:val="00821218"/>
    <w:rsid w:val="0082289E"/>
    <w:rsid w:val="00822BAB"/>
    <w:rsid w:val="00822CB9"/>
    <w:rsid w:val="00823BAC"/>
    <w:rsid w:val="008257A0"/>
    <w:rsid w:val="00825870"/>
    <w:rsid w:val="00825C46"/>
    <w:rsid w:val="008267A0"/>
    <w:rsid w:val="0082709D"/>
    <w:rsid w:val="00827510"/>
    <w:rsid w:val="00827B56"/>
    <w:rsid w:val="00827B85"/>
    <w:rsid w:val="00827BD2"/>
    <w:rsid w:val="0083106C"/>
    <w:rsid w:val="008311F8"/>
    <w:rsid w:val="00831C9B"/>
    <w:rsid w:val="00832B7F"/>
    <w:rsid w:val="008339DC"/>
    <w:rsid w:val="00833C85"/>
    <w:rsid w:val="008351BB"/>
    <w:rsid w:val="00835D3E"/>
    <w:rsid w:val="00835D71"/>
    <w:rsid w:val="008365E8"/>
    <w:rsid w:val="00836A16"/>
    <w:rsid w:val="00836FED"/>
    <w:rsid w:val="008378A7"/>
    <w:rsid w:val="00840E6A"/>
    <w:rsid w:val="00840FA8"/>
    <w:rsid w:val="008411A5"/>
    <w:rsid w:val="00841779"/>
    <w:rsid w:val="00842095"/>
    <w:rsid w:val="00842B31"/>
    <w:rsid w:val="0084308E"/>
    <w:rsid w:val="00843206"/>
    <w:rsid w:val="0084383D"/>
    <w:rsid w:val="00843BF7"/>
    <w:rsid w:val="00844459"/>
    <w:rsid w:val="00844762"/>
    <w:rsid w:val="00844B61"/>
    <w:rsid w:val="00844B91"/>
    <w:rsid w:val="0084569D"/>
    <w:rsid w:val="00845F6B"/>
    <w:rsid w:val="00846563"/>
    <w:rsid w:val="008470D8"/>
    <w:rsid w:val="00852144"/>
    <w:rsid w:val="0085288F"/>
    <w:rsid w:val="00853FE8"/>
    <w:rsid w:val="0085435B"/>
    <w:rsid w:val="00854405"/>
    <w:rsid w:val="00854DF6"/>
    <w:rsid w:val="008553CC"/>
    <w:rsid w:val="00855A9B"/>
    <w:rsid w:val="00856678"/>
    <w:rsid w:val="00856A89"/>
    <w:rsid w:val="008570A9"/>
    <w:rsid w:val="00857BDA"/>
    <w:rsid w:val="00857DB6"/>
    <w:rsid w:val="008602A7"/>
    <w:rsid w:val="00860374"/>
    <w:rsid w:val="00860759"/>
    <w:rsid w:val="008609C7"/>
    <w:rsid w:val="00861990"/>
    <w:rsid w:val="00861F91"/>
    <w:rsid w:val="008635FC"/>
    <w:rsid w:val="00864124"/>
    <w:rsid w:val="008644EA"/>
    <w:rsid w:val="00866C40"/>
    <w:rsid w:val="00867AA1"/>
    <w:rsid w:val="00867C35"/>
    <w:rsid w:val="00867EB6"/>
    <w:rsid w:val="0087009B"/>
    <w:rsid w:val="00870AB9"/>
    <w:rsid w:val="00872144"/>
    <w:rsid w:val="00872A6D"/>
    <w:rsid w:val="00873452"/>
    <w:rsid w:val="00873EB4"/>
    <w:rsid w:val="00874260"/>
    <w:rsid w:val="008748F1"/>
    <w:rsid w:val="00874C1C"/>
    <w:rsid w:val="008752DB"/>
    <w:rsid w:val="008756DC"/>
    <w:rsid w:val="00875EAF"/>
    <w:rsid w:val="00877514"/>
    <w:rsid w:val="00877D8B"/>
    <w:rsid w:val="00877E3D"/>
    <w:rsid w:val="00880239"/>
    <w:rsid w:val="0088171C"/>
    <w:rsid w:val="0088198A"/>
    <w:rsid w:val="00881B9F"/>
    <w:rsid w:val="00882147"/>
    <w:rsid w:val="0088225F"/>
    <w:rsid w:val="008825E2"/>
    <w:rsid w:val="00882B3D"/>
    <w:rsid w:val="00882C62"/>
    <w:rsid w:val="008835E2"/>
    <w:rsid w:val="00883645"/>
    <w:rsid w:val="0088570E"/>
    <w:rsid w:val="0088608D"/>
    <w:rsid w:val="00886922"/>
    <w:rsid w:val="0088707C"/>
    <w:rsid w:val="00887486"/>
    <w:rsid w:val="008875A6"/>
    <w:rsid w:val="00887698"/>
    <w:rsid w:val="008879AC"/>
    <w:rsid w:val="00887BAE"/>
    <w:rsid w:val="008903B9"/>
    <w:rsid w:val="008905CA"/>
    <w:rsid w:val="00890C41"/>
    <w:rsid w:val="008912DE"/>
    <w:rsid w:val="008915C8"/>
    <w:rsid w:val="008920E5"/>
    <w:rsid w:val="00892A74"/>
    <w:rsid w:val="008937AB"/>
    <w:rsid w:val="008939C7"/>
    <w:rsid w:val="00894525"/>
    <w:rsid w:val="008947DC"/>
    <w:rsid w:val="008949D4"/>
    <w:rsid w:val="00895276"/>
    <w:rsid w:val="00895387"/>
    <w:rsid w:val="00895722"/>
    <w:rsid w:val="00896DE3"/>
    <w:rsid w:val="00897071"/>
    <w:rsid w:val="008974C6"/>
    <w:rsid w:val="00897774"/>
    <w:rsid w:val="00897D3B"/>
    <w:rsid w:val="008A0128"/>
    <w:rsid w:val="008A0526"/>
    <w:rsid w:val="008A09E4"/>
    <w:rsid w:val="008A11BB"/>
    <w:rsid w:val="008A227D"/>
    <w:rsid w:val="008A23BA"/>
    <w:rsid w:val="008A4381"/>
    <w:rsid w:val="008A4634"/>
    <w:rsid w:val="008A5224"/>
    <w:rsid w:val="008A5B09"/>
    <w:rsid w:val="008A6177"/>
    <w:rsid w:val="008A6317"/>
    <w:rsid w:val="008A6A7E"/>
    <w:rsid w:val="008B00B1"/>
    <w:rsid w:val="008B0B75"/>
    <w:rsid w:val="008B13A8"/>
    <w:rsid w:val="008B28EC"/>
    <w:rsid w:val="008B2AF7"/>
    <w:rsid w:val="008B2E8D"/>
    <w:rsid w:val="008B3136"/>
    <w:rsid w:val="008B3368"/>
    <w:rsid w:val="008B3535"/>
    <w:rsid w:val="008B4DA0"/>
    <w:rsid w:val="008B61D5"/>
    <w:rsid w:val="008B6241"/>
    <w:rsid w:val="008B724B"/>
    <w:rsid w:val="008B7394"/>
    <w:rsid w:val="008B7446"/>
    <w:rsid w:val="008B76CF"/>
    <w:rsid w:val="008B7AEA"/>
    <w:rsid w:val="008B7C1C"/>
    <w:rsid w:val="008C045C"/>
    <w:rsid w:val="008C0530"/>
    <w:rsid w:val="008C07F6"/>
    <w:rsid w:val="008C116B"/>
    <w:rsid w:val="008C130D"/>
    <w:rsid w:val="008C16F1"/>
    <w:rsid w:val="008C2B02"/>
    <w:rsid w:val="008C2C70"/>
    <w:rsid w:val="008C2D51"/>
    <w:rsid w:val="008C3078"/>
    <w:rsid w:val="008C3418"/>
    <w:rsid w:val="008C35F9"/>
    <w:rsid w:val="008C48B2"/>
    <w:rsid w:val="008C49D4"/>
    <w:rsid w:val="008C5D3F"/>
    <w:rsid w:val="008C5EC1"/>
    <w:rsid w:val="008C6557"/>
    <w:rsid w:val="008C7009"/>
    <w:rsid w:val="008C7B79"/>
    <w:rsid w:val="008C7DF7"/>
    <w:rsid w:val="008D00B7"/>
    <w:rsid w:val="008D2883"/>
    <w:rsid w:val="008D2B01"/>
    <w:rsid w:val="008D373A"/>
    <w:rsid w:val="008D475D"/>
    <w:rsid w:val="008D4813"/>
    <w:rsid w:val="008D4AAF"/>
    <w:rsid w:val="008D57FB"/>
    <w:rsid w:val="008D7442"/>
    <w:rsid w:val="008E00CC"/>
    <w:rsid w:val="008E0155"/>
    <w:rsid w:val="008E088F"/>
    <w:rsid w:val="008E18F4"/>
    <w:rsid w:val="008E19E2"/>
    <w:rsid w:val="008E1A4F"/>
    <w:rsid w:val="008E1EC1"/>
    <w:rsid w:val="008E27B9"/>
    <w:rsid w:val="008E3B83"/>
    <w:rsid w:val="008E680A"/>
    <w:rsid w:val="008E73A4"/>
    <w:rsid w:val="008E77D3"/>
    <w:rsid w:val="008E79FE"/>
    <w:rsid w:val="008E7A72"/>
    <w:rsid w:val="008F087D"/>
    <w:rsid w:val="008F0C52"/>
    <w:rsid w:val="008F15E6"/>
    <w:rsid w:val="008F2521"/>
    <w:rsid w:val="008F289E"/>
    <w:rsid w:val="008F2D1A"/>
    <w:rsid w:val="008F3172"/>
    <w:rsid w:val="008F3295"/>
    <w:rsid w:val="008F3C32"/>
    <w:rsid w:val="008F4DAA"/>
    <w:rsid w:val="008F5827"/>
    <w:rsid w:val="008F58A9"/>
    <w:rsid w:val="008F6B32"/>
    <w:rsid w:val="008F6CDC"/>
    <w:rsid w:val="0090032C"/>
    <w:rsid w:val="009004E7"/>
    <w:rsid w:val="00900944"/>
    <w:rsid w:val="00903176"/>
    <w:rsid w:val="0090369B"/>
    <w:rsid w:val="00903AAB"/>
    <w:rsid w:val="009045B7"/>
    <w:rsid w:val="00904909"/>
    <w:rsid w:val="0090498F"/>
    <w:rsid w:val="00905200"/>
    <w:rsid w:val="00905F9F"/>
    <w:rsid w:val="0090629B"/>
    <w:rsid w:val="009069CA"/>
    <w:rsid w:val="00906DF6"/>
    <w:rsid w:val="00906F6C"/>
    <w:rsid w:val="009101A1"/>
    <w:rsid w:val="009128CB"/>
    <w:rsid w:val="00912965"/>
    <w:rsid w:val="009150AF"/>
    <w:rsid w:val="00915310"/>
    <w:rsid w:val="0091569A"/>
    <w:rsid w:val="00916006"/>
    <w:rsid w:val="009171A9"/>
    <w:rsid w:val="00917364"/>
    <w:rsid w:val="009203A5"/>
    <w:rsid w:val="00921128"/>
    <w:rsid w:val="0092137A"/>
    <w:rsid w:val="0092279A"/>
    <w:rsid w:val="0092342A"/>
    <w:rsid w:val="00923822"/>
    <w:rsid w:val="00924E08"/>
    <w:rsid w:val="0092528A"/>
    <w:rsid w:val="009256A7"/>
    <w:rsid w:val="00925FFB"/>
    <w:rsid w:val="00926B85"/>
    <w:rsid w:val="00926F25"/>
    <w:rsid w:val="00927DC6"/>
    <w:rsid w:val="0093119D"/>
    <w:rsid w:val="00931351"/>
    <w:rsid w:val="00931923"/>
    <w:rsid w:val="009322A7"/>
    <w:rsid w:val="0093254D"/>
    <w:rsid w:val="00932592"/>
    <w:rsid w:val="00933708"/>
    <w:rsid w:val="00933F79"/>
    <w:rsid w:val="0093410C"/>
    <w:rsid w:val="00936914"/>
    <w:rsid w:val="0093698A"/>
    <w:rsid w:val="0093762F"/>
    <w:rsid w:val="00937939"/>
    <w:rsid w:val="009379E4"/>
    <w:rsid w:val="00937C16"/>
    <w:rsid w:val="00940763"/>
    <w:rsid w:val="00940D80"/>
    <w:rsid w:val="009410F0"/>
    <w:rsid w:val="0094125C"/>
    <w:rsid w:val="00941674"/>
    <w:rsid w:val="00941723"/>
    <w:rsid w:val="00941754"/>
    <w:rsid w:val="00942DB5"/>
    <w:rsid w:val="009440BA"/>
    <w:rsid w:val="009448E8"/>
    <w:rsid w:val="00945A98"/>
    <w:rsid w:val="00946BE7"/>
    <w:rsid w:val="00946C4F"/>
    <w:rsid w:val="009471F5"/>
    <w:rsid w:val="00950C43"/>
    <w:rsid w:val="009516C0"/>
    <w:rsid w:val="009525D0"/>
    <w:rsid w:val="00952B14"/>
    <w:rsid w:val="00952B1C"/>
    <w:rsid w:val="009539B5"/>
    <w:rsid w:val="00953AD3"/>
    <w:rsid w:val="00953B8D"/>
    <w:rsid w:val="00953BA8"/>
    <w:rsid w:val="00954403"/>
    <w:rsid w:val="00954A5E"/>
    <w:rsid w:val="00954B5C"/>
    <w:rsid w:val="00954DE2"/>
    <w:rsid w:val="00955BFA"/>
    <w:rsid w:val="0095613C"/>
    <w:rsid w:val="009562F2"/>
    <w:rsid w:val="00957332"/>
    <w:rsid w:val="009604DE"/>
    <w:rsid w:val="00960BBF"/>
    <w:rsid w:val="00960E5B"/>
    <w:rsid w:val="00960FD0"/>
    <w:rsid w:val="00961026"/>
    <w:rsid w:val="009611BF"/>
    <w:rsid w:val="0096288E"/>
    <w:rsid w:val="00962EB1"/>
    <w:rsid w:val="009635F4"/>
    <w:rsid w:val="00963870"/>
    <w:rsid w:val="0096426C"/>
    <w:rsid w:val="009648BF"/>
    <w:rsid w:val="00964E15"/>
    <w:rsid w:val="00964E77"/>
    <w:rsid w:val="00965050"/>
    <w:rsid w:val="009666EE"/>
    <w:rsid w:val="00966A34"/>
    <w:rsid w:val="0096723B"/>
    <w:rsid w:val="00967940"/>
    <w:rsid w:val="00967EBA"/>
    <w:rsid w:val="00970EE0"/>
    <w:rsid w:val="00971663"/>
    <w:rsid w:val="009717C1"/>
    <w:rsid w:val="009721DF"/>
    <w:rsid w:val="00972888"/>
    <w:rsid w:val="009730EE"/>
    <w:rsid w:val="00973A69"/>
    <w:rsid w:val="00973DEC"/>
    <w:rsid w:val="009741D8"/>
    <w:rsid w:val="0097430A"/>
    <w:rsid w:val="009743C6"/>
    <w:rsid w:val="009769F0"/>
    <w:rsid w:val="0097715B"/>
    <w:rsid w:val="0098060C"/>
    <w:rsid w:val="00980A11"/>
    <w:rsid w:val="00983105"/>
    <w:rsid w:val="00983516"/>
    <w:rsid w:val="00984273"/>
    <w:rsid w:val="0098485A"/>
    <w:rsid w:val="00984DC7"/>
    <w:rsid w:val="00985317"/>
    <w:rsid w:val="00985489"/>
    <w:rsid w:val="00985949"/>
    <w:rsid w:val="00985B29"/>
    <w:rsid w:val="009862C7"/>
    <w:rsid w:val="00986460"/>
    <w:rsid w:val="00987CD1"/>
    <w:rsid w:val="00987E1D"/>
    <w:rsid w:val="00990409"/>
    <w:rsid w:val="00990B06"/>
    <w:rsid w:val="00991491"/>
    <w:rsid w:val="009928EA"/>
    <w:rsid w:val="00992D82"/>
    <w:rsid w:val="00993B56"/>
    <w:rsid w:val="00994A11"/>
    <w:rsid w:val="00995305"/>
    <w:rsid w:val="009958B4"/>
    <w:rsid w:val="00996CFB"/>
    <w:rsid w:val="00996E1B"/>
    <w:rsid w:val="00997336"/>
    <w:rsid w:val="009976B9"/>
    <w:rsid w:val="009A1221"/>
    <w:rsid w:val="009A1284"/>
    <w:rsid w:val="009A183F"/>
    <w:rsid w:val="009A4494"/>
    <w:rsid w:val="009A48D0"/>
    <w:rsid w:val="009A4C3F"/>
    <w:rsid w:val="009A5244"/>
    <w:rsid w:val="009A60DE"/>
    <w:rsid w:val="009A6F03"/>
    <w:rsid w:val="009A7FB5"/>
    <w:rsid w:val="009B0B38"/>
    <w:rsid w:val="009B154D"/>
    <w:rsid w:val="009B2089"/>
    <w:rsid w:val="009B2571"/>
    <w:rsid w:val="009B3117"/>
    <w:rsid w:val="009B3552"/>
    <w:rsid w:val="009B4037"/>
    <w:rsid w:val="009B424A"/>
    <w:rsid w:val="009B48CE"/>
    <w:rsid w:val="009B4A00"/>
    <w:rsid w:val="009B4B69"/>
    <w:rsid w:val="009B5033"/>
    <w:rsid w:val="009B520E"/>
    <w:rsid w:val="009B5D23"/>
    <w:rsid w:val="009B5E08"/>
    <w:rsid w:val="009B7A9A"/>
    <w:rsid w:val="009C081C"/>
    <w:rsid w:val="009C22AB"/>
    <w:rsid w:val="009C23B8"/>
    <w:rsid w:val="009C2624"/>
    <w:rsid w:val="009C3951"/>
    <w:rsid w:val="009C3F2A"/>
    <w:rsid w:val="009C400C"/>
    <w:rsid w:val="009C4650"/>
    <w:rsid w:val="009C4D2A"/>
    <w:rsid w:val="009C51CA"/>
    <w:rsid w:val="009C54AF"/>
    <w:rsid w:val="009C5D84"/>
    <w:rsid w:val="009C64CC"/>
    <w:rsid w:val="009C6674"/>
    <w:rsid w:val="009C66C2"/>
    <w:rsid w:val="009C6FED"/>
    <w:rsid w:val="009C71D9"/>
    <w:rsid w:val="009C7341"/>
    <w:rsid w:val="009C73C0"/>
    <w:rsid w:val="009C75CE"/>
    <w:rsid w:val="009D0007"/>
    <w:rsid w:val="009D0F31"/>
    <w:rsid w:val="009D10EC"/>
    <w:rsid w:val="009D1A5C"/>
    <w:rsid w:val="009D2522"/>
    <w:rsid w:val="009D26F5"/>
    <w:rsid w:val="009D30B7"/>
    <w:rsid w:val="009D48FD"/>
    <w:rsid w:val="009D49B1"/>
    <w:rsid w:val="009D51E4"/>
    <w:rsid w:val="009D5743"/>
    <w:rsid w:val="009D5E10"/>
    <w:rsid w:val="009D5EFE"/>
    <w:rsid w:val="009D6CD6"/>
    <w:rsid w:val="009E0658"/>
    <w:rsid w:val="009E1897"/>
    <w:rsid w:val="009E2075"/>
    <w:rsid w:val="009E278B"/>
    <w:rsid w:val="009E2A51"/>
    <w:rsid w:val="009E2D08"/>
    <w:rsid w:val="009E33ED"/>
    <w:rsid w:val="009E425D"/>
    <w:rsid w:val="009E4400"/>
    <w:rsid w:val="009E4870"/>
    <w:rsid w:val="009E4D52"/>
    <w:rsid w:val="009E52A3"/>
    <w:rsid w:val="009E5747"/>
    <w:rsid w:val="009E5B34"/>
    <w:rsid w:val="009E5BDE"/>
    <w:rsid w:val="009E688D"/>
    <w:rsid w:val="009E69A9"/>
    <w:rsid w:val="009E6B43"/>
    <w:rsid w:val="009E70E5"/>
    <w:rsid w:val="009E72BB"/>
    <w:rsid w:val="009F03D7"/>
    <w:rsid w:val="009F0E5A"/>
    <w:rsid w:val="009F1177"/>
    <w:rsid w:val="009F17B6"/>
    <w:rsid w:val="009F2EE9"/>
    <w:rsid w:val="009F39CB"/>
    <w:rsid w:val="009F401E"/>
    <w:rsid w:val="009F4EDE"/>
    <w:rsid w:val="009F5870"/>
    <w:rsid w:val="009F59E6"/>
    <w:rsid w:val="009F5D24"/>
    <w:rsid w:val="009F6049"/>
    <w:rsid w:val="009F63BD"/>
    <w:rsid w:val="009F6CDD"/>
    <w:rsid w:val="009F6FE9"/>
    <w:rsid w:val="009F718A"/>
    <w:rsid w:val="009F7B56"/>
    <w:rsid w:val="00A0035A"/>
    <w:rsid w:val="00A007CC"/>
    <w:rsid w:val="00A00994"/>
    <w:rsid w:val="00A02099"/>
    <w:rsid w:val="00A027CB"/>
    <w:rsid w:val="00A0291F"/>
    <w:rsid w:val="00A031B8"/>
    <w:rsid w:val="00A049A2"/>
    <w:rsid w:val="00A04D27"/>
    <w:rsid w:val="00A05151"/>
    <w:rsid w:val="00A06319"/>
    <w:rsid w:val="00A064D9"/>
    <w:rsid w:val="00A064E4"/>
    <w:rsid w:val="00A06AFE"/>
    <w:rsid w:val="00A06D5C"/>
    <w:rsid w:val="00A07861"/>
    <w:rsid w:val="00A07AD6"/>
    <w:rsid w:val="00A07C18"/>
    <w:rsid w:val="00A11A54"/>
    <w:rsid w:val="00A12629"/>
    <w:rsid w:val="00A1279C"/>
    <w:rsid w:val="00A127A5"/>
    <w:rsid w:val="00A1414C"/>
    <w:rsid w:val="00A14495"/>
    <w:rsid w:val="00A14948"/>
    <w:rsid w:val="00A14E84"/>
    <w:rsid w:val="00A1645D"/>
    <w:rsid w:val="00A16689"/>
    <w:rsid w:val="00A172EA"/>
    <w:rsid w:val="00A174C5"/>
    <w:rsid w:val="00A22580"/>
    <w:rsid w:val="00A22AC0"/>
    <w:rsid w:val="00A22BF6"/>
    <w:rsid w:val="00A24229"/>
    <w:rsid w:val="00A244B9"/>
    <w:rsid w:val="00A24E13"/>
    <w:rsid w:val="00A307ED"/>
    <w:rsid w:val="00A30DF0"/>
    <w:rsid w:val="00A3179E"/>
    <w:rsid w:val="00A31939"/>
    <w:rsid w:val="00A320AF"/>
    <w:rsid w:val="00A340D9"/>
    <w:rsid w:val="00A35943"/>
    <w:rsid w:val="00A35EAF"/>
    <w:rsid w:val="00A360A4"/>
    <w:rsid w:val="00A3648F"/>
    <w:rsid w:val="00A3651E"/>
    <w:rsid w:val="00A3684E"/>
    <w:rsid w:val="00A369C8"/>
    <w:rsid w:val="00A36A76"/>
    <w:rsid w:val="00A36C2A"/>
    <w:rsid w:val="00A36EC9"/>
    <w:rsid w:val="00A37515"/>
    <w:rsid w:val="00A40612"/>
    <w:rsid w:val="00A41D82"/>
    <w:rsid w:val="00A41F09"/>
    <w:rsid w:val="00A4221B"/>
    <w:rsid w:val="00A42C57"/>
    <w:rsid w:val="00A43AF1"/>
    <w:rsid w:val="00A44335"/>
    <w:rsid w:val="00A45468"/>
    <w:rsid w:val="00A460A1"/>
    <w:rsid w:val="00A46B51"/>
    <w:rsid w:val="00A46E06"/>
    <w:rsid w:val="00A4786D"/>
    <w:rsid w:val="00A47D85"/>
    <w:rsid w:val="00A50EA8"/>
    <w:rsid w:val="00A50FF8"/>
    <w:rsid w:val="00A5181C"/>
    <w:rsid w:val="00A5198F"/>
    <w:rsid w:val="00A51D30"/>
    <w:rsid w:val="00A5206C"/>
    <w:rsid w:val="00A52A2D"/>
    <w:rsid w:val="00A530D8"/>
    <w:rsid w:val="00A533AE"/>
    <w:rsid w:val="00A53437"/>
    <w:rsid w:val="00A53488"/>
    <w:rsid w:val="00A53C83"/>
    <w:rsid w:val="00A53EDB"/>
    <w:rsid w:val="00A542E5"/>
    <w:rsid w:val="00A54C8C"/>
    <w:rsid w:val="00A54C94"/>
    <w:rsid w:val="00A553BC"/>
    <w:rsid w:val="00A557E2"/>
    <w:rsid w:val="00A57799"/>
    <w:rsid w:val="00A57C13"/>
    <w:rsid w:val="00A6080D"/>
    <w:rsid w:val="00A608B1"/>
    <w:rsid w:val="00A60C28"/>
    <w:rsid w:val="00A61B2A"/>
    <w:rsid w:val="00A6267F"/>
    <w:rsid w:val="00A62728"/>
    <w:rsid w:val="00A62890"/>
    <w:rsid w:val="00A62D11"/>
    <w:rsid w:val="00A6318D"/>
    <w:rsid w:val="00A6343B"/>
    <w:rsid w:val="00A63ABE"/>
    <w:rsid w:val="00A63AE9"/>
    <w:rsid w:val="00A65769"/>
    <w:rsid w:val="00A66F07"/>
    <w:rsid w:val="00A66F73"/>
    <w:rsid w:val="00A67139"/>
    <w:rsid w:val="00A70346"/>
    <w:rsid w:val="00A70482"/>
    <w:rsid w:val="00A71E39"/>
    <w:rsid w:val="00A72449"/>
    <w:rsid w:val="00A737CD"/>
    <w:rsid w:val="00A7395E"/>
    <w:rsid w:val="00A73986"/>
    <w:rsid w:val="00A73BB9"/>
    <w:rsid w:val="00A73F71"/>
    <w:rsid w:val="00A74E62"/>
    <w:rsid w:val="00A74FEA"/>
    <w:rsid w:val="00A76B02"/>
    <w:rsid w:val="00A76B4A"/>
    <w:rsid w:val="00A76D87"/>
    <w:rsid w:val="00A77705"/>
    <w:rsid w:val="00A77859"/>
    <w:rsid w:val="00A8030D"/>
    <w:rsid w:val="00A8033A"/>
    <w:rsid w:val="00A81476"/>
    <w:rsid w:val="00A8148B"/>
    <w:rsid w:val="00A82542"/>
    <w:rsid w:val="00A83924"/>
    <w:rsid w:val="00A83E98"/>
    <w:rsid w:val="00A84A34"/>
    <w:rsid w:val="00A84C06"/>
    <w:rsid w:val="00A85B9A"/>
    <w:rsid w:val="00A8668B"/>
    <w:rsid w:val="00A86A7C"/>
    <w:rsid w:val="00A87962"/>
    <w:rsid w:val="00A87FDC"/>
    <w:rsid w:val="00A90249"/>
    <w:rsid w:val="00A9033E"/>
    <w:rsid w:val="00A913EC"/>
    <w:rsid w:val="00A91710"/>
    <w:rsid w:val="00A91765"/>
    <w:rsid w:val="00A91F39"/>
    <w:rsid w:val="00A92BD9"/>
    <w:rsid w:val="00A92D53"/>
    <w:rsid w:val="00A939FD"/>
    <w:rsid w:val="00A93CF9"/>
    <w:rsid w:val="00A942E1"/>
    <w:rsid w:val="00A9501F"/>
    <w:rsid w:val="00A95BE0"/>
    <w:rsid w:val="00A95C27"/>
    <w:rsid w:val="00A95EE2"/>
    <w:rsid w:val="00A96760"/>
    <w:rsid w:val="00A96890"/>
    <w:rsid w:val="00A9695F"/>
    <w:rsid w:val="00A96A3C"/>
    <w:rsid w:val="00A96B53"/>
    <w:rsid w:val="00A96E0F"/>
    <w:rsid w:val="00A96E4F"/>
    <w:rsid w:val="00AA0A42"/>
    <w:rsid w:val="00AA0C42"/>
    <w:rsid w:val="00AA0CEC"/>
    <w:rsid w:val="00AA0FF9"/>
    <w:rsid w:val="00AA13B8"/>
    <w:rsid w:val="00AA205B"/>
    <w:rsid w:val="00AA2387"/>
    <w:rsid w:val="00AA268D"/>
    <w:rsid w:val="00AA38F0"/>
    <w:rsid w:val="00AA3A8D"/>
    <w:rsid w:val="00AA4E60"/>
    <w:rsid w:val="00AA5131"/>
    <w:rsid w:val="00AA57B5"/>
    <w:rsid w:val="00AA63FE"/>
    <w:rsid w:val="00AA6B77"/>
    <w:rsid w:val="00AA6C74"/>
    <w:rsid w:val="00AA7388"/>
    <w:rsid w:val="00AA79D4"/>
    <w:rsid w:val="00AA7DA6"/>
    <w:rsid w:val="00AB037E"/>
    <w:rsid w:val="00AB0618"/>
    <w:rsid w:val="00AB0DF9"/>
    <w:rsid w:val="00AB0E83"/>
    <w:rsid w:val="00AB1185"/>
    <w:rsid w:val="00AB1CE0"/>
    <w:rsid w:val="00AB1F50"/>
    <w:rsid w:val="00AB2201"/>
    <w:rsid w:val="00AB2BFB"/>
    <w:rsid w:val="00AB391F"/>
    <w:rsid w:val="00AB433D"/>
    <w:rsid w:val="00AB4730"/>
    <w:rsid w:val="00AB53A7"/>
    <w:rsid w:val="00AB5F46"/>
    <w:rsid w:val="00AB61F6"/>
    <w:rsid w:val="00AB6293"/>
    <w:rsid w:val="00AB6362"/>
    <w:rsid w:val="00AB728E"/>
    <w:rsid w:val="00AB73A4"/>
    <w:rsid w:val="00AB7A1D"/>
    <w:rsid w:val="00AC01DD"/>
    <w:rsid w:val="00AC0219"/>
    <w:rsid w:val="00AC02CD"/>
    <w:rsid w:val="00AC0C60"/>
    <w:rsid w:val="00AC0F17"/>
    <w:rsid w:val="00AC1866"/>
    <w:rsid w:val="00AC1FE9"/>
    <w:rsid w:val="00AC236D"/>
    <w:rsid w:val="00AC267A"/>
    <w:rsid w:val="00AC2EEF"/>
    <w:rsid w:val="00AC3163"/>
    <w:rsid w:val="00AC3DC2"/>
    <w:rsid w:val="00AC441B"/>
    <w:rsid w:val="00AC4565"/>
    <w:rsid w:val="00AC498B"/>
    <w:rsid w:val="00AC5320"/>
    <w:rsid w:val="00AC5795"/>
    <w:rsid w:val="00AC5B01"/>
    <w:rsid w:val="00AC5F79"/>
    <w:rsid w:val="00AC692E"/>
    <w:rsid w:val="00AD011F"/>
    <w:rsid w:val="00AD0BD8"/>
    <w:rsid w:val="00AD0DA8"/>
    <w:rsid w:val="00AD11C6"/>
    <w:rsid w:val="00AD22C2"/>
    <w:rsid w:val="00AD26E1"/>
    <w:rsid w:val="00AD2B03"/>
    <w:rsid w:val="00AD2DE9"/>
    <w:rsid w:val="00AD36D7"/>
    <w:rsid w:val="00AD3800"/>
    <w:rsid w:val="00AD3981"/>
    <w:rsid w:val="00AD44F9"/>
    <w:rsid w:val="00AD5A93"/>
    <w:rsid w:val="00AD5D7D"/>
    <w:rsid w:val="00AD6385"/>
    <w:rsid w:val="00AD688C"/>
    <w:rsid w:val="00AD6C02"/>
    <w:rsid w:val="00AE011F"/>
    <w:rsid w:val="00AE0BE8"/>
    <w:rsid w:val="00AE300B"/>
    <w:rsid w:val="00AE3B8B"/>
    <w:rsid w:val="00AE404B"/>
    <w:rsid w:val="00AE5A7C"/>
    <w:rsid w:val="00AE5DED"/>
    <w:rsid w:val="00AE6294"/>
    <w:rsid w:val="00AE6554"/>
    <w:rsid w:val="00AE6FF8"/>
    <w:rsid w:val="00AE7521"/>
    <w:rsid w:val="00AF0AD9"/>
    <w:rsid w:val="00AF0B2D"/>
    <w:rsid w:val="00AF0BE3"/>
    <w:rsid w:val="00AF19D5"/>
    <w:rsid w:val="00AF263F"/>
    <w:rsid w:val="00AF2917"/>
    <w:rsid w:val="00AF315A"/>
    <w:rsid w:val="00AF4A42"/>
    <w:rsid w:val="00AF4BC1"/>
    <w:rsid w:val="00AF520B"/>
    <w:rsid w:val="00AF5A3F"/>
    <w:rsid w:val="00AF6A55"/>
    <w:rsid w:val="00AF6EE4"/>
    <w:rsid w:val="00AF7A8D"/>
    <w:rsid w:val="00AF7ACB"/>
    <w:rsid w:val="00AF7F92"/>
    <w:rsid w:val="00B0019A"/>
    <w:rsid w:val="00B00B7F"/>
    <w:rsid w:val="00B00EF2"/>
    <w:rsid w:val="00B03F7C"/>
    <w:rsid w:val="00B04895"/>
    <w:rsid w:val="00B04B32"/>
    <w:rsid w:val="00B05714"/>
    <w:rsid w:val="00B0615A"/>
    <w:rsid w:val="00B0730E"/>
    <w:rsid w:val="00B074A8"/>
    <w:rsid w:val="00B110E3"/>
    <w:rsid w:val="00B11258"/>
    <w:rsid w:val="00B1233B"/>
    <w:rsid w:val="00B12ACF"/>
    <w:rsid w:val="00B12D12"/>
    <w:rsid w:val="00B12D4D"/>
    <w:rsid w:val="00B13D2B"/>
    <w:rsid w:val="00B14FE6"/>
    <w:rsid w:val="00B1503A"/>
    <w:rsid w:val="00B15A9B"/>
    <w:rsid w:val="00B1640A"/>
    <w:rsid w:val="00B16E2E"/>
    <w:rsid w:val="00B20488"/>
    <w:rsid w:val="00B20875"/>
    <w:rsid w:val="00B21EA4"/>
    <w:rsid w:val="00B22022"/>
    <w:rsid w:val="00B22064"/>
    <w:rsid w:val="00B22970"/>
    <w:rsid w:val="00B22CA5"/>
    <w:rsid w:val="00B23120"/>
    <w:rsid w:val="00B23982"/>
    <w:rsid w:val="00B23F8D"/>
    <w:rsid w:val="00B24297"/>
    <w:rsid w:val="00B2500E"/>
    <w:rsid w:val="00B25B87"/>
    <w:rsid w:val="00B273C2"/>
    <w:rsid w:val="00B2754E"/>
    <w:rsid w:val="00B27DC5"/>
    <w:rsid w:val="00B30FF2"/>
    <w:rsid w:val="00B3184D"/>
    <w:rsid w:val="00B32569"/>
    <w:rsid w:val="00B33C39"/>
    <w:rsid w:val="00B33E59"/>
    <w:rsid w:val="00B344D4"/>
    <w:rsid w:val="00B358F8"/>
    <w:rsid w:val="00B3605D"/>
    <w:rsid w:val="00B36F7C"/>
    <w:rsid w:val="00B371AB"/>
    <w:rsid w:val="00B40270"/>
    <w:rsid w:val="00B41371"/>
    <w:rsid w:val="00B41590"/>
    <w:rsid w:val="00B4252A"/>
    <w:rsid w:val="00B4364B"/>
    <w:rsid w:val="00B4397B"/>
    <w:rsid w:val="00B43C60"/>
    <w:rsid w:val="00B43CBC"/>
    <w:rsid w:val="00B44566"/>
    <w:rsid w:val="00B44688"/>
    <w:rsid w:val="00B44CF1"/>
    <w:rsid w:val="00B45112"/>
    <w:rsid w:val="00B453F9"/>
    <w:rsid w:val="00B45755"/>
    <w:rsid w:val="00B45F26"/>
    <w:rsid w:val="00B45FDD"/>
    <w:rsid w:val="00B46021"/>
    <w:rsid w:val="00B47F1E"/>
    <w:rsid w:val="00B506B7"/>
    <w:rsid w:val="00B50B33"/>
    <w:rsid w:val="00B511EC"/>
    <w:rsid w:val="00B512F8"/>
    <w:rsid w:val="00B51B49"/>
    <w:rsid w:val="00B52F43"/>
    <w:rsid w:val="00B53B35"/>
    <w:rsid w:val="00B53EAB"/>
    <w:rsid w:val="00B558D6"/>
    <w:rsid w:val="00B55E68"/>
    <w:rsid w:val="00B566EC"/>
    <w:rsid w:val="00B60091"/>
    <w:rsid w:val="00B60C0B"/>
    <w:rsid w:val="00B615A2"/>
    <w:rsid w:val="00B62B72"/>
    <w:rsid w:val="00B63467"/>
    <w:rsid w:val="00B634F5"/>
    <w:rsid w:val="00B64DA7"/>
    <w:rsid w:val="00B66084"/>
    <w:rsid w:val="00B66F75"/>
    <w:rsid w:val="00B70641"/>
    <w:rsid w:val="00B71607"/>
    <w:rsid w:val="00B71640"/>
    <w:rsid w:val="00B71D71"/>
    <w:rsid w:val="00B72081"/>
    <w:rsid w:val="00B7237B"/>
    <w:rsid w:val="00B730DC"/>
    <w:rsid w:val="00B74B20"/>
    <w:rsid w:val="00B7583A"/>
    <w:rsid w:val="00B75C90"/>
    <w:rsid w:val="00B76508"/>
    <w:rsid w:val="00B76697"/>
    <w:rsid w:val="00B76D85"/>
    <w:rsid w:val="00B7723D"/>
    <w:rsid w:val="00B7762F"/>
    <w:rsid w:val="00B77B74"/>
    <w:rsid w:val="00B80589"/>
    <w:rsid w:val="00B80C1D"/>
    <w:rsid w:val="00B81157"/>
    <w:rsid w:val="00B828C3"/>
    <w:rsid w:val="00B82A07"/>
    <w:rsid w:val="00B833AA"/>
    <w:rsid w:val="00B847C1"/>
    <w:rsid w:val="00B8483B"/>
    <w:rsid w:val="00B85007"/>
    <w:rsid w:val="00B85298"/>
    <w:rsid w:val="00B8570A"/>
    <w:rsid w:val="00B858C9"/>
    <w:rsid w:val="00B869D7"/>
    <w:rsid w:val="00B86A5E"/>
    <w:rsid w:val="00B86EF8"/>
    <w:rsid w:val="00B9007A"/>
    <w:rsid w:val="00B90A8A"/>
    <w:rsid w:val="00B90BB1"/>
    <w:rsid w:val="00B90C21"/>
    <w:rsid w:val="00B90E57"/>
    <w:rsid w:val="00B911DB"/>
    <w:rsid w:val="00B9127E"/>
    <w:rsid w:val="00B91D25"/>
    <w:rsid w:val="00B94220"/>
    <w:rsid w:val="00B95420"/>
    <w:rsid w:val="00B956FB"/>
    <w:rsid w:val="00B95720"/>
    <w:rsid w:val="00B95871"/>
    <w:rsid w:val="00B960D4"/>
    <w:rsid w:val="00B961C6"/>
    <w:rsid w:val="00B964BB"/>
    <w:rsid w:val="00B96970"/>
    <w:rsid w:val="00B97391"/>
    <w:rsid w:val="00B9763D"/>
    <w:rsid w:val="00BA22CD"/>
    <w:rsid w:val="00BA2A94"/>
    <w:rsid w:val="00BA4F47"/>
    <w:rsid w:val="00BA54CE"/>
    <w:rsid w:val="00BA56BE"/>
    <w:rsid w:val="00BA56D5"/>
    <w:rsid w:val="00BA5DD2"/>
    <w:rsid w:val="00BA6C59"/>
    <w:rsid w:val="00BA7449"/>
    <w:rsid w:val="00BA789A"/>
    <w:rsid w:val="00BB04E2"/>
    <w:rsid w:val="00BB141C"/>
    <w:rsid w:val="00BB144B"/>
    <w:rsid w:val="00BB183A"/>
    <w:rsid w:val="00BB19D2"/>
    <w:rsid w:val="00BB271E"/>
    <w:rsid w:val="00BB2998"/>
    <w:rsid w:val="00BB2C25"/>
    <w:rsid w:val="00BB318B"/>
    <w:rsid w:val="00BB39EC"/>
    <w:rsid w:val="00BB49D7"/>
    <w:rsid w:val="00BB4A36"/>
    <w:rsid w:val="00BB53C9"/>
    <w:rsid w:val="00BB5F9B"/>
    <w:rsid w:val="00BB60A4"/>
    <w:rsid w:val="00BB6595"/>
    <w:rsid w:val="00BB6A6D"/>
    <w:rsid w:val="00BB6AFC"/>
    <w:rsid w:val="00BB700F"/>
    <w:rsid w:val="00BB7979"/>
    <w:rsid w:val="00BC045D"/>
    <w:rsid w:val="00BC0DB5"/>
    <w:rsid w:val="00BC10C2"/>
    <w:rsid w:val="00BC1560"/>
    <w:rsid w:val="00BC1E38"/>
    <w:rsid w:val="00BC2E9B"/>
    <w:rsid w:val="00BC33AF"/>
    <w:rsid w:val="00BC3894"/>
    <w:rsid w:val="00BC41C9"/>
    <w:rsid w:val="00BC4AE6"/>
    <w:rsid w:val="00BC5539"/>
    <w:rsid w:val="00BC5676"/>
    <w:rsid w:val="00BC644E"/>
    <w:rsid w:val="00BC6D87"/>
    <w:rsid w:val="00BC71EE"/>
    <w:rsid w:val="00BC767B"/>
    <w:rsid w:val="00BC7CB8"/>
    <w:rsid w:val="00BC7DD7"/>
    <w:rsid w:val="00BC7F72"/>
    <w:rsid w:val="00BD0663"/>
    <w:rsid w:val="00BD0EAC"/>
    <w:rsid w:val="00BD1347"/>
    <w:rsid w:val="00BD13BB"/>
    <w:rsid w:val="00BD1783"/>
    <w:rsid w:val="00BD1A2A"/>
    <w:rsid w:val="00BD1EA2"/>
    <w:rsid w:val="00BD2214"/>
    <w:rsid w:val="00BD28B4"/>
    <w:rsid w:val="00BD2CF4"/>
    <w:rsid w:val="00BD4396"/>
    <w:rsid w:val="00BD4491"/>
    <w:rsid w:val="00BD4A8A"/>
    <w:rsid w:val="00BD4D05"/>
    <w:rsid w:val="00BD6A7A"/>
    <w:rsid w:val="00BD7040"/>
    <w:rsid w:val="00BD7894"/>
    <w:rsid w:val="00BE0B80"/>
    <w:rsid w:val="00BE0BF5"/>
    <w:rsid w:val="00BE1770"/>
    <w:rsid w:val="00BE1F54"/>
    <w:rsid w:val="00BE1FFB"/>
    <w:rsid w:val="00BE2602"/>
    <w:rsid w:val="00BE2F78"/>
    <w:rsid w:val="00BE32DC"/>
    <w:rsid w:val="00BE4541"/>
    <w:rsid w:val="00BE4A8D"/>
    <w:rsid w:val="00BE4DC7"/>
    <w:rsid w:val="00BE5C56"/>
    <w:rsid w:val="00BE630A"/>
    <w:rsid w:val="00BE6C25"/>
    <w:rsid w:val="00BE75AD"/>
    <w:rsid w:val="00BE7A96"/>
    <w:rsid w:val="00BF1C00"/>
    <w:rsid w:val="00BF1D45"/>
    <w:rsid w:val="00BF1EE4"/>
    <w:rsid w:val="00BF2068"/>
    <w:rsid w:val="00BF2AB3"/>
    <w:rsid w:val="00BF4933"/>
    <w:rsid w:val="00BF4AC8"/>
    <w:rsid w:val="00BF6FC7"/>
    <w:rsid w:val="00BF7D22"/>
    <w:rsid w:val="00C00209"/>
    <w:rsid w:val="00C004C0"/>
    <w:rsid w:val="00C00D8B"/>
    <w:rsid w:val="00C012A0"/>
    <w:rsid w:val="00C01A7E"/>
    <w:rsid w:val="00C0231C"/>
    <w:rsid w:val="00C04425"/>
    <w:rsid w:val="00C04645"/>
    <w:rsid w:val="00C04DE6"/>
    <w:rsid w:val="00C052B7"/>
    <w:rsid w:val="00C071AC"/>
    <w:rsid w:val="00C07818"/>
    <w:rsid w:val="00C10259"/>
    <w:rsid w:val="00C102AE"/>
    <w:rsid w:val="00C10668"/>
    <w:rsid w:val="00C110B4"/>
    <w:rsid w:val="00C111BA"/>
    <w:rsid w:val="00C11589"/>
    <w:rsid w:val="00C116B5"/>
    <w:rsid w:val="00C12FF0"/>
    <w:rsid w:val="00C13432"/>
    <w:rsid w:val="00C143BB"/>
    <w:rsid w:val="00C14CD1"/>
    <w:rsid w:val="00C15251"/>
    <w:rsid w:val="00C153E6"/>
    <w:rsid w:val="00C15F40"/>
    <w:rsid w:val="00C16695"/>
    <w:rsid w:val="00C170A0"/>
    <w:rsid w:val="00C20A70"/>
    <w:rsid w:val="00C2145A"/>
    <w:rsid w:val="00C21CC7"/>
    <w:rsid w:val="00C21DE6"/>
    <w:rsid w:val="00C21F85"/>
    <w:rsid w:val="00C223CC"/>
    <w:rsid w:val="00C22AEF"/>
    <w:rsid w:val="00C23209"/>
    <w:rsid w:val="00C24F69"/>
    <w:rsid w:val="00C24FD8"/>
    <w:rsid w:val="00C25438"/>
    <w:rsid w:val="00C25A01"/>
    <w:rsid w:val="00C25AC0"/>
    <w:rsid w:val="00C25D8D"/>
    <w:rsid w:val="00C263EC"/>
    <w:rsid w:val="00C26A51"/>
    <w:rsid w:val="00C27167"/>
    <w:rsid w:val="00C273DC"/>
    <w:rsid w:val="00C27AE3"/>
    <w:rsid w:val="00C27B00"/>
    <w:rsid w:val="00C3016C"/>
    <w:rsid w:val="00C3024B"/>
    <w:rsid w:val="00C30A94"/>
    <w:rsid w:val="00C30A9D"/>
    <w:rsid w:val="00C30C12"/>
    <w:rsid w:val="00C30D56"/>
    <w:rsid w:val="00C3104E"/>
    <w:rsid w:val="00C317C1"/>
    <w:rsid w:val="00C31D0F"/>
    <w:rsid w:val="00C3233D"/>
    <w:rsid w:val="00C32CDC"/>
    <w:rsid w:val="00C32CE1"/>
    <w:rsid w:val="00C34E48"/>
    <w:rsid w:val="00C35FA4"/>
    <w:rsid w:val="00C36700"/>
    <w:rsid w:val="00C36F10"/>
    <w:rsid w:val="00C40640"/>
    <w:rsid w:val="00C408C1"/>
    <w:rsid w:val="00C40F07"/>
    <w:rsid w:val="00C40F35"/>
    <w:rsid w:val="00C4267E"/>
    <w:rsid w:val="00C42A34"/>
    <w:rsid w:val="00C43189"/>
    <w:rsid w:val="00C43B23"/>
    <w:rsid w:val="00C44AC3"/>
    <w:rsid w:val="00C450CB"/>
    <w:rsid w:val="00C455AD"/>
    <w:rsid w:val="00C465D6"/>
    <w:rsid w:val="00C46672"/>
    <w:rsid w:val="00C46EF3"/>
    <w:rsid w:val="00C47A8E"/>
    <w:rsid w:val="00C512D6"/>
    <w:rsid w:val="00C5215E"/>
    <w:rsid w:val="00C53643"/>
    <w:rsid w:val="00C53818"/>
    <w:rsid w:val="00C53946"/>
    <w:rsid w:val="00C53D15"/>
    <w:rsid w:val="00C54093"/>
    <w:rsid w:val="00C54236"/>
    <w:rsid w:val="00C548D5"/>
    <w:rsid w:val="00C54AE9"/>
    <w:rsid w:val="00C5562C"/>
    <w:rsid w:val="00C56C47"/>
    <w:rsid w:val="00C609DA"/>
    <w:rsid w:val="00C62083"/>
    <w:rsid w:val="00C6283F"/>
    <w:rsid w:val="00C62D08"/>
    <w:rsid w:val="00C62D2F"/>
    <w:rsid w:val="00C6344D"/>
    <w:rsid w:val="00C65E54"/>
    <w:rsid w:val="00C66008"/>
    <w:rsid w:val="00C66575"/>
    <w:rsid w:val="00C66586"/>
    <w:rsid w:val="00C66A26"/>
    <w:rsid w:val="00C671EE"/>
    <w:rsid w:val="00C6789F"/>
    <w:rsid w:val="00C678E8"/>
    <w:rsid w:val="00C7068B"/>
    <w:rsid w:val="00C70828"/>
    <w:rsid w:val="00C71001"/>
    <w:rsid w:val="00C734DA"/>
    <w:rsid w:val="00C73697"/>
    <w:rsid w:val="00C73CAA"/>
    <w:rsid w:val="00C74481"/>
    <w:rsid w:val="00C74FB2"/>
    <w:rsid w:val="00C75383"/>
    <w:rsid w:val="00C7572D"/>
    <w:rsid w:val="00C75CCF"/>
    <w:rsid w:val="00C75EA3"/>
    <w:rsid w:val="00C76247"/>
    <w:rsid w:val="00C76647"/>
    <w:rsid w:val="00C7669A"/>
    <w:rsid w:val="00C76F0D"/>
    <w:rsid w:val="00C77474"/>
    <w:rsid w:val="00C801DD"/>
    <w:rsid w:val="00C80240"/>
    <w:rsid w:val="00C804F0"/>
    <w:rsid w:val="00C80E00"/>
    <w:rsid w:val="00C81484"/>
    <w:rsid w:val="00C81A04"/>
    <w:rsid w:val="00C8206C"/>
    <w:rsid w:val="00C829A5"/>
    <w:rsid w:val="00C82A3B"/>
    <w:rsid w:val="00C82B0F"/>
    <w:rsid w:val="00C8325E"/>
    <w:rsid w:val="00C8328C"/>
    <w:rsid w:val="00C83451"/>
    <w:rsid w:val="00C84243"/>
    <w:rsid w:val="00C8441D"/>
    <w:rsid w:val="00C84572"/>
    <w:rsid w:val="00C85537"/>
    <w:rsid w:val="00C86777"/>
    <w:rsid w:val="00C8678A"/>
    <w:rsid w:val="00C87011"/>
    <w:rsid w:val="00C87511"/>
    <w:rsid w:val="00C8756F"/>
    <w:rsid w:val="00C9023D"/>
    <w:rsid w:val="00C908D8"/>
    <w:rsid w:val="00C90B6B"/>
    <w:rsid w:val="00C90F32"/>
    <w:rsid w:val="00C9152A"/>
    <w:rsid w:val="00C92541"/>
    <w:rsid w:val="00C926A3"/>
    <w:rsid w:val="00C92E43"/>
    <w:rsid w:val="00C92F72"/>
    <w:rsid w:val="00C93A9A"/>
    <w:rsid w:val="00C944C2"/>
    <w:rsid w:val="00C9473F"/>
    <w:rsid w:val="00C95854"/>
    <w:rsid w:val="00C95FC1"/>
    <w:rsid w:val="00C96BA9"/>
    <w:rsid w:val="00C979AC"/>
    <w:rsid w:val="00C97D33"/>
    <w:rsid w:val="00CA0B9B"/>
    <w:rsid w:val="00CA106B"/>
    <w:rsid w:val="00CA1249"/>
    <w:rsid w:val="00CA1864"/>
    <w:rsid w:val="00CA1A34"/>
    <w:rsid w:val="00CA3263"/>
    <w:rsid w:val="00CA3C67"/>
    <w:rsid w:val="00CA3DF1"/>
    <w:rsid w:val="00CA4EE5"/>
    <w:rsid w:val="00CA52BB"/>
    <w:rsid w:val="00CA573A"/>
    <w:rsid w:val="00CA5FEA"/>
    <w:rsid w:val="00CA69D1"/>
    <w:rsid w:val="00CA7FDF"/>
    <w:rsid w:val="00CB0A6A"/>
    <w:rsid w:val="00CB1776"/>
    <w:rsid w:val="00CB19D9"/>
    <w:rsid w:val="00CB4178"/>
    <w:rsid w:val="00CB4266"/>
    <w:rsid w:val="00CB4EAC"/>
    <w:rsid w:val="00CB5C9F"/>
    <w:rsid w:val="00CB6245"/>
    <w:rsid w:val="00CB63D7"/>
    <w:rsid w:val="00CB6C83"/>
    <w:rsid w:val="00CB6C9E"/>
    <w:rsid w:val="00CB6F6D"/>
    <w:rsid w:val="00CB7451"/>
    <w:rsid w:val="00CB779E"/>
    <w:rsid w:val="00CB7C52"/>
    <w:rsid w:val="00CB7C7B"/>
    <w:rsid w:val="00CC0D41"/>
    <w:rsid w:val="00CC1231"/>
    <w:rsid w:val="00CC1A85"/>
    <w:rsid w:val="00CC2C3A"/>
    <w:rsid w:val="00CC32DD"/>
    <w:rsid w:val="00CC3456"/>
    <w:rsid w:val="00CC42B4"/>
    <w:rsid w:val="00CC47B2"/>
    <w:rsid w:val="00CC4998"/>
    <w:rsid w:val="00CC4A80"/>
    <w:rsid w:val="00CC5EFD"/>
    <w:rsid w:val="00CC75CB"/>
    <w:rsid w:val="00CC770F"/>
    <w:rsid w:val="00CC7C8E"/>
    <w:rsid w:val="00CC7FAB"/>
    <w:rsid w:val="00CD2029"/>
    <w:rsid w:val="00CD25B1"/>
    <w:rsid w:val="00CD39F1"/>
    <w:rsid w:val="00CD534E"/>
    <w:rsid w:val="00CD590C"/>
    <w:rsid w:val="00CD5AD6"/>
    <w:rsid w:val="00CD6223"/>
    <w:rsid w:val="00CD6B3C"/>
    <w:rsid w:val="00CD6BE3"/>
    <w:rsid w:val="00CD6D3F"/>
    <w:rsid w:val="00CD7F1E"/>
    <w:rsid w:val="00CE218D"/>
    <w:rsid w:val="00CE25FD"/>
    <w:rsid w:val="00CE275A"/>
    <w:rsid w:val="00CE3EFF"/>
    <w:rsid w:val="00CE4046"/>
    <w:rsid w:val="00CE4C21"/>
    <w:rsid w:val="00CE684A"/>
    <w:rsid w:val="00CE697C"/>
    <w:rsid w:val="00CE735F"/>
    <w:rsid w:val="00CE7500"/>
    <w:rsid w:val="00CF0A07"/>
    <w:rsid w:val="00CF0EC1"/>
    <w:rsid w:val="00CF13D6"/>
    <w:rsid w:val="00CF180B"/>
    <w:rsid w:val="00CF3547"/>
    <w:rsid w:val="00CF35EA"/>
    <w:rsid w:val="00CF5297"/>
    <w:rsid w:val="00CF6379"/>
    <w:rsid w:val="00CF6CDD"/>
    <w:rsid w:val="00CF7EF1"/>
    <w:rsid w:val="00D004C7"/>
    <w:rsid w:val="00D00A51"/>
    <w:rsid w:val="00D00FA5"/>
    <w:rsid w:val="00D01A65"/>
    <w:rsid w:val="00D035BB"/>
    <w:rsid w:val="00D043C7"/>
    <w:rsid w:val="00D04F0C"/>
    <w:rsid w:val="00D05457"/>
    <w:rsid w:val="00D05E87"/>
    <w:rsid w:val="00D05F5A"/>
    <w:rsid w:val="00D10BB8"/>
    <w:rsid w:val="00D10D70"/>
    <w:rsid w:val="00D11ADF"/>
    <w:rsid w:val="00D11EBC"/>
    <w:rsid w:val="00D12128"/>
    <w:rsid w:val="00D1216B"/>
    <w:rsid w:val="00D12623"/>
    <w:rsid w:val="00D1334B"/>
    <w:rsid w:val="00D1431F"/>
    <w:rsid w:val="00D1531B"/>
    <w:rsid w:val="00D1571C"/>
    <w:rsid w:val="00D15E83"/>
    <w:rsid w:val="00D16367"/>
    <w:rsid w:val="00D16488"/>
    <w:rsid w:val="00D166AC"/>
    <w:rsid w:val="00D17189"/>
    <w:rsid w:val="00D17DE7"/>
    <w:rsid w:val="00D2153D"/>
    <w:rsid w:val="00D2164C"/>
    <w:rsid w:val="00D2207F"/>
    <w:rsid w:val="00D224C4"/>
    <w:rsid w:val="00D227DB"/>
    <w:rsid w:val="00D229BE"/>
    <w:rsid w:val="00D22E1D"/>
    <w:rsid w:val="00D23115"/>
    <w:rsid w:val="00D23897"/>
    <w:rsid w:val="00D23E8E"/>
    <w:rsid w:val="00D24AC2"/>
    <w:rsid w:val="00D24D03"/>
    <w:rsid w:val="00D25A02"/>
    <w:rsid w:val="00D26367"/>
    <w:rsid w:val="00D263C1"/>
    <w:rsid w:val="00D26677"/>
    <w:rsid w:val="00D2667E"/>
    <w:rsid w:val="00D26EE7"/>
    <w:rsid w:val="00D277A7"/>
    <w:rsid w:val="00D27DE2"/>
    <w:rsid w:val="00D30425"/>
    <w:rsid w:val="00D304DF"/>
    <w:rsid w:val="00D30B44"/>
    <w:rsid w:val="00D31724"/>
    <w:rsid w:val="00D31CBB"/>
    <w:rsid w:val="00D31DC2"/>
    <w:rsid w:val="00D31FEF"/>
    <w:rsid w:val="00D3224C"/>
    <w:rsid w:val="00D32444"/>
    <w:rsid w:val="00D3271E"/>
    <w:rsid w:val="00D3461F"/>
    <w:rsid w:val="00D35CA5"/>
    <w:rsid w:val="00D36606"/>
    <w:rsid w:val="00D37063"/>
    <w:rsid w:val="00D37397"/>
    <w:rsid w:val="00D4039C"/>
    <w:rsid w:val="00D40957"/>
    <w:rsid w:val="00D40C37"/>
    <w:rsid w:val="00D411CA"/>
    <w:rsid w:val="00D414F6"/>
    <w:rsid w:val="00D43024"/>
    <w:rsid w:val="00D430BE"/>
    <w:rsid w:val="00D43789"/>
    <w:rsid w:val="00D44ECE"/>
    <w:rsid w:val="00D452CE"/>
    <w:rsid w:val="00D4658D"/>
    <w:rsid w:val="00D46C01"/>
    <w:rsid w:val="00D47152"/>
    <w:rsid w:val="00D47481"/>
    <w:rsid w:val="00D47B7F"/>
    <w:rsid w:val="00D47BA2"/>
    <w:rsid w:val="00D50F0A"/>
    <w:rsid w:val="00D51602"/>
    <w:rsid w:val="00D52CF5"/>
    <w:rsid w:val="00D531BC"/>
    <w:rsid w:val="00D54238"/>
    <w:rsid w:val="00D54F64"/>
    <w:rsid w:val="00D55284"/>
    <w:rsid w:val="00D559F3"/>
    <w:rsid w:val="00D5612F"/>
    <w:rsid w:val="00D575AF"/>
    <w:rsid w:val="00D6008B"/>
    <w:rsid w:val="00D606B6"/>
    <w:rsid w:val="00D60A06"/>
    <w:rsid w:val="00D60AA2"/>
    <w:rsid w:val="00D622F0"/>
    <w:rsid w:val="00D625E8"/>
    <w:rsid w:val="00D628B7"/>
    <w:rsid w:val="00D62ABA"/>
    <w:rsid w:val="00D62F1D"/>
    <w:rsid w:val="00D635E6"/>
    <w:rsid w:val="00D63959"/>
    <w:rsid w:val="00D63CAE"/>
    <w:rsid w:val="00D64247"/>
    <w:rsid w:val="00D66397"/>
    <w:rsid w:val="00D66937"/>
    <w:rsid w:val="00D67002"/>
    <w:rsid w:val="00D672FA"/>
    <w:rsid w:val="00D67D6C"/>
    <w:rsid w:val="00D67F85"/>
    <w:rsid w:val="00D70531"/>
    <w:rsid w:val="00D70940"/>
    <w:rsid w:val="00D71230"/>
    <w:rsid w:val="00D712BB"/>
    <w:rsid w:val="00D72008"/>
    <w:rsid w:val="00D738A8"/>
    <w:rsid w:val="00D73FF7"/>
    <w:rsid w:val="00D745FC"/>
    <w:rsid w:val="00D75096"/>
    <w:rsid w:val="00D7547B"/>
    <w:rsid w:val="00D75496"/>
    <w:rsid w:val="00D75D21"/>
    <w:rsid w:val="00D76546"/>
    <w:rsid w:val="00D76B11"/>
    <w:rsid w:val="00D7734D"/>
    <w:rsid w:val="00D7793B"/>
    <w:rsid w:val="00D801F6"/>
    <w:rsid w:val="00D808F5"/>
    <w:rsid w:val="00D81B18"/>
    <w:rsid w:val="00D82352"/>
    <w:rsid w:val="00D825FF"/>
    <w:rsid w:val="00D82891"/>
    <w:rsid w:val="00D82AAC"/>
    <w:rsid w:val="00D83994"/>
    <w:rsid w:val="00D839C1"/>
    <w:rsid w:val="00D847BD"/>
    <w:rsid w:val="00D85216"/>
    <w:rsid w:val="00D85C22"/>
    <w:rsid w:val="00D865C1"/>
    <w:rsid w:val="00D86705"/>
    <w:rsid w:val="00D91D6E"/>
    <w:rsid w:val="00D92161"/>
    <w:rsid w:val="00D92ECC"/>
    <w:rsid w:val="00D93535"/>
    <w:rsid w:val="00D94475"/>
    <w:rsid w:val="00D94B34"/>
    <w:rsid w:val="00D95A00"/>
    <w:rsid w:val="00D96249"/>
    <w:rsid w:val="00D964F2"/>
    <w:rsid w:val="00D9652C"/>
    <w:rsid w:val="00D9697F"/>
    <w:rsid w:val="00D971C3"/>
    <w:rsid w:val="00DA04FF"/>
    <w:rsid w:val="00DA0561"/>
    <w:rsid w:val="00DA0A3B"/>
    <w:rsid w:val="00DA2986"/>
    <w:rsid w:val="00DA2DB4"/>
    <w:rsid w:val="00DA3A76"/>
    <w:rsid w:val="00DA415F"/>
    <w:rsid w:val="00DA56BD"/>
    <w:rsid w:val="00DA65DF"/>
    <w:rsid w:val="00DA672C"/>
    <w:rsid w:val="00DA7404"/>
    <w:rsid w:val="00DA79FA"/>
    <w:rsid w:val="00DA7A80"/>
    <w:rsid w:val="00DB1EAE"/>
    <w:rsid w:val="00DB2AE8"/>
    <w:rsid w:val="00DB38F8"/>
    <w:rsid w:val="00DB3EF0"/>
    <w:rsid w:val="00DB492E"/>
    <w:rsid w:val="00DB4EAD"/>
    <w:rsid w:val="00DB4FC7"/>
    <w:rsid w:val="00DB5407"/>
    <w:rsid w:val="00DB5499"/>
    <w:rsid w:val="00DB5C61"/>
    <w:rsid w:val="00DB6141"/>
    <w:rsid w:val="00DB6860"/>
    <w:rsid w:val="00DB6D63"/>
    <w:rsid w:val="00DB71DC"/>
    <w:rsid w:val="00DC0851"/>
    <w:rsid w:val="00DC1383"/>
    <w:rsid w:val="00DC179D"/>
    <w:rsid w:val="00DC185F"/>
    <w:rsid w:val="00DC3F25"/>
    <w:rsid w:val="00DC46B5"/>
    <w:rsid w:val="00DC4D4E"/>
    <w:rsid w:val="00DC5046"/>
    <w:rsid w:val="00DC518B"/>
    <w:rsid w:val="00DC5307"/>
    <w:rsid w:val="00DC6AA0"/>
    <w:rsid w:val="00DD01BA"/>
    <w:rsid w:val="00DD18A0"/>
    <w:rsid w:val="00DD1CCD"/>
    <w:rsid w:val="00DD200E"/>
    <w:rsid w:val="00DD2243"/>
    <w:rsid w:val="00DD2BB4"/>
    <w:rsid w:val="00DD31A1"/>
    <w:rsid w:val="00DD3235"/>
    <w:rsid w:val="00DD380C"/>
    <w:rsid w:val="00DD3FE8"/>
    <w:rsid w:val="00DD4337"/>
    <w:rsid w:val="00DD486C"/>
    <w:rsid w:val="00DD4897"/>
    <w:rsid w:val="00DD505F"/>
    <w:rsid w:val="00DD59F7"/>
    <w:rsid w:val="00DD5E96"/>
    <w:rsid w:val="00DD628F"/>
    <w:rsid w:val="00DD63AA"/>
    <w:rsid w:val="00DD6A9D"/>
    <w:rsid w:val="00DE04A2"/>
    <w:rsid w:val="00DE051A"/>
    <w:rsid w:val="00DE0B2F"/>
    <w:rsid w:val="00DE0C22"/>
    <w:rsid w:val="00DE0EA7"/>
    <w:rsid w:val="00DE10B3"/>
    <w:rsid w:val="00DE18C2"/>
    <w:rsid w:val="00DE2112"/>
    <w:rsid w:val="00DE30B2"/>
    <w:rsid w:val="00DE3B11"/>
    <w:rsid w:val="00DE3E60"/>
    <w:rsid w:val="00DE441F"/>
    <w:rsid w:val="00DE444A"/>
    <w:rsid w:val="00DE5758"/>
    <w:rsid w:val="00DE5807"/>
    <w:rsid w:val="00DE6BB3"/>
    <w:rsid w:val="00DE715F"/>
    <w:rsid w:val="00DE7A48"/>
    <w:rsid w:val="00DF0943"/>
    <w:rsid w:val="00DF0FD1"/>
    <w:rsid w:val="00DF1188"/>
    <w:rsid w:val="00DF14D0"/>
    <w:rsid w:val="00DF1B11"/>
    <w:rsid w:val="00DF37CA"/>
    <w:rsid w:val="00DF4245"/>
    <w:rsid w:val="00DF4507"/>
    <w:rsid w:val="00DF4648"/>
    <w:rsid w:val="00DF5400"/>
    <w:rsid w:val="00DF58D9"/>
    <w:rsid w:val="00DF79C1"/>
    <w:rsid w:val="00DF7E41"/>
    <w:rsid w:val="00E003C2"/>
    <w:rsid w:val="00E00525"/>
    <w:rsid w:val="00E00D5E"/>
    <w:rsid w:val="00E01913"/>
    <w:rsid w:val="00E02F1E"/>
    <w:rsid w:val="00E030E0"/>
    <w:rsid w:val="00E03578"/>
    <w:rsid w:val="00E03978"/>
    <w:rsid w:val="00E03D15"/>
    <w:rsid w:val="00E04186"/>
    <w:rsid w:val="00E05D65"/>
    <w:rsid w:val="00E05D76"/>
    <w:rsid w:val="00E05F57"/>
    <w:rsid w:val="00E05F8C"/>
    <w:rsid w:val="00E0622C"/>
    <w:rsid w:val="00E06F58"/>
    <w:rsid w:val="00E07806"/>
    <w:rsid w:val="00E07974"/>
    <w:rsid w:val="00E07A59"/>
    <w:rsid w:val="00E07DC3"/>
    <w:rsid w:val="00E07EF1"/>
    <w:rsid w:val="00E10082"/>
    <w:rsid w:val="00E10578"/>
    <w:rsid w:val="00E10799"/>
    <w:rsid w:val="00E10AE9"/>
    <w:rsid w:val="00E10E94"/>
    <w:rsid w:val="00E11025"/>
    <w:rsid w:val="00E11A91"/>
    <w:rsid w:val="00E11D2F"/>
    <w:rsid w:val="00E123A4"/>
    <w:rsid w:val="00E125FC"/>
    <w:rsid w:val="00E13A3D"/>
    <w:rsid w:val="00E13D6B"/>
    <w:rsid w:val="00E13F42"/>
    <w:rsid w:val="00E1403A"/>
    <w:rsid w:val="00E1430D"/>
    <w:rsid w:val="00E1438F"/>
    <w:rsid w:val="00E146A2"/>
    <w:rsid w:val="00E146F6"/>
    <w:rsid w:val="00E15ACF"/>
    <w:rsid w:val="00E16385"/>
    <w:rsid w:val="00E163D6"/>
    <w:rsid w:val="00E16654"/>
    <w:rsid w:val="00E16B78"/>
    <w:rsid w:val="00E17029"/>
    <w:rsid w:val="00E17940"/>
    <w:rsid w:val="00E17A21"/>
    <w:rsid w:val="00E17A4A"/>
    <w:rsid w:val="00E208DE"/>
    <w:rsid w:val="00E213F0"/>
    <w:rsid w:val="00E214F8"/>
    <w:rsid w:val="00E2155F"/>
    <w:rsid w:val="00E21AB9"/>
    <w:rsid w:val="00E21E06"/>
    <w:rsid w:val="00E237E9"/>
    <w:rsid w:val="00E24280"/>
    <w:rsid w:val="00E24459"/>
    <w:rsid w:val="00E244CB"/>
    <w:rsid w:val="00E24917"/>
    <w:rsid w:val="00E25383"/>
    <w:rsid w:val="00E26A27"/>
    <w:rsid w:val="00E26D1F"/>
    <w:rsid w:val="00E270FB"/>
    <w:rsid w:val="00E275D9"/>
    <w:rsid w:val="00E30010"/>
    <w:rsid w:val="00E3075A"/>
    <w:rsid w:val="00E30816"/>
    <w:rsid w:val="00E308CC"/>
    <w:rsid w:val="00E31456"/>
    <w:rsid w:val="00E31517"/>
    <w:rsid w:val="00E32034"/>
    <w:rsid w:val="00E3219E"/>
    <w:rsid w:val="00E33C37"/>
    <w:rsid w:val="00E33ED2"/>
    <w:rsid w:val="00E34A70"/>
    <w:rsid w:val="00E34C13"/>
    <w:rsid w:val="00E34C72"/>
    <w:rsid w:val="00E35B3B"/>
    <w:rsid w:val="00E35CAF"/>
    <w:rsid w:val="00E36390"/>
    <w:rsid w:val="00E3680D"/>
    <w:rsid w:val="00E37654"/>
    <w:rsid w:val="00E37829"/>
    <w:rsid w:val="00E378E0"/>
    <w:rsid w:val="00E37B8F"/>
    <w:rsid w:val="00E37C53"/>
    <w:rsid w:val="00E406D7"/>
    <w:rsid w:val="00E40A39"/>
    <w:rsid w:val="00E41472"/>
    <w:rsid w:val="00E41635"/>
    <w:rsid w:val="00E42546"/>
    <w:rsid w:val="00E429A0"/>
    <w:rsid w:val="00E4328F"/>
    <w:rsid w:val="00E43B3D"/>
    <w:rsid w:val="00E4504A"/>
    <w:rsid w:val="00E453FA"/>
    <w:rsid w:val="00E454A7"/>
    <w:rsid w:val="00E457B3"/>
    <w:rsid w:val="00E45934"/>
    <w:rsid w:val="00E4608F"/>
    <w:rsid w:val="00E46146"/>
    <w:rsid w:val="00E46484"/>
    <w:rsid w:val="00E47802"/>
    <w:rsid w:val="00E50D7C"/>
    <w:rsid w:val="00E51281"/>
    <w:rsid w:val="00E52286"/>
    <w:rsid w:val="00E534FF"/>
    <w:rsid w:val="00E542F1"/>
    <w:rsid w:val="00E55338"/>
    <w:rsid w:val="00E554D3"/>
    <w:rsid w:val="00E5561F"/>
    <w:rsid w:val="00E556FE"/>
    <w:rsid w:val="00E55B4F"/>
    <w:rsid w:val="00E55ED9"/>
    <w:rsid w:val="00E562CF"/>
    <w:rsid w:val="00E57257"/>
    <w:rsid w:val="00E57A62"/>
    <w:rsid w:val="00E6032C"/>
    <w:rsid w:val="00E61102"/>
    <w:rsid w:val="00E613F4"/>
    <w:rsid w:val="00E61955"/>
    <w:rsid w:val="00E61FF4"/>
    <w:rsid w:val="00E6297E"/>
    <w:rsid w:val="00E62E3D"/>
    <w:rsid w:val="00E6378A"/>
    <w:rsid w:val="00E6382D"/>
    <w:rsid w:val="00E63A43"/>
    <w:rsid w:val="00E63B18"/>
    <w:rsid w:val="00E641B7"/>
    <w:rsid w:val="00E64434"/>
    <w:rsid w:val="00E646F9"/>
    <w:rsid w:val="00E6543A"/>
    <w:rsid w:val="00E65524"/>
    <w:rsid w:val="00E65A6D"/>
    <w:rsid w:val="00E66103"/>
    <w:rsid w:val="00E66150"/>
    <w:rsid w:val="00E67083"/>
    <w:rsid w:val="00E67ECF"/>
    <w:rsid w:val="00E70875"/>
    <w:rsid w:val="00E7098C"/>
    <w:rsid w:val="00E70D1E"/>
    <w:rsid w:val="00E70E0F"/>
    <w:rsid w:val="00E71589"/>
    <w:rsid w:val="00E71DCE"/>
    <w:rsid w:val="00E7238E"/>
    <w:rsid w:val="00E72F46"/>
    <w:rsid w:val="00E737B9"/>
    <w:rsid w:val="00E74645"/>
    <w:rsid w:val="00E746EB"/>
    <w:rsid w:val="00E75AE3"/>
    <w:rsid w:val="00E75C87"/>
    <w:rsid w:val="00E7679F"/>
    <w:rsid w:val="00E76C9F"/>
    <w:rsid w:val="00E774F1"/>
    <w:rsid w:val="00E8024B"/>
    <w:rsid w:val="00E8117D"/>
    <w:rsid w:val="00E81236"/>
    <w:rsid w:val="00E81832"/>
    <w:rsid w:val="00E81F82"/>
    <w:rsid w:val="00E82401"/>
    <w:rsid w:val="00E826CB"/>
    <w:rsid w:val="00E829C8"/>
    <w:rsid w:val="00E83974"/>
    <w:rsid w:val="00E845F4"/>
    <w:rsid w:val="00E8618B"/>
    <w:rsid w:val="00E86F7D"/>
    <w:rsid w:val="00E8717A"/>
    <w:rsid w:val="00E87B74"/>
    <w:rsid w:val="00E9082D"/>
    <w:rsid w:val="00E90A09"/>
    <w:rsid w:val="00E90B8D"/>
    <w:rsid w:val="00E90FDD"/>
    <w:rsid w:val="00E91103"/>
    <w:rsid w:val="00E918F5"/>
    <w:rsid w:val="00E9278B"/>
    <w:rsid w:val="00E93E61"/>
    <w:rsid w:val="00E93FAE"/>
    <w:rsid w:val="00E94F13"/>
    <w:rsid w:val="00E96D42"/>
    <w:rsid w:val="00EA2674"/>
    <w:rsid w:val="00EA2C0C"/>
    <w:rsid w:val="00EA39C8"/>
    <w:rsid w:val="00EA4785"/>
    <w:rsid w:val="00EA5115"/>
    <w:rsid w:val="00EA5359"/>
    <w:rsid w:val="00EA69E0"/>
    <w:rsid w:val="00EA7753"/>
    <w:rsid w:val="00EB0469"/>
    <w:rsid w:val="00EB0F68"/>
    <w:rsid w:val="00EB15B0"/>
    <w:rsid w:val="00EB179D"/>
    <w:rsid w:val="00EB1CF1"/>
    <w:rsid w:val="00EB211A"/>
    <w:rsid w:val="00EB21A3"/>
    <w:rsid w:val="00EB2798"/>
    <w:rsid w:val="00EB2F22"/>
    <w:rsid w:val="00EB4767"/>
    <w:rsid w:val="00EB4DB9"/>
    <w:rsid w:val="00EB5362"/>
    <w:rsid w:val="00EB551B"/>
    <w:rsid w:val="00EB5A77"/>
    <w:rsid w:val="00EB5ACB"/>
    <w:rsid w:val="00EB6124"/>
    <w:rsid w:val="00EB640C"/>
    <w:rsid w:val="00EB646E"/>
    <w:rsid w:val="00EB67B9"/>
    <w:rsid w:val="00EB69B5"/>
    <w:rsid w:val="00EB6B9B"/>
    <w:rsid w:val="00EB7ACF"/>
    <w:rsid w:val="00EB7B1A"/>
    <w:rsid w:val="00EC052D"/>
    <w:rsid w:val="00EC0A89"/>
    <w:rsid w:val="00EC14E1"/>
    <w:rsid w:val="00EC3467"/>
    <w:rsid w:val="00EC3517"/>
    <w:rsid w:val="00EC35AD"/>
    <w:rsid w:val="00EC3ABE"/>
    <w:rsid w:val="00EC44ED"/>
    <w:rsid w:val="00EC4561"/>
    <w:rsid w:val="00EC4E90"/>
    <w:rsid w:val="00EC534E"/>
    <w:rsid w:val="00EC5974"/>
    <w:rsid w:val="00EC636F"/>
    <w:rsid w:val="00EC6986"/>
    <w:rsid w:val="00EC6EA6"/>
    <w:rsid w:val="00EC7264"/>
    <w:rsid w:val="00EC77E2"/>
    <w:rsid w:val="00EC7C76"/>
    <w:rsid w:val="00ED0A8E"/>
    <w:rsid w:val="00ED1D90"/>
    <w:rsid w:val="00ED357B"/>
    <w:rsid w:val="00ED553A"/>
    <w:rsid w:val="00ED5728"/>
    <w:rsid w:val="00ED5A0F"/>
    <w:rsid w:val="00ED6732"/>
    <w:rsid w:val="00ED6E5A"/>
    <w:rsid w:val="00ED78CF"/>
    <w:rsid w:val="00ED7E53"/>
    <w:rsid w:val="00ED7FA8"/>
    <w:rsid w:val="00EE0156"/>
    <w:rsid w:val="00EE0461"/>
    <w:rsid w:val="00EE0CB3"/>
    <w:rsid w:val="00EE0D2C"/>
    <w:rsid w:val="00EE0E13"/>
    <w:rsid w:val="00EE1168"/>
    <w:rsid w:val="00EE1197"/>
    <w:rsid w:val="00EE1F69"/>
    <w:rsid w:val="00EE2A79"/>
    <w:rsid w:val="00EE2AEB"/>
    <w:rsid w:val="00EE2CFB"/>
    <w:rsid w:val="00EE3155"/>
    <w:rsid w:val="00EE3CC5"/>
    <w:rsid w:val="00EE4EA3"/>
    <w:rsid w:val="00EE5277"/>
    <w:rsid w:val="00EE640C"/>
    <w:rsid w:val="00EE672A"/>
    <w:rsid w:val="00EE6932"/>
    <w:rsid w:val="00EE7AD2"/>
    <w:rsid w:val="00EF0791"/>
    <w:rsid w:val="00EF0794"/>
    <w:rsid w:val="00EF1013"/>
    <w:rsid w:val="00EF1B2C"/>
    <w:rsid w:val="00EF212A"/>
    <w:rsid w:val="00EF27C6"/>
    <w:rsid w:val="00EF3234"/>
    <w:rsid w:val="00EF37D0"/>
    <w:rsid w:val="00EF40DA"/>
    <w:rsid w:val="00EF4E7B"/>
    <w:rsid w:val="00EF55AE"/>
    <w:rsid w:val="00EF597F"/>
    <w:rsid w:val="00EF59C5"/>
    <w:rsid w:val="00EF5ABD"/>
    <w:rsid w:val="00EF659B"/>
    <w:rsid w:val="00EF66D6"/>
    <w:rsid w:val="00EF7628"/>
    <w:rsid w:val="00EF7C63"/>
    <w:rsid w:val="00F012DB"/>
    <w:rsid w:val="00F02E9B"/>
    <w:rsid w:val="00F0370A"/>
    <w:rsid w:val="00F04EA2"/>
    <w:rsid w:val="00F04ED1"/>
    <w:rsid w:val="00F05918"/>
    <w:rsid w:val="00F05CD7"/>
    <w:rsid w:val="00F06554"/>
    <w:rsid w:val="00F07427"/>
    <w:rsid w:val="00F0759E"/>
    <w:rsid w:val="00F076AB"/>
    <w:rsid w:val="00F107BA"/>
    <w:rsid w:val="00F10BD3"/>
    <w:rsid w:val="00F117EA"/>
    <w:rsid w:val="00F11E4B"/>
    <w:rsid w:val="00F12201"/>
    <w:rsid w:val="00F128E4"/>
    <w:rsid w:val="00F12B92"/>
    <w:rsid w:val="00F13339"/>
    <w:rsid w:val="00F13346"/>
    <w:rsid w:val="00F13EC5"/>
    <w:rsid w:val="00F14216"/>
    <w:rsid w:val="00F148C8"/>
    <w:rsid w:val="00F1492E"/>
    <w:rsid w:val="00F14C5B"/>
    <w:rsid w:val="00F1546B"/>
    <w:rsid w:val="00F15ADF"/>
    <w:rsid w:val="00F15CA6"/>
    <w:rsid w:val="00F17FBB"/>
    <w:rsid w:val="00F21410"/>
    <w:rsid w:val="00F21993"/>
    <w:rsid w:val="00F22611"/>
    <w:rsid w:val="00F22BF1"/>
    <w:rsid w:val="00F22D55"/>
    <w:rsid w:val="00F2421C"/>
    <w:rsid w:val="00F244B8"/>
    <w:rsid w:val="00F249D2"/>
    <w:rsid w:val="00F249FA"/>
    <w:rsid w:val="00F25086"/>
    <w:rsid w:val="00F257BD"/>
    <w:rsid w:val="00F25839"/>
    <w:rsid w:val="00F25B57"/>
    <w:rsid w:val="00F26332"/>
    <w:rsid w:val="00F263EF"/>
    <w:rsid w:val="00F273C7"/>
    <w:rsid w:val="00F27755"/>
    <w:rsid w:val="00F27A62"/>
    <w:rsid w:val="00F31125"/>
    <w:rsid w:val="00F311D4"/>
    <w:rsid w:val="00F3194F"/>
    <w:rsid w:val="00F31A4F"/>
    <w:rsid w:val="00F31B89"/>
    <w:rsid w:val="00F32C15"/>
    <w:rsid w:val="00F330C7"/>
    <w:rsid w:val="00F341E6"/>
    <w:rsid w:val="00F344A2"/>
    <w:rsid w:val="00F35C37"/>
    <w:rsid w:val="00F36DDF"/>
    <w:rsid w:val="00F36FBA"/>
    <w:rsid w:val="00F371F7"/>
    <w:rsid w:val="00F3742A"/>
    <w:rsid w:val="00F3746B"/>
    <w:rsid w:val="00F4159C"/>
    <w:rsid w:val="00F41704"/>
    <w:rsid w:val="00F41A8D"/>
    <w:rsid w:val="00F41DF6"/>
    <w:rsid w:val="00F422AC"/>
    <w:rsid w:val="00F44EE6"/>
    <w:rsid w:val="00F45D1D"/>
    <w:rsid w:val="00F461CE"/>
    <w:rsid w:val="00F465AF"/>
    <w:rsid w:val="00F46CBA"/>
    <w:rsid w:val="00F471EA"/>
    <w:rsid w:val="00F47C15"/>
    <w:rsid w:val="00F47E6E"/>
    <w:rsid w:val="00F50F63"/>
    <w:rsid w:val="00F51C1B"/>
    <w:rsid w:val="00F5219B"/>
    <w:rsid w:val="00F52617"/>
    <w:rsid w:val="00F5261A"/>
    <w:rsid w:val="00F5317F"/>
    <w:rsid w:val="00F54176"/>
    <w:rsid w:val="00F547EF"/>
    <w:rsid w:val="00F54C02"/>
    <w:rsid w:val="00F551A8"/>
    <w:rsid w:val="00F55ECB"/>
    <w:rsid w:val="00F560C8"/>
    <w:rsid w:val="00F573AC"/>
    <w:rsid w:val="00F57B50"/>
    <w:rsid w:val="00F57CE7"/>
    <w:rsid w:val="00F60101"/>
    <w:rsid w:val="00F606DE"/>
    <w:rsid w:val="00F60855"/>
    <w:rsid w:val="00F60D06"/>
    <w:rsid w:val="00F6132F"/>
    <w:rsid w:val="00F6173D"/>
    <w:rsid w:val="00F61812"/>
    <w:rsid w:val="00F61AA6"/>
    <w:rsid w:val="00F61B7C"/>
    <w:rsid w:val="00F61E7F"/>
    <w:rsid w:val="00F62A68"/>
    <w:rsid w:val="00F62AC7"/>
    <w:rsid w:val="00F631A1"/>
    <w:rsid w:val="00F6367B"/>
    <w:rsid w:val="00F64C87"/>
    <w:rsid w:val="00F64FE1"/>
    <w:rsid w:val="00F666B9"/>
    <w:rsid w:val="00F6713D"/>
    <w:rsid w:val="00F67406"/>
    <w:rsid w:val="00F70BB1"/>
    <w:rsid w:val="00F71B06"/>
    <w:rsid w:val="00F722EE"/>
    <w:rsid w:val="00F72FC5"/>
    <w:rsid w:val="00F731F1"/>
    <w:rsid w:val="00F73F81"/>
    <w:rsid w:val="00F754AA"/>
    <w:rsid w:val="00F75C2B"/>
    <w:rsid w:val="00F76E51"/>
    <w:rsid w:val="00F77680"/>
    <w:rsid w:val="00F804AB"/>
    <w:rsid w:val="00F8052D"/>
    <w:rsid w:val="00F82195"/>
    <w:rsid w:val="00F824D8"/>
    <w:rsid w:val="00F82D82"/>
    <w:rsid w:val="00F83292"/>
    <w:rsid w:val="00F8361A"/>
    <w:rsid w:val="00F84F31"/>
    <w:rsid w:val="00F85F21"/>
    <w:rsid w:val="00F862D5"/>
    <w:rsid w:val="00F865E9"/>
    <w:rsid w:val="00F866A6"/>
    <w:rsid w:val="00F8754B"/>
    <w:rsid w:val="00F917DA"/>
    <w:rsid w:val="00F9419F"/>
    <w:rsid w:val="00F946E4"/>
    <w:rsid w:val="00F95BE6"/>
    <w:rsid w:val="00F95DD5"/>
    <w:rsid w:val="00F96C2C"/>
    <w:rsid w:val="00F96F0E"/>
    <w:rsid w:val="00F97B05"/>
    <w:rsid w:val="00FA1386"/>
    <w:rsid w:val="00FA2343"/>
    <w:rsid w:val="00FA4F9B"/>
    <w:rsid w:val="00FA4FE9"/>
    <w:rsid w:val="00FA54DA"/>
    <w:rsid w:val="00FA59E8"/>
    <w:rsid w:val="00FA63A9"/>
    <w:rsid w:val="00FA6713"/>
    <w:rsid w:val="00FB12F6"/>
    <w:rsid w:val="00FB211A"/>
    <w:rsid w:val="00FB2792"/>
    <w:rsid w:val="00FB28F0"/>
    <w:rsid w:val="00FB2E47"/>
    <w:rsid w:val="00FB4696"/>
    <w:rsid w:val="00FB512D"/>
    <w:rsid w:val="00FB5208"/>
    <w:rsid w:val="00FB561E"/>
    <w:rsid w:val="00FB58CB"/>
    <w:rsid w:val="00FB65C8"/>
    <w:rsid w:val="00FB7030"/>
    <w:rsid w:val="00FC02FB"/>
    <w:rsid w:val="00FC0853"/>
    <w:rsid w:val="00FC085A"/>
    <w:rsid w:val="00FC0937"/>
    <w:rsid w:val="00FC0A85"/>
    <w:rsid w:val="00FC0E23"/>
    <w:rsid w:val="00FC1A75"/>
    <w:rsid w:val="00FC1E68"/>
    <w:rsid w:val="00FC1E84"/>
    <w:rsid w:val="00FC22ED"/>
    <w:rsid w:val="00FC248B"/>
    <w:rsid w:val="00FC2DE7"/>
    <w:rsid w:val="00FC3227"/>
    <w:rsid w:val="00FC4618"/>
    <w:rsid w:val="00FC480C"/>
    <w:rsid w:val="00FC5321"/>
    <w:rsid w:val="00FC5461"/>
    <w:rsid w:val="00FC600F"/>
    <w:rsid w:val="00FC6AA4"/>
    <w:rsid w:val="00FC7020"/>
    <w:rsid w:val="00FC7A4D"/>
    <w:rsid w:val="00FC7D9F"/>
    <w:rsid w:val="00FD164F"/>
    <w:rsid w:val="00FD1BFB"/>
    <w:rsid w:val="00FD277E"/>
    <w:rsid w:val="00FD2907"/>
    <w:rsid w:val="00FD31B3"/>
    <w:rsid w:val="00FD3901"/>
    <w:rsid w:val="00FD3B58"/>
    <w:rsid w:val="00FD3EC0"/>
    <w:rsid w:val="00FD3FE9"/>
    <w:rsid w:val="00FD4462"/>
    <w:rsid w:val="00FD4FE3"/>
    <w:rsid w:val="00FD58D9"/>
    <w:rsid w:val="00FD6131"/>
    <w:rsid w:val="00FD6B5B"/>
    <w:rsid w:val="00FD7827"/>
    <w:rsid w:val="00FD78C8"/>
    <w:rsid w:val="00FE0FE8"/>
    <w:rsid w:val="00FE1BC0"/>
    <w:rsid w:val="00FE2776"/>
    <w:rsid w:val="00FE29B9"/>
    <w:rsid w:val="00FE3CAB"/>
    <w:rsid w:val="00FE3EB7"/>
    <w:rsid w:val="00FE3EC0"/>
    <w:rsid w:val="00FE3FBD"/>
    <w:rsid w:val="00FE4581"/>
    <w:rsid w:val="00FE4C3C"/>
    <w:rsid w:val="00FE5959"/>
    <w:rsid w:val="00FE68BE"/>
    <w:rsid w:val="00FE730A"/>
    <w:rsid w:val="00FE74EA"/>
    <w:rsid w:val="00FE79ED"/>
    <w:rsid w:val="00FF10B9"/>
    <w:rsid w:val="00FF1358"/>
    <w:rsid w:val="00FF1CB4"/>
    <w:rsid w:val="00FF4954"/>
    <w:rsid w:val="00FF5EE3"/>
    <w:rsid w:val="00FF6CE3"/>
    <w:rsid w:val="00FF6E8A"/>
    <w:rsid w:val="00FF70C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39" w:unhideWhenUsed="0" w:qFormat="1"/>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35" w:unhideWhenUsed="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59"/>
    <w:pPr>
      <w:spacing w:before="240"/>
    </w:pPr>
    <w:rPr>
      <w:rFonts w:ascii="Times New Roman" w:eastAsia="Times New Roman" w:hAnsi="Times New Roman"/>
      <w:sz w:val="24"/>
      <w:szCs w:val="24"/>
    </w:rPr>
  </w:style>
  <w:style w:type="paragraph" w:styleId="Heading1">
    <w:name w:val="heading 1"/>
    <w:basedOn w:val="Normal"/>
    <w:link w:val="Heading1Char"/>
    <w:uiPriority w:val="99"/>
    <w:qFormat/>
    <w:rsid w:val="00A57799"/>
    <w:pPr>
      <w:spacing w:before="319" w:after="79"/>
      <w:outlineLvl w:val="0"/>
    </w:pPr>
    <w:rPr>
      <w:b/>
      <w:bCs/>
      <w:color w:val="336699"/>
      <w:kern w:val="36"/>
      <w:sz w:val="23"/>
      <w:szCs w:val="23"/>
    </w:rPr>
  </w:style>
  <w:style w:type="paragraph" w:styleId="Heading2">
    <w:name w:val="heading 2"/>
    <w:basedOn w:val="Normal"/>
    <w:next w:val="Normal"/>
    <w:link w:val="Heading2Char"/>
    <w:uiPriority w:val="9"/>
    <w:qFormat/>
    <w:rsid w:val="003A3A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locked/>
    <w:rsid w:val="00FD61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FD61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FD61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61177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after="60"/>
      <w:ind w:left="1296" w:hanging="288"/>
      <w:outlineLvl w:val="6"/>
    </w:pPr>
  </w:style>
  <w:style w:type="paragraph" w:styleId="Heading8">
    <w:name w:val="heading 8"/>
    <w:basedOn w:val="Normal"/>
    <w:next w:val="Normal"/>
    <w:link w:val="Heading8Char"/>
    <w:uiPriority w:val="99"/>
    <w:semiHidden/>
    <w:unhideWhenUsed/>
    <w:qFormat/>
    <w:locked/>
    <w:rsid w:val="005E4D3A"/>
    <w:pPr>
      <w:tabs>
        <w:tab w:val="num" w:pos="5760"/>
      </w:tabs>
      <w:spacing w:after="60"/>
      <w:ind w:left="1440" w:hanging="432"/>
      <w:outlineLvl w:val="7"/>
    </w:pPr>
    <w:rPr>
      <w:i/>
      <w:iCs/>
    </w:rPr>
  </w:style>
  <w:style w:type="paragraph" w:styleId="Heading9">
    <w:name w:val="heading 9"/>
    <w:basedOn w:val="Normal"/>
    <w:next w:val="Normal"/>
    <w:link w:val="Heading9Char"/>
    <w:uiPriority w:val="99"/>
    <w:semiHidden/>
    <w:unhideWhenUsed/>
    <w:qFormat/>
    <w:locked/>
    <w:rsid w:val="005E4D3A"/>
    <w:pPr>
      <w:tabs>
        <w:tab w:val="num" w:pos="6480"/>
      </w:tabs>
      <w:spacing w:after="60"/>
      <w:ind w:left="1584" w:hanging="14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style>
  <w:style w:type="paragraph" w:customStyle="1" w:styleId="DoubleDot">
    <w:name w:val="Double Dot"/>
    <w:basedOn w:val="Normal"/>
    <w:uiPriority w:val="99"/>
    <w:rsid w:val="00A57799"/>
    <w:pPr>
      <w:numPr>
        <w:ilvl w:val="2"/>
        <w:numId w:val="1"/>
      </w:numPr>
      <w:spacing w:before="120" w:after="120"/>
    </w:p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11589"/>
    <w:rPr>
      <w:rFonts w:cs="Times New Roman"/>
      <w:b/>
      <w:bCs/>
    </w:rPr>
  </w:style>
  <w:style w:type="paragraph" w:styleId="BalloonText">
    <w:name w:val="Balloon Text"/>
    <w:basedOn w:val="Normal"/>
    <w:link w:val="BalloonTextChar"/>
    <w:uiPriority w:val="99"/>
    <w:semiHidden/>
    <w:rsid w:val="003542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aliases w:val="List number Paragraph"/>
    <w:basedOn w:val="Normal"/>
    <w:link w:val="ListParagraphChar"/>
    <w:uiPriority w:val="34"/>
    <w:qFormat/>
    <w:rsid w:val="003B5BFC"/>
    <w:pPr>
      <w:ind w:left="720"/>
    </w:pPr>
  </w:style>
  <w:style w:type="paragraph" w:customStyle="1" w:styleId="OutlineNumbered1">
    <w:name w:val="Outline Numbered 1"/>
    <w:basedOn w:val="Normal"/>
    <w:link w:val="OutlineNumbered1Char"/>
    <w:rsid w:val="003B5BFC"/>
    <w:pPr>
      <w:numPr>
        <w:numId w:val="2"/>
      </w:numPr>
    </w:pPr>
  </w:style>
  <w:style w:type="character" w:customStyle="1" w:styleId="OutlineNumbered1Char">
    <w:name w:val="Outline Numbered 1 Char"/>
    <w:basedOn w:val="BulletChar"/>
    <w:link w:val="OutlineNumbered1"/>
    <w:locked/>
    <w:rsid w:val="003B5BFC"/>
    <w:rPr>
      <w:rFonts w:eastAsia="Times New Roman"/>
      <w:lang w:eastAsia="en-US"/>
    </w:rPr>
  </w:style>
  <w:style w:type="paragraph" w:customStyle="1" w:styleId="OutlineNumbered2">
    <w:name w:val="Outline Numbered 2"/>
    <w:basedOn w:val="Normal"/>
    <w:rsid w:val="003B5BFC"/>
    <w:pPr>
      <w:numPr>
        <w:ilvl w:val="1"/>
        <w:numId w:val="2"/>
      </w:numPr>
    </w:pPr>
  </w:style>
  <w:style w:type="paragraph" w:customStyle="1" w:styleId="OutlineNumbered3">
    <w:name w:val="Outline Numbered 3"/>
    <w:basedOn w:val="Normal"/>
    <w:rsid w:val="003B5BFC"/>
    <w:pPr>
      <w:numPr>
        <w:ilvl w:val="2"/>
        <w:numId w:val="2"/>
      </w:numPr>
    </w:pPr>
  </w:style>
  <w:style w:type="character" w:styleId="CommentReference">
    <w:name w:val="annotation reference"/>
    <w:basedOn w:val="DefaultParagraphFont"/>
    <w:rsid w:val="00F560C8"/>
    <w:rPr>
      <w:rFonts w:cs="Times New Roman"/>
      <w:sz w:val="16"/>
      <w:szCs w:val="16"/>
    </w:rPr>
  </w:style>
  <w:style w:type="paragraph" w:styleId="CommentText">
    <w:name w:val="annotation text"/>
    <w:basedOn w:val="Normal"/>
    <w:link w:val="CommentTextChar"/>
    <w:rsid w:val="00F560C8"/>
    <w:rPr>
      <w:sz w:val="20"/>
      <w:szCs w:val="20"/>
    </w:rPr>
  </w:style>
  <w:style w:type="character" w:customStyle="1" w:styleId="CommentTextChar">
    <w:name w:val="Comment Text Char"/>
    <w:basedOn w:val="DefaultParagraphFont"/>
    <w:link w:val="CommentText"/>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p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rsid w:val="000F2F4A"/>
    <w:pPr>
      <w:keepLines/>
      <w:tabs>
        <w:tab w:val="right" w:pos="794"/>
      </w:tabs>
      <w:spacing w:before="120" w:line="260" w:lineRule="exact"/>
      <w:ind w:left="964" w:hanging="964"/>
      <w:jc w:val="both"/>
    </w:pPr>
  </w:style>
  <w:style w:type="paragraph" w:customStyle="1" w:styleId="R2">
    <w:name w:val="R2"/>
    <w:aliases w:val="(2)"/>
    <w:basedOn w:val="Normal"/>
    <w:rsid w:val="000F2F4A"/>
    <w:pPr>
      <w:keepLines/>
      <w:tabs>
        <w:tab w:val="right" w:pos="794"/>
      </w:tabs>
      <w:spacing w:before="180" w:line="260" w:lineRule="exact"/>
      <w:ind w:left="964" w:hanging="964"/>
      <w:jc w:val="both"/>
    </w:pPr>
  </w:style>
  <w:style w:type="paragraph" w:styleId="FootnoteText">
    <w:name w:val="footnote text"/>
    <w:basedOn w:val="Normal"/>
    <w:link w:val="FootnoteTextChar"/>
    <w:uiPriority w:val="99"/>
    <w:rsid w:val="005B4D4F"/>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aliases w:val="Table Caption"/>
    <w:basedOn w:val="Normal"/>
    <w:next w:val="Normal"/>
    <w:uiPriority w:val="35"/>
    <w:qFormat/>
    <w:rsid w:val="00732658"/>
    <w:pPr>
      <w:spacing w:before="120" w:after="120"/>
    </w:pPr>
    <w:rPr>
      <w:b/>
      <w:bCs/>
      <w:sz w:val="20"/>
      <w:szCs w:val="20"/>
    </w:rPr>
  </w:style>
  <w:style w:type="paragraph" w:customStyle="1" w:styleId="HSR">
    <w:name w:val="HSR"/>
    <w:aliases w:val="Subregulation Heading,HSS"/>
    <w:basedOn w:val="Normal"/>
    <w:next w:val="Normal"/>
    <w:rsid w:val="0061177F"/>
    <w:pPr>
      <w:keepNext/>
      <w:spacing w:before="300"/>
      <w:ind w:left="964"/>
    </w:pPr>
    <w:rPr>
      <w:rFonts w:ascii="Arial" w:hAnsi="Arial"/>
      <w:i/>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5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line="260" w:lineRule="exact"/>
      <w:ind w:left="1418" w:hanging="1418"/>
      <w:jc w:val="both"/>
    </w:pPr>
  </w:style>
  <w:style w:type="paragraph" w:customStyle="1" w:styleId="HR">
    <w:name w:val="HR"/>
    <w:aliases w:val="Regulation Heading"/>
    <w:basedOn w:val="Normal"/>
    <w:next w:val="R1"/>
    <w:uiPriority w:val="99"/>
    <w:rsid w:val="00377653"/>
    <w:pPr>
      <w:keepNext/>
      <w:keepLines/>
      <w:spacing w:before="360"/>
      <w:ind w:left="964" w:hanging="964"/>
    </w:pPr>
    <w:rPr>
      <w:rFonts w:ascii="Arial" w:hAnsi="Arial"/>
      <w:b/>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line="260" w:lineRule="exact"/>
      <w:ind w:left="964"/>
      <w:jc w:val="both"/>
    </w:pPr>
  </w:style>
  <w:style w:type="paragraph" w:customStyle="1" w:styleId="note">
    <w:name w:val="note"/>
    <w:basedOn w:val="Normal"/>
    <w:rsid w:val="0040605E"/>
    <w:pPr>
      <w:spacing w:before="100" w:beforeAutospacing="1" w:after="100" w:afterAutospacing="1"/>
    </w:pPr>
  </w:style>
  <w:style w:type="paragraph" w:styleId="BodyText">
    <w:name w:val="Body Text"/>
    <w:basedOn w:val="Normal"/>
    <w:link w:val="BodyTextChar"/>
    <w:uiPriority w:val="99"/>
    <w:rsid w:val="00507BF2"/>
    <w:pPr>
      <w:spacing w:after="120"/>
    </w:p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pPr>
    <w:rPr>
      <w:lang w:val="en-US"/>
    </w:rPr>
  </w:style>
  <w:style w:type="paragraph" w:customStyle="1" w:styleId="tDefn">
    <w:name w:val="t_Defn"/>
    <w:basedOn w:val="Normal"/>
    <w:uiPriority w:val="99"/>
    <w:rsid w:val="000F052F"/>
    <w:pPr>
      <w:spacing w:before="80" w:after="100" w:line="260" w:lineRule="exact"/>
      <w:ind w:left="964"/>
      <w:jc w:val="both"/>
    </w:p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pPr>
    <w:rPr>
      <w:color w:val="0070C0"/>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sz w:val="20"/>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pPr>
  </w:style>
  <w:style w:type="paragraph" w:customStyle="1" w:styleId="subsection">
    <w:name w:val="subsection"/>
    <w:aliases w:val="ss"/>
    <w:basedOn w:val="Normal"/>
    <w:qFormat/>
    <w:rsid w:val="00746D84"/>
    <w:pPr>
      <w:spacing w:before="100" w:beforeAutospacing="1" w:after="100" w:afterAutospacing="1"/>
    </w:pPr>
  </w:style>
  <w:style w:type="paragraph" w:customStyle="1" w:styleId="acthead5">
    <w:name w:val="acthead5"/>
    <w:basedOn w:val="Normal"/>
    <w:rsid w:val="00746D84"/>
    <w:pPr>
      <w:spacing w:before="100" w:beforeAutospacing="1" w:after="100" w:afterAutospacing="1"/>
    </w:pPr>
  </w:style>
  <w:style w:type="paragraph" w:customStyle="1" w:styleId="paragraph">
    <w:name w:val="paragraph"/>
    <w:basedOn w:val="Normal"/>
    <w:rsid w:val="00746D84"/>
    <w:pPr>
      <w:spacing w:before="100" w:beforeAutospacing="1" w:after="100" w:afterAutospacing="1"/>
    </w:pPr>
  </w:style>
  <w:style w:type="paragraph" w:customStyle="1" w:styleId="hr0">
    <w:name w:val="hr"/>
    <w:basedOn w:val="Normal"/>
    <w:rsid w:val="00746D84"/>
    <w:pPr>
      <w:spacing w:before="100" w:beforeAutospacing="1" w:after="100" w:afterAutospacing="1"/>
    </w:pPr>
  </w:style>
  <w:style w:type="paragraph" w:customStyle="1" w:styleId="zr1">
    <w:name w:val="zr1"/>
    <w:basedOn w:val="Normal"/>
    <w:rsid w:val="00746D84"/>
    <w:pPr>
      <w:spacing w:before="100" w:beforeAutospacing="1" w:after="100" w:afterAutospacing="1"/>
    </w:pPr>
  </w:style>
  <w:style w:type="paragraph" w:customStyle="1" w:styleId="zp1">
    <w:name w:val="zp1"/>
    <w:basedOn w:val="Normal"/>
    <w:rsid w:val="00746D84"/>
    <w:pPr>
      <w:spacing w:before="100" w:beforeAutospacing="1" w:after="100" w:afterAutospacing="1"/>
    </w:pPr>
  </w:style>
  <w:style w:type="paragraph" w:customStyle="1" w:styleId="p2">
    <w:name w:val="p2"/>
    <w:basedOn w:val="Normal"/>
    <w:rsid w:val="00746D84"/>
    <w:pPr>
      <w:spacing w:before="100" w:beforeAutospacing="1" w:after="100" w:afterAutospacing="1"/>
    </w:pPr>
  </w:style>
  <w:style w:type="paragraph" w:customStyle="1" w:styleId="p10">
    <w:name w:val="p1"/>
    <w:basedOn w:val="Normal"/>
    <w:rsid w:val="00746D84"/>
    <w:pPr>
      <w:spacing w:before="100" w:beforeAutospacing="1" w:after="100" w:afterAutospacing="1"/>
    </w:pPr>
  </w:style>
  <w:style w:type="paragraph" w:customStyle="1" w:styleId="zr2">
    <w:name w:val="zr2"/>
    <w:basedOn w:val="Normal"/>
    <w:rsid w:val="00746D84"/>
    <w:pPr>
      <w:spacing w:before="100" w:beforeAutospacing="1" w:after="100" w:afterAutospacing="1"/>
    </w:pPr>
  </w:style>
  <w:style w:type="paragraph" w:customStyle="1" w:styleId="r10">
    <w:name w:val="r1"/>
    <w:basedOn w:val="Normal"/>
    <w:rsid w:val="003C77A7"/>
    <w:pPr>
      <w:spacing w:before="100" w:beforeAutospacing="1" w:after="100" w:afterAutospacing="1"/>
    </w:p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pPr>
  </w:style>
  <w:style w:type="character" w:customStyle="1" w:styleId="ListParagraphChar">
    <w:name w:val="List Paragraph Char"/>
    <w:aliases w:val="List number Paragraph Char"/>
    <w:basedOn w:val="DefaultParagraphFont"/>
    <w:link w:val="ListParagraph"/>
    <w:uiPriority w:val="34"/>
    <w:locked/>
    <w:rsid w:val="00276714"/>
    <w:rPr>
      <w:lang w:eastAsia="en-US"/>
    </w:rPr>
  </w:style>
  <w:style w:type="paragraph" w:customStyle="1" w:styleId="tSubpara">
    <w:name w:val="t_Subpara"/>
    <w:basedOn w:val="Normal"/>
    <w:qFormat/>
    <w:rsid w:val="00E646F9"/>
    <w:pPr>
      <w:keepLines/>
      <w:tabs>
        <w:tab w:val="right" w:pos="2211"/>
      </w:tabs>
      <w:spacing w:after="100" w:line="260" w:lineRule="exact"/>
      <w:ind w:left="2410" w:hanging="2410"/>
      <w:jc w:val="both"/>
    </w:pPr>
  </w:style>
  <w:style w:type="paragraph" w:customStyle="1" w:styleId="h6Subsec">
    <w:name w:val="h6_Subsec"/>
    <w:basedOn w:val="Normal"/>
    <w:next w:val="Normal"/>
    <w:qFormat/>
    <w:rsid w:val="00E646F9"/>
    <w:pPr>
      <w:keepNext/>
      <w:spacing w:before="120"/>
      <w:ind w:left="964"/>
    </w:pPr>
    <w:rPr>
      <w:rFonts w:ascii="Arial" w:hAnsi="Arial"/>
      <w:i/>
    </w:rPr>
  </w:style>
  <w:style w:type="character" w:customStyle="1" w:styleId="Heading3Char">
    <w:name w:val="Heading 3 Char"/>
    <w:basedOn w:val="DefaultParagraphFont"/>
    <w:link w:val="Heading3"/>
    <w:uiPriority w:val="9"/>
    <w:semiHidden/>
    <w:rsid w:val="00FD613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D613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FD6131"/>
    <w:rPr>
      <w:rFonts w:asciiTheme="majorHAnsi" w:eastAsiaTheme="majorEastAsia" w:hAnsiTheme="majorHAnsi" w:cstheme="majorBidi"/>
      <w:color w:val="243F60" w:themeColor="accent1" w:themeShade="7F"/>
      <w:sz w:val="24"/>
      <w:szCs w:val="24"/>
    </w:rPr>
  </w:style>
  <w:style w:type="paragraph" w:customStyle="1" w:styleId="Tempstyle">
    <w:name w:val="Temp style"/>
    <w:basedOn w:val="Normal"/>
    <w:rsid w:val="00FD6131"/>
  </w:style>
  <w:style w:type="paragraph" w:customStyle="1" w:styleId="h1ChSch">
    <w:name w:val="h1_Ch_Sch"/>
    <w:basedOn w:val="Heading1"/>
    <w:next w:val="Normal"/>
    <w:qFormat/>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3Div">
    <w:name w:val="h3_Div"/>
    <w:basedOn w:val="Heading3"/>
    <w:next w:val="Normal"/>
    <w:qFormat/>
    <w:rsid w:val="00FD6131"/>
    <w:pPr>
      <w:spacing w:before="360" w:after="60"/>
      <w:ind w:left="2410" w:hanging="2410"/>
    </w:pPr>
    <w:rPr>
      <w:rFonts w:ascii="Arial" w:eastAsia="Times New Roman" w:hAnsi="Arial" w:cs="Arial"/>
      <w:color w:val="auto"/>
      <w:sz w:val="28"/>
      <w:szCs w:val="26"/>
    </w:rPr>
  </w:style>
  <w:style w:type="paragraph" w:customStyle="1" w:styleId="h7Example">
    <w:name w:val="h7_Example"/>
    <w:basedOn w:val="Normal"/>
    <w:next w:val="Normal"/>
    <w:qFormat/>
    <w:rsid w:val="00FD6131"/>
    <w:pPr>
      <w:keepNext/>
      <w:spacing w:before="120" w:line="220" w:lineRule="exact"/>
      <w:ind w:left="964"/>
    </w:pPr>
    <w:rPr>
      <w:i/>
    </w:rPr>
  </w:style>
  <w:style w:type="paragraph" w:customStyle="1" w:styleId="h2Part">
    <w:name w:val="h2_Part"/>
    <w:basedOn w:val="Heading2"/>
    <w:next w:val="h3Div"/>
    <w:qFormat/>
    <w:rsid w:val="00FD6131"/>
    <w:pPr>
      <w:pageBreakBefore/>
      <w:spacing w:before="360" w:after="60"/>
      <w:ind w:left="2410" w:hanging="2410"/>
    </w:pPr>
    <w:rPr>
      <w:rFonts w:ascii="Arial" w:hAnsi="Arial" w:cs="Arial"/>
      <w:bCs w:val="0"/>
      <w:iCs/>
      <w:color w:val="auto"/>
      <w:sz w:val="36"/>
      <w:szCs w:val="22"/>
    </w:rPr>
  </w:style>
  <w:style w:type="paragraph" w:customStyle="1" w:styleId="h4Subdiv">
    <w:name w:val="h4_Subdiv"/>
    <w:basedOn w:val="Heading4"/>
    <w:next w:val="Normal"/>
    <w:autoRedefine/>
    <w:qFormat/>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h5Section">
    <w:name w:val="h5_Section"/>
    <w:aliases w:val="ActHead 5,s"/>
    <w:basedOn w:val="Heading5"/>
    <w:next w:val="Normal"/>
    <w:qFormat/>
    <w:rsid w:val="00FD6131"/>
    <w:pPr>
      <w:spacing w:before="360" w:after="60"/>
      <w:ind w:left="964" w:hanging="964"/>
    </w:pPr>
    <w:rPr>
      <w:rFonts w:ascii="Arial" w:eastAsia="Times New Roman" w:hAnsi="Arial" w:cs="Times New Roman"/>
      <w:b/>
      <w:bCs/>
      <w:iCs/>
      <w:color w:val="auto"/>
      <w:szCs w:val="26"/>
    </w:rPr>
  </w:style>
  <w:style w:type="paragraph" w:customStyle="1" w:styleId="tSubsub">
    <w:name w:val="t_Subsub"/>
    <w:basedOn w:val="Normal"/>
    <w:qFormat/>
    <w:rsid w:val="00FD6131"/>
    <w:pPr>
      <w:tabs>
        <w:tab w:val="right" w:pos="2948"/>
      </w:tabs>
      <w:spacing w:after="100" w:line="260" w:lineRule="exact"/>
      <w:ind w:left="3119" w:hanging="3119"/>
      <w:jc w:val="both"/>
    </w:pPr>
  </w:style>
  <w:style w:type="paragraph" w:styleId="Title">
    <w:name w:val="Title"/>
    <w:basedOn w:val="Normal"/>
    <w:next w:val="Normal"/>
    <w:link w:val="TitleChar"/>
    <w:qFormat/>
    <w:locked/>
    <w:rsid w:val="00FD6131"/>
    <w:pPr>
      <w:spacing w:before="480"/>
    </w:pPr>
    <w:rPr>
      <w:rFonts w:ascii="Arial" w:hAnsi="Arial" w:cs="Arial"/>
      <w:b/>
      <w:bCs/>
      <w:sz w:val="40"/>
      <w:szCs w:val="40"/>
    </w:rPr>
  </w:style>
  <w:style w:type="character" w:customStyle="1" w:styleId="TitleChar">
    <w:name w:val="Title Char"/>
    <w:basedOn w:val="DefaultParagraphFont"/>
    <w:link w:val="Title"/>
    <w:rsid w:val="00FD6131"/>
    <w:rPr>
      <w:rFonts w:ascii="Arial" w:eastAsia="Times New Roman" w:hAnsi="Arial" w:cs="Arial"/>
      <w:b/>
      <w:bCs/>
      <w:sz w:val="40"/>
      <w:szCs w:val="40"/>
    </w:rPr>
  </w:style>
  <w:style w:type="paragraph" w:customStyle="1" w:styleId="HeaderBoldOdd">
    <w:name w:val="HeaderBoldOdd"/>
    <w:basedOn w:val="Normal"/>
    <w:rsid w:val="00FD6131"/>
    <w:pPr>
      <w:spacing w:before="120" w:after="60"/>
      <w:jc w:val="right"/>
    </w:pPr>
    <w:rPr>
      <w:rFonts w:ascii="Arial" w:hAnsi="Arial"/>
      <w:b/>
      <w:sz w:val="20"/>
    </w:rPr>
  </w:style>
  <w:style w:type="paragraph" w:customStyle="1" w:styleId="HeaderLiteOdd">
    <w:name w:val="HeaderLiteOdd"/>
    <w:basedOn w:val="Normal"/>
    <w:rsid w:val="00FD6131"/>
    <w:pPr>
      <w:tabs>
        <w:tab w:val="center" w:pos="3969"/>
        <w:tab w:val="right" w:pos="8505"/>
      </w:tabs>
      <w:spacing w:before="60"/>
      <w:jc w:val="right"/>
    </w:pPr>
    <w:rPr>
      <w:rFonts w:ascii="Arial" w:hAnsi="Arial"/>
      <w:sz w:val="18"/>
    </w:rPr>
  </w:style>
  <w:style w:type="paragraph" w:customStyle="1" w:styleId="FooterDraft">
    <w:name w:val="FooterDraft"/>
    <w:basedOn w:val="Normal"/>
    <w:rsid w:val="00FD6131"/>
    <w:pPr>
      <w:jc w:val="center"/>
    </w:pPr>
    <w:rPr>
      <w:rFonts w:ascii="Arial" w:hAnsi="Arial"/>
      <w:b/>
      <w:sz w:val="40"/>
    </w:rPr>
  </w:style>
  <w:style w:type="character" w:styleId="PageNumber">
    <w:name w:val="page number"/>
    <w:basedOn w:val="DefaultParagraphFont"/>
    <w:rsid w:val="00FD6131"/>
    <w:rPr>
      <w:rFonts w:ascii="Arial" w:hAnsi="Arial"/>
      <w:sz w:val="22"/>
    </w:rPr>
  </w:style>
  <w:style w:type="paragraph" w:customStyle="1" w:styleId="FooterCitation">
    <w:name w:val="FooterCitation"/>
    <w:basedOn w:val="Footer"/>
    <w:rsid w:val="00FD6131"/>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locked/>
    <w:rsid w:val="00FD6131"/>
    <w:pPr>
      <w:keepNext/>
      <w:tabs>
        <w:tab w:val="right" w:pos="8278"/>
      </w:tabs>
      <w:spacing w:before="120" w:after="120"/>
      <w:ind w:left="1843" w:right="714" w:hanging="1843"/>
    </w:pPr>
    <w:rPr>
      <w:rFonts w:ascii="Arial" w:hAnsi="Arial"/>
      <w:b/>
      <w:noProof/>
    </w:rPr>
  </w:style>
  <w:style w:type="paragraph" w:styleId="TOC3">
    <w:name w:val="toc 3"/>
    <w:basedOn w:val="Normal"/>
    <w:next w:val="Normal"/>
    <w:autoRedefine/>
    <w:uiPriority w:val="39"/>
    <w:locked/>
    <w:rsid w:val="00FD6131"/>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uiPriority w:val="39"/>
    <w:locked/>
    <w:rsid w:val="00FD6131"/>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39"/>
    <w:locked/>
    <w:rsid w:val="00FD6131"/>
    <w:pPr>
      <w:tabs>
        <w:tab w:val="right" w:pos="1559"/>
        <w:tab w:val="right" w:pos="8278"/>
      </w:tabs>
      <w:spacing w:before="40"/>
      <w:ind w:left="1843" w:right="714" w:hanging="1843"/>
    </w:pPr>
    <w:rPr>
      <w:rFonts w:ascii="Arial" w:hAnsi="Arial"/>
      <w:noProof/>
      <w:sz w:val="19"/>
      <w:szCs w:val="19"/>
    </w:rPr>
  </w:style>
  <w:style w:type="paragraph" w:customStyle="1" w:styleId="Sec">
    <w:name w:val="Sec"/>
    <w:basedOn w:val="Normal"/>
    <w:next w:val="Normal"/>
    <w:uiPriority w:val="99"/>
    <w:rsid w:val="00FD6131"/>
    <w:pPr>
      <w:keepLines/>
      <w:tabs>
        <w:tab w:val="right" w:pos="794"/>
      </w:tabs>
      <w:spacing w:before="80" w:after="100" w:line="260" w:lineRule="exact"/>
      <w:ind w:left="964" w:hanging="964"/>
      <w:jc w:val="both"/>
    </w:pPr>
  </w:style>
  <w:style w:type="paragraph" w:styleId="BlockText">
    <w:name w:val="Block Text"/>
    <w:basedOn w:val="Normal"/>
    <w:rsid w:val="00FD6131"/>
    <w:pPr>
      <w:spacing w:after="120"/>
      <w:ind w:left="1440" w:right="1440"/>
    </w:pPr>
  </w:style>
  <w:style w:type="paragraph" w:customStyle="1" w:styleId="EquationNote">
    <w:name w:val="EquationNote"/>
    <w:basedOn w:val="Normal"/>
    <w:link w:val="EquationNoteChar"/>
    <w:uiPriority w:val="99"/>
    <w:rsid w:val="00FD6131"/>
    <w:pPr>
      <w:tabs>
        <w:tab w:val="right" w:pos="9000"/>
      </w:tabs>
      <w:spacing w:before="60"/>
      <w:ind w:left="360" w:hanging="360"/>
    </w:pPr>
    <w:rPr>
      <w:rFonts w:ascii="Arial" w:hAnsi="Arial" w:cs="Arial"/>
      <w:iCs/>
      <w:sz w:val="18"/>
      <w:szCs w:val="20"/>
    </w:rPr>
  </w:style>
  <w:style w:type="character" w:customStyle="1" w:styleId="EquationNoteChar">
    <w:name w:val="EquationNote Char"/>
    <w:basedOn w:val="DefaultParagraphFont"/>
    <w:link w:val="EquationNote"/>
    <w:uiPriority w:val="99"/>
    <w:locked/>
    <w:rsid w:val="00FD6131"/>
    <w:rPr>
      <w:rFonts w:ascii="Arial" w:eastAsia="Times New Roman" w:hAnsi="Arial" w:cs="Arial"/>
      <w:iCs/>
      <w:sz w:val="18"/>
      <w:szCs w:val="20"/>
      <w:lang w:eastAsia="en-US"/>
    </w:rPr>
  </w:style>
  <w:style w:type="paragraph" w:customStyle="1" w:styleId="NoteEnd">
    <w:name w:val="Note End"/>
    <w:basedOn w:val="Normal"/>
    <w:rsid w:val="00FD6131"/>
    <w:pPr>
      <w:keepLines/>
      <w:spacing w:before="120" w:line="240" w:lineRule="exact"/>
      <w:ind w:left="567" w:hanging="567"/>
      <w:jc w:val="both"/>
    </w:pPr>
  </w:style>
  <w:style w:type="paragraph" w:customStyle="1" w:styleId="noteSubpara">
    <w:name w:val="note_Subpara"/>
    <w:basedOn w:val="tSubpara"/>
    <w:qFormat/>
    <w:rsid w:val="00FD6131"/>
    <w:pPr>
      <w:spacing w:line="220" w:lineRule="exact"/>
    </w:pPr>
    <w:rPr>
      <w:sz w:val="20"/>
    </w:rPr>
  </w:style>
  <w:style w:type="paragraph" w:customStyle="1" w:styleId="noteSubsub">
    <w:name w:val="note_Subsub"/>
    <w:basedOn w:val="tSubsub"/>
    <w:qFormat/>
    <w:rsid w:val="00FD6131"/>
    <w:pPr>
      <w:spacing w:line="220" w:lineRule="exact"/>
    </w:pPr>
    <w:rPr>
      <w:sz w:val="20"/>
    </w:rPr>
  </w:style>
  <w:style w:type="paragraph" w:customStyle="1" w:styleId="Def">
    <w:name w:val="Def"/>
    <w:basedOn w:val="Normal"/>
    <w:uiPriority w:val="99"/>
    <w:rsid w:val="00FD6131"/>
    <w:pPr>
      <w:spacing w:before="80" w:after="100" w:line="260" w:lineRule="exact"/>
      <w:ind w:left="964"/>
      <w:jc w:val="both"/>
    </w:pPr>
  </w:style>
  <w:style w:type="paragraph" w:customStyle="1" w:styleId="Notequery">
    <w:name w:val="Note query"/>
    <w:basedOn w:val="Normal"/>
    <w:qFormat/>
    <w:rsid w:val="00FD6131"/>
    <w:pPr>
      <w:spacing w:before="80" w:after="80"/>
    </w:pPr>
    <w:rPr>
      <w:color w:val="0070C0"/>
    </w:rPr>
  </w:style>
  <w:style w:type="paragraph" w:customStyle="1" w:styleId="Notepara0">
    <w:name w:val="Note para"/>
    <w:basedOn w:val="Normal"/>
    <w:rsid w:val="00FD6131"/>
    <w:pPr>
      <w:keepLines/>
      <w:spacing w:before="60" w:line="220" w:lineRule="exact"/>
      <w:ind w:left="1304" w:hanging="340"/>
      <w:jc w:val="both"/>
    </w:pPr>
    <w:rPr>
      <w:sz w:val="20"/>
    </w:rPr>
  </w:style>
  <w:style w:type="paragraph" w:customStyle="1" w:styleId="NoteSS">
    <w:name w:val="Note SS"/>
    <w:basedOn w:val="Normal"/>
    <w:qFormat/>
    <w:rsid w:val="00FD6131"/>
    <w:pPr>
      <w:keepLines/>
      <w:spacing w:before="120" w:line="220" w:lineRule="exact"/>
      <w:ind w:left="964"/>
      <w:jc w:val="both"/>
    </w:pPr>
    <w:rPr>
      <w:sz w:val="20"/>
    </w:rPr>
  </w:style>
  <w:style w:type="paragraph" w:customStyle="1" w:styleId="P20">
    <w:name w:val="P2"/>
    <w:basedOn w:val="Normal"/>
    <w:rsid w:val="00FD6131"/>
    <w:pPr>
      <w:keepLines/>
      <w:tabs>
        <w:tab w:val="right" w:pos="2098"/>
      </w:tabs>
      <w:spacing w:after="100" w:line="260" w:lineRule="exact"/>
      <w:ind w:left="2268" w:hanging="2268"/>
      <w:jc w:val="both"/>
    </w:pPr>
  </w:style>
  <w:style w:type="paragraph" w:customStyle="1" w:styleId="Subsec">
    <w:name w:val="Subsec"/>
    <w:basedOn w:val="Normal"/>
    <w:uiPriority w:val="99"/>
    <w:rsid w:val="00FD6131"/>
    <w:pPr>
      <w:keepLines/>
      <w:tabs>
        <w:tab w:val="right" w:pos="794"/>
      </w:tabs>
      <w:spacing w:before="80" w:after="100" w:line="260" w:lineRule="exact"/>
      <w:ind w:left="964" w:hanging="964"/>
      <w:jc w:val="both"/>
    </w:pPr>
  </w:style>
  <w:style w:type="paragraph" w:customStyle="1" w:styleId="HSec">
    <w:name w:val="HSec"/>
    <w:basedOn w:val="Heading5"/>
    <w:next w:val="Normal"/>
    <w:uiPriority w:val="99"/>
    <w:rsid w:val="00FD6131"/>
    <w:pPr>
      <w:spacing w:before="360" w:after="60"/>
      <w:ind w:left="964" w:hanging="964"/>
    </w:pPr>
    <w:rPr>
      <w:rFonts w:ascii="Arial" w:eastAsia="Times New Roman" w:hAnsi="Arial" w:cs="Times New Roman"/>
      <w:b/>
      <w:bCs/>
      <w:iCs/>
      <w:color w:val="auto"/>
      <w:szCs w:val="26"/>
    </w:rPr>
  </w:style>
  <w:style w:type="paragraph" w:customStyle="1" w:styleId="HC">
    <w:name w:val="HC"/>
    <w:aliases w:val="Sch"/>
    <w:basedOn w:val="Heading1"/>
    <w:next w:val="Normal"/>
    <w:rsid w:val="00FD6131"/>
    <w:pPr>
      <w:keepNext/>
      <w:keepLines/>
      <w:pageBreakBefore/>
      <w:spacing w:before="480" w:after="60"/>
      <w:ind w:left="2410" w:hanging="2410"/>
    </w:pPr>
    <w:rPr>
      <w:rFonts w:ascii="Arial" w:hAnsi="Arial" w:cs="Arial"/>
      <w:color w:val="auto"/>
      <w:kern w:val="32"/>
      <w:sz w:val="40"/>
      <w:szCs w:val="32"/>
    </w:rPr>
  </w:style>
  <w:style w:type="paragraph" w:customStyle="1" w:styleId="HD">
    <w:name w:val="HD"/>
    <w:aliases w:val="Division Heading"/>
    <w:basedOn w:val="Heading3"/>
    <w:next w:val="Normal"/>
    <w:rsid w:val="00FD6131"/>
    <w:pPr>
      <w:spacing w:before="360" w:after="60"/>
      <w:ind w:left="2410" w:hanging="2410"/>
    </w:pPr>
    <w:rPr>
      <w:rFonts w:ascii="Arial" w:eastAsia="Times New Roman" w:hAnsi="Arial" w:cs="Arial"/>
      <w:color w:val="auto"/>
      <w:sz w:val="28"/>
      <w:szCs w:val="26"/>
    </w:rPr>
  </w:style>
  <w:style w:type="paragraph" w:customStyle="1" w:styleId="HE">
    <w:name w:val="HE"/>
    <w:aliases w:val="Example heading"/>
    <w:basedOn w:val="Normal"/>
    <w:next w:val="Normal"/>
    <w:rsid w:val="00FD6131"/>
    <w:pPr>
      <w:keepNext/>
      <w:spacing w:before="120" w:line="220" w:lineRule="exact"/>
      <w:ind w:left="964"/>
    </w:pPr>
    <w:rPr>
      <w:i/>
    </w:rPr>
  </w:style>
  <w:style w:type="paragraph" w:customStyle="1" w:styleId="HP">
    <w:name w:val="HP"/>
    <w:basedOn w:val="Heading2"/>
    <w:next w:val="HD"/>
    <w:rsid w:val="00FD6131"/>
    <w:pPr>
      <w:pageBreakBefore/>
      <w:spacing w:before="360" w:after="60"/>
      <w:ind w:left="2410" w:hanging="2410"/>
    </w:pPr>
    <w:rPr>
      <w:rFonts w:ascii="Arial" w:hAnsi="Arial" w:cs="Arial"/>
      <w:bCs w:val="0"/>
      <w:iCs/>
      <w:color w:val="auto"/>
      <w:sz w:val="36"/>
      <w:szCs w:val="22"/>
    </w:rPr>
  </w:style>
  <w:style w:type="paragraph" w:customStyle="1" w:styleId="HS">
    <w:name w:val="HS"/>
    <w:aliases w:val="Subdiv Heading"/>
    <w:basedOn w:val="Heading4"/>
    <w:next w:val="Normal"/>
    <w:rsid w:val="00FD6131"/>
    <w:pPr>
      <w:spacing w:before="360" w:after="60"/>
      <w:ind w:left="2410" w:hanging="2410"/>
    </w:pPr>
    <w:rPr>
      <w:rFonts w:ascii="Arial" w:eastAsia="Times New Roman" w:hAnsi="Arial" w:cs="Times New Roman"/>
      <w:i w:val="0"/>
      <w:iCs w:val="0"/>
      <w:color w:val="auto"/>
      <w:sz w:val="28"/>
      <w:szCs w:val="28"/>
    </w:rPr>
  </w:style>
  <w:style w:type="paragraph" w:customStyle="1" w:styleId="NoteSec">
    <w:name w:val="Note Sec"/>
    <w:basedOn w:val="Normal"/>
    <w:qFormat/>
    <w:rsid w:val="00FD6131"/>
    <w:pPr>
      <w:keepLines/>
      <w:spacing w:before="120" w:line="220" w:lineRule="exact"/>
      <w:jc w:val="both"/>
    </w:pPr>
    <w:rPr>
      <w:sz w:val="20"/>
    </w:rPr>
  </w:style>
  <w:style w:type="paragraph" w:customStyle="1" w:styleId="P3">
    <w:name w:val="P3"/>
    <w:basedOn w:val="Normal"/>
    <w:rsid w:val="00FD6131"/>
    <w:pPr>
      <w:tabs>
        <w:tab w:val="right" w:pos="2722"/>
      </w:tabs>
      <w:spacing w:after="100" w:line="260" w:lineRule="exact"/>
      <w:ind w:left="2892" w:hanging="2892"/>
      <w:jc w:val="both"/>
    </w:pPr>
  </w:style>
  <w:style w:type="paragraph" w:customStyle="1" w:styleId="Green">
    <w:name w:val="Green"/>
    <w:basedOn w:val="Normal"/>
    <w:qFormat/>
    <w:rsid w:val="00FD6131"/>
    <w:pPr>
      <w:spacing w:before="80" w:after="80"/>
    </w:pPr>
    <w:rPr>
      <w:rFonts w:ascii="Arial" w:hAnsi="Arial"/>
      <w:b/>
      <w:color w:val="00B050"/>
      <w:sz w:val="20"/>
    </w:rPr>
  </w:style>
  <w:style w:type="paragraph" w:customStyle="1" w:styleId="equation">
    <w:name w:val="equation"/>
    <w:basedOn w:val="Normal"/>
    <w:rsid w:val="00FD6131"/>
    <w:pPr>
      <w:tabs>
        <w:tab w:val="left" w:pos="1134"/>
        <w:tab w:val="left" w:pos="1701"/>
        <w:tab w:val="center" w:pos="9072"/>
      </w:tabs>
    </w:pPr>
    <w:rPr>
      <w:rFonts w:eastAsia="MS Mincho"/>
      <w:lang w:val="es-ES_tradnl"/>
    </w:rPr>
  </w:style>
  <w:style w:type="paragraph" w:styleId="BodyTextFirstIndent">
    <w:name w:val="Body Text First Indent"/>
    <w:basedOn w:val="BodyText"/>
    <w:link w:val="BodyTextFirstIndentChar"/>
    <w:uiPriority w:val="99"/>
    <w:semiHidden/>
    <w:unhideWhenUsed/>
    <w:rsid w:val="00FD6131"/>
    <w:pPr>
      <w:spacing w:after="0"/>
      <w:ind w:firstLine="360"/>
    </w:pPr>
  </w:style>
  <w:style w:type="character" w:customStyle="1" w:styleId="BodyTextFirstIndentChar">
    <w:name w:val="Body Text First Indent Char"/>
    <w:basedOn w:val="BodyTextChar"/>
    <w:link w:val="BodyTextFirstIndent"/>
    <w:uiPriority w:val="99"/>
    <w:semiHidden/>
    <w:rsid w:val="00FD6131"/>
    <w:rPr>
      <w:rFonts w:ascii="Times New Roman" w:eastAsia="Times New Roman" w:hAnsi="Times New Roman"/>
      <w:sz w:val="24"/>
      <w:szCs w:val="24"/>
    </w:rPr>
  </w:style>
  <w:style w:type="paragraph" w:customStyle="1" w:styleId="tabletext">
    <w:name w:val="tabletext"/>
    <w:basedOn w:val="Normal"/>
    <w:rsid w:val="00FD6131"/>
    <w:pPr>
      <w:spacing w:before="100" w:beforeAutospacing="1" w:after="100" w:afterAutospacing="1"/>
    </w:pPr>
  </w:style>
  <w:style w:type="character" w:styleId="Emphasis">
    <w:name w:val="Emphasis"/>
    <w:uiPriority w:val="20"/>
    <w:qFormat/>
    <w:locked/>
    <w:rsid w:val="00FD6131"/>
    <w:rPr>
      <w:i/>
      <w:iCs/>
    </w:rPr>
  </w:style>
  <w:style w:type="character" w:customStyle="1" w:styleId="st">
    <w:name w:val="st"/>
    <w:basedOn w:val="DefaultParagraphFont"/>
    <w:rsid w:val="00FD6131"/>
  </w:style>
  <w:style w:type="paragraph" w:customStyle="1" w:styleId="r20">
    <w:name w:val="r2"/>
    <w:basedOn w:val="Normal"/>
    <w:rsid w:val="00FD6131"/>
    <w:pPr>
      <w:spacing w:before="100" w:beforeAutospacing="1" w:after="100" w:afterAutospacing="1"/>
    </w:pPr>
    <w:rPr>
      <w:rFonts w:ascii="Times" w:eastAsiaTheme="minorEastAsia" w:hAnsi="Times" w:cstheme="minorBidi"/>
      <w:sz w:val="20"/>
      <w:szCs w:val="20"/>
    </w:rPr>
  </w:style>
  <w:style w:type="paragraph" w:styleId="TOCHeading">
    <w:name w:val="TOC Heading"/>
    <w:basedOn w:val="Heading1"/>
    <w:next w:val="Normal"/>
    <w:uiPriority w:val="39"/>
    <w:unhideWhenUsed/>
    <w:qFormat/>
    <w:rsid w:val="00FD6131"/>
    <w:pPr>
      <w:keepNext/>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qFormat/>
    <w:locked/>
    <w:rsid w:val="00FD6131"/>
    <w:pPr>
      <w:tabs>
        <w:tab w:val="right" w:leader="dot" w:pos="9016"/>
      </w:tabs>
      <w:spacing w:before="120" w:after="100"/>
    </w:pPr>
    <w:rPr>
      <w:noProof/>
    </w:rPr>
  </w:style>
  <w:style w:type="character" w:customStyle="1" w:styleId="DocumentMapChar">
    <w:name w:val="Document Map Char"/>
    <w:basedOn w:val="DefaultParagraphFont"/>
    <w:link w:val="DocumentMap"/>
    <w:uiPriority w:val="99"/>
    <w:semiHidden/>
    <w:rsid w:val="00FD6131"/>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D6131"/>
    <w:rPr>
      <w:rFonts w:ascii="Tahoma" w:hAnsi="Tahoma" w:cs="Tahoma"/>
      <w:sz w:val="16"/>
      <w:szCs w:val="16"/>
    </w:rPr>
  </w:style>
  <w:style w:type="character" w:customStyle="1" w:styleId="DocumentMapChar1">
    <w:name w:val="Document Map Char1"/>
    <w:basedOn w:val="DefaultParagraphFont"/>
    <w:uiPriority w:val="99"/>
    <w:semiHidden/>
    <w:rsid w:val="00FD6131"/>
    <w:rPr>
      <w:rFonts w:ascii="Tahoma" w:hAnsi="Tahoma" w:cs="Tahoma"/>
      <w:sz w:val="16"/>
      <w:szCs w:val="16"/>
      <w:lang w:eastAsia="en-US"/>
    </w:rPr>
  </w:style>
  <w:style w:type="paragraph" w:customStyle="1" w:styleId="Quotation">
    <w:name w:val="Quotation"/>
    <w:basedOn w:val="Normal"/>
    <w:semiHidden/>
    <w:rsid w:val="00FD6131"/>
    <w:pPr>
      <w:numPr>
        <w:ilvl w:val="1"/>
        <w:numId w:val="17"/>
      </w:numPr>
      <w:spacing w:after="140" w:line="260" w:lineRule="atLeast"/>
    </w:pPr>
    <w:rPr>
      <w:rFonts w:ascii="Arial" w:hAnsi="Arial" w:cs="Arial"/>
      <w:sz w:val="20"/>
    </w:rPr>
  </w:style>
  <w:style w:type="paragraph" w:customStyle="1" w:styleId="Quotation1">
    <w:name w:val="Quotation 1"/>
    <w:basedOn w:val="Normal"/>
    <w:rsid w:val="00FD6131"/>
    <w:pPr>
      <w:tabs>
        <w:tab w:val="num" w:pos="425"/>
      </w:tabs>
      <w:spacing w:after="140" w:line="260" w:lineRule="atLeast"/>
      <w:ind w:left="425"/>
    </w:pPr>
    <w:rPr>
      <w:rFonts w:ascii="Arial" w:hAnsi="Arial" w:cs="Arial"/>
      <w:sz w:val="20"/>
    </w:rPr>
  </w:style>
  <w:style w:type="paragraph" w:customStyle="1" w:styleId="Quotation2">
    <w:name w:val="Quotation 2"/>
    <w:basedOn w:val="Normal"/>
    <w:semiHidden/>
    <w:rsid w:val="00FD6131"/>
    <w:pPr>
      <w:tabs>
        <w:tab w:val="num" w:pos="850"/>
      </w:tabs>
      <w:spacing w:after="140" w:line="260" w:lineRule="atLeast"/>
      <w:ind w:left="850"/>
    </w:pPr>
    <w:rPr>
      <w:rFonts w:ascii="Arial" w:hAnsi="Arial" w:cs="Arial"/>
      <w:sz w:val="20"/>
    </w:rPr>
  </w:style>
  <w:style w:type="paragraph" w:customStyle="1" w:styleId="Quotation3">
    <w:name w:val="Quotation 3"/>
    <w:basedOn w:val="Normal"/>
    <w:semiHidden/>
    <w:rsid w:val="00FD6131"/>
    <w:pPr>
      <w:tabs>
        <w:tab w:val="num" w:pos="1276"/>
      </w:tabs>
      <w:spacing w:after="140" w:line="260" w:lineRule="atLeast"/>
      <w:ind w:left="1276"/>
    </w:pPr>
    <w:rPr>
      <w:rFonts w:ascii="Arial" w:hAnsi="Arial" w:cs="Arial"/>
      <w:sz w:val="20"/>
    </w:rPr>
  </w:style>
  <w:style w:type="paragraph" w:customStyle="1" w:styleId="Quotation4">
    <w:name w:val="Quotation 4"/>
    <w:basedOn w:val="Normal"/>
    <w:semiHidden/>
    <w:rsid w:val="00FD6131"/>
    <w:pPr>
      <w:tabs>
        <w:tab w:val="num" w:pos="1701"/>
      </w:tabs>
      <w:spacing w:after="140" w:line="260" w:lineRule="atLeast"/>
      <w:ind w:left="1701"/>
    </w:pPr>
    <w:rPr>
      <w:rFonts w:ascii="Arial" w:hAnsi="Arial" w:cs="Arial"/>
      <w:sz w:val="20"/>
    </w:rPr>
  </w:style>
  <w:style w:type="paragraph" w:customStyle="1" w:styleId="Quotation5">
    <w:name w:val="Quotation 5"/>
    <w:basedOn w:val="Normal"/>
    <w:semiHidden/>
    <w:rsid w:val="00FD6131"/>
    <w:pPr>
      <w:tabs>
        <w:tab w:val="num" w:pos="2126"/>
      </w:tabs>
      <w:spacing w:after="140" w:line="260" w:lineRule="atLeast"/>
      <w:ind w:left="2126"/>
    </w:pPr>
    <w:rPr>
      <w:rFonts w:ascii="Arial" w:hAnsi="Arial" w:cs="Arial"/>
      <w:sz w:val="20"/>
    </w:rPr>
  </w:style>
  <w:style w:type="paragraph" w:customStyle="1" w:styleId="Quotation6">
    <w:name w:val="Quotation 6"/>
    <w:basedOn w:val="Normal"/>
    <w:semiHidden/>
    <w:rsid w:val="00FD6131"/>
    <w:pPr>
      <w:tabs>
        <w:tab w:val="num" w:pos="2551"/>
      </w:tabs>
      <w:spacing w:after="140" w:line="260" w:lineRule="atLeast"/>
      <w:ind w:left="2551"/>
    </w:pPr>
    <w:rPr>
      <w:rFonts w:ascii="Arial" w:hAnsi="Arial" w:cs="Arial"/>
      <w:sz w:val="20"/>
    </w:rPr>
  </w:style>
  <w:style w:type="paragraph" w:customStyle="1" w:styleId="Quotation7">
    <w:name w:val="Quotation 7"/>
    <w:basedOn w:val="Normal"/>
    <w:semiHidden/>
    <w:rsid w:val="00FD6131"/>
    <w:pPr>
      <w:tabs>
        <w:tab w:val="num" w:pos="2976"/>
      </w:tabs>
      <w:spacing w:after="140" w:line="260" w:lineRule="atLeast"/>
      <w:ind w:left="2976"/>
    </w:pPr>
    <w:rPr>
      <w:rFonts w:ascii="Arial" w:hAnsi="Arial" w:cs="Arial"/>
      <w:sz w:val="20"/>
    </w:rPr>
  </w:style>
  <w:style w:type="paragraph" w:customStyle="1" w:styleId="Quotation8">
    <w:name w:val="Quotation 8"/>
    <w:basedOn w:val="Normal"/>
    <w:semiHidden/>
    <w:rsid w:val="00FD6131"/>
    <w:pPr>
      <w:tabs>
        <w:tab w:val="num" w:pos="3402"/>
      </w:tabs>
      <w:spacing w:after="140" w:line="260" w:lineRule="atLeast"/>
      <w:ind w:left="3402"/>
    </w:pPr>
    <w:rPr>
      <w:rFonts w:ascii="Arial" w:hAnsi="Arial" w:cs="Arial"/>
      <w:sz w:val="20"/>
    </w:rPr>
  </w:style>
  <w:style w:type="paragraph" w:customStyle="1" w:styleId="References">
    <w:name w:val="References"/>
    <w:basedOn w:val="BodyText"/>
    <w:uiPriority w:val="99"/>
    <w:rsid w:val="00FD6131"/>
    <w:pPr>
      <w:spacing w:before="180" w:line="276" w:lineRule="auto"/>
    </w:pPr>
    <w:rPr>
      <w:rFonts w:ascii="Calibri" w:hAnsi="Calibri"/>
      <w:sz w:val="22"/>
      <w:szCs w:val="22"/>
      <w:lang w:eastAsia="en-US"/>
    </w:rPr>
  </w:style>
  <w:style w:type="character" w:styleId="PlaceholderText">
    <w:name w:val="Placeholder Text"/>
    <w:basedOn w:val="DefaultParagraphFont"/>
    <w:uiPriority w:val="99"/>
    <w:semiHidden/>
    <w:rsid w:val="00FD6131"/>
    <w:rPr>
      <w:color w:val="808080"/>
    </w:rPr>
  </w:style>
  <w:style w:type="paragraph" w:styleId="EndnoteText">
    <w:name w:val="endnote text"/>
    <w:basedOn w:val="Normal"/>
    <w:link w:val="EndnoteTextChar"/>
    <w:uiPriority w:val="99"/>
    <w:semiHidden/>
    <w:unhideWhenUsed/>
    <w:rsid w:val="00FD6131"/>
    <w:rPr>
      <w:sz w:val="20"/>
      <w:szCs w:val="20"/>
    </w:rPr>
  </w:style>
  <w:style w:type="character" w:customStyle="1" w:styleId="EndnoteTextChar">
    <w:name w:val="Endnote Text Char"/>
    <w:basedOn w:val="DefaultParagraphFont"/>
    <w:link w:val="EndnoteText"/>
    <w:uiPriority w:val="99"/>
    <w:semiHidden/>
    <w:rsid w:val="00FD6131"/>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D6131"/>
    <w:rPr>
      <w:vertAlign w:val="superscript"/>
    </w:rPr>
  </w:style>
  <w:style w:type="table" w:customStyle="1" w:styleId="TableGrid1">
    <w:name w:val="Table Grid1"/>
    <w:basedOn w:val="TableNormal"/>
    <w:next w:val="TableGrid"/>
    <w:uiPriority w:val="59"/>
    <w:rsid w:val="00FD613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text-paragraphnonumbers">
    <w:name w:val="base-text-paragraph no numbers"/>
    <w:basedOn w:val="Normal"/>
    <w:rsid w:val="00AA2387"/>
    <w:pPr>
      <w:spacing w:before="120" w:after="120"/>
      <w:ind w:left="1134"/>
    </w:pPr>
    <w:rPr>
      <w:szCs w:val="20"/>
    </w:rPr>
  </w:style>
  <w:style w:type="character" w:customStyle="1" w:styleId="subsectionChar">
    <w:name w:val="subsection Char"/>
    <w:aliases w:val="ss Char"/>
    <w:locked/>
    <w:rsid w:val="007433D4"/>
    <w:rPr>
      <w:sz w:val="22"/>
    </w:rPr>
  </w:style>
  <w:style w:type="paragraph" w:customStyle="1" w:styleId="Majorheadingstyle">
    <w:name w:val="Major heading style"/>
    <w:basedOn w:val="Normal"/>
    <w:qFormat/>
    <w:rsid w:val="00EE640C"/>
    <w:pPr>
      <w:keepNext/>
    </w:pPr>
    <w:rPr>
      <w:b/>
    </w:rPr>
  </w:style>
  <w:style w:type="paragraph" w:customStyle="1" w:styleId="Minorheadingstyle">
    <w:name w:val="Minor heading style"/>
    <w:basedOn w:val="Normal"/>
    <w:qFormat/>
    <w:rsid w:val="00EE640C"/>
    <w:pPr>
      <w:keepNext/>
    </w:pPr>
    <w:rPr>
      <w:u w:val="single"/>
    </w:rPr>
  </w:style>
  <w:style w:type="paragraph" w:customStyle="1" w:styleId="bullet1">
    <w:name w:val="bullet1"/>
    <w:basedOn w:val="Normal"/>
    <w:qFormat/>
    <w:rsid w:val="009B4037"/>
    <w:pPr>
      <w:numPr>
        <w:numId w:val="27"/>
      </w:numPr>
      <w:spacing w:before="120" w:after="120"/>
      <w:ind w:left="714" w:hanging="357"/>
    </w:pPr>
    <w:rPr>
      <w:color w:val="000000"/>
    </w:rPr>
  </w:style>
  <w:style w:type="paragraph" w:customStyle="1" w:styleId="bullet2">
    <w:name w:val="bullet 2"/>
    <w:basedOn w:val="bullet1"/>
    <w:qFormat/>
    <w:rsid w:val="00EE640C"/>
    <w:pPr>
      <w:numPr>
        <w:numId w:val="68"/>
      </w:numPr>
      <w:ind w:left="1071" w:hanging="357"/>
    </w:pPr>
  </w:style>
  <w:style w:type="paragraph" w:customStyle="1" w:styleId="Subheadingstyle">
    <w:name w:val="Subheading style"/>
    <w:basedOn w:val="Normal"/>
    <w:qFormat/>
    <w:rsid w:val="00391A4A"/>
    <w:pPr>
      <w:keepNext/>
      <w:spacing w:before="100" w:beforeAutospacing="1" w:after="120"/>
    </w:pPr>
    <w:rPr>
      <w:bCs/>
      <w:i/>
      <w:iCs/>
      <w:lang w:val="en-US"/>
    </w:rPr>
  </w:style>
  <w:style w:type="paragraph" w:customStyle="1" w:styleId="Style1">
    <w:name w:val="Style1"/>
    <w:basedOn w:val="Normal"/>
    <w:qFormat/>
    <w:rsid w:val="00391A4A"/>
    <w:pPr>
      <w:spacing w:before="120"/>
    </w:pPr>
  </w:style>
  <w:style w:type="paragraph" w:customStyle="1" w:styleId="ESHeadingstyle">
    <w:name w:val="ES Heading style"/>
    <w:basedOn w:val="Normal"/>
    <w:qFormat/>
    <w:rsid w:val="00EE640C"/>
    <w:pPr>
      <w:jc w:val="center"/>
    </w:pPr>
    <w:rPr>
      <w:b/>
      <w:u w:val="single"/>
    </w:rPr>
  </w:style>
  <w:style w:type="paragraph" w:customStyle="1" w:styleId="ESLegislationstyle">
    <w:name w:val="ES Legislation style"/>
    <w:basedOn w:val="Majorheadingstyle"/>
    <w:qFormat/>
    <w:rsid w:val="00813648"/>
    <w:pPr>
      <w:jc w:val="center"/>
    </w:pPr>
    <w:rPr>
      <w:b w:val="0"/>
      <w:i/>
    </w:rPr>
  </w:style>
  <w:style w:type="paragraph" w:customStyle="1" w:styleId="EStext">
    <w:name w:val="ES text"/>
    <w:basedOn w:val="Normal"/>
    <w:qFormat/>
    <w:rsid w:val="00EE640C"/>
  </w:style>
</w:styles>
</file>

<file path=word/webSettings.xml><?xml version="1.0" encoding="utf-8"?>
<w:webSettings xmlns:r="http://schemas.openxmlformats.org/officeDocument/2006/relationships" xmlns:w="http://schemas.openxmlformats.org/wordprocessingml/2006/main">
  <w:divs>
    <w:div w:id="62920457">
      <w:bodyDiv w:val="1"/>
      <w:marLeft w:val="0"/>
      <w:marRight w:val="0"/>
      <w:marTop w:val="0"/>
      <w:marBottom w:val="0"/>
      <w:divBdr>
        <w:top w:val="none" w:sz="0" w:space="0" w:color="auto"/>
        <w:left w:val="none" w:sz="0" w:space="0" w:color="auto"/>
        <w:bottom w:val="none" w:sz="0" w:space="0" w:color="auto"/>
        <w:right w:val="none" w:sz="0" w:space="0" w:color="auto"/>
      </w:divBdr>
      <w:divsChild>
        <w:div w:id="1084912314">
          <w:marLeft w:val="0"/>
          <w:marRight w:val="0"/>
          <w:marTop w:val="0"/>
          <w:marBottom w:val="0"/>
          <w:divBdr>
            <w:top w:val="none" w:sz="0" w:space="0" w:color="auto"/>
            <w:left w:val="none" w:sz="0" w:space="0" w:color="auto"/>
            <w:bottom w:val="none" w:sz="0" w:space="0" w:color="auto"/>
            <w:right w:val="none" w:sz="0" w:space="0" w:color="auto"/>
          </w:divBdr>
          <w:divsChild>
            <w:div w:id="1062754876">
              <w:marLeft w:val="0"/>
              <w:marRight w:val="0"/>
              <w:marTop w:val="0"/>
              <w:marBottom w:val="0"/>
              <w:divBdr>
                <w:top w:val="none" w:sz="0" w:space="0" w:color="auto"/>
                <w:left w:val="none" w:sz="0" w:space="0" w:color="auto"/>
                <w:bottom w:val="none" w:sz="0" w:space="0" w:color="auto"/>
                <w:right w:val="none" w:sz="0" w:space="0" w:color="auto"/>
              </w:divBdr>
              <w:divsChild>
                <w:div w:id="1625383658">
                  <w:marLeft w:val="0"/>
                  <w:marRight w:val="0"/>
                  <w:marTop w:val="0"/>
                  <w:marBottom w:val="0"/>
                  <w:divBdr>
                    <w:top w:val="none" w:sz="0" w:space="0" w:color="auto"/>
                    <w:left w:val="none" w:sz="0" w:space="0" w:color="auto"/>
                    <w:bottom w:val="none" w:sz="0" w:space="0" w:color="auto"/>
                    <w:right w:val="none" w:sz="0" w:space="0" w:color="auto"/>
                  </w:divBdr>
                  <w:divsChild>
                    <w:div w:id="1035623153">
                      <w:marLeft w:val="0"/>
                      <w:marRight w:val="0"/>
                      <w:marTop w:val="0"/>
                      <w:marBottom w:val="0"/>
                      <w:divBdr>
                        <w:top w:val="none" w:sz="0" w:space="0" w:color="auto"/>
                        <w:left w:val="none" w:sz="0" w:space="0" w:color="auto"/>
                        <w:bottom w:val="none" w:sz="0" w:space="0" w:color="auto"/>
                        <w:right w:val="none" w:sz="0" w:space="0" w:color="auto"/>
                      </w:divBdr>
                      <w:divsChild>
                        <w:div w:id="977344055">
                          <w:marLeft w:val="0"/>
                          <w:marRight w:val="0"/>
                          <w:marTop w:val="0"/>
                          <w:marBottom w:val="0"/>
                          <w:divBdr>
                            <w:top w:val="single" w:sz="6" w:space="0" w:color="828282"/>
                            <w:left w:val="single" w:sz="6" w:space="0" w:color="828282"/>
                            <w:bottom w:val="single" w:sz="6" w:space="0" w:color="828282"/>
                            <w:right w:val="single" w:sz="6" w:space="0" w:color="828282"/>
                          </w:divBdr>
                          <w:divsChild>
                            <w:div w:id="20326291">
                              <w:marLeft w:val="0"/>
                              <w:marRight w:val="0"/>
                              <w:marTop w:val="0"/>
                              <w:marBottom w:val="0"/>
                              <w:divBdr>
                                <w:top w:val="none" w:sz="0" w:space="0" w:color="auto"/>
                                <w:left w:val="none" w:sz="0" w:space="0" w:color="auto"/>
                                <w:bottom w:val="none" w:sz="0" w:space="0" w:color="auto"/>
                                <w:right w:val="none" w:sz="0" w:space="0" w:color="auto"/>
                              </w:divBdr>
                              <w:divsChild>
                                <w:div w:id="205413336">
                                  <w:marLeft w:val="0"/>
                                  <w:marRight w:val="0"/>
                                  <w:marTop w:val="0"/>
                                  <w:marBottom w:val="0"/>
                                  <w:divBdr>
                                    <w:top w:val="none" w:sz="0" w:space="0" w:color="auto"/>
                                    <w:left w:val="none" w:sz="0" w:space="0" w:color="auto"/>
                                    <w:bottom w:val="none" w:sz="0" w:space="0" w:color="auto"/>
                                    <w:right w:val="none" w:sz="0" w:space="0" w:color="auto"/>
                                  </w:divBdr>
                                  <w:divsChild>
                                    <w:div w:id="1089153801">
                                      <w:marLeft w:val="0"/>
                                      <w:marRight w:val="0"/>
                                      <w:marTop w:val="0"/>
                                      <w:marBottom w:val="0"/>
                                      <w:divBdr>
                                        <w:top w:val="none" w:sz="0" w:space="0" w:color="auto"/>
                                        <w:left w:val="none" w:sz="0" w:space="0" w:color="auto"/>
                                        <w:bottom w:val="none" w:sz="0" w:space="0" w:color="auto"/>
                                        <w:right w:val="none" w:sz="0" w:space="0" w:color="auto"/>
                                      </w:divBdr>
                                      <w:divsChild>
                                        <w:div w:id="329873812">
                                          <w:marLeft w:val="0"/>
                                          <w:marRight w:val="0"/>
                                          <w:marTop w:val="0"/>
                                          <w:marBottom w:val="0"/>
                                          <w:divBdr>
                                            <w:top w:val="none" w:sz="0" w:space="0" w:color="auto"/>
                                            <w:left w:val="none" w:sz="0" w:space="0" w:color="auto"/>
                                            <w:bottom w:val="none" w:sz="0" w:space="0" w:color="auto"/>
                                            <w:right w:val="none" w:sz="0" w:space="0" w:color="auto"/>
                                          </w:divBdr>
                                          <w:divsChild>
                                            <w:div w:id="1386946156">
                                              <w:marLeft w:val="0"/>
                                              <w:marRight w:val="0"/>
                                              <w:marTop w:val="0"/>
                                              <w:marBottom w:val="0"/>
                                              <w:divBdr>
                                                <w:top w:val="none" w:sz="0" w:space="0" w:color="auto"/>
                                                <w:left w:val="none" w:sz="0" w:space="0" w:color="auto"/>
                                                <w:bottom w:val="none" w:sz="0" w:space="0" w:color="auto"/>
                                                <w:right w:val="none" w:sz="0" w:space="0" w:color="auto"/>
                                              </w:divBdr>
                                              <w:divsChild>
                                                <w:div w:id="6314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228287">
      <w:bodyDiv w:val="1"/>
      <w:marLeft w:val="0"/>
      <w:marRight w:val="0"/>
      <w:marTop w:val="0"/>
      <w:marBottom w:val="0"/>
      <w:divBdr>
        <w:top w:val="none" w:sz="0" w:space="0" w:color="auto"/>
        <w:left w:val="none" w:sz="0" w:space="0" w:color="auto"/>
        <w:bottom w:val="none" w:sz="0" w:space="0" w:color="auto"/>
        <w:right w:val="none" w:sz="0" w:space="0" w:color="auto"/>
      </w:divBdr>
      <w:divsChild>
        <w:div w:id="746152321">
          <w:marLeft w:val="0"/>
          <w:marRight w:val="0"/>
          <w:marTop w:val="0"/>
          <w:marBottom w:val="0"/>
          <w:divBdr>
            <w:top w:val="none" w:sz="0" w:space="0" w:color="auto"/>
            <w:left w:val="none" w:sz="0" w:space="0" w:color="auto"/>
            <w:bottom w:val="none" w:sz="0" w:space="0" w:color="auto"/>
            <w:right w:val="none" w:sz="0" w:space="0" w:color="auto"/>
          </w:divBdr>
          <w:divsChild>
            <w:div w:id="169299888">
              <w:marLeft w:val="0"/>
              <w:marRight w:val="0"/>
              <w:marTop w:val="0"/>
              <w:marBottom w:val="0"/>
              <w:divBdr>
                <w:top w:val="none" w:sz="0" w:space="0" w:color="auto"/>
                <w:left w:val="none" w:sz="0" w:space="0" w:color="auto"/>
                <w:bottom w:val="none" w:sz="0" w:space="0" w:color="auto"/>
                <w:right w:val="none" w:sz="0" w:space="0" w:color="auto"/>
              </w:divBdr>
              <w:divsChild>
                <w:div w:id="930696531">
                  <w:marLeft w:val="0"/>
                  <w:marRight w:val="0"/>
                  <w:marTop w:val="0"/>
                  <w:marBottom w:val="0"/>
                  <w:divBdr>
                    <w:top w:val="none" w:sz="0" w:space="0" w:color="auto"/>
                    <w:left w:val="none" w:sz="0" w:space="0" w:color="auto"/>
                    <w:bottom w:val="none" w:sz="0" w:space="0" w:color="auto"/>
                    <w:right w:val="none" w:sz="0" w:space="0" w:color="auto"/>
                  </w:divBdr>
                  <w:divsChild>
                    <w:div w:id="1132408927">
                      <w:marLeft w:val="0"/>
                      <w:marRight w:val="0"/>
                      <w:marTop w:val="0"/>
                      <w:marBottom w:val="0"/>
                      <w:divBdr>
                        <w:top w:val="none" w:sz="0" w:space="0" w:color="auto"/>
                        <w:left w:val="none" w:sz="0" w:space="0" w:color="auto"/>
                        <w:bottom w:val="none" w:sz="0" w:space="0" w:color="auto"/>
                        <w:right w:val="none" w:sz="0" w:space="0" w:color="auto"/>
                      </w:divBdr>
                      <w:divsChild>
                        <w:div w:id="731545190">
                          <w:marLeft w:val="0"/>
                          <w:marRight w:val="0"/>
                          <w:marTop w:val="0"/>
                          <w:marBottom w:val="0"/>
                          <w:divBdr>
                            <w:top w:val="single" w:sz="6" w:space="0" w:color="828282"/>
                            <w:left w:val="single" w:sz="6" w:space="0" w:color="828282"/>
                            <w:bottom w:val="single" w:sz="6" w:space="0" w:color="828282"/>
                            <w:right w:val="single" w:sz="6" w:space="0" w:color="828282"/>
                          </w:divBdr>
                          <w:divsChild>
                            <w:div w:id="1081024445">
                              <w:marLeft w:val="0"/>
                              <w:marRight w:val="0"/>
                              <w:marTop w:val="0"/>
                              <w:marBottom w:val="0"/>
                              <w:divBdr>
                                <w:top w:val="none" w:sz="0" w:space="0" w:color="auto"/>
                                <w:left w:val="none" w:sz="0" w:space="0" w:color="auto"/>
                                <w:bottom w:val="none" w:sz="0" w:space="0" w:color="auto"/>
                                <w:right w:val="none" w:sz="0" w:space="0" w:color="auto"/>
                              </w:divBdr>
                              <w:divsChild>
                                <w:div w:id="248849959">
                                  <w:marLeft w:val="0"/>
                                  <w:marRight w:val="0"/>
                                  <w:marTop w:val="0"/>
                                  <w:marBottom w:val="0"/>
                                  <w:divBdr>
                                    <w:top w:val="none" w:sz="0" w:space="0" w:color="auto"/>
                                    <w:left w:val="none" w:sz="0" w:space="0" w:color="auto"/>
                                    <w:bottom w:val="none" w:sz="0" w:space="0" w:color="auto"/>
                                    <w:right w:val="none" w:sz="0" w:space="0" w:color="auto"/>
                                  </w:divBdr>
                                  <w:divsChild>
                                    <w:div w:id="941915989">
                                      <w:marLeft w:val="0"/>
                                      <w:marRight w:val="0"/>
                                      <w:marTop w:val="0"/>
                                      <w:marBottom w:val="0"/>
                                      <w:divBdr>
                                        <w:top w:val="none" w:sz="0" w:space="0" w:color="auto"/>
                                        <w:left w:val="none" w:sz="0" w:space="0" w:color="auto"/>
                                        <w:bottom w:val="none" w:sz="0" w:space="0" w:color="auto"/>
                                        <w:right w:val="none" w:sz="0" w:space="0" w:color="auto"/>
                                      </w:divBdr>
                                      <w:divsChild>
                                        <w:div w:id="273442858">
                                          <w:marLeft w:val="0"/>
                                          <w:marRight w:val="0"/>
                                          <w:marTop w:val="0"/>
                                          <w:marBottom w:val="0"/>
                                          <w:divBdr>
                                            <w:top w:val="none" w:sz="0" w:space="0" w:color="auto"/>
                                            <w:left w:val="none" w:sz="0" w:space="0" w:color="auto"/>
                                            <w:bottom w:val="none" w:sz="0" w:space="0" w:color="auto"/>
                                            <w:right w:val="none" w:sz="0" w:space="0" w:color="auto"/>
                                          </w:divBdr>
                                          <w:divsChild>
                                            <w:div w:id="1075712115">
                                              <w:marLeft w:val="0"/>
                                              <w:marRight w:val="0"/>
                                              <w:marTop w:val="0"/>
                                              <w:marBottom w:val="0"/>
                                              <w:divBdr>
                                                <w:top w:val="none" w:sz="0" w:space="0" w:color="auto"/>
                                                <w:left w:val="none" w:sz="0" w:space="0" w:color="auto"/>
                                                <w:bottom w:val="none" w:sz="0" w:space="0" w:color="auto"/>
                                                <w:right w:val="none" w:sz="0" w:space="0" w:color="auto"/>
                                              </w:divBdr>
                                              <w:divsChild>
                                                <w:div w:id="18296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706981057">
      <w:bodyDiv w:val="1"/>
      <w:marLeft w:val="0"/>
      <w:marRight w:val="0"/>
      <w:marTop w:val="0"/>
      <w:marBottom w:val="0"/>
      <w:divBdr>
        <w:top w:val="none" w:sz="0" w:space="0" w:color="auto"/>
        <w:left w:val="none" w:sz="0" w:space="0" w:color="auto"/>
        <w:bottom w:val="none" w:sz="0" w:space="0" w:color="auto"/>
        <w:right w:val="none" w:sz="0" w:space="0" w:color="auto"/>
      </w:divBdr>
      <w:divsChild>
        <w:div w:id="1891841013">
          <w:marLeft w:val="0"/>
          <w:marRight w:val="0"/>
          <w:marTop w:val="0"/>
          <w:marBottom w:val="0"/>
          <w:divBdr>
            <w:top w:val="none" w:sz="0" w:space="0" w:color="auto"/>
            <w:left w:val="none" w:sz="0" w:space="0" w:color="auto"/>
            <w:bottom w:val="none" w:sz="0" w:space="0" w:color="auto"/>
            <w:right w:val="none" w:sz="0" w:space="0" w:color="auto"/>
          </w:divBdr>
          <w:divsChild>
            <w:div w:id="2141193236">
              <w:marLeft w:val="0"/>
              <w:marRight w:val="0"/>
              <w:marTop w:val="0"/>
              <w:marBottom w:val="0"/>
              <w:divBdr>
                <w:top w:val="none" w:sz="0" w:space="0" w:color="auto"/>
                <w:left w:val="none" w:sz="0" w:space="0" w:color="auto"/>
                <w:bottom w:val="none" w:sz="0" w:space="0" w:color="auto"/>
                <w:right w:val="none" w:sz="0" w:space="0" w:color="auto"/>
              </w:divBdr>
              <w:divsChild>
                <w:div w:id="1922566274">
                  <w:marLeft w:val="0"/>
                  <w:marRight w:val="0"/>
                  <w:marTop w:val="0"/>
                  <w:marBottom w:val="0"/>
                  <w:divBdr>
                    <w:top w:val="none" w:sz="0" w:space="0" w:color="auto"/>
                    <w:left w:val="none" w:sz="0" w:space="0" w:color="auto"/>
                    <w:bottom w:val="none" w:sz="0" w:space="0" w:color="auto"/>
                    <w:right w:val="none" w:sz="0" w:space="0" w:color="auto"/>
                  </w:divBdr>
                  <w:divsChild>
                    <w:div w:id="869879336">
                      <w:marLeft w:val="0"/>
                      <w:marRight w:val="0"/>
                      <w:marTop w:val="0"/>
                      <w:marBottom w:val="0"/>
                      <w:divBdr>
                        <w:top w:val="none" w:sz="0" w:space="0" w:color="auto"/>
                        <w:left w:val="none" w:sz="0" w:space="0" w:color="auto"/>
                        <w:bottom w:val="none" w:sz="0" w:space="0" w:color="auto"/>
                        <w:right w:val="none" w:sz="0" w:space="0" w:color="auto"/>
                      </w:divBdr>
                      <w:divsChild>
                        <w:div w:id="260727686">
                          <w:marLeft w:val="0"/>
                          <w:marRight w:val="0"/>
                          <w:marTop w:val="0"/>
                          <w:marBottom w:val="0"/>
                          <w:divBdr>
                            <w:top w:val="single" w:sz="6" w:space="0" w:color="828282"/>
                            <w:left w:val="single" w:sz="6" w:space="0" w:color="828282"/>
                            <w:bottom w:val="single" w:sz="6" w:space="0" w:color="828282"/>
                            <w:right w:val="single" w:sz="6" w:space="0" w:color="828282"/>
                          </w:divBdr>
                          <w:divsChild>
                            <w:div w:id="2137554670">
                              <w:marLeft w:val="0"/>
                              <w:marRight w:val="0"/>
                              <w:marTop w:val="0"/>
                              <w:marBottom w:val="0"/>
                              <w:divBdr>
                                <w:top w:val="none" w:sz="0" w:space="0" w:color="auto"/>
                                <w:left w:val="none" w:sz="0" w:space="0" w:color="auto"/>
                                <w:bottom w:val="none" w:sz="0" w:space="0" w:color="auto"/>
                                <w:right w:val="none" w:sz="0" w:space="0" w:color="auto"/>
                              </w:divBdr>
                              <w:divsChild>
                                <w:div w:id="236591856">
                                  <w:marLeft w:val="0"/>
                                  <w:marRight w:val="0"/>
                                  <w:marTop w:val="0"/>
                                  <w:marBottom w:val="0"/>
                                  <w:divBdr>
                                    <w:top w:val="none" w:sz="0" w:space="0" w:color="auto"/>
                                    <w:left w:val="none" w:sz="0" w:space="0" w:color="auto"/>
                                    <w:bottom w:val="none" w:sz="0" w:space="0" w:color="auto"/>
                                    <w:right w:val="none" w:sz="0" w:space="0" w:color="auto"/>
                                  </w:divBdr>
                                  <w:divsChild>
                                    <w:div w:id="1225988809">
                                      <w:marLeft w:val="0"/>
                                      <w:marRight w:val="0"/>
                                      <w:marTop w:val="0"/>
                                      <w:marBottom w:val="0"/>
                                      <w:divBdr>
                                        <w:top w:val="none" w:sz="0" w:space="0" w:color="auto"/>
                                        <w:left w:val="none" w:sz="0" w:space="0" w:color="auto"/>
                                        <w:bottom w:val="none" w:sz="0" w:space="0" w:color="auto"/>
                                        <w:right w:val="none" w:sz="0" w:space="0" w:color="auto"/>
                                      </w:divBdr>
                                      <w:divsChild>
                                        <w:div w:id="1617759808">
                                          <w:marLeft w:val="0"/>
                                          <w:marRight w:val="0"/>
                                          <w:marTop w:val="0"/>
                                          <w:marBottom w:val="0"/>
                                          <w:divBdr>
                                            <w:top w:val="none" w:sz="0" w:space="0" w:color="auto"/>
                                            <w:left w:val="none" w:sz="0" w:space="0" w:color="auto"/>
                                            <w:bottom w:val="none" w:sz="0" w:space="0" w:color="auto"/>
                                            <w:right w:val="none" w:sz="0" w:space="0" w:color="auto"/>
                                          </w:divBdr>
                                          <w:divsChild>
                                            <w:div w:id="1145003647">
                                              <w:marLeft w:val="0"/>
                                              <w:marRight w:val="0"/>
                                              <w:marTop w:val="0"/>
                                              <w:marBottom w:val="0"/>
                                              <w:divBdr>
                                                <w:top w:val="none" w:sz="0" w:space="0" w:color="auto"/>
                                                <w:left w:val="none" w:sz="0" w:space="0" w:color="auto"/>
                                                <w:bottom w:val="none" w:sz="0" w:space="0" w:color="auto"/>
                                                <w:right w:val="none" w:sz="0" w:space="0" w:color="auto"/>
                                              </w:divBdr>
                                              <w:divsChild>
                                                <w:div w:id="11455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6BE9-643B-4456-8543-84F44A940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224D7-297A-4149-A61C-C408C0FCE0FA}">
  <ds:schemaRefs>
    <ds:schemaRef ds:uri="http://schemas.microsoft.com/sharepoint/events"/>
  </ds:schemaRefs>
</ds:datastoreItem>
</file>

<file path=customXml/itemProps3.xml><?xml version="1.0" encoding="utf-8"?>
<ds:datastoreItem xmlns:ds="http://schemas.openxmlformats.org/officeDocument/2006/customXml" ds:itemID="{2EC47BDA-E4C0-48C0-B5D0-FCCCF34E58DD}">
  <ds:schemaRefs>
    <ds:schemaRef ds:uri="http://schemas.microsoft.com/office/2006/metadata/customXsn"/>
  </ds:schemaRefs>
</ds:datastoreItem>
</file>

<file path=customXml/itemProps4.xml><?xml version="1.0" encoding="utf-8"?>
<ds:datastoreItem xmlns:ds="http://schemas.openxmlformats.org/officeDocument/2006/customXml" ds:itemID="{867BECFB-AF1B-4D55-ABB0-58265CF8D0BA}">
  <ds:schemaRefs>
    <ds:schemaRef ds:uri="http://schemas.microsoft.com/sharepoint/v3/contenttype/forms"/>
  </ds:schemaRefs>
</ds:datastoreItem>
</file>

<file path=customXml/itemProps5.xml><?xml version="1.0" encoding="utf-8"?>
<ds:datastoreItem xmlns:ds="http://schemas.openxmlformats.org/officeDocument/2006/customXml" ds:itemID="{D3247CBC-038F-4B87-854F-E643220EF7E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6.xml><?xml version="1.0" encoding="utf-8"?>
<ds:datastoreItem xmlns:ds="http://schemas.openxmlformats.org/officeDocument/2006/customXml" ds:itemID="{B4FA144B-9C85-4221-9832-3EC1EDFA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14264</Words>
  <Characters>83242</Characters>
  <Application>Microsoft Office Word</Application>
  <DocSecurity>0</DocSecurity>
  <Lines>693</Lines>
  <Paragraphs>194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97312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a15139</cp:lastModifiedBy>
  <cp:revision>2</cp:revision>
  <cp:lastPrinted>2014-11-17T23:01:00Z</cp:lastPrinted>
  <dcterms:created xsi:type="dcterms:W3CDTF">2015-03-26T01:25:00Z</dcterms:created>
  <dcterms:modified xsi:type="dcterms:W3CDTF">2015-03-26T01:25:00Z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heckForSharePointFields">
    <vt:lpwstr>false</vt:lpwstr>
  </property>
  <property fmtid="{D5CDD505-2E9C-101B-9397-08002B2CF9AE}" pid="4" name="ContentTypeId">
    <vt:lpwstr>0x010100BB2CA5D4910ACE4AADB481B488BD147400FA829B4AF55F244EAE47CDC9BD732406</vt:lpwstr>
  </property>
</Properties>
</file>