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F3141F" w:rsidRDefault="00320BBF" w:rsidP="00F3141F">
      <w:pPr>
        <w:keepNext/>
        <w:outlineLvl w:val="1"/>
        <w:rPr>
          <w:rFonts w:eastAsiaTheme="majorEastAsia" w:cs="Arial"/>
          <w:b/>
          <w:bCs/>
          <w:sz w:val="24"/>
          <w:szCs w:val="24"/>
          <w:lang w:bidi="en-US"/>
        </w:rPr>
      </w:pPr>
      <w:bookmarkStart w:id="0" w:name="_Toc403730322"/>
      <w:r w:rsidRPr="00F3141F">
        <w:rPr>
          <w:rFonts w:eastAsiaTheme="majorEastAsia" w:cs="Arial"/>
          <w:b/>
          <w:bCs/>
          <w:sz w:val="24"/>
          <w:szCs w:val="24"/>
          <w:lang w:bidi="en-US"/>
        </w:rPr>
        <w:t>Explanatory Statement</w:t>
      </w:r>
      <w:bookmarkEnd w:id="0"/>
    </w:p>
    <w:p w:rsidR="00F3141F" w:rsidRPr="00F3141F" w:rsidRDefault="00F3141F" w:rsidP="00320BBF">
      <w:pPr>
        <w:rPr>
          <w:rFonts w:eastAsia="Times New Roman" w:cs="Times New Roman"/>
          <w:b/>
          <w:sz w:val="20"/>
          <w:szCs w:val="20"/>
          <w:lang w:eastAsia="en-GB"/>
        </w:rPr>
      </w:pPr>
    </w:p>
    <w:p w:rsidR="00320BBF" w:rsidRPr="00F3141F" w:rsidRDefault="00320BBF" w:rsidP="00320BBF">
      <w:pPr>
        <w:rPr>
          <w:rFonts w:eastAsia="Times New Roman" w:cs="Times New Roman"/>
          <w:b/>
          <w:sz w:val="20"/>
          <w:szCs w:val="20"/>
          <w:lang w:eastAsia="en-GB"/>
        </w:rPr>
      </w:pPr>
      <w:r w:rsidRPr="00F3141F">
        <w:rPr>
          <w:rFonts w:eastAsia="Times New Roman" w:cs="Times New Roman"/>
          <w:b/>
          <w:sz w:val="20"/>
          <w:szCs w:val="20"/>
          <w:lang w:eastAsia="en-GB"/>
        </w:rPr>
        <w:t>1.</w:t>
      </w:r>
      <w:r w:rsidRPr="00F3141F">
        <w:rPr>
          <w:rFonts w:eastAsia="Times New Roman" w:cs="Times New Roman"/>
          <w:b/>
          <w:sz w:val="20"/>
          <w:szCs w:val="20"/>
          <w:lang w:eastAsia="en-GB"/>
        </w:rPr>
        <w:tab/>
        <w:t>Authority</w:t>
      </w:r>
    </w:p>
    <w:p w:rsidR="00320BBF" w:rsidRPr="00F3141F" w:rsidRDefault="00320BBF" w:rsidP="00320BBF">
      <w:pPr>
        <w:rPr>
          <w:rFonts w:eastAsia="Times New Roman" w:cs="Times New Roman"/>
          <w:sz w:val="20"/>
          <w:szCs w:val="20"/>
          <w:lang w:eastAsia="en-GB"/>
        </w:rPr>
      </w:pPr>
    </w:p>
    <w:p w:rsidR="00320BBF" w:rsidRPr="00F3141F" w:rsidRDefault="00320BBF" w:rsidP="00320BBF">
      <w:pPr>
        <w:autoSpaceDE w:val="0"/>
        <w:autoSpaceDN w:val="0"/>
        <w:adjustRightInd w:val="0"/>
        <w:rPr>
          <w:rFonts w:eastAsia="Calibri" w:cs="Arial"/>
          <w:bCs/>
          <w:sz w:val="20"/>
          <w:szCs w:val="20"/>
        </w:rPr>
      </w:pPr>
      <w:r w:rsidRPr="00F3141F">
        <w:rPr>
          <w:rFonts w:eastAsia="Calibri" w:cs="Arial"/>
          <w:bCs/>
          <w:sz w:val="20"/>
          <w:szCs w:val="20"/>
        </w:rPr>
        <w:t xml:space="preserve">Section 13 of the </w:t>
      </w:r>
      <w:r w:rsidRPr="00F3141F">
        <w:rPr>
          <w:rFonts w:eastAsia="Calibri" w:cs="Arial"/>
          <w:bCs/>
          <w:i/>
          <w:sz w:val="20"/>
          <w:szCs w:val="20"/>
        </w:rPr>
        <w:t>Food Standards Australia New Zealand Act 1991</w:t>
      </w:r>
      <w:r w:rsidRPr="00F3141F">
        <w:rPr>
          <w:rFonts w:eastAsia="Calibri" w:cs="Arial"/>
          <w:bCs/>
          <w:sz w:val="20"/>
          <w:szCs w:val="20"/>
        </w:rPr>
        <w:t xml:space="preserve"> (the FSANZ Act) provides that the functions of Food Standards Australia New Zealand (the Authority) include the development of standards and variations of standards for inclusion in the </w:t>
      </w:r>
      <w:r w:rsidRPr="00F3141F">
        <w:rPr>
          <w:rFonts w:eastAsia="Calibri" w:cs="Arial"/>
          <w:bCs/>
          <w:i/>
          <w:sz w:val="20"/>
          <w:szCs w:val="20"/>
        </w:rPr>
        <w:t>Australia New Zealand Food Standards Code</w:t>
      </w:r>
      <w:r w:rsidRPr="00F3141F">
        <w:rPr>
          <w:rFonts w:eastAsia="Calibri" w:cs="Arial"/>
          <w:bCs/>
          <w:sz w:val="20"/>
          <w:szCs w:val="20"/>
        </w:rPr>
        <w:t xml:space="preserve"> (the Code).</w:t>
      </w:r>
    </w:p>
    <w:p w:rsidR="00320BBF" w:rsidRPr="00F3141F" w:rsidRDefault="00320BBF" w:rsidP="00320BBF">
      <w:pPr>
        <w:autoSpaceDE w:val="0"/>
        <w:autoSpaceDN w:val="0"/>
        <w:adjustRightInd w:val="0"/>
        <w:rPr>
          <w:rFonts w:eastAsia="Calibri" w:cs="Arial"/>
          <w:bCs/>
          <w:sz w:val="20"/>
          <w:szCs w:val="20"/>
        </w:rPr>
      </w:pPr>
    </w:p>
    <w:p w:rsidR="00320BBF" w:rsidRPr="00F3141F" w:rsidRDefault="00320BBF" w:rsidP="00320BBF">
      <w:pPr>
        <w:autoSpaceDE w:val="0"/>
        <w:autoSpaceDN w:val="0"/>
        <w:adjustRightInd w:val="0"/>
        <w:rPr>
          <w:rFonts w:eastAsia="Calibri" w:cs="Arial"/>
          <w:bCs/>
          <w:sz w:val="20"/>
          <w:szCs w:val="20"/>
        </w:rPr>
      </w:pPr>
      <w:r w:rsidRPr="00F3141F">
        <w:rPr>
          <w:rFonts w:eastAsia="Calibri" w:cs="Arial"/>
          <w:bCs/>
          <w:sz w:val="20"/>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F3141F" w:rsidRDefault="00320BBF" w:rsidP="00320BBF">
      <w:pPr>
        <w:autoSpaceDE w:val="0"/>
        <w:autoSpaceDN w:val="0"/>
        <w:adjustRightInd w:val="0"/>
        <w:rPr>
          <w:rFonts w:eastAsia="Calibri" w:cs="Arial"/>
          <w:bCs/>
          <w:sz w:val="20"/>
          <w:szCs w:val="20"/>
        </w:rPr>
      </w:pPr>
    </w:p>
    <w:p w:rsidR="00320BBF" w:rsidRPr="00F3141F" w:rsidRDefault="00320BBF" w:rsidP="00320BBF">
      <w:pPr>
        <w:autoSpaceDE w:val="0"/>
        <w:autoSpaceDN w:val="0"/>
        <w:adjustRightInd w:val="0"/>
        <w:rPr>
          <w:rFonts w:eastAsia="Calibri" w:cs="Arial"/>
          <w:bCs/>
          <w:sz w:val="20"/>
          <w:szCs w:val="20"/>
        </w:rPr>
      </w:pPr>
      <w:r w:rsidRPr="00F3141F">
        <w:rPr>
          <w:rFonts w:eastAsia="Calibri" w:cs="Arial"/>
          <w:bCs/>
          <w:sz w:val="20"/>
          <w:szCs w:val="20"/>
        </w:rPr>
        <w:t xml:space="preserve">FSANZ prepared Proposal P1025 to revise the Code. The Authority considered the Proposal in accordance with Division 2 of Part 3 and has approved a draft revised Code. </w:t>
      </w:r>
    </w:p>
    <w:p w:rsidR="00320BBF" w:rsidRPr="00F3141F" w:rsidRDefault="00320BBF" w:rsidP="00320BBF">
      <w:pPr>
        <w:autoSpaceDE w:val="0"/>
        <w:autoSpaceDN w:val="0"/>
        <w:adjustRightInd w:val="0"/>
        <w:rPr>
          <w:rFonts w:eastAsia="Calibri" w:cs="Arial"/>
          <w:bCs/>
          <w:sz w:val="20"/>
          <w:szCs w:val="20"/>
        </w:rPr>
      </w:pPr>
    </w:p>
    <w:p w:rsidR="00320BBF" w:rsidRPr="00F3141F" w:rsidRDefault="00320BBF" w:rsidP="00320BBF">
      <w:pPr>
        <w:autoSpaceDE w:val="0"/>
        <w:autoSpaceDN w:val="0"/>
        <w:adjustRightInd w:val="0"/>
        <w:rPr>
          <w:rFonts w:eastAsia="Calibri" w:cs="Arial"/>
          <w:bCs/>
          <w:sz w:val="20"/>
          <w:szCs w:val="20"/>
        </w:rPr>
      </w:pPr>
      <w:r w:rsidRPr="00F3141F">
        <w:rPr>
          <w:rFonts w:eastAsia="Calibri" w:cs="Arial"/>
          <w:bCs/>
          <w:sz w:val="20"/>
          <w:szCs w:val="20"/>
        </w:rPr>
        <w:t>Following co</w:t>
      </w:r>
      <w:bookmarkStart w:id="1" w:name="_GoBack"/>
      <w:bookmarkEnd w:id="1"/>
      <w:r w:rsidRPr="00F3141F">
        <w:rPr>
          <w:rFonts w:eastAsia="Calibri" w:cs="Arial"/>
          <w:bCs/>
          <w:sz w:val="20"/>
          <w:szCs w:val="20"/>
        </w:rPr>
        <w:t xml:space="preserve">nsideration by the </w:t>
      </w:r>
      <w:r w:rsidRPr="00F3141F">
        <w:rPr>
          <w:rFonts w:eastAsia="Times New Roman" w:cs="Arial"/>
          <w:sz w:val="20"/>
          <w:szCs w:val="20"/>
          <w:lang w:bidi="en-US"/>
        </w:rPr>
        <w:t>Legislative and Governance Forum on Food Regulation</w:t>
      </w:r>
      <w:r w:rsidRPr="00F3141F">
        <w:rPr>
          <w:rFonts w:eastAsia="Times New Roman" w:cs="Arial"/>
          <w:sz w:val="20"/>
          <w:szCs w:val="20"/>
          <w:vertAlign w:val="superscript"/>
          <w:lang w:bidi="en-US"/>
        </w:rPr>
        <w:footnoteReference w:id="1"/>
      </w:r>
      <w:r w:rsidRPr="00F3141F">
        <w:rPr>
          <w:rFonts w:eastAsia="Calibri" w:cs="Arial"/>
          <w:bCs/>
          <w:sz w:val="20"/>
          <w:szCs w:val="20"/>
        </w:rPr>
        <w:t xml:space="preserve">, section 92 of the FSANZ Act stipulates that the Authority must publish a notice about the standard or draft variation of a standard. </w:t>
      </w:r>
    </w:p>
    <w:p w:rsidR="00320BBF" w:rsidRPr="00F3141F" w:rsidRDefault="00320BBF" w:rsidP="00320BBF">
      <w:pPr>
        <w:autoSpaceDE w:val="0"/>
        <w:autoSpaceDN w:val="0"/>
        <w:adjustRightInd w:val="0"/>
        <w:rPr>
          <w:rFonts w:eastAsia="Calibri" w:cs="Arial"/>
          <w:bCs/>
          <w:sz w:val="20"/>
          <w:szCs w:val="20"/>
        </w:rPr>
      </w:pPr>
    </w:p>
    <w:p w:rsidR="00320BBF" w:rsidRPr="00F3141F" w:rsidRDefault="00320BBF" w:rsidP="00320BBF">
      <w:pPr>
        <w:autoSpaceDE w:val="0"/>
        <w:autoSpaceDN w:val="0"/>
        <w:adjustRightInd w:val="0"/>
        <w:ind w:right="-144"/>
        <w:rPr>
          <w:rFonts w:eastAsia="Calibri" w:cs="Arial"/>
          <w:color w:val="000000"/>
          <w:sz w:val="20"/>
          <w:szCs w:val="20"/>
        </w:rPr>
      </w:pPr>
      <w:r w:rsidRPr="00F3141F">
        <w:rPr>
          <w:rFonts w:eastAsia="Calibri" w:cs="Arial"/>
          <w:bCs/>
          <w:color w:val="000000"/>
          <w:sz w:val="20"/>
          <w:szCs w:val="20"/>
        </w:rPr>
        <w:t>Section 94 of the FSANZ Act specifies that a</w:t>
      </w:r>
      <w:r w:rsidRPr="00F3141F">
        <w:rPr>
          <w:rFonts w:eastAsia="Calibri" w:cs="Arial"/>
          <w:color w:val="000000"/>
          <w:sz w:val="20"/>
          <w:szCs w:val="20"/>
        </w:rPr>
        <w:t xml:space="preserve"> standard, or a variation of a standard, in relation to which a notice is published under section 92 is a legislative instrument, but is not subject to parliamentary disallowance or sunsetting under the </w:t>
      </w:r>
      <w:r w:rsidRPr="00F3141F">
        <w:rPr>
          <w:rFonts w:eastAsia="Calibri" w:cs="Arial"/>
          <w:i/>
          <w:color w:val="000000"/>
          <w:sz w:val="20"/>
          <w:szCs w:val="20"/>
        </w:rPr>
        <w:t>Legislative Instruments Act 2003</w:t>
      </w:r>
      <w:r w:rsidRPr="00F3141F">
        <w:rPr>
          <w:rFonts w:eastAsia="Calibri" w:cs="Arial"/>
          <w:color w:val="000000"/>
          <w:sz w:val="20"/>
          <w:szCs w:val="20"/>
        </w:rPr>
        <w:t>.</w:t>
      </w:r>
    </w:p>
    <w:p w:rsidR="00320BBF" w:rsidRPr="00F3141F" w:rsidRDefault="00320BBF" w:rsidP="00320BBF">
      <w:pPr>
        <w:rPr>
          <w:rFonts w:eastAsia="Times New Roman" w:cs="Times New Roman"/>
          <w:sz w:val="20"/>
          <w:szCs w:val="20"/>
          <w:lang w:eastAsia="en-GB"/>
        </w:rPr>
      </w:pPr>
    </w:p>
    <w:p w:rsidR="00320BBF" w:rsidRPr="00F3141F" w:rsidRDefault="00320BBF" w:rsidP="00320BBF">
      <w:pPr>
        <w:rPr>
          <w:rFonts w:eastAsia="Times New Roman" w:cs="Times New Roman"/>
          <w:b/>
          <w:sz w:val="20"/>
          <w:szCs w:val="20"/>
          <w:lang w:eastAsia="en-GB"/>
        </w:rPr>
      </w:pPr>
      <w:r w:rsidRPr="00F3141F">
        <w:rPr>
          <w:rFonts w:eastAsia="Times New Roman" w:cs="Times New Roman"/>
          <w:b/>
          <w:sz w:val="20"/>
          <w:szCs w:val="20"/>
          <w:lang w:eastAsia="en-GB"/>
        </w:rPr>
        <w:t>2.</w:t>
      </w:r>
      <w:r w:rsidRPr="00F3141F">
        <w:rPr>
          <w:rFonts w:eastAsia="Times New Roman" w:cs="Times New Roman"/>
          <w:b/>
          <w:sz w:val="20"/>
          <w:szCs w:val="20"/>
          <w:lang w:eastAsia="en-GB"/>
        </w:rPr>
        <w:tab/>
        <w:t xml:space="preserve">Purpose </w:t>
      </w:r>
    </w:p>
    <w:p w:rsidR="00320BBF" w:rsidRPr="00F3141F" w:rsidRDefault="00320BBF" w:rsidP="00320BBF">
      <w:pPr>
        <w:rPr>
          <w:rFonts w:eastAsia="Times New Roman" w:cs="Times New Roman"/>
          <w:sz w:val="20"/>
          <w:szCs w:val="20"/>
          <w:lang w:eastAsia="en-GB"/>
        </w:rPr>
      </w:pPr>
    </w:p>
    <w:p w:rsidR="00605719" w:rsidRPr="0034073B" w:rsidRDefault="00320BBF" w:rsidP="00605719">
      <w:pPr>
        <w:rPr>
          <w:rFonts w:eastAsia="Times New Roman" w:cs="Times New Roman"/>
          <w:sz w:val="20"/>
          <w:szCs w:val="20"/>
          <w:lang w:bidi="en-US"/>
        </w:rPr>
      </w:pPr>
      <w:r w:rsidRPr="00F3141F">
        <w:rPr>
          <w:rFonts w:eastAsia="Times New Roman" w:cs="Times New Roman"/>
          <w:sz w:val="20"/>
          <w:szCs w:val="20"/>
          <w:lang w:eastAsia="en-GB"/>
        </w:rPr>
        <w:t xml:space="preserve">The Authority has approved variations </w:t>
      </w:r>
      <w:r w:rsidR="00605719">
        <w:rPr>
          <w:rFonts w:eastAsia="Times New Roman" w:cs="Times New Roman"/>
          <w:sz w:val="20"/>
          <w:szCs w:val="20"/>
          <w:lang w:eastAsia="en-GB"/>
        </w:rPr>
        <w:t xml:space="preserve">to </w:t>
      </w:r>
      <w:r w:rsidRPr="00F3141F">
        <w:rPr>
          <w:rFonts w:eastAsia="Times New Roman" w:cs="Times New Roman"/>
          <w:sz w:val="20"/>
          <w:szCs w:val="20"/>
          <w:lang w:eastAsia="en-GB"/>
        </w:rPr>
        <w:t>Chapters 1 and 2 of the C</w:t>
      </w:r>
      <w:r w:rsidRPr="00F3141F">
        <w:rPr>
          <w:rFonts w:eastAsia="Times New Roman" w:cs="Times New Roman"/>
          <w:i/>
          <w:sz w:val="20"/>
          <w:szCs w:val="20"/>
          <w:lang w:eastAsia="en-GB"/>
        </w:rPr>
        <w:t>o</w:t>
      </w:r>
      <w:r w:rsidRPr="00F3141F">
        <w:rPr>
          <w:rFonts w:eastAsia="Times New Roman" w:cs="Times New Roman"/>
          <w:sz w:val="20"/>
          <w:szCs w:val="20"/>
          <w:lang w:eastAsia="en-GB"/>
        </w:rPr>
        <w:t>de.</w:t>
      </w:r>
      <w:r w:rsidR="00605719" w:rsidRPr="0034073B">
        <w:rPr>
          <w:rFonts w:eastAsia="Times New Roman" w:cs="Times New Roman"/>
          <w:sz w:val="20"/>
          <w:szCs w:val="20"/>
          <w:lang w:eastAsia="en-GB"/>
        </w:rPr>
        <w:t xml:space="preserve"> </w:t>
      </w:r>
      <w:r w:rsidR="00605719" w:rsidRPr="0034073B">
        <w:rPr>
          <w:rFonts w:eastAsia="Times New Roman" w:cs="Times New Roman"/>
          <w:sz w:val="20"/>
          <w:szCs w:val="20"/>
          <w:lang w:bidi="en-US"/>
        </w:rPr>
        <w:t xml:space="preserve">Each new standard is a separate instrument and every standard has a name provision—a requirement of the </w:t>
      </w:r>
      <w:r w:rsidR="00605719" w:rsidRPr="0034073B">
        <w:rPr>
          <w:rFonts w:eastAsia="Times New Roman" w:cs="Times New Roman"/>
          <w:i/>
          <w:sz w:val="20"/>
          <w:szCs w:val="20"/>
          <w:lang w:bidi="en-US"/>
        </w:rPr>
        <w:t>Legislative Instruments Act 2003</w:t>
      </w:r>
      <w:r w:rsidR="00605719" w:rsidRPr="0034073B">
        <w:rPr>
          <w:rFonts w:eastAsia="Times New Roman" w:cs="Times New Roman"/>
          <w:sz w:val="20"/>
          <w:szCs w:val="20"/>
          <w:lang w:bidi="en-US"/>
        </w:rPr>
        <w:t>.</w:t>
      </w:r>
    </w:p>
    <w:p w:rsidR="00320BBF" w:rsidRPr="00F3141F" w:rsidRDefault="00320BBF" w:rsidP="00320BBF">
      <w:pPr>
        <w:rPr>
          <w:rFonts w:eastAsia="Times New Roman" w:cs="Times New Roman"/>
          <w:sz w:val="20"/>
          <w:szCs w:val="20"/>
          <w:lang w:eastAsia="en-GB"/>
        </w:rPr>
      </w:pPr>
    </w:p>
    <w:p w:rsidR="00320BBF" w:rsidRPr="00F3141F" w:rsidRDefault="00320BBF" w:rsidP="00320BBF">
      <w:pPr>
        <w:rPr>
          <w:rFonts w:eastAsia="Times New Roman" w:cs="Times New Roman"/>
          <w:b/>
          <w:sz w:val="20"/>
          <w:szCs w:val="20"/>
          <w:lang w:eastAsia="en-GB"/>
        </w:rPr>
      </w:pPr>
      <w:r w:rsidRPr="00F3141F">
        <w:rPr>
          <w:rFonts w:eastAsia="Times New Roman" w:cs="Times New Roman"/>
          <w:b/>
          <w:sz w:val="20"/>
          <w:szCs w:val="20"/>
          <w:lang w:eastAsia="en-GB"/>
        </w:rPr>
        <w:t>3.</w:t>
      </w:r>
      <w:r w:rsidRPr="00F3141F">
        <w:rPr>
          <w:rFonts w:eastAsia="Times New Roman" w:cs="Times New Roman"/>
          <w:b/>
          <w:sz w:val="20"/>
          <w:szCs w:val="20"/>
          <w:lang w:eastAsia="en-GB"/>
        </w:rPr>
        <w:tab/>
        <w:t>Documents incorporated by reference</w:t>
      </w:r>
    </w:p>
    <w:p w:rsidR="00320BBF" w:rsidRPr="00F3141F" w:rsidRDefault="00320BBF" w:rsidP="00320BBF">
      <w:pPr>
        <w:rPr>
          <w:rFonts w:eastAsia="Times New Roman" w:cs="Times New Roman"/>
          <w:sz w:val="20"/>
          <w:szCs w:val="20"/>
          <w:lang w:eastAsia="en-GB"/>
        </w:rPr>
      </w:pPr>
    </w:p>
    <w:p w:rsidR="00320BBF" w:rsidRPr="00F3141F" w:rsidRDefault="00320BBF" w:rsidP="00320BBF">
      <w:pPr>
        <w:autoSpaceDE w:val="0"/>
        <w:autoSpaceDN w:val="0"/>
        <w:adjustRightInd w:val="0"/>
        <w:rPr>
          <w:rFonts w:eastAsia="Calibri" w:cs="Arial"/>
          <w:bCs/>
          <w:sz w:val="20"/>
          <w:szCs w:val="20"/>
        </w:rPr>
      </w:pPr>
      <w:r w:rsidRPr="00F3141F">
        <w:rPr>
          <w:rFonts w:eastAsia="Calibri" w:cs="Arial"/>
          <w:bCs/>
          <w:sz w:val="20"/>
          <w:szCs w:val="20"/>
        </w:rPr>
        <w:t>The variations to food regulatory measures do not incorporate any documents by reference. The variations update some references to documents that are incorporated by reference.</w:t>
      </w:r>
    </w:p>
    <w:p w:rsidR="00320BBF" w:rsidRPr="00F3141F" w:rsidRDefault="00320BBF" w:rsidP="00320BBF">
      <w:pPr>
        <w:rPr>
          <w:rFonts w:eastAsia="Times New Roman" w:cs="Times New Roman"/>
          <w:sz w:val="20"/>
          <w:szCs w:val="20"/>
          <w:lang w:eastAsia="en-GB"/>
        </w:rPr>
      </w:pPr>
    </w:p>
    <w:p w:rsidR="00320BBF" w:rsidRPr="00F3141F" w:rsidRDefault="00320BBF" w:rsidP="00320BBF">
      <w:pPr>
        <w:rPr>
          <w:rFonts w:eastAsia="Times New Roman" w:cs="Times New Roman"/>
          <w:b/>
          <w:sz w:val="20"/>
          <w:szCs w:val="20"/>
          <w:lang w:eastAsia="en-GB"/>
        </w:rPr>
      </w:pPr>
      <w:r w:rsidRPr="00F3141F">
        <w:rPr>
          <w:rFonts w:eastAsia="Times New Roman" w:cs="Times New Roman"/>
          <w:b/>
          <w:sz w:val="20"/>
          <w:szCs w:val="20"/>
          <w:lang w:eastAsia="en-GB"/>
        </w:rPr>
        <w:t>4.</w:t>
      </w:r>
      <w:r w:rsidRPr="00F3141F">
        <w:rPr>
          <w:rFonts w:eastAsia="Times New Roman" w:cs="Times New Roman"/>
          <w:b/>
          <w:sz w:val="20"/>
          <w:szCs w:val="20"/>
          <w:lang w:eastAsia="en-GB"/>
        </w:rPr>
        <w:tab/>
        <w:t>Consultation</w:t>
      </w:r>
    </w:p>
    <w:p w:rsidR="00320BBF" w:rsidRPr="00F3141F" w:rsidRDefault="00320BBF" w:rsidP="00320BBF">
      <w:pPr>
        <w:rPr>
          <w:rFonts w:eastAsia="Times New Roman" w:cs="Times New Roman"/>
          <w:sz w:val="20"/>
          <w:szCs w:val="20"/>
          <w:lang w:eastAsia="en-GB"/>
        </w:rPr>
      </w:pPr>
    </w:p>
    <w:p w:rsidR="00320BBF" w:rsidRPr="00F3141F" w:rsidRDefault="00320BBF" w:rsidP="00320BBF">
      <w:pPr>
        <w:rPr>
          <w:rFonts w:eastAsia="Times New Roman" w:cs="Times New Roman"/>
          <w:sz w:val="20"/>
          <w:szCs w:val="20"/>
          <w:lang w:bidi="en-US"/>
        </w:rPr>
      </w:pPr>
      <w:r w:rsidRPr="00F3141F">
        <w:rPr>
          <w:rFonts w:eastAsia="Times New Roman" w:cs="Times New Roman"/>
          <w:sz w:val="20"/>
          <w:szCs w:val="20"/>
          <w:lang w:bidi="en-US"/>
        </w:rPr>
        <w:t xml:space="preserve">In accordance with the procedure in Subdivision F of Division 2 of Part 3 of the FSANZ Act, </w:t>
      </w:r>
      <w:r w:rsidRPr="00F3141F">
        <w:rPr>
          <w:rFonts w:eastAsia="Calibri" w:cs="Arial"/>
          <w:bCs/>
          <w:sz w:val="20"/>
          <w:szCs w:val="20"/>
        </w:rPr>
        <w:t>the Authority</w:t>
      </w:r>
      <w:r w:rsidRPr="00F3141F">
        <w:rPr>
          <w:rFonts w:eastAsia="Times New Roman" w:cs="Times New Roman"/>
          <w:sz w:val="20"/>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F3141F" w:rsidRDefault="00320BBF" w:rsidP="00320BBF">
      <w:pPr>
        <w:rPr>
          <w:rFonts w:eastAsia="Calibri" w:cs="Times New Roman"/>
          <w:sz w:val="20"/>
          <w:szCs w:val="20"/>
        </w:rPr>
      </w:pPr>
    </w:p>
    <w:p w:rsidR="00320BBF" w:rsidRPr="00F3141F" w:rsidRDefault="00320BBF" w:rsidP="00320BBF">
      <w:pPr>
        <w:autoSpaceDE w:val="0"/>
        <w:autoSpaceDN w:val="0"/>
        <w:adjustRightInd w:val="0"/>
        <w:rPr>
          <w:rFonts w:eastAsia="Times New Roman" w:cs="Arial"/>
          <w:sz w:val="20"/>
          <w:szCs w:val="20"/>
          <w:lang w:bidi="en-US"/>
        </w:rPr>
      </w:pPr>
      <w:r w:rsidRPr="00F3141F">
        <w:rPr>
          <w:rFonts w:eastAsia="Calibri" w:cs="Arial"/>
          <w:bCs/>
          <w:sz w:val="20"/>
          <w:szCs w:val="20"/>
        </w:rPr>
        <w:t xml:space="preserve">A Regulation Impact Statement was not required, because the proposed variations to the Code </w:t>
      </w:r>
      <w:r w:rsidRPr="00F3141F">
        <w:rPr>
          <w:rFonts w:eastAsia="Times New Roman" w:cs="Times New Roman"/>
          <w:sz w:val="20"/>
          <w:szCs w:val="20"/>
          <w:lang w:bidi="en-US"/>
        </w:rPr>
        <w:t xml:space="preserve">are likely to have a minor impact on business and individuals. </w:t>
      </w:r>
    </w:p>
    <w:p w:rsidR="00320BBF" w:rsidRPr="00F3141F" w:rsidRDefault="00320BBF" w:rsidP="00320BBF">
      <w:pPr>
        <w:rPr>
          <w:rFonts w:eastAsia="Times New Roman" w:cs="Times New Roman"/>
          <w:sz w:val="20"/>
          <w:szCs w:val="20"/>
          <w:lang w:eastAsia="en-GB"/>
        </w:rPr>
      </w:pPr>
    </w:p>
    <w:p w:rsidR="00320BBF" w:rsidRPr="00F3141F" w:rsidRDefault="00320BBF" w:rsidP="00320BBF">
      <w:pPr>
        <w:keepNext/>
        <w:rPr>
          <w:rFonts w:cs="Arial"/>
          <w:b/>
          <w:bCs/>
          <w:sz w:val="20"/>
          <w:szCs w:val="20"/>
        </w:rPr>
      </w:pPr>
      <w:r w:rsidRPr="00F3141F">
        <w:rPr>
          <w:rFonts w:cs="Arial"/>
          <w:b/>
          <w:bCs/>
          <w:sz w:val="20"/>
          <w:szCs w:val="20"/>
        </w:rPr>
        <w:t>5.</w:t>
      </w:r>
      <w:r w:rsidRPr="00F3141F">
        <w:rPr>
          <w:rFonts w:cs="Arial"/>
          <w:b/>
          <w:bCs/>
          <w:sz w:val="20"/>
          <w:szCs w:val="20"/>
        </w:rPr>
        <w:tab/>
        <w:t>Statement of compatibility with human rights</w:t>
      </w:r>
    </w:p>
    <w:p w:rsidR="00320BBF" w:rsidRPr="00F3141F" w:rsidRDefault="00320BBF" w:rsidP="00320BBF">
      <w:pPr>
        <w:keepNext/>
        <w:rPr>
          <w:rFonts w:cs="Times New Roman"/>
          <w:sz w:val="20"/>
          <w:szCs w:val="20"/>
        </w:rPr>
      </w:pPr>
    </w:p>
    <w:p w:rsidR="00320BBF" w:rsidRPr="00F3141F" w:rsidRDefault="00320BBF" w:rsidP="00320BBF">
      <w:pPr>
        <w:rPr>
          <w:rFonts w:cs="Times New Roman"/>
          <w:sz w:val="20"/>
          <w:szCs w:val="20"/>
        </w:rPr>
      </w:pPr>
      <w:r w:rsidRPr="00F3141F">
        <w:rPr>
          <w:rFonts w:cs="Times New Roman"/>
          <w:sz w:val="20"/>
          <w:szCs w:val="20"/>
        </w:rPr>
        <w:t>This instrument is exempt from the requirements for a statement of compatibility with human rights as it is a non-disallowable instrument under section 94 of the FSANZ Act.</w:t>
      </w:r>
    </w:p>
    <w:p w:rsidR="00320BBF" w:rsidRPr="00F3141F" w:rsidRDefault="00320BBF" w:rsidP="00320BBF">
      <w:pPr>
        <w:rPr>
          <w:rFonts w:cs="Times New Roman"/>
          <w:sz w:val="20"/>
          <w:szCs w:val="20"/>
        </w:rPr>
      </w:pPr>
    </w:p>
    <w:p w:rsidR="00605719" w:rsidRDefault="00605719" w:rsidP="00C849FA">
      <w:pPr>
        <w:ind w:left="567" w:hanging="567"/>
        <w:rPr>
          <w:rFonts w:eastAsia="Times New Roman" w:cs="Times New Roman"/>
          <w:b/>
          <w:sz w:val="20"/>
          <w:szCs w:val="20"/>
          <w:lang w:bidi="en-US"/>
        </w:rPr>
      </w:pPr>
      <w:r>
        <w:rPr>
          <w:rFonts w:eastAsia="Times New Roman" w:cs="Times New Roman"/>
          <w:b/>
          <w:sz w:val="20"/>
          <w:szCs w:val="20"/>
          <w:lang w:bidi="en-US"/>
        </w:rPr>
        <w:br w:type="page"/>
      </w:r>
    </w:p>
    <w:p w:rsidR="005856A5" w:rsidRPr="00F3141F" w:rsidRDefault="00320BBF" w:rsidP="00C849FA">
      <w:pPr>
        <w:ind w:left="567" w:hanging="567"/>
        <w:rPr>
          <w:rFonts w:eastAsia="Times New Roman" w:cs="Times New Roman"/>
          <w:b/>
          <w:sz w:val="20"/>
          <w:szCs w:val="20"/>
          <w:lang w:bidi="en-US"/>
        </w:rPr>
      </w:pPr>
      <w:r w:rsidRPr="00F3141F">
        <w:rPr>
          <w:rFonts w:eastAsia="Times New Roman" w:cs="Times New Roman"/>
          <w:b/>
          <w:sz w:val="20"/>
          <w:szCs w:val="20"/>
          <w:lang w:bidi="en-US"/>
        </w:rPr>
        <w:lastRenderedPageBreak/>
        <w:t>6.</w:t>
      </w:r>
      <w:r w:rsidRPr="00F3141F">
        <w:rPr>
          <w:rFonts w:eastAsia="Times New Roman" w:cs="Times New Roman"/>
          <w:b/>
          <w:sz w:val="20"/>
          <w:szCs w:val="20"/>
          <w:lang w:bidi="en-US"/>
        </w:rPr>
        <w:tab/>
      </w:r>
      <w:r w:rsidRPr="00F3141F">
        <w:rPr>
          <w:rFonts w:eastAsia="Times New Roman" w:cs="Times New Roman"/>
          <w:b/>
          <w:sz w:val="20"/>
          <w:szCs w:val="20"/>
          <w:lang w:eastAsia="en-GB"/>
        </w:rPr>
        <w:t>Variation</w:t>
      </w:r>
      <w:bookmarkStart w:id="2" w:name="_Toc392503870"/>
      <w:r w:rsidR="005856A5" w:rsidRPr="00F3141F">
        <w:rPr>
          <w:rFonts w:eastAsia="Times New Roman" w:cs="Times New Roman"/>
          <w:b/>
          <w:sz w:val="20"/>
          <w:szCs w:val="20"/>
          <w:lang w:bidi="en-US"/>
        </w:rPr>
        <w:t xml:space="preserve"> (Chapter 1—Introduction and standards that apply to all foods</w:t>
      </w:r>
      <w:bookmarkEnd w:id="2"/>
      <w:r w:rsidR="00666F91" w:rsidRPr="00F3141F">
        <w:rPr>
          <w:rFonts w:eastAsia="Times New Roman" w:cs="Times New Roman"/>
          <w:b/>
          <w:sz w:val="20"/>
          <w:szCs w:val="20"/>
          <w:lang w:bidi="en-US"/>
        </w:rPr>
        <w:t xml:space="preserve">, </w:t>
      </w:r>
      <w:bookmarkStart w:id="3" w:name="_Toc346725682"/>
      <w:bookmarkStart w:id="4" w:name="_Toc346798287"/>
      <w:bookmarkStart w:id="5" w:name="_Toc392503871"/>
      <w:r w:rsidR="00666F91" w:rsidRPr="00F3141F">
        <w:rPr>
          <w:rFonts w:eastAsia="Times New Roman" w:cs="Times New Roman"/>
          <w:b/>
          <w:sz w:val="20"/>
          <w:szCs w:val="20"/>
          <w:lang w:bidi="en-US"/>
        </w:rPr>
        <w:t>Part 1—Preliminary</w:t>
      </w:r>
      <w:bookmarkEnd w:id="3"/>
      <w:bookmarkEnd w:id="4"/>
      <w:bookmarkEnd w:id="5"/>
      <w:r w:rsidR="005856A5" w:rsidRPr="00F3141F">
        <w:rPr>
          <w:rFonts w:eastAsia="Times New Roman" w:cs="Times New Roman"/>
          <w:b/>
          <w:sz w:val="20"/>
          <w:szCs w:val="20"/>
          <w:lang w:bidi="en-US"/>
        </w:rPr>
        <w:t>)</w:t>
      </w:r>
    </w:p>
    <w:p w:rsidR="00605719" w:rsidRDefault="00605719" w:rsidP="00320BBF">
      <w:pPr>
        <w:rPr>
          <w:rFonts w:eastAsia="Times New Roman" w:cs="Times New Roman"/>
          <w:b/>
          <w:sz w:val="20"/>
          <w:szCs w:val="20"/>
          <w:lang w:eastAsia="en-GB"/>
        </w:rPr>
      </w:pPr>
    </w:p>
    <w:p w:rsidR="00487E67" w:rsidRPr="00F3141F" w:rsidRDefault="00487E67" w:rsidP="009D46F6">
      <w:pPr>
        <w:rPr>
          <w:rFonts w:eastAsia="Times New Roman" w:cs="Times New Roman"/>
          <w:b/>
          <w:i/>
          <w:sz w:val="20"/>
          <w:szCs w:val="20"/>
          <w:lang w:bidi="en-US"/>
        </w:rPr>
      </w:pPr>
      <w:bookmarkStart w:id="6" w:name="_Toc346725683"/>
      <w:bookmarkStart w:id="7" w:name="_Toc346798288"/>
      <w:bookmarkStart w:id="8" w:name="_Toc392503872"/>
      <w:r w:rsidRPr="00F3141F">
        <w:rPr>
          <w:rFonts w:eastAsia="Times New Roman" w:cs="Times New Roman"/>
          <w:b/>
          <w:i/>
          <w:sz w:val="20"/>
          <w:szCs w:val="20"/>
          <w:lang w:bidi="en-US"/>
        </w:rPr>
        <w:t>Standard 1.1.1</w:t>
      </w:r>
      <w:r w:rsidR="001A60C0" w:rsidRPr="00F3141F">
        <w:rPr>
          <w:rFonts w:eastAsia="Times New Roman" w:cs="Times New Roman"/>
          <w:b/>
          <w:i/>
          <w:sz w:val="20"/>
          <w:szCs w:val="20"/>
          <w:lang w:bidi="en-US"/>
        </w:rPr>
        <w:t xml:space="preserve"> – </w:t>
      </w:r>
      <w:r w:rsidRPr="00F3141F">
        <w:rPr>
          <w:rFonts w:eastAsia="Times New Roman" w:cs="Times New Roman"/>
          <w:b/>
          <w:i/>
          <w:sz w:val="20"/>
          <w:szCs w:val="20"/>
          <w:lang w:bidi="en-US"/>
        </w:rPr>
        <w:t>Structure of the Code</w:t>
      </w:r>
      <w:bookmarkEnd w:id="6"/>
      <w:bookmarkEnd w:id="7"/>
      <w:r w:rsidRPr="00F3141F">
        <w:rPr>
          <w:rFonts w:eastAsia="Times New Roman" w:cs="Times New Roman"/>
          <w:b/>
          <w:i/>
          <w:sz w:val="20"/>
          <w:szCs w:val="20"/>
          <w:lang w:bidi="en-US"/>
        </w:rPr>
        <w:t xml:space="preserve"> and general provisions</w:t>
      </w:r>
      <w:bookmarkEnd w:id="8"/>
    </w:p>
    <w:p w:rsidR="009D46F6" w:rsidRPr="00F3141F" w:rsidRDefault="009D46F6" w:rsidP="00487E67">
      <w:pPr>
        <w:ind w:right="-286"/>
        <w:rPr>
          <w:rFonts w:eastAsia="Times New Roman" w:cs="Times New Roman"/>
          <w:sz w:val="20"/>
          <w:szCs w:val="20"/>
          <w:lang w:bidi="en-US"/>
        </w:rPr>
      </w:pPr>
    </w:p>
    <w:p w:rsidR="00487E67" w:rsidRPr="00F3141F" w:rsidRDefault="00487E67" w:rsidP="00487E67">
      <w:pPr>
        <w:ind w:right="-286"/>
        <w:rPr>
          <w:rFonts w:eastAsia="Times New Roman" w:cs="Times New Roman"/>
          <w:sz w:val="20"/>
          <w:szCs w:val="20"/>
          <w:lang w:bidi="en-US"/>
        </w:rPr>
      </w:pPr>
      <w:r w:rsidRPr="00F3141F">
        <w:rPr>
          <w:rFonts w:eastAsia="Times New Roman" w:cs="Times New Roman"/>
          <w:sz w:val="20"/>
          <w:szCs w:val="20"/>
          <w:lang w:bidi="en-US"/>
        </w:rPr>
        <w:t>Each standard will be introduced by two notes that provide information about the place of the standard within the Code and the application of the standard in New Zealand. Other notes will also be provided if appropriate.</w:t>
      </w:r>
    </w:p>
    <w:p w:rsidR="00F3141F" w:rsidRDefault="00F3141F" w:rsidP="00487E67">
      <w:pPr>
        <w:rPr>
          <w:rFonts w:eastAsia="Times New Roman" w:cs="Times New Roman"/>
          <w:sz w:val="20"/>
          <w:szCs w:val="20"/>
          <w:lang w:bidi="en-US"/>
        </w:rPr>
      </w:pPr>
    </w:p>
    <w:p w:rsidR="00487E67" w:rsidRPr="00F3141F" w:rsidRDefault="00487E67" w:rsidP="00487E67">
      <w:pPr>
        <w:tabs>
          <w:tab w:val="left" w:pos="1701"/>
        </w:tabs>
        <w:rPr>
          <w:rFonts w:eastAsia="Times New Roman" w:cs="Times New Roman"/>
          <w:i/>
          <w:sz w:val="20"/>
          <w:szCs w:val="20"/>
          <w:lang w:bidi="en-US"/>
        </w:rPr>
      </w:pPr>
      <w:r w:rsidRPr="00F3141F">
        <w:rPr>
          <w:rFonts w:eastAsia="Times New Roman" w:cs="Times New Roman"/>
          <w:i/>
          <w:sz w:val="20"/>
          <w:szCs w:val="20"/>
          <w:lang w:bidi="en-US"/>
        </w:rPr>
        <w:t>Division 1</w:t>
      </w:r>
      <w:r w:rsidRPr="00F3141F">
        <w:rPr>
          <w:rFonts w:eastAsia="Times New Roman" w:cs="Times New Roman"/>
          <w:i/>
          <w:sz w:val="20"/>
          <w:szCs w:val="20"/>
          <w:lang w:bidi="en-US"/>
        </w:rPr>
        <w:tab/>
        <w:t>Preliminary</w:t>
      </w:r>
    </w:p>
    <w:p w:rsidR="00487E67" w:rsidRPr="00F3141F" w:rsidRDefault="00487E67" w:rsidP="00487E67">
      <w:pPr>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 xml:space="preserve">New section 1.1.1—1 Name </w:t>
      </w:r>
    </w:p>
    <w:p w:rsidR="00487E67" w:rsidRPr="00F3141F" w:rsidRDefault="00487E67" w:rsidP="00487E67">
      <w:pPr>
        <w:rPr>
          <w:rFonts w:eastAsia="Times New Roman" w:cs="Times New Roman"/>
          <w:sz w:val="20"/>
          <w:szCs w:val="20"/>
          <w:lang w:bidi="en-US"/>
        </w:rPr>
      </w:pPr>
    </w:p>
    <w:p w:rsidR="00487E67" w:rsidRDefault="00487E67" w:rsidP="00487E67">
      <w:pPr>
        <w:ind w:left="567"/>
        <w:rPr>
          <w:rFonts w:eastAsia="Times New Roman" w:cs="Times New Roman"/>
          <w:sz w:val="20"/>
          <w:szCs w:val="20"/>
          <w:lang w:bidi="en-US"/>
        </w:rPr>
      </w:pPr>
      <w:r w:rsidRPr="00F3141F">
        <w:rPr>
          <w:rFonts w:eastAsia="Times New Roman" w:cs="Times New Roman"/>
          <w:sz w:val="20"/>
          <w:szCs w:val="20"/>
          <w:lang w:bidi="en-US"/>
        </w:rPr>
        <w:t xml:space="preserve">This section establishes that the instrument is the </w:t>
      </w:r>
      <w:r w:rsidRPr="00F3141F">
        <w:rPr>
          <w:rFonts w:eastAsia="Times New Roman" w:cs="Times New Roman"/>
          <w:i/>
          <w:sz w:val="20"/>
          <w:szCs w:val="20"/>
          <w:lang w:bidi="en-US"/>
        </w:rPr>
        <w:t xml:space="preserve">Australia New Zealand Food Standards Code </w:t>
      </w:r>
      <w:r w:rsidRPr="00F3141F">
        <w:rPr>
          <w:rFonts w:eastAsia="Times New Roman" w:cs="Times New Roman"/>
          <w:sz w:val="20"/>
          <w:szCs w:val="20"/>
          <w:lang w:bidi="en-US"/>
        </w:rPr>
        <w:t>– Standard 1.1.1</w:t>
      </w:r>
      <w:r w:rsidR="00CE4C21" w:rsidRPr="00F3141F">
        <w:rPr>
          <w:rFonts w:eastAsia="Times New Roman" w:cs="Times New Roman"/>
          <w:sz w:val="20"/>
          <w:szCs w:val="20"/>
          <w:lang w:bidi="en-US"/>
        </w:rPr>
        <w:t xml:space="preserve"> – </w:t>
      </w:r>
      <w:r w:rsidRPr="00F3141F">
        <w:rPr>
          <w:rFonts w:eastAsia="Times New Roman" w:cs="Times New Roman"/>
          <w:sz w:val="20"/>
          <w:szCs w:val="20"/>
          <w:lang w:bidi="en-US"/>
        </w:rPr>
        <w:t>Structure of the Code and general provision</w:t>
      </w:r>
      <w:r w:rsidRPr="00F3141F">
        <w:rPr>
          <w:rFonts w:eastAsia="Times New Roman" w:cs="Times New Roman"/>
          <w:i/>
          <w:sz w:val="20"/>
          <w:szCs w:val="20"/>
          <w:lang w:bidi="en-US"/>
        </w:rPr>
        <w:t>s</w:t>
      </w:r>
      <w:r w:rsidRPr="00F3141F">
        <w:rPr>
          <w:rFonts w:eastAsia="Times New Roman" w:cs="Times New Roman"/>
          <w:sz w:val="20"/>
          <w:szCs w:val="20"/>
          <w:lang w:bidi="en-US"/>
        </w:rPr>
        <w:t>.</w:t>
      </w:r>
      <w:r w:rsidR="00605719" w:rsidRPr="00F3141F">
        <w:rPr>
          <w:rFonts w:eastAsia="Times New Roman" w:cs="Times New Roman"/>
          <w:sz w:val="20"/>
          <w:szCs w:val="20"/>
          <w:lang w:bidi="en-US"/>
        </w:rPr>
        <w:t xml:space="preserve"> </w:t>
      </w:r>
    </w:p>
    <w:p w:rsidR="00605719" w:rsidRPr="00F3141F" w:rsidRDefault="00605719" w:rsidP="00487E67">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 xml:space="preserve">New section 1.1.1—2 Structure of the Code </w:t>
      </w:r>
    </w:p>
    <w:p w:rsidR="00487E67" w:rsidRPr="00F3141F" w:rsidRDefault="00487E67" w:rsidP="00487E67">
      <w:pPr>
        <w:rPr>
          <w:rFonts w:eastAsia="Times New Roman" w:cs="Times New Roman"/>
          <w:sz w:val="20"/>
          <w:szCs w:val="20"/>
          <w:lang w:bidi="en-US"/>
        </w:rPr>
      </w:pPr>
    </w:p>
    <w:p w:rsidR="00487E67" w:rsidRPr="00F3141F" w:rsidRDefault="00487E67" w:rsidP="00487E67">
      <w:pPr>
        <w:ind w:left="567"/>
        <w:rPr>
          <w:rFonts w:eastAsia="Times New Roman" w:cs="Times New Roman"/>
          <w:sz w:val="20"/>
          <w:szCs w:val="20"/>
          <w:lang w:bidi="en-US"/>
        </w:rPr>
      </w:pPr>
      <w:r w:rsidRPr="00F3141F">
        <w:rPr>
          <w:rFonts w:eastAsia="Times New Roman" w:cs="Times New Roman"/>
          <w:sz w:val="20"/>
          <w:szCs w:val="20"/>
          <w:lang w:bidi="en-US"/>
        </w:rPr>
        <w:t>Subsection (1) provides that the standards are to be read together as a single instrument.</w:t>
      </w:r>
    </w:p>
    <w:p w:rsidR="00487E67" w:rsidRPr="00F3141F" w:rsidRDefault="00487E67" w:rsidP="00487E67">
      <w:pPr>
        <w:ind w:left="567"/>
        <w:rPr>
          <w:rFonts w:eastAsia="Times New Roman" w:cs="Times New Roman"/>
          <w:sz w:val="20"/>
          <w:szCs w:val="20"/>
          <w:lang w:bidi="en-US"/>
        </w:rPr>
      </w:pPr>
    </w:p>
    <w:p w:rsidR="00487E67" w:rsidRPr="00F3141F" w:rsidRDefault="00487E67" w:rsidP="00487E67">
      <w:pPr>
        <w:ind w:left="567"/>
        <w:rPr>
          <w:rFonts w:eastAsia="Times New Roman" w:cs="Times New Roman"/>
          <w:sz w:val="20"/>
          <w:szCs w:val="20"/>
          <w:lang w:bidi="en-US"/>
        </w:rPr>
      </w:pPr>
      <w:r w:rsidRPr="00F3141F">
        <w:rPr>
          <w:rFonts w:eastAsia="Times New Roman" w:cs="Times New Roman"/>
          <w:sz w:val="20"/>
          <w:szCs w:val="20"/>
          <w:lang w:bidi="en-US"/>
        </w:rPr>
        <w:t>Subsection (2) provides an outline of the structure of the Code.</w:t>
      </w:r>
    </w:p>
    <w:p w:rsidR="00487E67" w:rsidRPr="00F3141F" w:rsidRDefault="00487E67" w:rsidP="00487E67">
      <w:pPr>
        <w:ind w:left="567"/>
        <w:rPr>
          <w:rFonts w:eastAsia="Times New Roman" w:cs="Times New Roman"/>
          <w:sz w:val="20"/>
          <w:szCs w:val="20"/>
          <w:lang w:bidi="en-US"/>
        </w:rPr>
      </w:pPr>
    </w:p>
    <w:p w:rsidR="00487E67" w:rsidRPr="00F3141F" w:rsidRDefault="00487E67" w:rsidP="00487E67">
      <w:pPr>
        <w:ind w:left="567"/>
        <w:rPr>
          <w:rFonts w:eastAsia="Times New Roman" w:cs="Times New Roman"/>
          <w:sz w:val="20"/>
          <w:szCs w:val="20"/>
          <w:lang w:bidi="en-US"/>
        </w:rPr>
      </w:pPr>
      <w:r w:rsidRPr="00F3141F">
        <w:rPr>
          <w:rFonts w:eastAsia="Times New Roman" w:cs="Times New Roman"/>
          <w:sz w:val="20"/>
          <w:szCs w:val="20"/>
          <w:lang w:bidi="en-US"/>
        </w:rPr>
        <w:t xml:space="preserve">In Australia, </w:t>
      </w:r>
      <w:r w:rsidRPr="00F3141F">
        <w:rPr>
          <w:rFonts w:eastAsia="Times New Roman" w:cs="Times New Roman"/>
          <w:i/>
          <w:sz w:val="20"/>
          <w:szCs w:val="20"/>
          <w:lang w:bidi="en-US"/>
        </w:rPr>
        <w:t>Australia New Zealand Food Standards Code</w:t>
      </w:r>
      <w:r w:rsidRPr="00F3141F">
        <w:rPr>
          <w:rFonts w:eastAsia="Times New Roman" w:cs="Times New Roman"/>
          <w:sz w:val="20"/>
          <w:szCs w:val="20"/>
          <w:lang w:bidi="en-US"/>
        </w:rPr>
        <w:t xml:space="preserve"> is a defined term in the FSANZ Act. </w:t>
      </w:r>
    </w:p>
    <w:p w:rsidR="00487E67" w:rsidRPr="00F3141F" w:rsidRDefault="00487E67" w:rsidP="00487E67">
      <w:pPr>
        <w:ind w:left="567"/>
        <w:rPr>
          <w:rFonts w:eastAsia="Times New Roman" w:cs="Times New Roman"/>
          <w:sz w:val="20"/>
          <w:szCs w:val="20"/>
          <w:lang w:bidi="en-US"/>
        </w:rPr>
      </w:pPr>
    </w:p>
    <w:p w:rsidR="00487E67" w:rsidRPr="00F3141F" w:rsidRDefault="00487E67" w:rsidP="00487E67">
      <w:pPr>
        <w:ind w:left="567"/>
        <w:rPr>
          <w:rFonts w:eastAsia="Times New Roman" w:cs="Times New Roman"/>
          <w:sz w:val="20"/>
          <w:szCs w:val="20"/>
          <w:lang w:bidi="en-US"/>
        </w:rPr>
      </w:pPr>
      <w:r w:rsidRPr="00F3141F">
        <w:rPr>
          <w:rFonts w:eastAsia="Times New Roman" w:cs="Times New Roman"/>
          <w:sz w:val="20"/>
          <w:szCs w:val="20"/>
          <w:lang w:bidi="en-US"/>
        </w:rPr>
        <w:t xml:space="preserve">In New Zealand, the Code is given effect through the making of an adopted joint food standard under section 397 of the </w:t>
      </w:r>
      <w:r w:rsidRPr="00F3141F">
        <w:rPr>
          <w:rFonts w:eastAsia="Times New Roman" w:cs="Times New Roman"/>
          <w:i/>
          <w:sz w:val="20"/>
          <w:szCs w:val="20"/>
          <w:lang w:bidi="en-US"/>
        </w:rPr>
        <w:t>Food Act 2014</w:t>
      </w:r>
      <w:r w:rsidRPr="00F3141F">
        <w:rPr>
          <w:rFonts w:eastAsia="Times New Roman" w:cs="Times New Roman"/>
          <w:sz w:val="20"/>
          <w:szCs w:val="20"/>
          <w:lang w:bidi="en-US"/>
        </w:rPr>
        <w:t xml:space="preserve"> (the Food Act).</w:t>
      </w:r>
    </w:p>
    <w:p w:rsidR="00487E67" w:rsidRPr="00F3141F" w:rsidRDefault="00487E67" w:rsidP="00487E67">
      <w:pPr>
        <w:ind w:left="567"/>
        <w:rPr>
          <w:rFonts w:eastAsia="Times New Roman" w:cs="Times New Roman"/>
          <w:sz w:val="20"/>
          <w:szCs w:val="20"/>
          <w:lang w:bidi="en-US"/>
        </w:rPr>
      </w:pPr>
    </w:p>
    <w:p w:rsidR="00487E67" w:rsidRPr="00F3141F" w:rsidRDefault="00487E67" w:rsidP="00487E67">
      <w:pPr>
        <w:ind w:left="567"/>
        <w:rPr>
          <w:rFonts w:eastAsia="Times New Roman" w:cs="Times New Roman"/>
          <w:sz w:val="20"/>
          <w:szCs w:val="20"/>
          <w:lang w:bidi="en-US"/>
        </w:rPr>
      </w:pPr>
      <w:r w:rsidRPr="00F3141F">
        <w:rPr>
          <w:rFonts w:eastAsia="Times New Roman" w:cs="Times New Roman"/>
          <w:sz w:val="20"/>
          <w:szCs w:val="20"/>
          <w:lang w:bidi="en-US"/>
        </w:rPr>
        <w:t>Throughout the Code, editorial notes indicate if a provision does not apply in either Australia or New Zealand. In addition, section 1.1.1—3 sets out the application of the Code in Australia and New Zealand.</w:t>
      </w:r>
    </w:p>
    <w:p w:rsidR="00487E67" w:rsidRPr="00F3141F" w:rsidRDefault="00487E67" w:rsidP="00487E67">
      <w:pPr>
        <w:ind w:left="567"/>
        <w:rPr>
          <w:rFonts w:eastAsia="Times New Roman" w:cs="Times New Roman"/>
          <w:sz w:val="20"/>
          <w:szCs w:val="20"/>
          <w:lang w:bidi="en-US"/>
        </w:rPr>
      </w:pPr>
    </w:p>
    <w:p w:rsidR="00487E67" w:rsidRPr="00F3141F" w:rsidRDefault="00726F6D" w:rsidP="00726F6D">
      <w:pPr>
        <w:tabs>
          <w:tab w:val="left" w:pos="1701"/>
        </w:tabs>
        <w:rPr>
          <w:rFonts w:eastAsia="Times New Roman" w:cs="Times New Roman"/>
          <w:i/>
          <w:sz w:val="20"/>
          <w:szCs w:val="20"/>
          <w:lang w:bidi="en-US"/>
        </w:rPr>
      </w:pPr>
      <w:bookmarkStart w:id="9" w:name="_Toc346725684"/>
      <w:bookmarkStart w:id="10" w:name="_Toc346798289"/>
      <w:r w:rsidRPr="00F3141F">
        <w:rPr>
          <w:rFonts w:eastAsia="Times New Roman" w:cs="Times New Roman"/>
          <w:i/>
          <w:sz w:val="20"/>
          <w:szCs w:val="20"/>
          <w:lang w:bidi="en-US"/>
        </w:rPr>
        <w:t>Division 2</w:t>
      </w:r>
      <w:r w:rsidRPr="00F3141F">
        <w:rPr>
          <w:rFonts w:eastAsia="Times New Roman" w:cs="Times New Roman"/>
          <w:i/>
          <w:sz w:val="20"/>
          <w:szCs w:val="20"/>
          <w:lang w:bidi="en-US"/>
        </w:rPr>
        <w:tab/>
      </w:r>
      <w:r w:rsidR="00487E67" w:rsidRPr="00F3141F">
        <w:rPr>
          <w:rFonts w:eastAsia="Times New Roman" w:cs="Times New Roman"/>
          <w:i/>
          <w:sz w:val="20"/>
          <w:szCs w:val="20"/>
          <w:lang w:bidi="en-US"/>
        </w:rPr>
        <w:t>Application and interpretation</w:t>
      </w:r>
      <w:bookmarkEnd w:id="9"/>
      <w:bookmarkEnd w:id="10"/>
    </w:p>
    <w:p w:rsidR="00726F6D" w:rsidRPr="00F3141F" w:rsidRDefault="00726F6D" w:rsidP="00726F6D">
      <w:pPr>
        <w:tabs>
          <w:tab w:val="left" w:pos="1701"/>
        </w:tabs>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1.1.1—3 Application of Code</w:t>
      </w:r>
    </w:p>
    <w:p w:rsidR="00726F6D" w:rsidRPr="00F3141F" w:rsidRDefault="00726F6D" w:rsidP="00487E67">
      <w:pPr>
        <w:rPr>
          <w:rFonts w:eastAsia="Times New Roman" w:cs="Times New Roman"/>
          <w:sz w:val="20"/>
          <w:szCs w:val="20"/>
          <w:lang w:bidi="en-US"/>
        </w:rPr>
      </w:pPr>
    </w:p>
    <w:p w:rsidR="00487E67" w:rsidRPr="00F3141F" w:rsidRDefault="00487E67" w:rsidP="00726F6D">
      <w:pPr>
        <w:ind w:left="567"/>
        <w:rPr>
          <w:rFonts w:eastAsia="Times New Roman" w:cs="Times New Roman"/>
          <w:sz w:val="20"/>
          <w:szCs w:val="20"/>
          <w:lang w:bidi="en-US"/>
        </w:rPr>
      </w:pPr>
      <w:r w:rsidRPr="00F3141F">
        <w:rPr>
          <w:rFonts w:eastAsia="Times New Roman" w:cs="Times New Roman"/>
          <w:sz w:val="20"/>
          <w:szCs w:val="20"/>
          <w:lang w:bidi="en-US"/>
        </w:rPr>
        <w:t>New section 1.1.1.1—3 re</w:t>
      </w:r>
      <w:r w:rsidR="003B0789" w:rsidRPr="00F3141F">
        <w:rPr>
          <w:rFonts w:eastAsia="Times New Roman" w:cs="Times New Roman"/>
          <w:sz w:val="20"/>
          <w:szCs w:val="20"/>
          <w:lang w:bidi="en-US"/>
        </w:rPr>
        <w:t>-</w:t>
      </w:r>
      <w:r w:rsidRPr="00F3141F">
        <w:rPr>
          <w:rFonts w:eastAsia="Times New Roman" w:cs="Times New Roman"/>
          <w:sz w:val="20"/>
          <w:szCs w:val="20"/>
          <w:lang w:bidi="en-US"/>
        </w:rPr>
        <w:t>states the</w:t>
      </w:r>
      <w:r w:rsidR="00605719">
        <w:rPr>
          <w:rFonts w:eastAsia="Times New Roman" w:cs="Times New Roman"/>
          <w:sz w:val="20"/>
          <w:szCs w:val="20"/>
          <w:lang w:bidi="en-US"/>
        </w:rPr>
        <w:t xml:space="preserve"> application provision that is currently</w:t>
      </w:r>
      <w:r w:rsidRPr="00F3141F">
        <w:rPr>
          <w:rFonts w:eastAsia="Times New Roman" w:cs="Times New Roman"/>
          <w:sz w:val="20"/>
          <w:szCs w:val="20"/>
          <w:lang w:bidi="en-US"/>
        </w:rPr>
        <w:t xml:space="preserve"> in subclauses 1(1) and (5) of Standard 1.1.1. The Code applies to food that is sold, processed or handled</w:t>
      </w:r>
      <w:r w:rsidRPr="00F3141F">
        <w:rPr>
          <w:rFonts w:eastAsia="Times New Roman" w:cs="Times New Roman"/>
          <w:sz w:val="20"/>
          <w:szCs w:val="20"/>
          <w:vertAlign w:val="superscript"/>
          <w:lang w:bidi="en-US"/>
        </w:rPr>
        <w:footnoteReference w:id="2"/>
      </w:r>
      <w:r w:rsidRPr="00F3141F">
        <w:rPr>
          <w:rFonts w:eastAsia="Times New Roman" w:cs="Times New Roman"/>
          <w:sz w:val="20"/>
          <w:szCs w:val="20"/>
          <w:lang w:bidi="en-US"/>
        </w:rPr>
        <w:t xml:space="preserve"> in, or imported into, Australia or New Zealand.</w:t>
      </w:r>
    </w:p>
    <w:p w:rsidR="00726F6D" w:rsidRPr="00F3141F" w:rsidRDefault="00726F6D" w:rsidP="00726F6D">
      <w:pPr>
        <w:ind w:left="567"/>
        <w:rPr>
          <w:rFonts w:eastAsia="Times New Roman" w:cs="Times New Roman"/>
          <w:sz w:val="20"/>
          <w:szCs w:val="20"/>
          <w:lang w:bidi="en-US"/>
        </w:rPr>
      </w:pPr>
    </w:p>
    <w:p w:rsidR="00487E67" w:rsidRPr="00F3141F" w:rsidRDefault="00487E67" w:rsidP="00726F6D">
      <w:pPr>
        <w:ind w:left="567"/>
        <w:rPr>
          <w:rFonts w:eastAsia="Times New Roman" w:cs="Times New Roman"/>
          <w:sz w:val="20"/>
          <w:szCs w:val="20"/>
          <w:lang w:bidi="en-US"/>
        </w:rPr>
      </w:pPr>
      <w:r w:rsidRPr="00F3141F">
        <w:rPr>
          <w:rFonts w:eastAsia="Times New Roman" w:cs="Times New Roman"/>
          <w:sz w:val="20"/>
          <w:szCs w:val="20"/>
          <w:lang w:bidi="en-US"/>
        </w:rPr>
        <w:t>Notes provide information about the standards that have not been adopted in New Zealand and a standard that does not apply in Australia</w:t>
      </w:r>
      <w:r w:rsidR="00605719">
        <w:rPr>
          <w:rFonts w:eastAsia="Times New Roman" w:cs="Times New Roman"/>
          <w:sz w:val="20"/>
          <w:szCs w:val="20"/>
          <w:lang w:bidi="en-US"/>
        </w:rPr>
        <w:t>,</w:t>
      </w:r>
      <w:r w:rsidRPr="00F3141F">
        <w:rPr>
          <w:rFonts w:eastAsia="Times New Roman" w:cs="Times New Roman"/>
          <w:sz w:val="20"/>
          <w:szCs w:val="20"/>
          <w:lang w:bidi="en-US"/>
        </w:rPr>
        <w:t xml:space="preserve"> but has been made as a standard for the purposes of the joint food standards arrangements.</w:t>
      </w:r>
    </w:p>
    <w:p w:rsidR="00726F6D" w:rsidRPr="00F3141F" w:rsidRDefault="00726F6D" w:rsidP="00726F6D">
      <w:pPr>
        <w:ind w:left="567"/>
        <w:rPr>
          <w:rFonts w:eastAsia="Times New Roman" w:cs="Times New Roman"/>
          <w:sz w:val="20"/>
          <w:szCs w:val="20"/>
          <w:lang w:bidi="en-US"/>
        </w:rPr>
      </w:pPr>
    </w:p>
    <w:p w:rsidR="00487E67" w:rsidRPr="00F3141F" w:rsidRDefault="00487E67" w:rsidP="00726F6D">
      <w:pPr>
        <w:ind w:left="567"/>
        <w:rPr>
          <w:rFonts w:eastAsia="Times New Roman" w:cs="Times New Roman"/>
          <w:sz w:val="20"/>
          <w:szCs w:val="20"/>
          <w:lang w:bidi="en-US"/>
        </w:rPr>
      </w:pPr>
      <w:r w:rsidRPr="00F3141F">
        <w:rPr>
          <w:rFonts w:eastAsia="Times New Roman" w:cs="Times New Roman"/>
          <w:sz w:val="20"/>
          <w:szCs w:val="20"/>
          <w:lang w:bidi="en-US"/>
        </w:rPr>
        <w:t xml:space="preserve">New subsection 1.1.1—3(2) repeats the </w:t>
      </w:r>
      <w:r w:rsidR="00605719">
        <w:rPr>
          <w:rFonts w:eastAsia="Times New Roman" w:cs="Times New Roman"/>
          <w:sz w:val="20"/>
          <w:szCs w:val="20"/>
          <w:lang w:bidi="en-US"/>
        </w:rPr>
        <w:t xml:space="preserve">current </w:t>
      </w:r>
      <w:r w:rsidRPr="00F3141F">
        <w:rPr>
          <w:rFonts w:eastAsia="Times New Roman" w:cs="Times New Roman"/>
          <w:sz w:val="20"/>
          <w:szCs w:val="20"/>
          <w:lang w:bidi="en-US"/>
        </w:rPr>
        <w:t>content of subclause 1(5) of Standard 1.1.1 concerning wine that was bottled prior to 20 December 2002.</w:t>
      </w:r>
    </w:p>
    <w:p w:rsidR="00FF58E3" w:rsidRPr="00F3141F" w:rsidRDefault="00FF58E3" w:rsidP="00726F6D">
      <w:pPr>
        <w:ind w:left="567"/>
        <w:rPr>
          <w:rFonts w:eastAsia="Times New Roman" w:cs="Times New Roman"/>
          <w:sz w:val="20"/>
          <w:szCs w:val="20"/>
          <w:lang w:bidi="en-US"/>
        </w:rPr>
      </w:pPr>
    </w:p>
    <w:p w:rsidR="00487E67" w:rsidRPr="00F3141F" w:rsidRDefault="00487E67" w:rsidP="00487E67">
      <w:pPr>
        <w:keepNext/>
        <w:rPr>
          <w:rFonts w:eastAsia="Times New Roman" w:cs="Times New Roman"/>
          <w:sz w:val="20"/>
          <w:szCs w:val="20"/>
          <w:lang w:bidi="en-US"/>
        </w:rPr>
      </w:pPr>
      <w:r w:rsidRPr="00F3141F">
        <w:rPr>
          <w:rFonts w:eastAsia="Times New Roman" w:cs="Times New Roman"/>
          <w:sz w:val="20"/>
          <w:szCs w:val="20"/>
          <w:lang w:bidi="en-US"/>
        </w:rPr>
        <w:t>New section 1.1.1—4 Application of interpretation legislation</w:t>
      </w:r>
    </w:p>
    <w:p w:rsidR="00726F6D" w:rsidRPr="00F3141F" w:rsidRDefault="00726F6D" w:rsidP="00487E67">
      <w:pPr>
        <w:keepNext/>
        <w:rPr>
          <w:rFonts w:eastAsia="Times New Roman" w:cs="Times New Roman"/>
          <w:sz w:val="20"/>
          <w:szCs w:val="20"/>
          <w:lang w:bidi="en-US"/>
        </w:rPr>
      </w:pPr>
    </w:p>
    <w:p w:rsidR="00487E67" w:rsidRPr="00F3141F" w:rsidRDefault="00487E67" w:rsidP="00726F6D">
      <w:pPr>
        <w:ind w:left="567"/>
        <w:rPr>
          <w:rFonts w:eastAsia="Times New Roman" w:cs="Times New Roman"/>
          <w:sz w:val="20"/>
          <w:szCs w:val="20"/>
          <w:lang w:bidi="en-US"/>
        </w:rPr>
      </w:pPr>
      <w:r w:rsidRPr="00F3141F">
        <w:rPr>
          <w:rFonts w:eastAsia="Times New Roman" w:cs="Times New Roman"/>
          <w:sz w:val="20"/>
          <w:szCs w:val="20"/>
          <w:lang w:bidi="en-US"/>
        </w:rPr>
        <w:t xml:space="preserve">This section provides that the general interpretation laws of Australia and New Zealand will apply, as appropriate, to the Code. Within Australia, this means that a prosecution for an offence would be conducted under state or territory law (including the state or territory interpretation law) but the Code itself would be interpreted consistently by all state and territory courts, applying the Commonwealth law. This provision reflects the current state of the law. </w:t>
      </w:r>
    </w:p>
    <w:p w:rsidR="00726F6D" w:rsidRPr="00F3141F" w:rsidRDefault="00726F6D" w:rsidP="00726F6D">
      <w:pPr>
        <w:ind w:left="567"/>
        <w:rPr>
          <w:rFonts w:eastAsia="Times New Roman" w:cs="Times New Roman"/>
          <w:sz w:val="20"/>
          <w:szCs w:val="20"/>
          <w:lang w:bidi="en-US"/>
        </w:rPr>
      </w:pPr>
    </w:p>
    <w:p w:rsidR="00605719" w:rsidRDefault="00605719" w:rsidP="00487E67">
      <w:pPr>
        <w:rPr>
          <w:rFonts w:eastAsia="Times New Roman" w:cs="Times New Roman"/>
          <w:sz w:val="20"/>
          <w:szCs w:val="20"/>
          <w:lang w:bidi="en-US"/>
        </w:rPr>
      </w:pPr>
      <w:r>
        <w:rPr>
          <w:rFonts w:eastAsia="Times New Roman" w:cs="Times New Roman"/>
          <w:sz w:val="20"/>
          <w:szCs w:val="20"/>
          <w:lang w:bidi="en-US"/>
        </w:rPr>
        <w:br w:type="page"/>
      </w: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lastRenderedPageBreak/>
        <w:t>New section 1.1.1—5 References to other instruments</w:t>
      </w:r>
    </w:p>
    <w:p w:rsidR="00726F6D" w:rsidRPr="00F3141F" w:rsidRDefault="00726F6D" w:rsidP="00487E67">
      <w:pPr>
        <w:rPr>
          <w:rFonts w:eastAsia="Times New Roman" w:cs="Times New Roman"/>
          <w:sz w:val="20"/>
          <w:szCs w:val="20"/>
          <w:lang w:bidi="en-US"/>
        </w:rPr>
      </w:pPr>
    </w:p>
    <w:p w:rsidR="00487E67" w:rsidRPr="00F3141F" w:rsidRDefault="00487E67" w:rsidP="00726F6D">
      <w:pPr>
        <w:ind w:left="567"/>
        <w:rPr>
          <w:rFonts w:eastAsia="Times New Roman" w:cs="Times New Roman"/>
          <w:sz w:val="20"/>
          <w:szCs w:val="20"/>
          <w:lang w:bidi="en-US"/>
        </w:rPr>
      </w:pPr>
      <w:r w:rsidRPr="00F3141F">
        <w:rPr>
          <w:rFonts w:eastAsia="Times New Roman" w:cs="Times New Roman"/>
          <w:sz w:val="20"/>
          <w:szCs w:val="20"/>
          <w:lang w:bidi="en-US"/>
        </w:rPr>
        <w:t>New paragraph 1.1.1—5(1)(a) provides that any reference in the Code to an Act, including the legislation of a State, Territory or New Zealand, includes a reference to any instruments made under that Act. This provision is new.</w:t>
      </w:r>
    </w:p>
    <w:p w:rsidR="00726F6D" w:rsidRPr="00F3141F" w:rsidRDefault="00726F6D" w:rsidP="00726F6D">
      <w:pPr>
        <w:ind w:left="567"/>
        <w:rPr>
          <w:rFonts w:eastAsia="Times New Roman" w:cs="Times New Roman"/>
          <w:sz w:val="20"/>
          <w:szCs w:val="20"/>
          <w:lang w:bidi="en-US"/>
        </w:rPr>
      </w:pPr>
    </w:p>
    <w:p w:rsidR="00487E67" w:rsidRPr="00F3141F" w:rsidRDefault="00487E67" w:rsidP="00726F6D">
      <w:pPr>
        <w:ind w:left="567"/>
        <w:rPr>
          <w:rFonts w:eastAsia="Times New Roman" w:cs="Times New Roman"/>
          <w:sz w:val="20"/>
          <w:szCs w:val="20"/>
          <w:lang w:bidi="en-US"/>
        </w:rPr>
      </w:pPr>
      <w:r w:rsidRPr="00F3141F">
        <w:rPr>
          <w:rFonts w:eastAsia="Times New Roman" w:cs="Times New Roman"/>
          <w:sz w:val="20"/>
          <w:szCs w:val="20"/>
          <w:lang w:bidi="en-US"/>
        </w:rPr>
        <w:t>New paragraph 1.1.1—5(1</w:t>
      </w:r>
      <w:proofErr w:type="gramStart"/>
      <w:r w:rsidRPr="00F3141F">
        <w:rPr>
          <w:rFonts w:eastAsia="Times New Roman" w:cs="Times New Roman"/>
          <w:sz w:val="20"/>
          <w:szCs w:val="20"/>
          <w:lang w:bidi="en-US"/>
        </w:rPr>
        <w:t>)(</w:t>
      </w:r>
      <w:proofErr w:type="gramEnd"/>
      <w:r w:rsidRPr="00F3141F">
        <w:rPr>
          <w:rFonts w:eastAsia="Times New Roman" w:cs="Times New Roman"/>
          <w:sz w:val="20"/>
          <w:szCs w:val="20"/>
          <w:lang w:bidi="en-US"/>
        </w:rPr>
        <w:t>b) provides a mechanism for making reference in the Code to the United States Code of Federal Regulations. The subsection repeats the content of clause 16 of Standard 1.1.1 of the current Code.</w:t>
      </w:r>
    </w:p>
    <w:p w:rsidR="00F3141F" w:rsidRDefault="00F3141F" w:rsidP="00726F6D">
      <w:pPr>
        <w:ind w:left="567"/>
        <w:rPr>
          <w:rFonts w:eastAsia="Times New Roman" w:cs="Times New Roman"/>
          <w:sz w:val="20"/>
          <w:szCs w:val="20"/>
          <w:lang w:bidi="en-US"/>
        </w:rPr>
      </w:pPr>
    </w:p>
    <w:p w:rsidR="00487E67" w:rsidRPr="00F3141F" w:rsidRDefault="00487E67" w:rsidP="00726F6D">
      <w:pPr>
        <w:ind w:left="567"/>
        <w:rPr>
          <w:rFonts w:eastAsia="Times New Roman" w:cs="Times New Roman"/>
          <w:sz w:val="20"/>
          <w:szCs w:val="20"/>
          <w:lang w:bidi="en-US"/>
        </w:rPr>
      </w:pPr>
      <w:r w:rsidRPr="00F3141F">
        <w:rPr>
          <w:rFonts w:eastAsia="Times New Roman" w:cs="Times New Roman"/>
          <w:sz w:val="20"/>
          <w:szCs w:val="20"/>
          <w:lang w:bidi="en-US"/>
        </w:rPr>
        <w:t xml:space="preserve">New subsection 1.1.1—5(2) </w:t>
      </w:r>
      <w:proofErr w:type="gramStart"/>
      <w:r w:rsidRPr="00F3141F">
        <w:rPr>
          <w:rFonts w:eastAsia="Times New Roman" w:cs="Times New Roman"/>
          <w:sz w:val="20"/>
          <w:szCs w:val="20"/>
          <w:lang w:bidi="en-US"/>
        </w:rPr>
        <w:t>provides</w:t>
      </w:r>
      <w:proofErr w:type="gramEnd"/>
      <w:r w:rsidRPr="00F3141F">
        <w:rPr>
          <w:rFonts w:eastAsia="Times New Roman" w:cs="Times New Roman"/>
          <w:sz w:val="20"/>
          <w:szCs w:val="20"/>
          <w:lang w:bidi="en-US"/>
        </w:rPr>
        <w:t xml:space="preserve"> that guidelines issued by FSANZ to assist in the interpretation of the Code are not legally binding. This repeats subclause 5(1) of Standard 1.1.1 of the current Code.</w:t>
      </w:r>
    </w:p>
    <w:p w:rsidR="00726F6D" w:rsidRPr="00F3141F" w:rsidRDefault="00726F6D" w:rsidP="00726F6D">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1.1.1—6 How average quantity is to be calculated</w:t>
      </w:r>
    </w:p>
    <w:p w:rsidR="00726F6D" w:rsidRPr="00F3141F" w:rsidRDefault="00726F6D"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section 1.1.1—6 </w:t>
      </w:r>
      <w:proofErr w:type="gramStart"/>
      <w:r w:rsidRPr="00F3141F">
        <w:rPr>
          <w:rFonts w:eastAsia="Times New Roman" w:cs="Times New Roman"/>
          <w:sz w:val="20"/>
          <w:szCs w:val="20"/>
          <w:lang w:bidi="en-US"/>
        </w:rPr>
        <w:t>repeats</w:t>
      </w:r>
      <w:proofErr w:type="gramEnd"/>
      <w:r w:rsidRPr="00F3141F">
        <w:rPr>
          <w:rFonts w:eastAsia="Times New Roman" w:cs="Times New Roman"/>
          <w:sz w:val="20"/>
          <w:szCs w:val="20"/>
          <w:lang w:bidi="en-US"/>
        </w:rPr>
        <w:t xml:space="preserve"> the content, but not the format, of the definition of average quantity in clause 2 of Standard 1.1.1. The term average quantity is defined in section 1.1.1—6. The clause provides that an average quantity can be determined by any one of the manufacturer’s analysis of the food, calculation of the actual amount of the ingredients in a food or calculation from generally accepted data relevant to the food. An average should reflect the best estimate having regard to seasonal variance or other factors that could reasonably be a cause of lot variance.</w:t>
      </w:r>
    </w:p>
    <w:p w:rsidR="00FF58E3" w:rsidRPr="00F3141F" w:rsidRDefault="00FF58E3" w:rsidP="00FF58E3">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1.1.1—7 Units of measurement</w:t>
      </w:r>
    </w:p>
    <w:p w:rsidR="00FF58E3" w:rsidRPr="00F3141F" w:rsidRDefault="00FF58E3"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proofErr w:type="gramStart"/>
      <w:r w:rsidRPr="00F3141F">
        <w:rPr>
          <w:rFonts w:eastAsia="Times New Roman" w:cs="Times New Roman"/>
          <w:sz w:val="20"/>
          <w:szCs w:val="20"/>
          <w:lang w:bidi="en-US"/>
        </w:rPr>
        <w:t xml:space="preserve">New section 1.1.1—7 repeats, in different form, the </w:t>
      </w:r>
      <w:r w:rsidR="00605719">
        <w:rPr>
          <w:rFonts w:eastAsia="Times New Roman" w:cs="Times New Roman"/>
          <w:sz w:val="20"/>
          <w:szCs w:val="20"/>
          <w:lang w:bidi="en-US"/>
        </w:rPr>
        <w:t xml:space="preserve">current </w:t>
      </w:r>
      <w:r w:rsidRPr="00F3141F">
        <w:rPr>
          <w:rFonts w:eastAsia="Times New Roman" w:cs="Times New Roman"/>
          <w:sz w:val="20"/>
          <w:szCs w:val="20"/>
          <w:lang w:bidi="en-US"/>
        </w:rPr>
        <w:t>content of clauses 6 and 8 of Standard 1.1.1.</w:t>
      </w:r>
      <w:proofErr w:type="gramEnd"/>
      <w:r w:rsidRPr="00F3141F">
        <w:rPr>
          <w:rFonts w:eastAsia="Times New Roman" w:cs="Times New Roman"/>
          <w:sz w:val="20"/>
          <w:szCs w:val="20"/>
          <w:lang w:bidi="en-US"/>
        </w:rPr>
        <w:t xml:space="preserve"> The clause provides the meaning of symbols used in the Code and provides that the relevant Australian or New Zealand measurement legislation or international convention will apply if a symbol is not in the table. The relevant symbols and their meaning are listed in Schedule 2.</w:t>
      </w:r>
    </w:p>
    <w:p w:rsidR="00FF58E3" w:rsidRPr="00F3141F" w:rsidRDefault="00FF58E3" w:rsidP="00FF58E3">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 xml:space="preserve">New section 1.1.1—8 Compliance with requirements </w:t>
      </w:r>
      <w:r w:rsidR="00605719">
        <w:rPr>
          <w:rFonts w:eastAsia="Times New Roman" w:cs="Times New Roman"/>
          <w:sz w:val="20"/>
          <w:szCs w:val="20"/>
          <w:lang w:bidi="en-US"/>
        </w:rPr>
        <w:t xml:space="preserve">for </w:t>
      </w:r>
      <w:r w:rsidRPr="00F3141F">
        <w:rPr>
          <w:rFonts w:eastAsia="Times New Roman" w:cs="Times New Roman"/>
          <w:sz w:val="20"/>
          <w:szCs w:val="20"/>
          <w:lang w:bidi="en-US"/>
        </w:rPr>
        <w:t xml:space="preserve">mandatory statements </w:t>
      </w:r>
      <w:r w:rsidR="00605719">
        <w:rPr>
          <w:rFonts w:eastAsia="Times New Roman" w:cs="Times New Roman"/>
          <w:sz w:val="20"/>
          <w:szCs w:val="20"/>
          <w:lang w:bidi="en-US"/>
        </w:rPr>
        <w:t>or words</w:t>
      </w:r>
    </w:p>
    <w:p w:rsidR="00FF58E3" w:rsidRPr="00F3141F" w:rsidRDefault="00FF58E3"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section 1.1.1—8 </w:t>
      </w:r>
      <w:proofErr w:type="gramStart"/>
      <w:r w:rsidRPr="00F3141F">
        <w:rPr>
          <w:rFonts w:eastAsia="Times New Roman" w:cs="Times New Roman"/>
          <w:sz w:val="20"/>
          <w:szCs w:val="20"/>
          <w:lang w:bidi="en-US"/>
        </w:rPr>
        <w:t>is</w:t>
      </w:r>
      <w:proofErr w:type="gramEnd"/>
      <w:r w:rsidRPr="00F3141F">
        <w:rPr>
          <w:rFonts w:eastAsia="Times New Roman" w:cs="Times New Roman"/>
          <w:sz w:val="20"/>
          <w:szCs w:val="20"/>
          <w:lang w:bidi="en-US"/>
        </w:rPr>
        <w:t xml:space="preserve"> similar to clause 12 of Standard 1.1.1 of the current Code. It provides that where a provision of the Code requires a statement or information to be provided and suggests a form of words (for example, an advisory statement) a different form of words can be used if the intent is retained. </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However, warning statements</w:t>
      </w:r>
      <w:r w:rsidRPr="00F3141F">
        <w:rPr>
          <w:rFonts w:eastAsia="Times New Roman" w:cs="Times New Roman"/>
          <w:sz w:val="20"/>
          <w:szCs w:val="20"/>
          <w:vertAlign w:val="superscript"/>
          <w:lang w:bidi="en-US"/>
        </w:rPr>
        <w:footnoteReference w:id="3"/>
      </w:r>
      <w:r w:rsidRPr="00F3141F">
        <w:rPr>
          <w:rFonts w:eastAsia="Times New Roman" w:cs="Times New Roman"/>
          <w:sz w:val="20"/>
          <w:szCs w:val="20"/>
          <w:lang w:bidi="en-US"/>
        </w:rPr>
        <w:t xml:space="preserve"> must be expressed in the words set out in the Code. Also, some provisions require specific words to be used in labelling, such as the date marking requirements, and those words must be used.</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tabs>
          <w:tab w:val="left" w:pos="1701"/>
        </w:tabs>
        <w:rPr>
          <w:rFonts w:eastAsia="Times New Roman" w:cs="Times New Roman"/>
          <w:i/>
          <w:sz w:val="20"/>
          <w:szCs w:val="20"/>
          <w:lang w:bidi="en-US"/>
        </w:rPr>
      </w:pPr>
      <w:bookmarkStart w:id="11" w:name="_Toc346725685"/>
      <w:bookmarkStart w:id="12" w:name="_Toc346798290"/>
      <w:r w:rsidRPr="00F3141F">
        <w:rPr>
          <w:rFonts w:eastAsia="Times New Roman" w:cs="Times New Roman"/>
          <w:i/>
          <w:sz w:val="20"/>
          <w:szCs w:val="20"/>
          <w:lang w:bidi="en-US"/>
        </w:rPr>
        <w:t>Division 3</w:t>
      </w:r>
      <w:r w:rsidRPr="00F3141F">
        <w:rPr>
          <w:rFonts w:eastAsia="Times New Roman" w:cs="Times New Roman"/>
          <w:i/>
          <w:sz w:val="20"/>
          <w:szCs w:val="20"/>
          <w:lang w:bidi="en-US"/>
        </w:rPr>
        <w:tab/>
        <w:t>Effect of variations to Code</w:t>
      </w:r>
      <w:bookmarkEnd w:id="11"/>
      <w:bookmarkEnd w:id="12"/>
    </w:p>
    <w:p w:rsidR="00FF58E3" w:rsidRPr="00F3141F" w:rsidRDefault="00FF58E3" w:rsidP="00FF58E3">
      <w:pPr>
        <w:tabs>
          <w:tab w:val="left" w:pos="1701"/>
        </w:tabs>
        <w:rPr>
          <w:rFonts w:eastAsia="Times New Roman" w:cs="Times New Roman"/>
          <w:i/>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1.1.1—9 Effect of variations to Code</w:t>
      </w:r>
    </w:p>
    <w:p w:rsidR="00FF58E3" w:rsidRPr="00F3141F" w:rsidRDefault="00FF58E3"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section 1.1.1—9 </w:t>
      </w:r>
      <w:proofErr w:type="gramStart"/>
      <w:r w:rsidRPr="00F3141F">
        <w:rPr>
          <w:rFonts w:eastAsia="Times New Roman" w:cs="Times New Roman"/>
          <w:sz w:val="20"/>
          <w:szCs w:val="20"/>
          <w:lang w:bidi="en-US"/>
        </w:rPr>
        <w:t>re</w:t>
      </w:r>
      <w:r w:rsidR="00FF58E3" w:rsidRPr="00F3141F">
        <w:rPr>
          <w:rFonts w:eastAsia="Times New Roman" w:cs="Times New Roman"/>
          <w:sz w:val="20"/>
          <w:szCs w:val="20"/>
          <w:lang w:bidi="en-US"/>
        </w:rPr>
        <w:t>-</w:t>
      </w:r>
      <w:r w:rsidRPr="00F3141F">
        <w:rPr>
          <w:rFonts w:eastAsia="Times New Roman" w:cs="Times New Roman"/>
          <w:sz w:val="20"/>
          <w:szCs w:val="20"/>
          <w:lang w:bidi="en-US"/>
        </w:rPr>
        <w:t>states</w:t>
      </w:r>
      <w:proofErr w:type="gramEnd"/>
      <w:r w:rsidRPr="00F3141F">
        <w:rPr>
          <w:rFonts w:eastAsia="Times New Roman" w:cs="Times New Roman"/>
          <w:sz w:val="20"/>
          <w:szCs w:val="20"/>
          <w:lang w:bidi="en-US"/>
        </w:rPr>
        <w:t xml:space="preserve"> the provisions in current subclause 1(2) of Standard 1.1.1. The clause provides a stock-in-trade protection for foods that comply with a provision of the Code prior to the Code being varied but would not comply after the variation. Those foods are deemed to be compliant for 12 months after the date of variation. </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An effect of this provision is that there will be a 12-month stock-in-trade period, after the commencement date, for food that is compliant with the current Code.</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Subclause (2) makes it clear that the types of provisions that are relevant for the stock-in-trade provisions are labelling, packaging or composition requirements.</w:t>
      </w:r>
    </w:p>
    <w:p w:rsidR="00605719" w:rsidRDefault="00605719" w:rsidP="00FF58E3">
      <w:pPr>
        <w:ind w:left="567"/>
        <w:rPr>
          <w:rFonts w:eastAsia="Times New Roman" w:cs="Times New Roman"/>
          <w:sz w:val="20"/>
          <w:szCs w:val="20"/>
          <w:lang w:bidi="en-US"/>
        </w:rPr>
      </w:pPr>
      <w:r>
        <w:rPr>
          <w:rFonts w:eastAsia="Times New Roman" w:cs="Times New Roman"/>
          <w:sz w:val="20"/>
          <w:szCs w:val="20"/>
          <w:lang w:bidi="en-US"/>
        </w:rPr>
        <w:br w:type="page"/>
      </w:r>
    </w:p>
    <w:p w:rsidR="00487E67" w:rsidRPr="00F3141F" w:rsidRDefault="00487E67" w:rsidP="00FF58E3">
      <w:pPr>
        <w:tabs>
          <w:tab w:val="left" w:pos="1701"/>
        </w:tabs>
        <w:rPr>
          <w:rFonts w:eastAsia="Times New Roman" w:cs="Times New Roman"/>
          <w:i/>
          <w:sz w:val="20"/>
          <w:szCs w:val="20"/>
          <w:lang w:bidi="en-US"/>
        </w:rPr>
      </w:pPr>
      <w:bookmarkStart w:id="13" w:name="_Toc346725686"/>
      <w:bookmarkStart w:id="14" w:name="_Toc346798291"/>
      <w:r w:rsidRPr="00F3141F">
        <w:rPr>
          <w:rFonts w:eastAsia="Times New Roman" w:cs="Times New Roman"/>
          <w:i/>
          <w:sz w:val="20"/>
          <w:szCs w:val="20"/>
          <w:lang w:bidi="en-US"/>
        </w:rPr>
        <w:lastRenderedPageBreak/>
        <w:t>Division 4</w:t>
      </w:r>
      <w:r w:rsidRPr="00F3141F">
        <w:rPr>
          <w:rFonts w:eastAsia="Times New Roman" w:cs="Times New Roman"/>
          <w:i/>
          <w:sz w:val="20"/>
          <w:szCs w:val="20"/>
          <w:lang w:bidi="en-US"/>
        </w:rPr>
        <w:tab/>
        <w:t>Basic requirements</w:t>
      </w:r>
      <w:bookmarkEnd w:id="13"/>
      <w:bookmarkEnd w:id="14"/>
    </w:p>
    <w:p w:rsidR="00FF58E3" w:rsidRPr="00F3141F" w:rsidRDefault="00FF58E3" w:rsidP="00FF58E3">
      <w:pPr>
        <w:tabs>
          <w:tab w:val="left" w:pos="1701"/>
        </w:tabs>
        <w:rPr>
          <w:rFonts w:eastAsia="Times New Roman" w:cs="Times New Roman"/>
          <w:i/>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Note on enforcement of the Code</w:t>
      </w:r>
    </w:p>
    <w:p w:rsidR="00FF58E3" w:rsidRPr="00F3141F" w:rsidRDefault="00FF58E3"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A lengthy note on the enforcement of the Code in Australia and New Zealand is set out at the beginning of this </w:t>
      </w:r>
      <w:r w:rsidR="00605719">
        <w:rPr>
          <w:rFonts w:eastAsia="Times New Roman" w:cs="Times New Roman"/>
          <w:sz w:val="20"/>
          <w:szCs w:val="20"/>
          <w:lang w:bidi="en-US"/>
        </w:rPr>
        <w:t>Division</w:t>
      </w:r>
      <w:r w:rsidRPr="00F3141F">
        <w:rPr>
          <w:rFonts w:eastAsia="Times New Roman" w:cs="Times New Roman"/>
          <w:sz w:val="20"/>
          <w:szCs w:val="20"/>
          <w:lang w:bidi="en-US"/>
        </w:rPr>
        <w:t xml:space="preserve"> </w:t>
      </w:r>
      <w:proofErr w:type="gramStart"/>
      <w:r w:rsidRPr="00F3141F">
        <w:rPr>
          <w:rFonts w:eastAsia="Times New Roman" w:cs="Times New Roman"/>
          <w:sz w:val="20"/>
          <w:szCs w:val="20"/>
          <w:lang w:bidi="en-US"/>
        </w:rPr>
        <w:t>The</w:t>
      </w:r>
      <w:proofErr w:type="gramEnd"/>
      <w:r w:rsidRPr="00F3141F">
        <w:rPr>
          <w:rFonts w:eastAsia="Times New Roman" w:cs="Times New Roman"/>
          <w:sz w:val="20"/>
          <w:szCs w:val="20"/>
          <w:lang w:bidi="en-US"/>
        </w:rPr>
        <w:t xml:space="preserve"> Code is enforced by laws made by the parliaments of Australia, New Zealand and the states and territories. It is a common element of the New Zealand and state and territory legislation that it is an offence to sell food that does not comply with a requirement in the Code. Other offences are established in relation to the making of false or misleading statements about food or failing to comply with a requirement of the Code that is imposed on a person.</w:t>
      </w:r>
    </w:p>
    <w:p w:rsidR="00FF58E3" w:rsidRPr="00F3141F" w:rsidRDefault="00FF58E3" w:rsidP="00FF58E3">
      <w:pPr>
        <w:ind w:left="567"/>
        <w:rPr>
          <w:rFonts w:eastAsia="Times New Roman" w:cs="Times New Roman"/>
          <w:sz w:val="20"/>
          <w:szCs w:val="20"/>
          <w:lang w:bidi="en-US"/>
        </w:rPr>
      </w:pPr>
    </w:p>
    <w:p w:rsidR="00487E67"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The note is not a legally binding element of the Code or a source of legal advice.</w:t>
      </w:r>
    </w:p>
    <w:p w:rsidR="00605719" w:rsidRPr="00F3141F" w:rsidRDefault="00605719"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Division 4 sets out the basic requirements that must be complied with by suppliers, importers, and manufacturers or preparers of food for sale.</w:t>
      </w:r>
    </w:p>
    <w:p w:rsidR="00FF58E3" w:rsidRPr="00F3141F" w:rsidRDefault="00FF58E3" w:rsidP="00FF58E3">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1.1.1—1</w:t>
      </w:r>
      <w:r w:rsidR="00FF58E3" w:rsidRPr="00F3141F">
        <w:rPr>
          <w:rFonts w:eastAsia="Times New Roman" w:cs="Times New Roman"/>
          <w:sz w:val="20"/>
          <w:szCs w:val="20"/>
          <w:lang w:bidi="en-US"/>
        </w:rPr>
        <w:t>0 Requirements relating to food</w:t>
      </w:r>
      <w:r w:rsidR="00605719">
        <w:rPr>
          <w:rFonts w:eastAsia="Times New Roman" w:cs="Times New Roman"/>
          <w:sz w:val="20"/>
          <w:szCs w:val="20"/>
          <w:lang w:bidi="en-US"/>
        </w:rPr>
        <w:t xml:space="preserve"> for sale</w:t>
      </w:r>
    </w:p>
    <w:p w:rsidR="00FF58E3" w:rsidRPr="00F3141F" w:rsidRDefault="00FF58E3"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section 1.1.1—10 sets out the basic labelling and information, packaging and compositional requirements for the Code. These requirements are expressed to apply to food for sale. </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subsection (1) provides that the requirements established by this section apply to foods for sale. </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i/>
          <w:sz w:val="20"/>
          <w:szCs w:val="20"/>
          <w:lang w:bidi="en-US"/>
        </w:rPr>
      </w:pPr>
      <w:r w:rsidRPr="00F3141F">
        <w:rPr>
          <w:rFonts w:eastAsia="Times New Roman" w:cs="Times New Roman"/>
          <w:i/>
          <w:sz w:val="20"/>
          <w:szCs w:val="20"/>
          <w:lang w:bidi="en-US"/>
        </w:rPr>
        <w:t>Compositional requirements</w:t>
      </w: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 (2) re</w:t>
      </w:r>
      <w:r w:rsidR="003B0789" w:rsidRPr="00F3141F">
        <w:rPr>
          <w:rFonts w:eastAsia="Times New Roman" w:cs="Times New Roman"/>
          <w:sz w:val="20"/>
          <w:szCs w:val="20"/>
          <w:lang w:bidi="en-US"/>
        </w:rPr>
        <w:t>-</w:t>
      </w:r>
      <w:r w:rsidRPr="00F3141F">
        <w:rPr>
          <w:rFonts w:eastAsia="Times New Roman" w:cs="Times New Roman"/>
          <w:sz w:val="20"/>
          <w:szCs w:val="20"/>
          <w:lang w:bidi="en-US"/>
        </w:rPr>
        <w:t xml:space="preserve">states the permission, </w:t>
      </w:r>
      <w:r w:rsidR="000B5294">
        <w:rPr>
          <w:rFonts w:eastAsia="Times New Roman" w:cs="Times New Roman"/>
          <w:sz w:val="20"/>
          <w:szCs w:val="20"/>
          <w:lang w:bidi="en-US"/>
        </w:rPr>
        <w:t xml:space="preserve">currently </w:t>
      </w:r>
      <w:r w:rsidRPr="00F3141F">
        <w:rPr>
          <w:rFonts w:eastAsia="Times New Roman" w:cs="Times New Roman"/>
          <w:sz w:val="20"/>
          <w:szCs w:val="20"/>
          <w:lang w:bidi="en-US"/>
        </w:rPr>
        <w:t xml:space="preserve">in subclause 10(3) of Standard 1.1.1, for the addition of one food to another food, unless there is a specific prohibition. </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 (3) states the requirement that a food for sale must comply with any provision of the Code relating to composition or the presence of substances in a food of that kind.</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subsection (4) repeats the </w:t>
      </w:r>
      <w:r w:rsidR="000B5294">
        <w:rPr>
          <w:rFonts w:eastAsia="Times New Roman" w:cs="Times New Roman"/>
          <w:sz w:val="20"/>
          <w:szCs w:val="20"/>
          <w:lang w:bidi="en-US"/>
        </w:rPr>
        <w:t xml:space="preserve">current </w:t>
      </w:r>
      <w:r w:rsidRPr="00F3141F">
        <w:rPr>
          <w:rFonts w:eastAsia="Times New Roman" w:cs="Times New Roman"/>
          <w:sz w:val="20"/>
          <w:szCs w:val="20"/>
          <w:lang w:bidi="en-US"/>
        </w:rPr>
        <w:t>content of subclause 10(1) of Standard 1.1.1, which provides that a compositional permission to add ‘other foods’ is not a permission to use a substance as a food additive, nutritive substance or processing aid in that food if that use is not explicitly permitted.</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 (5) establishes a requirement that a food that is for sale must not be a food that is listed in the table to the subsection, unless expressly permitted. The substances listed are: prohibited or restricted plants or fungi; coca bush; novel foods offered for retail sale; foods produced using gene technology; irradiated foods; and kava or a substance derived from kava.</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 (6) establishes a requirement that a food that is for sale must not contain, as an ingredient, a substance that is listed in the table to the subsection, unless expressly permitted. The substances listed are: a substance that is used as a food additive; a substance that is used as a nutritive substance; a substance that is used as a processing aid, in Australia</w:t>
      </w:r>
      <w:r w:rsidR="000B5294">
        <w:rPr>
          <w:rFonts w:eastAsia="Times New Roman" w:cs="Times New Roman"/>
          <w:sz w:val="20"/>
          <w:szCs w:val="20"/>
          <w:lang w:bidi="en-US"/>
        </w:rPr>
        <w:t xml:space="preserve">, </w:t>
      </w:r>
      <w:r w:rsidRPr="00F3141F">
        <w:rPr>
          <w:rFonts w:eastAsia="Times New Roman" w:cs="Times New Roman"/>
          <w:sz w:val="20"/>
          <w:szCs w:val="20"/>
          <w:lang w:bidi="en-US"/>
        </w:rPr>
        <w:t>a detectable residue of an ag</w:t>
      </w:r>
      <w:r w:rsidR="00FF58E3" w:rsidRPr="00F3141F">
        <w:rPr>
          <w:rFonts w:eastAsia="Times New Roman" w:cs="Times New Roman"/>
          <w:sz w:val="20"/>
          <w:szCs w:val="20"/>
          <w:lang w:bidi="en-US"/>
        </w:rPr>
        <w:t xml:space="preserve">ricultural or veterinary </w:t>
      </w:r>
      <w:r w:rsidRPr="00F3141F">
        <w:rPr>
          <w:rFonts w:eastAsia="Times New Roman" w:cs="Times New Roman"/>
          <w:sz w:val="20"/>
          <w:szCs w:val="20"/>
          <w:lang w:bidi="en-US"/>
        </w:rPr>
        <w:t>chemical; prohibited or restricted plants or fungi; coca bush; novel foods offered for retail sale; foods produced using gene technology; irradiated foods; and kava or a substance derived from kava.</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w:t>
      </w:r>
      <w:r w:rsidRPr="00F3141F" w:rsidDel="007B6382">
        <w:rPr>
          <w:rFonts w:eastAsia="Times New Roman" w:cs="Times New Roman"/>
          <w:sz w:val="20"/>
          <w:szCs w:val="20"/>
          <w:lang w:bidi="en-US"/>
        </w:rPr>
        <w:t xml:space="preserve"> </w:t>
      </w:r>
      <w:r w:rsidRPr="00F3141F">
        <w:rPr>
          <w:rFonts w:eastAsia="Times New Roman" w:cs="Times New Roman"/>
          <w:sz w:val="20"/>
          <w:szCs w:val="20"/>
          <w:lang w:bidi="en-US"/>
        </w:rPr>
        <w:t>(7) provides that the prohibition on addition or use of substances does not apply (unless the Code provides otherwise) to naturally occurring substances. Other provisions of the Code require declaration of some naturally occurring nutritive substances.</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i/>
          <w:sz w:val="20"/>
          <w:szCs w:val="20"/>
          <w:lang w:bidi="en-US"/>
        </w:rPr>
      </w:pPr>
      <w:r w:rsidRPr="00F3141F">
        <w:rPr>
          <w:rFonts w:eastAsia="Times New Roman" w:cs="Times New Roman"/>
          <w:i/>
          <w:sz w:val="20"/>
          <w:szCs w:val="20"/>
          <w:lang w:bidi="en-US"/>
        </w:rPr>
        <w:t xml:space="preserve">Labelling requirements </w:t>
      </w:r>
    </w:p>
    <w:p w:rsidR="00487E67"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 (8) states the requirements that a food for sale must comply with any provision of the Code relating to labelling.</w:t>
      </w:r>
    </w:p>
    <w:p w:rsidR="000B5294" w:rsidRPr="00F3141F" w:rsidRDefault="000B5294" w:rsidP="00FF58E3">
      <w:pPr>
        <w:ind w:left="567"/>
        <w:rPr>
          <w:rFonts w:eastAsia="Times New Roman" w:cs="Times New Roman"/>
          <w:sz w:val="20"/>
          <w:szCs w:val="20"/>
          <w:lang w:bidi="en-US"/>
        </w:rPr>
      </w:pPr>
    </w:p>
    <w:p w:rsidR="000B5294" w:rsidRDefault="000B5294" w:rsidP="00FF58E3">
      <w:pPr>
        <w:ind w:left="567"/>
        <w:rPr>
          <w:rFonts w:eastAsia="Times New Roman" w:cs="Times New Roman"/>
          <w:i/>
          <w:sz w:val="20"/>
          <w:szCs w:val="20"/>
          <w:lang w:bidi="en-US"/>
        </w:rPr>
      </w:pPr>
      <w:r>
        <w:rPr>
          <w:rFonts w:eastAsia="Times New Roman" w:cs="Times New Roman"/>
          <w:i/>
          <w:sz w:val="20"/>
          <w:szCs w:val="20"/>
          <w:lang w:bidi="en-US"/>
        </w:rPr>
        <w:br w:type="page"/>
      </w:r>
    </w:p>
    <w:p w:rsidR="00487E67" w:rsidRPr="000B5294" w:rsidRDefault="00487E67" w:rsidP="00FF58E3">
      <w:pPr>
        <w:ind w:left="567"/>
        <w:rPr>
          <w:rFonts w:eastAsia="Times New Roman" w:cs="Times New Roman"/>
          <w:i/>
          <w:sz w:val="20"/>
          <w:szCs w:val="20"/>
          <w:lang w:bidi="en-US"/>
        </w:rPr>
      </w:pPr>
      <w:r w:rsidRPr="000B5294">
        <w:rPr>
          <w:rFonts w:eastAsia="Times New Roman" w:cs="Times New Roman"/>
          <w:i/>
          <w:sz w:val="20"/>
          <w:szCs w:val="20"/>
          <w:lang w:bidi="en-US"/>
        </w:rPr>
        <w:lastRenderedPageBreak/>
        <w:t xml:space="preserve">Information requirements </w:t>
      </w: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 (9) states the requirements that a food for sale must comply with any provision of the Code that requires information to be given.</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i/>
          <w:sz w:val="20"/>
          <w:szCs w:val="20"/>
          <w:lang w:bidi="en-US"/>
        </w:rPr>
      </w:pPr>
      <w:r w:rsidRPr="00F3141F">
        <w:rPr>
          <w:rFonts w:eastAsia="Times New Roman" w:cs="Times New Roman"/>
          <w:i/>
          <w:sz w:val="20"/>
          <w:szCs w:val="20"/>
          <w:lang w:bidi="en-US"/>
        </w:rPr>
        <w:t xml:space="preserve">Packaging requirements </w:t>
      </w: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New subsections (10) and (11) set out the packaging requirement that is now set out in Standard 1.4.3.</w:t>
      </w:r>
    </w:p>
    <w:p w:rsidR="00FF58E3" w:rsidRPr="00F3141F" w:rsidRDefault="00FF58E3" w:rsidP="00FF58E3">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1.1.1—11 Microbiological requirements</w:t>
      </w:r>
      <w:r w:rsidR="000B5294">
        <w:rPr>
          <w:rFonts w:eastAsia="Times New Roman" w:cs="Times New Roman"/>
          <w:sz w:val="20"/>
          <w:szCs w:val="20"/>
          <w:lang w:bidi="en-US"/>
        </w:rPr>
        <w:t xml:space="preserve"> for lot of a food</w:t>
      </w:r>
    </w:p>
    <w:p w:rsidR="00FF58E3" w:rsidRPr="00F3141F" w:rsidRDefault="00FF58E3"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section 1.1.1—11 </w:t>
      </w:r>
      <w:proofErr w:type="gramStart"/>
      <w:r w:rsidRPr="00F3141F">
        <w:rPr>
          <w:rFonts w:eastAsia="Times New Roman" w:cs="Times New Roman"/>
          <w:sz w:val="20"/>
          <w:szCs w:val="20"/>
          <w:lang w:bidi="en-US"/>
        </w:rPr>
        <w:t>provides</w:t>
      </w:r>
      <w:proofErr w:type="gramEnd"/>
      <w:r w:rsidRPr="00F3141F">
        <w:rPr>
          <w:rFonts w:eastAsia="Times New Roman" w:cs="Times New Roman"/>
          <w:sz w:val="20"/>
          <w:szCs w:val="20"/>
          <w:lang w:bidi="en-US"/>
        </w:rPr>
        <w:t xml:space="preserve"> that a lot of a food for sale must not have an unacceptable level of microorganisms. The limits for unacceptability are set out in Standard 1.6.1.</w:t>
      </w:r>
    </w:p>
    <w:p w:rsidR="00FF58E3" w:rsidRPr="00F3141F" w:rsidRDefault="00FF58E3" w:rsidP="00FF58E3">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 xml:space="preserve">New section 1.1.1—12 Applicable standards for importation of food </w:t>
      </w:r>
    </w:p>
    <w:p w:rsidR="00FF58E3" w:rsidRPr="00F3141F" w:rsidRDefault="00FF58E3" w:rsidP="00487E67">
      <w:pPr>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This new section establishes requirements in the Code for imported food. The provisions supplement Australian and New Zealand legislation.</w:t>
      </w:r>
    </w:p>
    <w:p w:rsidR="00FF58E3" w:rsidRPr="00F3141F" w:rsidRDefault="00FF58E3" w:rsidP="00FF58E3">
      <w:pPr>
        <w:ind w:left="567"/>
        <w:rPr>
          <w:rFonts w:eastAsia="Times New Roman" w:cs="Times New Roman"/>
          <w:sz w:val="20"/>
          <w:szCs w:val="20"/>
          <w:lang w:bidi="en-US"/>
        </w:rPr>
      </w:pPr>
    </w:p>
    <w:p w:rsidR="00487E67" w:rsidRPr="00F3141F"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Food imported in the form or package intended for sale must comply with applicable standards in Australia or relevant standards in New Zealand. This provision identifies the applicable, or relevant, standards for the purposes of import control legislation.</w:t>
      </w:r>
    </w:p>
    <w:p w:rsidR="00FF58E3" w:rsidRPr="00F3141F" w:rsidRDefault="00FF58E3" w:rsidP="00FF58E3">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1.1.1—13 Food sold with a specified name or representation</w:t>
      </w:r>
    </w:p>
    <w:p w:rsidR="00FF58E3" w:rsidRPr="00F3141F" w:rsidRDefault="00FF58E3" w:rsidP="00487E67">
      <w:pPr>
        <w:rPr>
          <w:rFonts w:eastAsia="Times New Roman" w:cs="Times New Roman"/>
          <w:sz w:val="20"/>
          <w:szCs w:val="20"/>
          <w:lang w:bidi="en-US"/>
        </w:rPr>
      </w:pPr>
    </w:p>
    <w:p w:rsidR="00FF58E3" w:rsidRDefault="00487E67" w:rsidP="00FF58E3">
      <w:pPr>
        <w:ind w:left="567"/>
        <w:rPr>
          <w:rFonts w:eastAsia="Times New Roman" w:cs="Times New Roman"/>
          <w:sz w:val="20"/>
          <w:szCs w:val="20"/>
          <w:lang w:bidi="en-US"/>
        </w:rPr>
      </w:pPr>
      <w:r w:rsidRPr="00F3141F">
        <w:rPr>
          <w:rFonts w:eastAsia="Times New Roman" w:cs="Times New Roman"/>
          <w:sz w:val="20"/>
          <w:szCs w:val="20"/>
          <w:lang w:bidi="en-US"/>
        </w:rPr>
        <w:t xml:space="preserve">New </w:t>
      </w:r>
      <w:r w:rsidR="000B5294">
        <w:rPr>
          <w:rFonts w:eastAsia="Times New Roman" w:cs="Times New Roman"/>
          <w:sz w:val="20"/>
          <w:szCs w:val="20"/>
          <w:lang w:bidi="en-US"/>
        </w:rPr>
        <w:t>sub</w:t>
      </w:r>
      <w:r w:rsidRPr="00F3141F">
        <w:rPr>
          <w:rFonts w:eastAsia="Times New Roman" w:cs="Times New Roman"/>
          <w:sz w:val="20"/>
          <w:szCs w:val="20"/>
          <w:lang w:bidi="en-US"/>
        </w:rPr>
        <w:t>section</w:t>
      </w:r>
      <w:r w:rsidR="000B5294">
        <w:rPr>
          <w:rFonts w:eastAsia="Times New Roman" w:cs="Times New Roman"/>
          <w:sz w:val="20"/>
          <w:szCs w:val="20"/>
          <w:lang w:bidi="en-US"/>
        </w:rPr>
        <w:t>s</w:t>
      </w:r>
      <w:r w:rsidRPr="00F3141F">
        <w:rPr>
          <w:rFonts w:eastAsia="Times New Roman" w:cs="Times New Roman"/>
          <w:sz w:val="20"/>
          <w:szCs w:val="20"/>
          <w:lang w:bidi="en-US"/>
        </w:rPr>
        <w:t xml:space="preserve"> 1.1.1—13(2) and (3) describe how requirements are applied to foods that are defined in the Code. Requirements apply to some foods only if they sold with the stated name. Other foods may be subject to a requirement even if the food is not sold with the defined name. New subsection (1) identifies the type of provision that the section applies to—any provision that provides that a food sold as a named food must satisfy certain requirements.</w:t>
      </w:r>
    </w:p>
    <w:p w:rsidR="00F3141F" w:rsidRPr="00F3141F" w:rsidRDefault="00F3141F" w:rsidP="00FF58E3">
      <w:pPr>
        <w:ind w:left="567"/>
        <w:rPr>
          <w:rFonts w:eastAsia="Times New Roman" w:cs="Times New Roman"/>
          <w:sz w:val="20"/>
          <w:szCs w:val="20"/>
          <w:lang w:bidi="en-US"/>
        </w:rPr>
      </w:pPr>
    </w:p>
    <w:p w:rsidR="00487E67" w:rsidRPr="00F3141F" w:rsidRDefault="00487E67" w:rsidP="009D46F6">
      <w:pPr>
        <w:ind w:left="567"/>
        <w:rPr>
          <w:rFonts w:eastAsia="Times New Roman" w:cs="Times New Roman"/>
          <w:sz w:val="20"/>
          <w:szCs w:val="20"/>
          <w:lang w:bidi="en-US"/>
        </w:rPr>
      </w:pPr>
      <w:r w:rsidRPr="00F3141F">
        <w:rPr>
          <w:rFonts w:eastAsia="Times New Roman" w:cs="Times New Roman"/>
          <w:sz w:val="20"/>
          <w:szCs w:val="20"/>
          <w:lang w:bidi="en-US"/>
        </w:rPr>
        <w:t xml:space="preserve">New subsection 1.1.1—13(4) provides that if a name is used when a food is sold, that name is assumed to be the true name of the food unless another name is apparent from the sale context. </w:t>
      </w:r>
    </w:p>
    <w:p w:rsidR="009D46F6" w:rsidRPr="00F3141F" w:rsidRDefault="009D46F6" w:rsidP="009D46F6">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 xml:space="preserve">New subsection 1.1.1—14 </w:t>
      </w:r>
      <w:proofErr w:type="gramStart"/>
      <w:r w:rsidRPr="00F3141F">
        <w:rPr>
          <w:rFonts w:eastAsia="Times New Roman" w:cs="Times New Roman"/>
          <w:sz w:val="20"/>
          <w:szCs w:val="20"/>
          <w:lang w:bidi="en-US"/>
        </w:rPr>
        <w:t>Other</w:t>
      </w:r>
      <w:proofErr w:type="gramEnd"/>
      <w:r w:rsidRPr="00F3141F">
        <w:rPr>
          <w:rFonts w:eastAsia="Times New Roman" w:cs="Times New Roman"/>
          <w:sz w:val="20"/>
          <w:szCs w:val="20"/>
          <w:lang w:bidi="en-US"/>
        </w:rPr>
        <w:t xml:space="preserve"> requirements relating to food</w:t>
      </w:r>
    </w:p>
    <w:p w:rsidR="009D46F6" w:rsidRPr="00F3141F" w:rsidRDefault="009D46F6" w:rsidP="00487E67">
      <w:pPr>
        <w:rPr>
          <w:rFonts w:eastAsia="Times New Roman" w:cs="Times New Roman"/>
          <w:sz w:val="20"/>
          <w:szCs w:val="20"/>
          <w:lang w:bidi="en-US"/>
        </w:rPr>
      </w:pPr>
    </w:p>
    <w:p w:rsidR="00487E67" w:rsidRPr="00F3141F" w:rsidRDefault="00487E67" w:rsidP="009D46F6">
      <w:pPr>
        <w:ind w:left="567"/>
        <w:rPr>
          <w:rFonts w:eastAsia="Times New Roman" w:cs="Times New Roman"/>
          <w:sz w:val="20"/>
          <w:szCs w:val="20"/>
          <w:lang w:bidi="en-US"/>
        </w:rPr>
      </w:pPr>
      <w:r w:rsidRPr="00F3141F">
        <w:rPr>
          <w:rFonts w:eastAsia="Times New Roman" w:cs="Times New Roman"/>
          <w:sz w:val="20"/>
          <w:szCs w:val="20"/>
          <w:lang w:bidi="en-US"/>
        </w:rPr>
        <w:t xml:space="preserve">New section 1.1.1—14 </w:t>
      </w:r>
      <w:proofErr w:type="gramStart"/>
      <w:r w:rsidRPr="00F3141F">
        <w:rPr>
          <w:rFonts w:eastAsia="Times New Roman" w:cs="Times New Roman"/>
          <w:sz w:val="20"/>
          <w:szCs w:val="20"/>
          <w:lang w:bidi="en-US"/>
        </w:rPr>
        <w:t>provides</w:t>
      </w:r>
      <w:proofErr w:type="gramEnd"/>
      <w:r w:rsidRPr="00F3141F">
        <w:rPr>
          <w:rFonts w:eastAsia="Times New Roman" w:cs="Times New Roman"/>
          <w:sz w:val="20"/>
          <w:szCs w:val="20"/>
          <w:lang w:bidi="en-US"/>
        </w:rPr>
        <w:t xml:space="preserve"> that if a provision of the Code imposes a requirement for the handling of food or for record-keeping that requirement must be complied with. This provision establishes a requirement that will support enforcement of the food hygiene standards in Chapter 3 in Australia and any record-keeping requirements, such as those relating to irradiated food. In New Zealand, food handling is dealt with in the Food Act</w:t>
      </w:r>
    </w:p>
    <w:p w:rsidR="009D46F6" w:rsidRPr="00F3141F" w:rsidRDefault="009D46F6" w:rsidP="009D46F6">
      <w:pPr>
        <w:ind w:left="567"/>
        <w:rPr>
          <w:rFonts w:eastAsia="Times New Roman" w:cs="Times New Roman"/>
          <w:sz w:val="20"/>
          <w:szCs w:val="20"/>
          <w:lang w:bidi="en-US"/>
        </w:rPr>
      </w:pPr>
    </w:p>
    <w:p w:rsidR="00487E67" w:rsidRPr="00F3141F" w:rsidRDefault="00487E67" w:rsidP="00487E67">
      <w:pPr>
        <w:rPr>
          <w:rFonts w:eastAsia="Times New Roman" w:cs="Times New Roman"/>
          <w:sz w:val="20"/>
          <w:szCs w:val="20"/>
          <w:lang w:bidi="en-US"/>
        </w:rPr>
      </w:pPr>
      <w:r w:rsidRPr="00F3141F">
        <w:rPr>
          <w:rFonts w:eastAsia="Times New Roman" w:cs="Times New Roman"/>
          <w:sz w:val="20"/>
          <w:szCs w:val="20"/>
          <w:lang w:bidi="en-US"/>
        </w:rPr>
        <w:t>New section 1.1.1—15 Identity and purity</w:t>
      </w:r>
    </w:p>
    <w:p w:rsidR="009D46F6" w:rsidRPr="00F3141F" w:rsidRDefault="009D46F6" w:rsidP="00487E67">
      <w:pPr>
        <w:rPr>
          <w:rFonts w:eastAsia="Times New Roman" w:cs="Times New Roman"/>
          <w:sz w:val="20"/>
          <w:szCs w:val="20"/>
          <w:lang w:bidi="en-US"/>
        </w:rPr>
      </w:pPr>
    </w:p>
    <w:p w:rsidR="00487E67" w:rsidRPr="00F3141F" w:rsidRDefault="00487E67" w:rsidP="009D46F6">
      <w:pPr>
        <w:ind w:left="567"/>
        <w:rPr>
          <w:rFonts w:eastAsia="Times New Roman" w:cs="Times New Roman"/>
          <w:sz w:val="20"/>
          <w:szCs w:val="20"/>
          <w:lang w:bidi="en-US"/>
        </w:rPr>
      </w:pPr>
      <w:r w:rsidRPr="00F3141F">
        <w:rPr>
          <w:rFonts w:eastAsia="Times New Roman" w:cs="Times New Roman"/>
          <w:sz w:val="20"/>
          <w:szCs w:val="20"/>
          <w:lang w:bidi="en-US"/>
        </w:rPr>
        <w:t>New section 1.1.1—15 sets out the operative requirements of Standard 1.3.4—that a substance added to food as a food additive, a processing aid, a nutritive substance or a novel food must comply with a relevant specification. Specifications are set out in Schedule 3.</w:t>
      </w:r>
    </w:p>
    <w:p w:rsidR="009D46F6" w:rsidRPr="00F3141F" w:rsidRDefault="009D46F6" w:rsidP="009D46F6">
      <w:pPr>
        <w:ind w:left="567"/>
        <w:rPr>
          <w:rFonts w:eastAsia="Times New Roman" w:cs="Times New Roman"/>
          <w:sz w:val="20"/>
          <w:szCs w:val="20"/>
          <w:lang w:bidi="en-US"/>
        </w:rPr>
      </w:pPr>
    </w:p>
    <w:p w:rsidR="00487E67" w:rsidRPr="006B2480" w:rsidRDefault="00031025" w:rsidP="00487E67">
      <w:pPr>
        <w:rPr>
          <w:rFonts w:eastAsia="Times New Roman" w:cs="Times New Roman"/>
          <w:sz w:val="20"/>
          <w:szCs w:val="20"/>
          <w:lang w:bidi="en-US"/>
        </w:rPr>
      </w:pPr>
      <w:bookmarkStart w:id="15" w:name="_Toc400031901"/>
      <w:r w:rsidRPr="006B2480">
        <w:rPr>
          <w:rFonts w:eastAsia="Times New Roman" w:cs="Times New Roman"/>
          <w:sz w:val="20"/>
          <w:szCs w:val="20"/>
          <w:lang w:bidi="en-US"/>
        </w:rPr>
        <w:t>New section 1.1.1—16</w:t>
      </w:r>
      <w:r w:rsidR="00487E67" w:rsidRPr="006B2480">
        <w:rPr>
          <w:rFonts w:eastAsia="Times New Roman" w:cs="Times New Roman"/>
          <w:sz w:val="20"/>
          <w:szCs w:val="20"/>
          <w:lang w:bidi="en-US"/>
        </w:rPr>
        <w:t xml:space="preserve"> </w:t>
      </w:r>
      <w:bookmarkEnd w:id="15"/>
      <w:r w:rsidR="006B2480" w:rsidRPr="006B2480">
        <w:rPr>
          <w:sz w:val="20"/>
          <w:szCs w:val="20"/>
        </w:rPr>
        <w:t>Use of asterisks to identify terms defined in subsection 1.1.2—2(3)</w:t>
      </w:r>
    </w:p>
    <w:p w:rsidR="00487E67" w:rsidRPr="00F3141F" w:rsidRDefault="00487E67" w:rsidP="00487E67">
      <w:pPr>
        <w:rPr>
          <w:rFonts w:eastAsia="Times New Roman" w:cs="Times New Roman"/>
          <w:sz w:val="20"/>
          <w:szCs w:val="20"/>
          <w:lang w:bidi="en-US"/>
        </w:rPr>
      </w:pPr>
    </w:p>
    <w:p w:rsidR="00487E67" w:rsidRPr="00F3141F" w:rsidRDefault="00487E67" w:rsidP="009D46F6">
      <w:pPr>
        <w:ind w:left="567"/>
        <w:rPr>
          <w:rFonts w:eastAsia="Times New Roman" w:cs="Times New Roman"/>
          <w:sz w:val="20"/>
          <w:szCs w:val="20"/>
          <w:lang w:bidi="en-US"/>
        </w:rPr>
      </w:pPr>
      <w:r w:rsidRPr="00F3141F">
        <w:rPr>
          <w:rFonts w:eastAsia="Times New Roman" w:cs="Times New Roman"/>
          <w:sz w:val="20"/>
          <w:szCs w:val="20"/>
          <w:lang w:bidi="en-US"/>
        </w:rPr>
        <w:t>New section 1.1.1—16 describes how some definitions used in the Code are highlighted, using asterisks, to assist navigation within the Code.</w:t>
      </w:r>
    </w:p>
    <w:p w:rsidR="00D5526B" w:rsidRPr="00F3141F" w:rsidRDefault="00D5526B" w:rsidP="00487E67">
      <w:pPr>
        <w:rPr>
          <w:sz w:val="20"/>
          <w:szCs w:val="20"/>
        </w:rPr>
      </w:pPr>
    </w:p>
    <w:sectPr w:rsidR="00D5526B" w:rsidRPr="00F3141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34073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487E67" w:rsidRPr="00375BCD" w:rsidRDefault="00487E67" w:rsidP="00487E67">
      <w:pPr>
        <w:pStyle w:val="Footnote"/>
      </w:pPr>
      <w:r w:rsidRPr="00FF795F">
        <w:rPr>
          <w:vertAlign w:val="superscript"/>
        </w:rPr>
        <w:footnoteRef/>
      </w:r>
      <w:r w:rsidRPr="00FF795F">
        <w:rPr>
          <w:vertAlign w:val="superscript"/>
        </w:rPr>
        <w:t xml:space="preserve"> </w:t>
      </w:r>
      <w:r w:rsidRPr="00375BCD">
        <w:t xml:space="preserve">‘Sell’ </w:t>
      </w:r>
      <w:r w:rsidRPr="00F07EE6">
        <w:t>and</w:t>
      </w:r>
      <w:r w:rsidRPr="00375BCD">
        <w:t xml:space="preserve"> ‘handle are defined in the Australian legislation and ‘processed and handled’ is defined in the New Zealand </w:t>
      </w:r>
      <w:r w:rsidRPr="009D46F6">
        <w:rPr>
          <w:i/>
        </w:rPr>
        <w:t>Food Act 2014</w:t>
      </w:r>
      <w:r w:rsidRPr="00375BCD">
        <w:t>.</w:t>
      </w:r>
    </w:p>
  </w:footnote>
  <w:footnote w:id="3">
    <w:p w:rsidR="00487E67" w:rsidRPr="00375BCD" w:rsidRDefault="00487E67" w:rsidP="00487E67">
      <w:pPr>
        <w:pStyle w:val="Footnote"/>
      </w:pPr>
      <w:r w:rsidRPr="00FF795F">
        <w:rPr>
          <w:vertAlign w:val="superscript"/>
        </w:rPr>
        <w:footnoteRef/>
      </w:r>
      <w:r w:rsidRPr="00375BCD">
        <w:t xml:space="preserve"> Warning statements are a particular type of statement identified in the definition of warning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31025"/>
    <w:rsid w:val="00041643"/>
    <w:rsid w:val="000622E7"/>
    <w:rsid w:val="00066854"/>
    <w:rsid w:val="00066D85"/>
    <w:rsid w:val="000A38F8"/>
    <w:rsid w:val="000B5294"/>
    <w:rsid w:val="000F2196"/>
    <w:rsid w:val="001734EA"/>
    <w:rsid w:val="00184403"/>
    <w:rsid w:val="00187F58"/>
    <w:rsid w:val="00191770"/>
    <w:rsid w:val="001A60C0"/>
    <w:rsid w:val="001C5126"/>
    <w:rsid w:val="001E696B"/>
    <w:rsid w:val="002232B1"/>
    <w:rsid w:val="00234C31"/>
    <w:rsid w:val="00320BBF"/>
    <w:rsid w:val="0033021F"/>
    <w:rsid w:val="0034073B"/>
    <w:rsid w:val="00341D25"/>
    <w:rsid w:val="003B0789"/>
    <w:rsid w:val="00404702"/>
    <w:rsid w:val="00441D77"/>
    <w:rsid w:val="00443F05"/>
    <w:rsid w:val="00486619"/>
    <w:rsid w:val="00487E67"/>
    <w:rsid w:val="004D3868"/>
    <w:rsid w:val="004E6694"/>
    <w:rsid w:val="0054036E"/>
    <w:rsid w:val="005856A5"/>
    <w:rsid w:val="005B578D"/>
    <w:rsid w:val="005C1996"/>
    <w:rsid w:val="00605719"/>
    <w:rsid w:val="00666F91"/>
    <w:rsid w:val="006B2480"/>
    <w:rsid w:val="006B6900"/>
    <w:rsid w:val="006D473E"/>
    <w:rsid w:val="006E62ED"/>
    <w:rsid w:val="00726F6D"/>
    <w:rsid w:val="00793DE6"/>
    <w:rsid w:val="007F6456"/>
    <w:rsid w:val="00830393"/>
    <w:rsid w:val="00833D5A"/>
    <w:rsid w:val="00860EE7"/>
    <w:rsid w:val="00877A81"/>
    <w:rsid w:val="008931F6"/>
    <w:rsid w:val="008E2339"/>
    <w:rsid w:val="00935023"/>
    <w:rsid w:val="009806A5"/>
    <w:rsid w:val="009D46F6"/>
    <w:rsid w:val="009E265A"/>
    <w:rsid w:val="00A25B29"/>
    <w:rsid w:val="00A26F82"/>
    <w:rsid w:val="00B53154"/>
    <w:rsid w:val="00BC2133"/>
    <w:rsid w:val="00BE4F3A"/>
    <w:rsid w:val="00C019A6"/>
    <w:rsid w:val="00C572A2"/>
    <w:rsid w:val="00C849FA"/>
    <w:rsid w:val="00CE4C21"/>
    <w:rsid w:val="00D5526B"/>
    <w:rsid w:val="00D66962"/>
    <w:rsid w:val="00D87D9C"/>
    <w:rsid w:val="00D92B3B"/>
    <w:rsid w:val="00DA7DED"/>
    <w:rsid w:val="00DF4A30"/>
    <w:rsid w:val="00E0050C"/>
    <w:rsid w:val="00E2450C"/>
    <w:rsid w:val="00E340B5"/>
    <w:rsid w:val="00E4001E"/>
    <w:rsid w:val="00E53ACA"/>
    <w:rsid w:val="00E9409E"/>
    <w:rsid w:val="00F3141F"/>
    <w:rsid w:val="00F4105E"/>
    <w:rsid w:val="00F616DA"/>
    <w:rsid w:val="00F76F95"/>
    <w:rsid w:val="00FD4B8D"/>
    <w:rsid w:val="00FF55E9"/>
    <w:rsid w:val="00FF5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4E54-641A-4DE0-AE43-A1863540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19</cp:revision>
  <dcterms:created xsi:type="dcterms:W3CDTF">2014-12-16T00:14:00Z</dcterms:created>
  <dcterms:modified xsi:type="dcterms:W3CDTF">2015-03-10T22:32:00Z</dcterms:modified>
</cp:coreProperties>
</file>