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CC3053" w:rsidRDefault="00320BBF" w:rsidP="00CC3053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CC3053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CC3053" w:rsidRPr="00CC3053" w:rsidRDefault="00CC3053" w:rsidP="00320BBF">
      <w:pPr>
        <w:rPr>
          <w:rFonts w:eastAsia="Times New Roman" w:cs="Times New Roman"/>
          <w:b/>
          <w:sz w:val="20"/>
          <w:szCs w:val="20"/>
          <w:lang w:eastAsia="en-GB"/>
        </w:rPr>
      </w:pPr>
    </w:p>
    <w:p w:rsidR="00320BBF" w:rsidRPr="00CC3053" w:rsidRDefault="00320BBF" w:rsidP="00320BBF">
      <w:pPr>
        <w:rPr>
          <w:rFonts w:eastAsia="Times New Roman" w:cs="Times New Roman"/>
          <w:b/>
          <w:sz w:val="20"/>
          <w:szCs w:val="20"/>
          <w:lang w:eastAsia="en-GB"/>
        </w:rPr>
      </w:pPr>
      <w:r w:rsidRPr="00CC3053">
        <w:rPr>
          <w:rFonts w:eastAsia="Times New Roman" w:cs="Times New Roman"/>
          <w:b/>
          <w:sz w:val="20"/>
          <w:szCs w:val="20"/>
          <w:lang w:eastAsia="en-GB"/>
        </w:rPr>
        <w:t>1.</w:t>
      </w:r>
      <w:r w:rsidRPr="00CC3053">
        <w:rPr>
          <w:rFonts w:eastAsia="Times New Roman" w:cs="Times New Roman"/>
          <w:b/>
          <w:sz w:val="20"/>
          <w:szCs w:val="20"/>
          <w:lang w:eastAsia="en-GB"/>
        </w:rPr>
        <w:tab/>
        <w:t>Authority</w:t>
      </w:r>
    </w:p>
    <w:p w:rsidR="00320BBF" w:rsidRPr="00CC3053" w:rsidRDefault="00320BBF" w:rsidP="00320BBF">
      <w:pPr>
        <w:rPr>
          <w:rFonts w:eastAsia="Times New Roman" w:cs="Times New Roman"/>
          <w:sz w:val="20"/>
          <w:szCs w:val="20"/>
          <w:lang w:eastAsia="en-GB"/>
        </w:rPr>
      </w:pPr>
    </w:p>
    <w:p w:rsidR="00320BBF" w:rsidRPr="00CC3053" w:rsidRDefault="00320BBF" w:rsidP="00320BBF">
      <w:pPr>
        <w:autoSpaceDE w:val="0"/>
        <w:autoSpaceDN w:val="0"/>
        <w:adjustRightInd w:val="0"/>
        <w:rPr>
          <w:rFonts w:eastAsia="Calibri" w:cs="Arial"/>
          <w:bCs/>
          <w:sz w:val="20"/>
          <w:szCs w:val="20"/>
        </w:rPr>
      </w:pPr>
      <w:r w:rsidRPr="00CC3053">
        <w:rPr>
          <w:rFonts w:eastAsia="Calibri" w:cs="Arial"/>
          <w:bCs/>
          <w:sz w:val="20"/>
          <w:szCs w:val="20"/>
        </w:rPr>
        <w:t xml:space="preserve">Section 13 of the </w:t>
      </w:r>
      <w:r w:rsidRPr="00CC3053">
        <w:rPr>
          <w:rFonts w:eastAsia="Calibri" w:cs="Arial"/>
          <w:bCs/>
          <w:i/>
          <w:sz w:val="20"/>
          <w:szCs w:val="20"/>
        </w:rPr>
        <w:t>Food Standards Australia New Zealand Act 1991</w:t>
      </w:r>
      <w:r w:rsidRPr="00CC3053">
        <w:rPr>
          <w:rFonts w:eastAsia="Calibri" w:cs="Arial"/>
          <w:bCs/>
          <w:sz w:val="20"/>
          <w:szCs w:val="20"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CC3053">
        <w:rPr>
          <w:rFonts w:eastAsia="Calibri" w:cs="Arial"/>
          <w:bCs/>
          <w:i/>
          <w:sz w:val="20"/>
          <w:szCs w:val="20"/>
        </w:rPr>
        <w:t>Australia New Zealand Food Standards Code</w:t>
      </w:r>
      <w:r w:rsidRPr="00CC3053">
        <w:rPr>
          <w:rFonts w:eastAsia="Calibri" w:cs="Arial"/>
          <w:bCs/>
          <w:sz w:val="20"/>
          <w:szCs w:val="20"/>
        </w:rPr>
        <w:t xml:space="preserve"> (the Code).</w:t>
      </w:r>
    </w:p>
    <w:p w:rsidR="00320BBF" w:rsidRPr="00CC3053" w:rsidRDefault="00320BBF" w:rsidP="00320BBF">
      <w:pPr>
        <w:autoSpaceDE w:val="0"/>
        <w:autoSpaceDN w:val="0"/>
        <w:adjustRightInd w:val="0"/>
        <w:rPr>
          <w:rFonts w:eastAsia="Calibri" w:cs="Arial"/>
          <w:bCs/>
          <w:sz w:val="20"/>
          <w:szCs w:val="20"/>
        </w:rPr>
      </w:pPr>
    </w:p>
    <w:p w:rsidR="00320BBF" w:rsidRPr="00CC3053" w:rsidRDefault="00320BBF" w:rsidP="005D6C71">
      <w:pPr>
        <w:autoSpaceDE w:val="0"/>
        <w:autoSpaceDN w:val="0"/>
        <w:adjustRightInd w:val="0"/>
        <w:ind w:right="-286"/>
        <w:rPr>
          <w:rFonts w:eastAsia="Calibri" w:cs="Arial"/>
          <w:bCs/>
          <w:sz w:val="20"/>
          <w:szCs w:val="20"/>
        </w:rPr>
      </w:pPr>
      <w:r w:rsidRPr="00CC3053">
        <w:rPr>
          <w:rFonts w:eastAsia="Calibri" w:cs="Arial"/>
          <w:bCs/>
          <w:sz w:val="20"/>
          <w:szCs w:val="20"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CC3053" w:rsidRDefault="00320BBF" w:rsidP="00320BBF">
      <w:pPr>
        <w:autoSpaceDE w:val="0"/>
        <w:autoSpaceDN w:val="0"/>
        <w:adjustRightInd w:val="0"/>
        <w:rPr>
          <w:rFonts w:eastAsia="Calibri" w:cs="Arial"/>
          <w:bCs/>
          <w:sz w:val="20"/>
          <w:szCs w:val="20"/>
        </w:rPr>
      </w:pPr>
    </w:p>
    <w:p w:rsidR="00320BBF" w:rsidRPr="00CC3053" w:rsidRDefault="00320BBF" w:rsidP="00320BBF">
      <w:pPr>
        <w:autoSpaceDE w:val="0"/>
        <w:autoSpaceDN w:val="0"/>
        <w:adjustRightInd w:val="0"/>
        <w:rPr>
          <w:rFonts w:eastAsia="Calibri" w:cs="Arial"/>
          <w:bCs/>
          <w:sz w:val="20"/>
          <w:szCs w:val="20"/>
        </w:rPr>
      </w:pPr>
      <w:r w:rsidRPr="00CC3053">
        <w:rPr>
          <w:rFonts w:eastAsia="Calibri" w:cs="Arial"/>
          <w:bCs/>
          <w:sz w:val="20"/>
          <w:szCs w:val="20"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CC3053" w:rsidRDefault="00320BBF" w:rsidP="00320BBF">
      <w:pPr>
        <w:autoSpaceDE w:val="0"/>
        <w:autoSpaceDN w:val="0"/>
        <w:adjustRightInd w:val="0"/>
        <w:rPr>
          <w:rFonts w:eastAsia="Calibri" w:cs="Arial"/>
          <w:bCs/>
          <w:sz w:val="20"/>
          <w:szCs w:val="20"/>
        </w:rPr>
      </w:pPr>
    </w:p>
    <w:p w:rsidR="00320BBF" w:rsidRPr="00CC3053" w:rsidRDefault="00320BBF" w:rsidP="00320BBF">
      <w:pPr>
        <w:autoSpaceDE w:val="0"/>
        <w:autoSpaceDN w:val="0"/>
        <w:adjustRightInd w:val="0"/>
        <w:rPr>
          <w:rFonts w:eastAsia="Calibri" w:cs="Arial"/>
          <w:bCs/>
          <w:sz w:val="20"/>
          <w:szCs w:val="20"/>
        </w:rPr>
      </w:pPr>
      <w:r w:rsidRPr="00CC3053">
        <w:rPr>
          <w:rFonts w:eastAsia="Calibri" w:cs="Arial"/>
          <w:bCs/>
          <w:sz w:val="20"/>
          <w:szCs w:val="20"/>
        </w:rPr>
        <w:t xml:space="preserve">Following consideration by the </w:t>
      </w:r>
      <w:r w:rsidRPr="00CC3053">
        <w:rPr>
          <w:rFonts w:eastAsia="Times New Roman" w:cs="Arial"/>
          <w:sz w:val="20"/>
          <w:szCs w:val="20"/>
          <w:lang w:bidi="en-US"/>
        </w:rPr>
        <w:t>Legislative and Governance Forum on Food Regulation</w:t>
      </w:r>
      <w:r w:rsidRPr="00CC3053">
        <w:rPr>
          <w:rFonts w:eastAsia="Times New Roman" w:cs="Arial"/>
          <w:sz w:val="20"/>
          <w:szCs w:val="20"/>
          <w:vertAlign w:val="superscript"/>
          <w:lang w:bidi="en-US"/>
        </w:rPr>
        <w:footnoteReference w:id="1"/>
      </w:r>
      <w:r w:rsidRPr="00CC3053">
        <w:rPr>
          <w:rFonts w:eastAsia="Calibri" w:cs="Arial"/>
          <w:bCs/>
          <w:sz w:val="20"/>
          <w:szCs w:val="20"/>
        </w:rPr>
        <w:t xml:space="preserve">, section 92 of the FSANZ Act stipulates that the Authority must publish a notice about the standard or draft variation of a standard. </w:t>
      </w:r>
    </w:p>
    <w:p w:rsidR="00320BBF" w:rsidRPr="00CC3053" w:rsidRDefault="00320BBF" w:rsidP="00320BBF">
      <w:pPr>
        <w:autoSpaceDE w:val="0"/>
        <w:autoSpaceDN w:val="0"/>
        <w:adjustRightInd w:val="0"/>
        <w:rPr>
          <w:rFonts w:eastAsia="Calibri" w:cs="Arial"/>
          <w:bCs/>
          <w:sz w:val="20"/>
          <w:szCs w:val="20"/>
        </w:rPr>
      </w:pPr>
    </w:p>
    <w:p w:rsidR="00320BBF" w:rsidRPr="00CC3053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  <w:sz w:val="20"/>
          <w:szCs w:val="20"/>
        </w:rPr>
      </w:pPr>
      <w:r w:rsidRPr="00CC3053">
        <w:rPr>
          <w:rFonts w:eastAsia="Calibri" w:cs="Arial"/>
          <w:bCs/>
          <w:color w:val="000000"/>
          <w:sz w:val="20"/>
          <w:szCs w:val="20"/>
        </w:rPr>
        <w:t>Section 94 of the FSANZ Act specifies that a</w:t>
      </w:r>
      <w:r w:rsidRPr="00CC3053">
        <w:rPr>
          <w:rFonts w:eastAsia="Calibri" w:cs="Arial"/>
          <w:color w:val="000000"/>
          <w:sz w:val="20"/>
          <w:szCs w:val="2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CC3053">
        <w:rPr>
          <w:rFonts w:eastAsia="Calibri" w:cs="Arial"/>
          <w:i/>
          <w:color w:val="000000"/>
          <w:sz w:val="20"/>
          <w:szCs w:val="20"/>
        </w:rPr>
        <w:t>Legislative Instruments Act 2003</w:t>
      </w:r>
      <w:r w:rsidRPr="00CC3053">
        <w:rPr>
          <w:rFonts w:eastAsia="Calibri" w:cs="Arial"/>
          <w:color w:val="000000"/>
          <w:sz w:val="20"/>
          <w:szCs w:val="20"/>
        </w:rPr>
        <w:t>.</w:t>
      </w:r>
    </w:p>
    <w:p w:rsidR="00320BBF" w:rsidRPr="00CC3053" w:rsidRDefault="00320BBF" w:rsidP="00320BBF">
      <w:pPr>
        <w:rPr>
          <w:rFonts w:eastAsia="Times New Roman" w:cs="Times New Roman"/>
          <w:sz w:val="20"/>
          <w:szCs w:val="20"/>
          <w:lang w:eastAsia="en-GB"/>
        </w:rPr>
      </w:pPr>
    </w:p>
    <w:p w:rsidR="00320BBF" w:rsidRPr="00CC3053" w:rsidRDefault="00320BBF" w:rsidP="00320BBF">
      <w:pPr>
        <w:rPr>
          <w:rFonts w:eastAsia="Times New Roman" w:cs="Times New Roman"/>
          <w:b/>
          <w:sz w:val="20"/>
          <w:szCs w:val="20"/>
          <w:lang w:eastAsia="en-GB"/>
        </w:rPr>
      </w:pPr>
      <w:r w:rsidRPr="00CC3053">
        <w:rPr>
          <w:rFonts w:eastAsia="Times New Roman" w:cs="Times New Roman"/>
          <w:b/>
          <w:sz w:val="20"/>
          <w:szCs w:val="20"/>
          <w:lang w:eastAsia="en-GB"/>
        </w:rPr>
        <w:t>2.</w:t>
      </w:r>
      <w:r w:rsidRPr="00CC3053">
        <w:rPr>
          <w:rFonts w:eastAsia="Times New Roman" w:cs="Times New Roman"/>
          <w:b/>
          <w:sz w:val="20"/>
          <w:szCs w:val="20"/>
          <w:lang w:eastAsia="en-GB"/>
        </w:rPr>
        <w:tab/>
        <w:t xml:space="preserve">Purpose </w:t>
      </w:r>
    </w:p>
    <w:p w:rsidR="00320BBF" w:rsidRPr="00CC3053" w:rsidRDefault="00320BBF" w:rsidP="00320BBF">
      <w:pPr>
        <w:rPr>
          <w:rFonts w:eastAsia="Times New Roman" w:cs="Times New Roman"/>
          <w:sz w:val="20"/>
          <w:szCs w:val="20"/>
          <w:lang w:eastAsia="en-GB"/>
        </w:rPr>
      </w:pPr>
    </w:p>
    <w:p w:rsidR="00320BBF" w:rsidRPr="00CC3053" w:rsidRDefault="00320BBF" w:rsidP="00320BBF">
      <w:pPr>
        <w:rPr>
          <w:rFonts w:eastAsia="Times New Roman" w:cs="Times New Roman"/>
          <w:sz w:val="20"/>
          <w:szCs w:val="20"/>
          <w:lang w:eastAsia="en-GB"/>
        </w:rPr>
      </w:pPr>
      <w:r w:rsidRPr="00CC3053">
        <w:rPr>
          <w:rFonts w:eastAsia="Times New Roman" w:cs="Times New Roman"/>
          <w:sz w:val="20"/>
          <w:szCs w:val="20"/>
          <w:lang w:eastAsia="en-GB"/>
        </w:rPr>
        <w:t>The Authority has approved variations of Chapters 1 and 2 of the C</w:t>
      </w:r>
      <w:r w:rsidRPr="00CC3053">
        <w:rPr>
          <w:rFonts w:eastAsia="Times New Roman" w:cs="Times New Roman"/>
          <w:i/>
          <w:sz w:val="20"/>
          <w:szCs w:val="20"/>
          <w:lang w:eastAsia="en-GB"/>
        </w:rPr>
        <w:t>o</w:t>
      </w:r>
      <w:r w:rsidRPr="00CC3053">
        <w:rPr>
          <w:rFonts w:eastAsia="Times New Roman" w:cs="Times New Roman"/>
          <w:sz w:val="20"/>
          <w:szCs w:val="20"/>
          <w:lang w:eastAsia="en-GB"/>
        </w:rPr>
        <w:t>de.</w:t>
      </w:r>
    </w:p>
    <w:p w:rsidR="00320BBF" w:rsidRPr="00CC3053" w:rsidRDefault="00320BBF" w:rsidP="00320BBF">
      <w:pPr>
        <w:rPr>
          <w:rFonts w:eastAsia="Times New Roman" w:cs="Times New Roman"/>
          <w:sz w:val="20"/>
          <w:szCs w:val="20"/>
          <w:lang w:eastAsia="en-GB"/>
        </w:rPr>
      </w:pPr>
    </w:p>
    <w:p w:rsidR="00320BBF" w:rsidRPr="00CC3053" w:rsidRDefault="00320BBF" w:rsidP="00320BBF">
      <w:pPr>
        <w:rPr>
          <w:rFonts w:eastAsia="Times New Roman" w:cs="Times New Roman"/>
          <w:b/>
          <w:sz w:val="20"/>
          <w:szCs w:val="20"/>
          <w:lang w:eastAsia="en-GB"/>
        </w:rPr>
      </w:pPr>
      <w:r w:rsidRPr="00CC3053">
        <w:rPr>
          <w:rFonts w:eastAsia="Times New Roman" w:cs="Times New Roman"/>
          <w:b/>
          <w:sz w:val="20"/>
          <w:szCs w:val="20"/>
          <w:lang w:eastAsia="en-GB"/>
        </w:rPr>
        <w:t>3.</w:t>
      </w:r>
      <w:r w:rsidRPr="00CC3053">
        <w:rPr>
          <w:rFonts w:eastAsia="Times New Roman" w:cs="Times New Roman"/>
          <w:b/>
          <w:sz w:val="20"/>
          <w:szCs w:val="20"/>
          <w:lang w:eastAsia="en-GB"/>
        </w:rPr>
        <w:tab/>
        <w:t>Documents incorporated by reference</w:t>
      </w:r>
    </w:p>
    <w:p w:rsidR="00320BBF" w:rsidRPr="00CC3053" w:rsidRDefault="00320BBF" w:rsidP="00320BBF">
      <w:pPr>
        <w:rPr>
          <w:rFonts w:eastAsia="Times New Roman" w:cs="Times New Roman"/>
          <w:sz w:val="20"/>
          <w:szCs w:val="20"/>
          <w:lang w:eastAsia="en-GB"/>
        </w:rPr>
      </w:pPr>
    </w:p>
    <w:p w:rsidR="00320BBF" w:rsidRPr="00CC3053" w:rsidRDefault="00320BBF" w:rsidP="00320BBF">
      <w:pPr>
        <w:autoSpaceDE w:val="0"/>
        <w:autoSpaceDN w:val="0"/>
        <w:adjustRightInd w:val="0"/>
        <w:rPr>
          <w:rFonts w:eastAsia="Calibri" w:cs="Arial"/>
          <w:bCs/>
          <w:sz w:val="20"/>
          <w:szCs w:val="20"/>
        </w:rPr>
      </w:pPr>
      <w:r w:rsidRPr="00CC3053">
        <w:rPr>
          <w:rFonts w:eastAsia="Calibri" w:cs="Arial"/>
          <w:bCs/>
          <w:sz w:val="20"/>
          <w:szCs w:val="20"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CC3053" w:rsidRDefault="00320BBF" w:rsidP="00320BBF">
      <w:pPr>
        <w:rPr>
          <w:rFonts w:eastAsia="Times New Roman" w:cs="Times New Roman"/>
          <w:sz w:val="20"/>
          <w:szCs w:val="20"/>
          <w:lang w:eastAsia="en-GB"/>
        </w:rPr>
      </w:pPr>
    </w:p>
    <w:p w:rsidR="00320BBF" w:rsidRPr="00CC3053" w:rsidRDefault="00320BBF" w:rsidP="00320BBF">
      <w:pPr>
        <w:rPr>
          <w:rFonts w:eastAsia="Times New Roman" w:cs="Times New Roman"/>
          <w:b/>
          <w:sz w:val="20"/>
          <w:szCs w:val="20"/>
          <w:lang w:eastAsia="en-GB"/>
        </w:rPr>
      </w:pPr>
      <w:r w:rsidRPr="00CC3053">
        <w:rPr>
          <w:rFonts w:eastAsia="Times New Roman" w:cs="Times New Roman"/>
          <w:b/>
          <w:sz w:val="20"/>
          <w:szCs w:val="20"/>
          <w:lang w:eastAsia="en-GB"/>
        </w:rPr>
        <w:t>4.</w:t>
      </w:r>
      <w:r w:rsidRPr="00CC3053">
        <w:rPr>
          <w:rFonts w:eastAsia="Times New Roman" w:cs="Times New Roman"/>
          <w:b/>
          <w:sz w:val="20"/>
          <w:szCs w:val="20"/>
          <w:lang w:eastAsia="en-GB"/>
        </w:rPr>
        <w:tab/>
        <w:t>Consultation</w:t>
      </w:r>
    </w:p>
    <w:p w:rsidR="00320BBF" w:rsidRPr="00CC3053" w:rsidRDefault="00320BBF" w:rsidP="00320BBF">
      <w:pPr>
        <w:rPr>
          <w:rFonts w:eastAsia="Times New Roman" w:cs="Times New Roman"/>
          <w:sz w:val="20"/>
          <w:szCs w:val="20"/>
          <w:lang w:eastAsia="en-GB"/>
        </w:rPr>
      </w:pPr>
    </w:p>
    <w:p w:rsidR="00320BBF" w:rsidRPr="00CC3053" w:rsidRDefault="00320BBF" w:rsidP="00320BBF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In accordance with the procedure in Subdivision F of Division 2 of Part 3 of the FSANZ Act, </w:t>
      </w:r>
      <w:r w:rsidRPr="00CC3053">
        <w:rPr>
          <w:rFonts w:eastAsia="Calibri" w:cs="Arial"/>
          <w:bCs/>
          <w:sz w:val="20"/>
          <w:szCs w:val="20"/>
        </w:rPr>
        <w:t>the Authority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’s consideration of Proposal P1025 included two rounds of public comment following an assessment and the preparation of a draft Standard and associated reports. Submissions were called for on 23 May 2013 for a 12-week period, and on 10 July 2014 for an eight-week period. </w:t>
      </w:r>
    </w:p>
    <w:p w:rsidR="00320BBF" w:rsidRPr="00CC3053" w:rsidRDefault="00320BBF" w:rsidP="00320BBF">
      <w:pPr>
        <w:rPr>
          <w:rFonts w:eastAsia="Calibri" w:cs="Times New Roman"/>
          <w:sz w:val="20"/>
          <w:szCs w:val="20"/>
        </w:rPr>
      </w:pPr>
    </w:p>
    <w:p w:rsidR="00320BBF" w:rsidRPr="00CC3053" w:rsidRDefault="00320BBF" w:rsidP="00320BBF">
      <w:pPr>
        <w:autoSpaceDE w:val="0"/>
        <w:autoSpaceDN w:val="0"/>
        <w:adjustRightInd w:val="0"/>
        <w:rPr>
          <w:rFonts w:eastAsia="Times New Roman" w:cs="Arial"/>
          <w:sz w:val="20"/>
          <w:szCs w:val="20"/>
          <w:lang w:bidi="en-US"/>
        </w:rPr>
      </w:pPr>
      <w:r w:rsidRPr="00CC3053">
        <w:rPr>
          <w:rFonts w:eastAsia="Calibri" w:cs="Arial"/>
          <w:bCs/>
          <w:sz w:val="20"/>
          <w:szCs w:val="20"/>
        </w:rPr>
        <w:t xml:space="preserve">A Regulation Impact Statement was not required, because the proposed variations to the Code 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are likely to have a minor impact on business and individuals. </w:t>
      </w:r>
    </w:p>
    <w:p w:rsidR="00320BBF" w:rsidRPr="00CC3053" w:rsidRDefault="00320BBF" w:rsidP="00320BBF">
      <w:pPr>
        <w:rPr>
          <w:rFonts w:eastAsia="Times New Roman" w:cs="Times New Roman"/>
          <w:sz w:val="20"/>
          <w:szCs w:val="20"/>
          <w:lang w:eastAsia="en-GB"/>
        </w:rPr>
      </w:pPr>
    </w:p>
    <w:p w:rsidR="00320BBF" w:rsidRPr="00CC3053" w:rsidRDefault="00320BBF" w:rsidP="00320BBF">
      <w:pPr>
        <w:keepNext/>
        <w:rPr>
          <w:rFonts w:cs="Arial"/>
          <w:b/>
          <w:bCs/>
          <w:sz w:val="20"/>
          <w:szCs w:val="20"/>
        </w:rPr>
      </w:pPr>
      <w:r w:rsidRPr="00CC3053">
        <w:rPr>
          <w:rFonts w:cs="Arial"/>
          <w:b/>
          <w:bCs/>
          <w:sz w:val="20"/>
          <w:szCs w:val="20"/>
        </w:rPr>
        <w:t>5.</w:t>
      </w:r>
      <w:r w:rsidRPr="00CC3053">
        <w:rPr>
          <w:rFonts w:cs="Arial"/>
          <w:b/>
          <w:bCs/>
          <w:sz w:val="20"/>
          <w:szCs w:val="20"/>
        </w:rPr>
        <w:tab/>
        <w:t>Statement of compatibility with human rights</w:t>
      </w:r>
    </w:p>
    <w:p w:rsidR="00320BBF" w:rsidRPr="00CC3053" w:rsidRDefault="00320BBF" w:rsidP="00320BBF">
      <w:pPr>
        <w:keepNext/>
        <w:rPr>
          <w:rFonts w:cs="Times New Roman"/>
          <w:sz w:val="20"/>
          <w:szCs w:val="20"/>
        </w:rPr>
      </w:pPr>
    </w:p>
    <w:p w:rsidR="00320BBF" w:rsidRPr="00CC3053" w:rsidRDefault="00320BBF" w:rsidP="00320BBF">
      <w:pPr>
        <w:rPr>
          <w:rFonts w:cs="Times New Roman"/>
          <w:sz w:val="20"/>
          <w:szCs w:val="20"/>
        </w:rPr>
      </w:pPr>
      <w:r w:rsidRPr="00CC3053">
        <w:rPr>
          <w:rFonts w:cs="Times New Roman"/>
          <w:sz w:val="20"/>
          <w:szCs w:val="20"/>
        </w:rPr>
        <w:t>This instrument is exempt from the requirements for a statement of compatibility with human rights as it is a non-disallowable instrument under section 94 of the FSANZ Act.</w:t>
      </w:r>
    </w:p>
    <w:p w:rsidR="00320BBF" w:rsidRPr="00CC3053" w:rsidRDefault="00320BBF" w:rsidP="00320BBF">
      <w:pPr>
        <w:rPr>
          <w:rFonts w:cs="Times New Roman"/>
          <w:sz w:val="20"/>
          <w:szCs w:val="20"/>
        </w:rPr>
      </w:pPr>
    </w:p>
    <w:p w:rsidR="005D6C71" w:rsidRDefault="005D6C71" w:rsidP="00D96681">
      <w:pPr>
        <w:ind w:left="567" w:hanging="567"/>
        <w:rPr>
          <w:rFonts w:eastAsia="Times New Roman" w:cs="Times New Roman"/>
          <w:b/>
          <w:sz w:val="20"/>
          <w:szCs w:val="20"/>
          <w:lang w:bidi="en-US"/>
        </w:rPr>
      </w:pPr>
      <w:r>
        <w:rPr>
          <w:rFonts w:eastAsia="Times New Roman" w:cs="Times New Roman"/>
          <w:b/>
          <w:sz w:val="20"/>
          <w:szCs w:val="20"/>
          <w:lang w:bidi="en-US"/>
        </w:rPr>
        <w:br w:type="page"/>
      </w:r>
    </w:p>
    <w:p w:rsidR="00434C4B" w:rsidRPr="00CC3053" w:rsidRDefault="00434C4B" w:rsidP="00D96681">
      <w:pPr>
        <w:ind w:left="567" w:hanging="567"/>
        <w:rPr>
          <w:rFonts w:eastAsia="Times New Roman" w:cs="Times New Roman"/>
          <w:b/>
          <w:sz w:val="20"/>
          <w:szCs w:val="20"/>
          <w:lang w:bidi="en-US"/>
        </w:rPr>
      </w:pPr>
      <w:r w:rsidRPr="00CC3053">
        <w:rPr>
          <w:rFonts w:eastAsia="Times New Roman" w:cs="Times New Roman"/>
          <w:b/>
          <w:sz w:val="20"/>
          <w:szCs w:val="20"/>
          <w:lang w:bidi="en-US"/>
        </w:rPr>
        <w:lastRenderedPageBreak/>
        <w:t>6.</w:t>
      </w:r>
      <w:r w:rsidRPr="00CC3053">
        <w:rPr>
          <w:rFonts w:eastAsia="Times New Roman" w:cs="Times New Roman"/>
          <w:b/>
          <w:sz w:val="20"/>
          <w:szCs w:val="20"/>
          <w:lang w:bidi="en-US"/>
        </w:rPr>
        <w:tab/>
      </w:r>
      <w:r w:rsidRPr="00CC3053">
        <w:rPr>
          <w:rFonts w:eastAsia="Times New Roman" w:cs="Times New Roman"/>
          <w:b/>
          <w:sz w:val="20"/>
          <w:szCs w:val="20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CC3053">
        <w:rPr>
          <w:rFonts w:eastAsia="Times New Roman" w:cs="Times New Roman"/>
          <w:b/>
          <w:sz w:val="20"/>
          <w:szCs w:val="20"/>
          <w:lang w:bidi="en-US"/>
        </w:rPr>
        <w:t xml:space="preserve"> (</w:t>
      </w:r>
      <w:r w:rsidR="00D96681" w:rsidRPr="00CC3053">
        <w:rPr>
          <w:rFonts w:eastAsia="Times New Roman" w:cs="Times New Roman"/>
          <w:b/>
          <w:sz w:val="20"/>
          <w:szCs w:val="20"/>
          <w:lang w:bidi="en-US"/>
        </w:rPr>
        <w:t xml:space="preserve">Chapter 1—Introduction and standards that apply to all foods, </w:t>
      </w:r>
      <w:r w:rsidRPr="00CC3053">
        <w:rPr>
          <w:rFonts w:eastAsia="Times New Roman" w:cs="Times New Roman"/>
          <w:b/>
          <w:sz w:val="20"/>
          <w:szCs w:val="20"/>
          <w:lang w:bidi="en-US"/>
        </w:rPr>
        <w:t>Part 2—Labelling and other information requirements</w:t>
      </w:r>
      <w:bookmarkEnd w:id="1"/>
      <w:bookmarkEnd w:id="2"/>
      <w:bookmarkEnd w:id="3"/>
      <w:r w:rsidRPr="00CC3053">
        <w:rPr>
          <w:rFonts w:eastAsia="Times New Roman" w:cs="Times New Roman"/>
          <w:b/>
          <w:sz w:val="20"/>
          <w:szCs w:val="20"/>
          <w:lang w:bidi="en-US"/>
        </w:rPr>
        <w:t>)</w:t>
      </w:r>
    </w:p>
    <w:p w:rsidR="00320BBF" w:rsidRPr="00CC3053" w:rsidRDefault="00320BBF" w:rsidP="00320BBF">
      <w:pPr>
        <w:rPr>
          <w:rFonts w:eastAsia="Times New Roman" w:cs="Times New Roman"/>
          <w:b/>
          <w:sz w:val="20"/>
          <w:szCs w:val="20"/>
          <w:lang w:bidi="en-US"/>
        </w:rPr>
      </w:pPr>
    </w:p>
    <w:p w:rsidR="00434C4B" w:rsidRPr="00CC3053" w:rsidRDefault="00D96681" w:rsidP="00434C4B">
      <w:pPr>
        <w:rPr>
          <w:rFonts w:eastAsia="Times New Roman" w:cs="Times New Roman"/>
          <w:b/>
          <w:i/>
          <w:sz w:val="20"/>
          <w:szCs w:val="20"/>
          <w:lang w:bidi="en-US"/>
        </w:rPr>
      </w:pPr>
      <w:bookmarkStart w:id="4" w:name="_Toc346725698"/>
      <w:bookmarkStart w:id="5" w:name="_Toc346798301"/>
      <w:bookmarkStart w:id="6" w:name="_Toc392503881"/>
      <w:r w:rsidRPr="00CC3053">
        <w:rPr>
          <w:rFonts w:eastAsia="Times New Roman" w:cs="Times New Roman"/>
          <w:b/>
          <w:i/>
          <w:sz w:val="20"/>
          <w:szCs w:val="20"/>
          <w:lang w:bidi="en-US"/>
        </w:rPr>
        <w:t xml:space="preserve">Standard 1.2.7 – </w:t>
      </w:r>
      <w:r w:rsidR="00434C4B" w:rsidRPr="00CC3053">
        <w:rPr>
          <w:rFonts w:eastAsia="Times New Roman" w:cs="Times New Roman"/>
          <w:b/>
          <w:i/>
          <w:sz w:val="20"/>
          <w:szCs w:val="20"/>
          <w:lang w:bidi="en-US"/>
        </w:rPr>
        <w:t>Nutrition, health and related claims</w:t>
      </w:r>
      <w:bookmarkEnd w:id="4"/>
      <w:bookmarkEnd w:id="5"/>
      <w:bookmarkEnd w:id="6"/>
    </w:p>
    <w:p w:rsidR="00434C4B" w:rsidRPr="00CC3053" w:rsidRDefault="00434C4B" w:rsidP="00434C4B">
      <w:pPr>
        <w:rPr>
          <w:rFonts w:eastAsia="Times New Roman" w:cs="Times New Roman"/>
          <w:b/>
          <w:i/>
          <w:sz w:val="20"/>
          <w:szCs w:val="20"/>
          <w:lang w:bidi="en-US"/>
        </w:rPr>
      </w:pPr>
    </w:p>
    <w:p w:rsidR="00434C4B" w:rsidRPr="00CC3053" w:rsidRDefault="00434C4B" w:rsidP="00434C4B">
      <w:pPr>
        <w:tabs>
          <w:tab w:val="left" w:pos="1701"/>
        </w:tabs>
        <w:rPr>
          <w:rFonts w:eastAsia="Times New Roman" w:cs="Times New Roman"/>
          <w:i/>
          <w:sz w:val="20"/>
          <w:szCs w:val="20"/>
          <w:lang w:bidi="en-US"/>
        </w:rPr>
      </w:pPr>
      <w:bookmarkStart w:id="7" w:name="_Toc346725699"/>
      <w:r w:rsidRPr="00CC3053">
        <w:rPr>
          <w:rFonts w:eastAsia="Times New Roman" w:cs="Times New Roman"/>
          <w:i/>
          <w:sz w:val="20"/>
          <w:szCs w:val="20"/>
          <w:lang w:bidi="en-US"/>
        </w:rPr>
        <w:t xml:space="preserve">Division 1 </w:t>
      </w:r>
      <w:r w:rsidRPr="00CC3053">
        <w:rPr>
          <w:rFonts w:eastAsia="Times New Roman" w:cs="Times New Roman"/>
          <w:i/>
          <w:sz w:val="20"/>
          <w:szCs w:val="20"/>
          <w:lang w:bidi="en-US"/>
        </w:rPr>
        <w:tab/>
        <w:t>Preliminary</w:t>
      </w:r>
    </w:p>
    <w:p w:rsidR="00434C4B" w:rsidRPr="00CC3053" w:rsidRDefault="00434C4B" w:rsidP="00434C4B">
      <w:pPr>
        <w:tabs>
          <w:tab w:val="left" w:pos="1701"/>
        </w:tabs>
        <w:rPr>
          <w:rFonts w:eastAsia="Times New Roman" w:cs="Times New Roman"/>
          <w:i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New section 1.2.7—1 Name</w:t>
      </w: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This section establishes that the instrument is the </w:t>
      </w:r>
      <w:r w:rsidRPr="00CC3053">
        <w:rPr>
          <w:rFonts w:eastAsia="Times New Roman" w:cs="Times New Roman"/>
          <w:i/>
          <w:sz w:val="20"/>
          <w:szCs w:val="20"/>
          <w:lang w:bidi="en-US"/>
        </w:rPr>
        <w:t>Australia New Zealand Food Standards Code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 – Standard 1.2.7</w:t>
      </w:r>
      <w:r w:rsidR="00D96681" w:rsidRPr="00CC3053">
        <w:rPr>
          <w:sz w:val="20"/>
          <w:szCs w:val="20"/>
        </w:rPr>
        <w:t xml:space="preserve"> – </w:t>
      </w:r>
      <w:r w:rsidRPr="00CC3053">
        <w:rPr>
          <w:rFonts w:eastAsia="Times New Roman" w:cs="Times New Roman"/>
          <w:sz w:val="20"/>
          <w:szCs w:val="20"/>
          <w:lang w:bidi="en-US"/>
        </w:rPr>
        <w:t>Nutrition, health and related claims.</w:t>
      </w: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New section 1.2.7—2 Definitions</w:t>
      </w: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This section provides the definitions </w:t>
      </w:r>
      <w:r w:rsidR="00631A00">
        <w:rPr>
          <w:rFonts w:eastAsia="Times New Roman" w:cs="Times New Roman"/>
          <w:sz w:val="20"/>
          <w:szCs w:val="20"/>
          <w:lang w:bidi="en-US"/>
        </w:rPr>
        <w:t>of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fruit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 and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vegetable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 that apply only in Standards 1.2.7 and 1.2.8. It also provides note references to definitions </w:t>
      </w:r>
      <w:r w:rsidR="00631A00">
        <w:rPr>
          <w:rFonts w:eastAsia="Times New Roman" w:cs="Times New Roman"/>
          <w:sz w:val="20"/>
          <w:szCs w:val="20"/>
          <w:lang w:bidi="en-US"/>
        </w:rPr>
        <w:t>of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biomarker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,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claim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,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endorsement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,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endorsing body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,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food group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,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general level health claim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,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general level health claims table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,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health claim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,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health effect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,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high level health claim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,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high level health claims table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, </w:t>
      </w:r>
      <w:r w:rsidR="00631A00">
        <w:rPr>
          <w:rFonts w:eastAsia="Times New Roman" w:cs="Times New Roman"/>
          <w:sz w:val="20"/>
          <w:szCs w:val="20"/>
          <w:lang w:bidi="en-US"/>
        </w:rPr>
        <w:t>‘meet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 the NPSC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,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NPSC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,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nutrient profiling score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,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property of food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,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reference food</w:t>
      </w:r>
      <w:r w:rsidR="00631A00">
        <w:rPr>
          <w:rFonts w:eastAsia="Times New Roman" w:cs="Times New Roman"/>
          <w:sz w:val="20"/>
          <w:szCs w:val="20"/>
          <w:lang w:bidi="en-US"/>
        </w:rPr>
        <w:t>’,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serious disease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 and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sugars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 that are in subsection 1.1.2—2(3), and the definition of </w:t>
      </w:r>
      <w:r w:rsidR="00631A00">
        <w:rPr>
          <w:rFonts w:eastAsia="Times New Roman" w:cs="Times New Roman"/>
          <w:sz w:val="20"/>
          <w:szCs w:val="20"/>
          <w:lang w:bidi="en-US"/>
        </w:rPr>
        <w:t>‘</w:t>
      </w:r>
      <w:r w:rsidRPr="00CC3053">
        <w:rPr>
          <w:rFonts w:eastAsia="Times New Roman" w:cs="Times New Roman"/>
          <w:sz w:val="20"/>
          <w:szCs w:val="20"/>
          <w:lang w:bidi="en-US"/>
        </w:rPr>
        <w:t>nutrition content claim</w:t>
      </w:r>
      <w:r w:rsidR="00631A00">
        <w:rPr>
          <w:rFonts w:eastAsia="Times New Roman" w:cs="Times New Roman"/>
          <w:sz w:val="20"/>
          <w:szCs w:val="20"/>
          <w:lang w:bidi="en-US"/>
        </w:rPr>
        <w:t>’</w:t>
      </w:r>
      <w:bookmarkStart w:id="8" w:name="_GoBack"/>
      <w:bookmarkEnd w:id="8"/>
      <w:r w:rsidRPr="00CC3053">
        <w:rPr>
          <w:rFonts w:eastAsia="Times New Roman" w:cs="Times New Roman"/>
          <w:sz w:val="20"/>
          <w:szCs w:val="20"/>
          <w:lang w:bidi="en-US"/>
        </w:rPr>
        <w:t xml:space="preserve"> that is in section 1.1.2—9. </w:t>
      </w: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tabs>
          <w:tab w:val="left" w:pos="1701"/>
        </w:tabs>
        <w:rPr>
          <w:rFonts w:eastAsia="Times New Roman" w:cs="Times New Roman"/>
          <w:i/>
          <w:sz w:val="20"/>
          <w:szCs w:val="20"/>
          <w:lang w:bidi="en-US"/>
        </w:rPr>
      </w:pPr>
      <w:r w:rsidRPr="00CC3053">
        <w:rPr>
          <w:rFonts w:eastAsia="Times New Roman" w:cs="Times New Roman"/>
          <w:i/>
          <w:sz w:val="20"/>
          <w:szCs w:val="20"/>
          <w:lang w:bidi="en-US"/>
        </w:rPr>
        <w:t>Division 2</w:t>
      </w:r>
      <w:r w:rsidRPr="00CC3053">
        <w:rPr>
          <w:rFonts w:eastAsia="Times New Roman" w:cs="Times New Roman"/>
          <w:i/>
          <w:sz w:val="20"/>
          <w:szCs w:val="20"/>
          <w:lang w:bidi="en-US"/>
        </w:rPr>
        <w:tab/>
        <w:t xml:space="preserve">Outline of </w:t>
      </w:r>
      <w:bookmarkEnd w:id="7"/>
      <w:r w:rsidRPr="00CC3053">
        <w:rPr>
          <w:rFonts w:eastAsia="Times New Roman" w:cs="Times New Roman"/>
          <w:i/>
          <w:sz w:val="20"/>
          <w:szCs w:val="20"/>
          <w:lang w:bidi="en-US"/>
        </w:rPr>
        <w:t>Standard</w:t>
      </w:r>
    </w:p>
    <w:p w:rsidR="00434C4B" w:rsidRPr="00CC3053" w:rsidRDefault="00434C4B" w:rsidP="00434C4B">
      <w:pPr>
        <w:tabs>
          <w:tab w:val="left" w:pos="1701"/>
        </w:tabs>
        <w:rPr>
          <w:rFonts w:eastAsia="Times New Roman" w:cs="Times New Roman"/>
          <w:i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1.2.7—3 </w:t>
      </w:r>
      <w:proofErr w:type="gramStart"/>
      <w:r w:rsidRPr="00CC3053">
        <w:rPr>
          <w:rFonts w:eastAsia="Times New Roman" w:cs="Times New Roman"/>
          <w:sz w:val="20"/>
          <w:szCs w:val="20"/>
          <w:lang w:bidi="en-US"/>
        </w:rPr>
        <w:t>Outline</w:t>
      </w:r>
      <w:proofErr w:type="gramEnd"/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1.2.7—3 provides an outline of Division </w:t>
      </w:r>
      <w:r w:rsidR="004B1A21">
        <w:rPr>
          <w:rFonts w:eastAsia="Times New Roman" w:cs="Times New Roman"/>
          <w:sz w:val="20"/>
          <w:szCs w:val="20"/>
          <w:lang w:bidi="en-US"/>
        </w:rPr>
        <w:t>2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 that re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-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states the </w:t>
      </w:r>
      <w:r w:rsidR="004B1A21">
        <w:rPr>
          <w:rFonts w:eastAsia="Times New Roman" w:cs="Times New Roman"/>
          <w:sz w:val="20"/>
          <w:szCs w:val="20"/>
          <w:lang w:bidi="en-US"/>
        </w:rPr>
        <w:t xml:space="preserve">current </w:t>
      </w:r>
      <w:r w:rsidRPr="00CC3053">
        <w:rPr>
          <w:rFonts w:eastAsia="Times New Roman" w:cs="Times New Roman"/>
          <w:sz w:val="20"/>
          <w:szCs w:val="20"/>
          <w:lang w:bidi="en-US"/>
        </w:rPr>
        <w:t>content of the Purpose statement in Standard 1.2.7.</w:t>
      </w: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keepNext/>
        <w:tabs>
          <w:tab w:val="left" w:pos="1701"/>
        </w:tabs>
        <w:rPr>
          <w:rFonts w:eastAsia="Times New Roman" w:cs="Times New Roman"/>
          <w:i/>
          <w:sz w:val="20"/>
          <w:szCs w:val="20"/>
          <w:lang w:bidi="en-US"/>
        </w:rPr>
      </w:pPr>
      <w:bookmarkStart w:id="9" w:name="_Toc346725701"/>
      <w:r w:rsidRPr="00CC3053">
        <w:rPr>
          <w:rFonts w:eastAsia="Times New Roman" w:cs="Times New Roman"/>
          <w:i/>
          <w:sz w:val="20"/>
          <w:szCs w:val="20"/>
          <w:lang w:bidi="en-US"/>
        </w:rPr>
        <w:t xml:space="preserve">Division 3 </w:t>
      </w:r>
      <w:r w:rsidRPr="00CC3053">
        <w:rPr>
          <w:rFonts w:eastAsia="Times New Roman" w:cs="Times New Roman"/>
          <w:i/>
          <w:sz w:val="20"/>
          <w:szCs w:val="20"/>
          <w:lang w:bidi="en-US"/>
        </w:rPr>
        <w:tab/>
        <w:t>Claims framework and general principles</w:t>
      </w:r>
      <w:bookmarkEnd w:id="9"/>
    </w:p>
    <w:p w:rsidR="00434C4B" w:rsidRPr="00CC3053" w:rsidRDefault="00434C4B" w:rsidP="00434C4B">
      <w:pPr>
        <w:keepNext/>
        <w:rPr>
          <w:rFonts w:eastAsia="Times New Roman" w:cs="Times New Roman"/>
          <w:i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1.2.7—4 Nutrition content claims or health claims not to be made about certain foods </w:t>
      </w: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1.2.7—4 </w:t>
      </w:r>
      <w:proofErr w:type="gramStart"/>
      <w:r w:rsidRPr="00CC3053">
        <w:rPr>
          <w:rFonts w:eastAsia="Times New Roman" w:cs="Times New Roman"/>
          <w:sz w:val="20"/>
          <w:szCs w:val="20"/>
          <w:lang w:bidi="en-US"/>
        </w:rPr>
        <w:t>re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-</w:t>
      </w:r>
      <w:r w:rsidRPr="00CC3053">
        <w:rPr>
          <w:rFonts w:eastAsia="Times New Roman" w:cs="Times New Roman"/>
          <w:sz w:val="20"/>
          <w:szCs w:val="20"/>
          <w:lang w:bidi="en-US"/>
        </w:rPr>
        <w:t>states</w:t>
      </w:r>
      <w:proofErr w:type="gramEnd"/>
      <w:r w:rsidRPr="00CC3053">
        <w:rPr>
          <w:rFonts w:eastAsia="Times New Roman" w:cs="Times New Roman"/>
          <w:sz w:val="20"/>
          <w:szCs w:val="20"/>
          <w:lang w:bidi="en-US"/>
        </w:rPr>
        <w:t xml:space="preserve"> the </w:t>
      </w:r>
      <w:r w:rsidR="004B1A21">
        <w:rPr>
          <w:rFonts w:eastAsia="Times New Roman" w:cs="Times New Roman"/>
          <w:sz w:val="20"/>
          <w:szCs w:val="20"/>
          <w:lang w:bidi="en-US"/>
        </w:rPr>
        <w:t xml:space="preserve">current </w:t>
      </w:r>
      <w:r w:rsidRPr="00CC3053">
        <w:rPr>
          <w:rFonts w:eastAsia="Times New Roman" w:cs="Times New Roman"/>
          <w:sz w:val="20"/>
          <w:szCs w:val="20"/>
          <w:lang w:bidi="en-US"/>
        </w:rPr>
        <w:t>content of clause 3 of Standard 1.2.7.</w:t>
      </w: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1.2.7—5 Standard does not apply to certain foods </w:t>
      </w: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This new section repeats clause 4 of </w:t>
      </w:r>
      <w:r w:rsidR="004B1A21">
        <w:rPr>
          <w:rFonts w:eastAsia="Times New Roman" w:cs="Times New Roman"/>
          <w:sz w:val="20"/>
          <w:szCs w:val="20"/>
          <w:lang w:bidi="en-US"/>
        </w:rPr>
        <w:t xml:space="preserve">current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1.2.7—6 Standard does not apply to certain claims or declarations </w:t>
      </w: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This n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 xml:space="preserve">ew section repeats clause 5 of </w:t>
      </w:r>
      <w:r w:rsidR="004B1A21">
        <w:rPr>
          <w:rFonts w:eastAsia="Times New Roman" w:cs="Times New Roman"/>
          <w:sz w:val="20"/>
          <w:szCs w:val="20"/>
          <w:lang w:bidi="en-US"/>
        </w:rPr>
        <w:t xml:space="preserve">current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1.2.7—7 Form of food to which provisions of this Standard apply </w:t>
      </w: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This new section repeats </w:t>
      </w:r>
      <w:r w:rsidR="004B1A21">
        <w:rPr>
          <w:rFonts w:eastAsia="Times New Roman" w:cs="Times New Roman"/>
          <w:sz w:val="20"/>
          <w:szCs w:val="20"/>
          <w:lang w:bidi="en-US"/>
        </w:rPr>
        <w:t xml:space="preserve">the current content of 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clause 6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1.2.7—8 Claims not to be therapeutic in nature </w:t>
      </w: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This new section repeats </w:t>
      </w:r>
      <w:r w:rsidR="004B1A21">
        <w:rPr>
          <w:rFonts w:eastAsia="Times New Roman" w:cs="Times New Roman"/>
          <w:sz w:val="20"/>
          <w:szCs w:val="20"/>
          <w:lang w:bidi="en-US"/>
        </w:rPr>
        <w:t xml:space="preserve">the current content of 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clause 7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1.2.7—9 Claims not to compare vitamin or mineral content </w:t>
      </w: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This new section repeats</w:t>
      </w:r>
      <w:r w:rsidR="00950249">
        <w:rPr>
          <w:rFonts w:eastAsia="Times New Roman" w:cs="Times New Roman"/>
          <w:sz w:val="20"/>
          <w:szCs w:val="20"/>
          <w:lang w:bidi="en-US"/>
        </w:rPr>
        <w:t xml:space="preserve"> the current content of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 clause 8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434C4B" w:rsidRPr="00CC3053" w:rsidRDefault="00434C4B" w:rsidP="00434C4B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New section 1.2.7—10 Sta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 xml:space="preserve">ndard does not prescribe words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C942B0" w:rsidRP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This new section repeats clause 9 of </w:t>
      </w:r>
      <w:r w:rsidR="00950249">
        <w:rPr>
          <w:rFonts w:eastAsia="Times New Roman" w:cs="Times New Roman"/>
          <w:sz w:val="20"/>
          <w:szCs w:val="20"/>
          <w:lang w:bidi="en-US"/>
        </w:rPr>
        <w:t xml:space="preserve">current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S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tandard 1.2.7. The content of subclause 9(2) is now </w:t>
      </w:r>
      <w:r w:rsidR="00950249">
        <w:rPr>
          <w:rFonts w:eastAsia="Times New Roman" w:cs="Times New Roman"/>
          <w:sz w:val="20"/>
          <w:szCs w:val="20"/>
          <w:lang w:bidi="en-US"/>
        </w:rPr>
        <w:t>re-</w:t>
      </w:r>
      <w:r w:rsidRPr="00CC3053">
        <w:rPr>
          <w:rFonts w:eastAsia="Times New Roman" w:cs="Times New Roman"/>
          <w:sz w:val="20"/>
          <w:szCs w:val="20"/>
          <w:lang w:bidi="en-US"/>
        </w:rPr>
        <w:t>stated in subsection 1.1.1—8.</w:t>
      </w:r>
    </w:p>
    <w:p w:rsidR="00CC3053" w:rsidRDefault="00CC3053" w:rsidP="00C942B0">
      <w:pPr>
        <w:tabs>
          <w:tab w:val="left" w:pos="1701"/>
        </w:tabs>
        <w:rPr>
          <w:rFonts w:eastAsia="Times New Roman" w:cs="Times New Roman"/>
          <w:i/>
          <w:sz w:val="20"/>
          <w:szCs w:val="20"/>
          <w:lang w:bidi="en-US"/>
        </w:rPr>
      </w:pPr>
      <w:bookmarkStart w:id="10" w:name="_Toc346725702"/>
      <w:r>
        <w:rPr>
          <w:rFonts w:eastAsia="Times New Roman" w:cs="Times New Roman"/>
          <w:i/>
          <w:sz w:val="20"/>
          <w:szCs w:val="20"/>
          <w:lang w:bidi="en-US"/>
        </w:rPr>
        <w:br w:type="page"/>
      </w:r>
    </w:p>
    <w:p w:rsidR="00434C4B" w:rsidRPr="00CC3053" w:rsidRDefault="00C942B0" w:rsidP="00C942B0">
      <w:pPr>
        <w:tabs>
          <w:tab w:val="left" w:pos="1701"/>
        </w:tabs>
        <w:rPr>
          <w:rFonts w:eastAsia="Times New Roman" w:cs="Times New Roman"/>
          <w:i/>
          <w:sz w:val="20"/>
          <w:szCs w:val="20"/>
          <w:lang w:bidi="en-US"/>
        </w:rPr>
      </w:pPr>
      <w:r w:rsidRPr="00CC3053">
        <w:rPr>
          <w:rFonts w:eastAsia="Times New Roman" w:cs="Times New Roman"/>
          <w:i/>
          <w:sz w:val="20"/>
          <w:szCs w:val="20"/>
          <w:lang w:bidi="en-US"/>
        </w:rPr>
        <w:lastRenderedPageBreak/>
        <w:t xml:space="preserve">Division 4 </w:t>
      </w:r>
      <w:r w:rsidRPr="00CC3053">
        <w:rPr>
          <w:rFonts w:eastAsia="Times New Roman" w:cs="Times New Roman"/>
          <w:i/>
          <w:sz w:val="20"/>
          <w:szCs w:val="20"/>
          <w:lang w:bidi="en-US"/>
        </w:rPr>
        <w:tab/>
      </w:r>
      <w:r w:rsidR="00434C4B" w:rsidRPr="00CC3053">
        <w:rPr>
          <w:rFonts w:eastAsia="Times New Roman" w:cs="Times New Roman"/>
          <w:i/>
          <w:sz w:val="20"/>
          <w:szCs w:val="20"/>
          <w:lang w:bidi="en-US"/>
        </w:rPr>
        <w:t>Requirements for nutrition content claims</w:t>
      </w:r>
      <w:bookmarkEnd w:id="10"/>
    </w:p>
    <w:p w:rsidR="00C942B0" w:rsidRPr="00CC3053" w:rsidRDefault="00C942B0" w:rsidP="00C942B0">
      <w:pPr>
        <w:tabs>
          <w:tab w:val="left" w:pos="1701"/>
        </w:tabs>
        <w:rPr>
          <w:rFonts w:eastAsia="Times New Roman" w:cs="Times New Roman"/>
          <w:i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New section 1.2.7—11 Presentati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 xml:space="preserve">on of nutrition content claims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This new section repeats clause 10 of 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current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C942B0" w:rsidRPr="00CC3053" w:rsidRDefault="00C942B0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New section 1.2.7—12 Nutrition content claims about pr</w:t>
      </w:r>
      <w:r w:rsidR="00130A88">
        <w:rPr>
          <w:rFonts w:eastAsia="Times New Roman" w:cs="Times New Roman"/>
          <w:sz w:val="20"/>
          <w:szCs w:val="20"/>
          <w:lang w:bidi="en-US"/>
        </w:rPr>
        <w:t>operties of food in section S4—3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This ne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 xml:space="preserve">w section repeats 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the current requirements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clause 11 of 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C942B0" w:rsidRPr="00CC3053" w:rsidRDefault="00C942B0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New section 1.2.7—13 Nutrition content claims about proper</w:t>
      </w:r>
      <w:r w:rsidR="00130A88">
        <w:rPr>
          <w:rFonts w:eastAsia="Times New Roman" w:cs="Times New Roman"/>
          <w:sz w:val="20"/>
          <w:szCs w:val="20"/>
          <w:lang w:bidi="en-US"/>
        </w:rPr>
        <w:t>ties of food not in section S4—3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This ne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 xml:space="preserve">w section repeats 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the current requirements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clause 12 of 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C942B0" w:rsidRPr="00CC3053" w:rsidRDefault="00C942B0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1.2.7—14 Nutrition content claims about choline, fluoride or folic acid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This ne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 xml:space="preserve">w section repeats 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the current requirements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clause 13 of 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C942B0" w:rsidRPr="00CC3053" w:rsidRDefault="00C942B0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1.2.7—15 Nutrition content claims must not imply slimming effects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This new section repeats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 the current requirements of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 clause 14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C942B0" w:rsidRPr="00CC3053" w:rsidRDefault="00C942B0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1.2.7—16 Comparative claims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This new section re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-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states 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the current requirements of 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clause 15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 The order of provisions has been varied to conform to modern drafting styles.</w:t>
      </w:r>
    </w:p>
    <w:p w:rsidR="00C942B0" w:rsidRPr="00CC3053" w:rsidRDefault="00C942B0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tabs>
          <w:tab w:val="left" w:pos="1701"/>
        </w:tabs>
        <w:rPr>
          <w:rFonts w:eastAsia="Times New Roman" w:cs="Times New Roman"/>
          <w:i/>
          <w:sz w:val="20"/>
          <w:szCs w:val="20"/>
          <w:lang w:bidi="en-US"/>
        </w:rPr>
      </w:pPr>
      <w:bookmarkStart w:id="11" w:name="_Toc346725703"/>
      <w:r w:rsidRPr="00CC3053">
        <w:rPr>
          <w:rFonts w:eastAsia="Times New Roman" w:cs="Times New Roman"/>
          <w:i/>
          <w:sz w:val="20"/>
          <w:szCs w:val="20"/>
          <w:lang w:bidi="en-US"/>
        </w:rPr>
        <w:t xml:space="preserve">Division 5 </w:t>
      </w:r>
      <w:r w:rsidRPr="00CC3053">
        <w:rPr>
          <w:rFonts w:eastAsia="Times New Roman" w:cs="Times New Roman"/>
          <w:i/>
          <w:sz w:val="20"/>
          <w:szCs w:val="20"/>
          <w:lang w:bidi="en-US"/>
        </w:rPr>
        <w:tab/>
        <w:t>Requirements for health claims</w:t>
      </w:r>
      <w:bookmarkEnd w:id="11"/>
    </w:p>
    <w:p w:rsidR="00C942B0" w:rsidRPr="00CC3053" w:rsidRDefault="00C942B0" w:rsidP="00C942B0">
      <w:pPr>
        <w:tabs>
          <w:tab w:val="left" w:pos="1701"/>
        </w:tabs>
        <w:rPr>
          <w:rFonts w:eastAsia="Times New Roman" w:cs="Times New Roman"/>
          <w:i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New section 1.2.7—17 Application or Proposal to vary section S4—</w:t>
      </w:r>
      <w:r w:rsidR="00130A88">
        <w:rPr>
          <w:rFonts w:eastAsia="Times New Roman" w:cs="Times New Roman"/>
          <w:sz w:val="20"/>
          <w:szCs w:val="20"/>
          <w:lang w:bidi="en-US"/>
        </w:rPr>
        <w:t>5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 taken to be a high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 xml:space="preserve">level health claims variation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This new section repeats 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the current requirements of 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clause 16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C942B0" w:rsidRPr="00CC3053" w:rsidRDefault="00C942B0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1.2.7—18 Conditions for making health claims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This new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 xml:space="preserve"> section re-states 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the current requirements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clause 17 of 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 The provision has been re-ordered.</w:t>
      </w:r>
    </w:p>
    <w:p w:rsidR="00C942B0" w:rsidRPr="00CC3053" w:rsidRDefault="00C942B0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New section 1.2.7—19 Requirement when making a general level health claim under paragraph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 1.2.7—18</w:t>
      </w:r>
      <w:r w:rsidRPr="00CC3053">
        <w:rPr>
          <w:rFonts w:eastAsia="Times New Roman" w:cs="Times New Roman"/>
          <w:sz w:val="20"/>
          <w:szCs w:val="20"/>
          <w:lang w:bidi="en-US"/>
        </w:rPr>
        <w:t>(3</w:t>
      </w:r>
      <w:proofErr w:type="gramStart"/>
      <w:r w:rsidRPr="00CC3053">
        <w:rPr>
          <w:rFonts w:eastAsia="Times New Roman" w:cs="Times New Roman"/>
          <w:sz w:val="20"/>
          <w:szCs w:val="20"/>
          <w:lang w:bidi="en-US"/>
        </w:rPr>
        <w:t>)(</w:t>
      </w:r>
      <w:proofErr w:type="gramEnd"/>
      <w:r w:rsidRPr="00CC3053">
        <w:rPr>
          <w:rFonts w:eastAsia="Times New Roman" w:cs="Times New Roman"/>
          <w:sz w:val="20"/>
          <w:szCs w:val="20"/>
          <w:lang w:bidi="en-US"/>
        </w:rPr>
        <w:t xml:space="preserve">b)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This new section repeats 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the current requirements of 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clause 18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C942B0" w:rsidRPr="00CC3053" w:rsidRDefault="00C942B0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1.2.7—20 </w:t>
      </w:r>
      <w:proofErr w:type="gramStart"/>
      <w:r w:rsidRPr="00CC3053">
        <w:rPr>
          <w:rFonts w:eastAsia="Times New Roman" w:cs="Times New Roman"/>
          <w:sz w:val="20"/>
          <w:szCs w:val="20"/>
          <w:lang w:bidi="en-US"/>
        </w:rPr>
        <w:t>How</w:t>
      </w:r>
      <w:proofErr w:type="gramEnd"/>
      <w:r w:rsidR="00130A88">
        <w:rPr>
          <w:rFonts w:eastAsia="Times New Roman" w:cs="Times New Roman"/>
          <w:sz w:val="20"/>
          <w:szCs w:val="20"/>
          <w:lang w:bidi="en-US"/>
        </w:rPr>
        <w:t xml:space="preserve"> health claims are to be made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This new section repeats 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the current requirements of 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clause 19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 The subsections are re-ordered.</w:t>
      </w:r>
    </w:p>
    <w:p w:rsidR="00C942B0" w:rsidRPr="00CC3053" w:rsidRDefault="00C942B0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1.2.7—21 Split health claims variation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This ne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 xml:space="preserve">w section repeats 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the current requirements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clause 20 of 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C942B0" w:rsidRPr="00CC3053" w:rsidRDefault="00C942B0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1.2.7—22 Statements for claims about phytosterols, phytostanols and their esters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This new section repeats 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the current requirements of 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clause 21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C942B0" w:rsidRPr="00CC3053" w:rsidRDefault="00C942B0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130A88" w:rsidRDefault="00130A88" w:rsidP="00C942B0">
      <w:pPr>
        <w:tabs>
          <w:tab w:val="left" w:pos="1701"/>
        </w:tabs>
        <w:rPr>
          <w:rFonts w:eastAsia="Times New Roman" w:cs="Times New Roman"/>
          <w:i/>
          <w:sz w:val="20"/>
          <w:szCs w:val="20"/>
          <w:lang w:bidi="en-US"/>
        </w:rPr>
      </w:pPr>
      <w:bookmarkStart w:id="12" w:name="_Toc346725704"/>
      <w:r>
        <w:rPr>
          <w:rFonts w:eastAsia="Times New Roman" w:cs="Times New Roman"/>
          <w:i/>
          <w:sz w:val="20"/>
          <w:szCs w:val="20"/>
          <w:lang w:bidi="en-US"/>
        </w:rPr>
        <w:br w:type="page"/>
      </w:r>
    </w:p>
    <w:p w:rsidR="00434C4B" w:rsidRPr="00CC3053" w:rsidRDefault="00C942B0" w:rsidP="00C942B0">
      <w:pPr>
        <w:tabs>
          <w:tab w:val="left" w:pos="1701"/>
        </w:tabs>
        <w:rPr>
          <w:rFonts w:eastAsia="Times New Roman" w:cs="Times New Roman"/>
          <w:i/>
          <w:sz w:val="20"/>
          <w:szCs w:val="20"/>
          <w:lang w:bidi="en-US"/>
        </w:rPr>
      </w:pPr>
      <w:r w:rsidRPr="00CC3053">
        <w:rPr>
          <w:rFonts w:eastAsia="Times New Roman" w:cs="Times New Roman"/>
          <w:i/>
          <w:sz w:val="20"/>
          <w:szCs w:val="20"/>
          <w:lang w:bidi="en-US"/>
        </w:rPr>
        <w:lastRenderedPageBreak/>
        <w:t>Division 6</w:t>
      </w:r>
      <w:r w:rsidRPr="00CC3053">
        <w:rPr>
          <w:rFonts w:eastAsia="Times New Roman" w:cs="Times New Roman"/>
          <w:i/>
          <w:sz w:val="20"/>
          <w:szCs w:val="20"/>
          <w:lang w:bidi="en-US"/>
        </w:rPr>
        <w:tab/>
      </w:r>
      <w:r w:rsidR="00434C4B" w:rsidRPr="00CC3053">
        <w:rPr>
          <w:rFonts w:eastAsia="Times New Roman" w:cs="Times New Roman"/>
          <w:i/>
          <w:sz w:val="20"/>
          <w:szCs w:val="20"/>
          <w:lang w:bidi="en-US"/>
        </w:rPr>
        <w:t>Endorsements</w:t>
      </w:r>
      <w:bookmarkEnd w:id="12"/>
    </w:p>
    <w:p w:rsidR="00C942B0" w:rsidRPr="00CC3053" w:rsidRDefault="00C942B0" w:rsidP="00C942B0">
      <w:pPr>
        <w:tabs>
          <w:tab w:val="left" w:pos="1701"/>
        </w:tabs>
        <w:rPr>
          <w:rFonts w:eastAsia="Times New Roman" w:cs="Times New Roman"/>
          <w:i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1.2.7—23 Endorsing bodies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This new section repeats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 the current requirements of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 clause 22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130A88" w:rsidRDefault="00130A88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1.2.7.24 Criteria for endorsements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This new section repeats 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the current requirements of 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clause 23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C942B0" w:rsidRPr="00CC3053" w:rsidRDefault="00C942B0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tabs>
          <w:tab w:val="left" w:pos="1701"/>
        </w:tabs>
        <w:rPr>
          <w:rFonts w:eastAsia="Times New Roman" w:cs="Times New Roman"/>
          <w:i/>
          <w:sz w:val="20"/>
          <w:szCs w:val="20"/>
          <w:lang w:bidi="en-US"/>
        </w:rPr>
      </w:pPr>
      <w:bookmarkStart w:id="13" w:name="_Toc346725705"/>
      <w:r w:rsidRPr="00CC3053">
        <w:rPr>
          <w:rFonts w:eastAsia="Times New Roman" w:cs="Times New Roman"/>
          <w:i/>
          <w:sz w:val="20"/>
          <w:szCs w:val="20"/>
          <w:lang w:bidi="en-US"/>
        </w:rPr>
        <w:t>Division 7</w:t>
      </w:r>
      <w:r w:rsidRPr="00CC3053">
        <w:rPr>
          <w:rFonts w:eastAsia="Times New Roman" w:cs="Times New Roman"/>
          <w:i/>
          <w:sz w:val="20"/>
          <w:szCs w:val="20"/>
          <w:lang w:bidi="en-US"/>
        </w:rPr>
        <w:tab/>
        <w:t>Additional labelling of food required to meet the NPSC</w:t>
      </w:r>
      <w:bookmarkEnd w:id="13"/>
    </w:p>
    <w:p w:rsidR="00C942B0" w:rsidRPr="00CC3053" w:rsidRDefault="00C942B0" w:rsidP="00C942B0">
      <w:pPr>
        <w:tabs>
          <w:tab w:val="left" w:pos="1701"/>
        </w:tabs>
        <w:rPr>
          <w:rFonts w:eastAsia="Times New Roman" w:cs="Times New Roman"/>
          <w:i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1.2.7—25 Method for calculating a nutrient profiling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This ne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 xml:space="preserve">w section repeats 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the current requirements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clause 24 of 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C942B0" w:rsidRPr="00CC3053" w:rsidRDefault="00C942B0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keepNext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1.2.7—26 </w:t>
      </w:r>
      <w:proofErr w:type="gramStart"/>
      <w:r w:rsidRPr="00CC3053">
        <w:rPr>
          <w:rFonts w:eastAsia="Times New Roman" w:cs="Times New Roman"/>
          <w:sz w:val="20"/>
          <w:szCs w:val="20"/>
          <w:lang w:bidi="en-US"/>
        </w:rPr>
        <w:t>Labelling</w:t>
      </w:r>
      <w:proofErr w:type="gramEnd"/>
      <w:r w:rsidRPr="00CC3053">
        <w:rPr>
          <w:rFonts w:eastAsia="Times New Roman" w:cs="Times New Roman"/>
          <w:sz w:val="20"/>
          <w:szCs w:val="20"/>
          <w:lang w:bidi="en-US"/>
        </w:rPr>
        <w:t xml:space="preserve"> of food required to meet the NPSC </w:t>
      </w:r>
    </w:p>
    <w:p w:rsidR="00C942B0" w:rsidRPr="00CC3053" w:rsidRDefault="00C942B0" w:rsidP="00434C4B">
      <w:pPr>
        <w:keepNext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>This ne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w section repeats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 the current requirements of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 xml:space="preserve"> clause 25 of 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C942B0" w:rsidRPr="00CC3053" w:rsidRDefault="00C942B0" w:rsidP="00C942B0">
      <w:pPr>
        <w:ind w:left="567"/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434C4B">
      <w:pPr>
        <w:rPr>
          <w:rFonts w:eastAsia="Times New Roman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New section 1.2.7—27 Labelling exemptions for certain </w:t>
      </w:r>
    </w:p>
    <w:p w:rsidR="00C942B0" w:rsidRPr="00CC3053" w:rsidRDefault="00C942B0" w:rsidP="00434C4B">
      <w:pPr>
        <w:rPr>
          <w:rFonts w:eastAsia="Times New Roman" w:cs="Times New Roman"/>
          <w:sz w:val="20"/>
          <w:szCs w:val="20"/>
          <w:lang w:bidi="en-US"/>
        </w:rPr>
      </w:pPr>
    </w:p>
    <w:p w:rsidR="00434C4B" w:rsidRPr="00CC3053" w:rsidRDefault="00434C4B" w:rsidP="00C942B0">
      <w:pPr>
        <w:ind w:left="567"/>
        <w:rPr>
          <w:rFonts w:eastAsiaTheme="majorEastAsia" w:cs="Times New Roman"/>
          <w:sz w:val="20"/>
          <w:szCs w:val="20"/>
          <w:lang w:bidi="en-US"/>
        </w:rPr>
      </w:pPr>
      <w:r w:rsidRPr="00CC3053">
        <w:rPr>
          <w:rFonts w:eastAsia="Times New Roman" w:cs="Times New Roman"/>
          <w:sz w:val="20"/>
          <w:szCs w:val="20"/>
          <w:lang w:bidi="en-US"/>
        </w:rPr>
        <w:t xml:space="preserve">This new section repeats </w:t>
      </w:r>
      <w:r w:rsidR="00130A88">
        <w:rPr>
          <w:rFonts w:eastAsia="Times New Roman" w:cs="Times New Roman"/>
          <w:sz w:val="20"/>
          <w:szCs w:val="20"/>
          <w:lang w:bidi="en-US"/>
        </w:rPr>
        <w:t xml:space="preserve">the current requirements of </w:t>
      </w:r>
      <w:r w:rsidRPr="00CC3053">
        <w:rPr>
          <w:rFonts w:eastAsia="Times New Roman" w:cs="Times New Roman"/>
          <w:sz w:val="20"/>
          <w:szCs w:val="20"/>
          <w:lang w:bidi="en-US"/>
        </w:rPr>
        <w:t xml:space="preserve">clause 26 of </w:t>
      </w:r>
      <w:r w:rsidR="00C942B0" w:rsidRPr="00CC3053">
        <w:rPr>
          <w:rFonts w:eastAsia="Times New Roman" w:cs="Times New Roman"/>
          <w:sz w:val="20"/>
          <w:szCs w:val="20"/>
          <w:lang w:bidi="en-US"/>
        </w:rPr>
        <w:t>S</w:t>
      </w:r>
      <w:r w:rsidRPr="00CC3053">
        <w:rPr>
          <w:rFonts w:eastAsia="Times New Roman" w:cs="Times New Roman"/>
          <w:sz w:val="20"/>
          <w:szCs w:val="20"/>
          <w:lang w:bidi="en-US"/>
        </w:rPr>
        <w:t>tandard 1.2.7.</w:t>
      </w:r>
    </w:p>
    <w:p w:rsidR="00D5526B" w:rsidRPr="00CC3053" w:rsidRDefault="00D5526B" w:rsidP="00320BBF">
      <w:pPr>
        <w:rPr>
          <w:sz w:val="20"/>
          <w:szCs w:val="20"/>
        </w:rPr>
      </w:pPr>
    </w:p>
    <w:sectPr w:rsidR="00D5526B" w:rsidRPr="00CC3053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A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30A88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34C4B"/>
    <w:rsid w:val="00441D77"/>
    <w:rsid w:val="00443F05"/>
    <w:rsid w:val="00486619"/>
    <w:rsid w:val="004B1A21"/>
    <w:rsid w:val="004D3868"/>
    <w:rsid w:val="004E6694"/>
    <w:rsid w:val="0054036E"/>
    <w:rsid w:val="005B578D"/>
    <w:rsid w:val="005C1996"/>
    <w:rsid w:val="005D6C71"/>
    <w:rsid w:val="00631A00"/>
    <w:rsid w:val="006B6900"/>
    <w:rsid w:val="006D473E"/>
    <w:rsid w:val="006E62ED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50249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C942B0"/>
    <w:rsid w:val="00CC3053"/>
    <w:rsid w:val="00D5526B"/>
    <w:rsid w:val="00D66962"/>
    <w:rsid w:val="00D87D9C"/>
    <w:rsid w:val="00D92B3B"/>
    <w:rsid w:val="00D96681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53ACA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53ACA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7A67-EA24-421F-B041-9F716559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12</cp:revision>
  <dcterms:created xsi:type="dcterms:W3CDTF">2014-12-16T00:14:00Z</dcterms:created>
  <dcterms:modified xsi:type="dcterms:W3CDTF">2015-02-18T23:23:00Z</dcterms:modified>
</cp:coreProperties>
</file>