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34" w:rsidRPr="00C0014E" w:rsidRDefault="00094234" w:rsidP="00094234">
      <w:pPr>
        <w:rPr>
          <w:noProof/>
          <w:lang w:val="en-AU"/>
        </w:rPr>
      </w:pPr>
      <w:r w:rsidRPr="00C0014E">
        <w:rPr>
          <w:noProof/>
          <w:lang w:val="en-AU"/>
        </w:rPr>
        <w:drawing>
          <wp:inline distT="0" distB="0" distL="0" distR="0" wp14:anchorId="4ACD6258" wp14:editId="44429A38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234" w:rsidRPr="006153A1" w:rsidRDefault="00094234" w:rsidP="00094234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094234" w:rsidRPr="002A7834" w:rsidRDefault="00094234" w:rsidP="00094234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094234" w:rsidRPr="00C0014E" w:rsidRDefault="00094234" w:rsidP="00094234">
      <w:pPr>
        <w:pBdr>
          <w:bottom w:val="single" w:sz="4" w:space="1" w:color="auto"/>
        </w:pBdr>
        <w:rPr>
          <w:b/>
        </w:rPr>
      </w:pPr>
    </w:p>
    <w:p w:rsidR="00094234" w:rsidRPr="008F2616" w:rsidRDefault="00094234" w:rsidP="00094234"/>
    <w:p w:rsidR="00094234" w:rsidRPr="00F85758" w:rsidRDefault="00094234" w:rsidP="00094234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</w:t>
      </w:r>
      <w:bookmarkStart w:id="0" w:name="_GoBack"/>
      <w:bookmarkEnd w:id="0"/>
      <w:r w:rsidRPr="009F1FDF">
        <w:rPr>
          <w:i/>
        </w:rPr>
        <w:t>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094234" w:rsidRPr="008F2616" w:rsidRDefault="00094234" w:rsidP="00094234"/>
    <w:p w:rsidR="00094234" w:rsidRPr="007B2098" w:rsidRDefault="00094234" w:rsidP="00094234">
      <w:r w:rsidRPr="007B2098">
        <w:t xml:space="preserve">Dated </w:t>
      </w:r>
      <w:r>
        <w:t>25</w:t>
      </w:r>
      <w:r w:rsidRPr="007B2098">
        <w:t xml:space="preserve"> March 2015</w:t>
      </w:r>
    </w:p>
    <w:p w:rsidR="00094234" w:rsidRPr="008F2616" w:rsidRDefault="00094234" w:rsidP="00094234">
      <w:r>
        <w:rPr>
          <w:noProof/>
          <w:lang w:val="en-AU"/>
        </w:rPr>
        <w:drawing>
          <wp:inline distT="0" distB="0" distL="0" distR="0" wp14:anchorId="337E4747" wp14:editId="0E813395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234" w:rsidRPr="008F2616" w:rsidRDefault="00094234" w:rsidP="00094234">
      <w:r w:rsidRPr="008F2616">
        <w:t>Standards Management Officer</w:t>
      </w:r>
    </w:p>
    <w:p w:rsidR="00094234" w:rsidRPr="008F2616" w:rsidRDefault="00094234" w:rsidP="00094234">
      <w:r w:rsidRPr="008F2616">
        <w:t>Delegate of the Board of Food Standards Australia New Zealand</w:t>
      </w:r>
    </w:p>
    <w:p w:rsidR="00094234" w:rsidRDefault="00094234" w:rsidP="00094234"/>
    <w:p w:rsidR="00094234" w:rsidRDefault="00094234" w:rsidP="00094234"/>
    <w:p w:rsidR="00094234" w:rsidRDefault="00094234" w:rsidP="00094234"/>
    <w:p w:rsidR="00094234" w:rsidRDefault="00094234" w:rsidP="00094234"/>
    <w:p w:rsidR="00094234" w:rsidRDefault="00094234" w:rsidP="00094234"/>
    <w:p w:rsidR="00094234" w:rsidRPr="00574DE1" w:rsidRDefault="00094234" w:rsidP="00094234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094234" w:rsidRPr="00574DE1" w:rsidRDefault="00094234" w:rsidP="00094234">
      <w:pPr>
        <w:pStyle w:val="EditorialNotetext"/>
        <w:rPr>
          <w:lang w:val="en-AU"/>
        </w:rPr>
      </w:pPr>
    </w:p>
    <w:p w:rsidR="00094234" w:rsidRPr="007B2098" w:rsidRDefault="00094234" w:rsidP="00094234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094234" w:rsidRDefault="00094234" w:rsidP="00094234"/>
    <w:p w:rsidR="00094234" w:rsidRDefault="00094234" w:rsidP="00094234">
      <w:pPr>
        <w:sectPr w:rsidR="00094234" w:rsidSect="000942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F9279F" w:rsidRPr="001D1563" w:rsidRDefault="00F9279F" w:rsidP="00F9279F">
      <w:pPr>
        <w:pStyle w:val="FSCh3Standard"/>
      </w:pPr>
      <w:r>
        <w:rPr>
          <w:lang w:val="en-GB"/>
        </w:rPr>
        <w:lastRenderedPageBreak/>
        <w:t>Standard</w:t>
      </w:r>
      <w:r w:rsidR="0050312D">
        <w:rPr>
          <w:lang w:val="en-GB"/>
        </w:rPr>
        <w:t xml:space="preserve"> 2.6.1</w:t>
      </w:r>
      <w:r w:rsidRPr="001D1563">
        <w:rPr>
          <w:lang w:val="en-GB"/>
        </w:rPr>
        <w:tab/>
        <w:t>Fruit juice and vegetable juice</w:t>
      </w:r>
    </w:p>
    <w:p w:rsidR="00F9279F" w:rsidRPr="001D1563" w:rsidRDefault="00F9279F" w:rsidP="00F9279F">
      <w:pPr>
        <w:pStyle w:val="FSCnatHeading"/>
        <w:rPr>
          <w:lang w:val="en-GB"/>
        </w:rPr>
      </w:pPr>
      <w:r w:rsidRPr="00F9279F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50312D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F9279F" w:rsidRPr="001D1563" w:rsidRDefault="00F9279F" w:rsidP="00F9279F">
      <w:pPr>
        <w:pStyle w:val="FSCnatHeading"/>
        <w:rPr>
          <w:lang w:val="en-GB"/>
        </w:rPr>
      </w:pPr>
      <w:r w:rsidRPr="00F9279F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F9279F" w:rsidRPr="001D1563" w:rsidRDefault="00F9279F" w:rsidP="00F9279F">
      <w:pPr>
        <w:pStyle w:val="FSCh5Section"/>
        <w:rPr>
          <w:lang w:val="en-GB"/>
        </w:rPr>
      </w:pPr>
      <w:bookmarkStart w:id="1" w:name="_Toc400032195"/>
      <w:r w:rsidRPr="001D1563">
        <w:rPr>
          <w:lang w:val="en-GB"/>
        </w:rPr>
        <w:t>2.6.1—1</w:t>
      </w:r>
      <w:r w:rsidRPr="001D1563">
        <w:rPr>
          <w:lang w:val="en-GB"/>
        </w:rPr>
        <w:tab/>
        <w:t>Name</w:t>
      </w:r>
      <w:bookmarkEnd w:id="1"/>
    </w:p>
    <w:p w:rsidR="00F9279F" w:rsidRPr="0050312D" w:rsidRDefault="00F9279F" w:rsidP="00F9279F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50312D" w:rsidRPr="0050312D">
        <w:rPr>
          <w:lang w:val="en-GB"/>
        </w:rPr>
        <w:t>–</w:t>
      </w:r>
      <w:r w:rsidRPr="0050312D">
        <w:rPr>
          <w:lang w:val="en-GB"/>
        </w:rPr>
        <w:t xml:space="preserve"> Standard 2.6.1 </w:t>
      </w:r>
      <w:r w:rsidR="0050312D" w:rsidRPr="0050312D">
        <w:rPr>
          <w:lang w:val="en-GB"/>
        </w:rPr>
        <w:t xml:space="preserve">– </w:t>
      </w:r>
      <w:r w:rsidRPr="0050312D">
        <w:rPr>
          <w:lang w:val="en-GB"/>
        </w:rPr>
        <w:t>Fruit juice and vegetable juice.</w:t>
      </w:r>
    </w:p>
    <w:p w:rsidR="00F9279F" w:rsidRPr="001D1563" w:rsidRDefault="00F9279F" w:rsidP="00F9279F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F9279F" w:rsidRPr="001D1563" w:rsidRDefault="00F9279F" w:rsidP="00F9279F">
      <w:pPr>
        <w:pStyle w:val="FSCh5Section"/>
        <w:rPr>
          <w:lang w:val="en-GB"/>
        </w:rPr>
      </w:pPr>
      <w:bookmarkStart w:id="2" w:name="_Toc371505581"/>
      <w:bookmarkStart w:id="3" w:name="_Toc400032196"/>
      <w:r w:rsidRPr="001D1563">
        <w:rPr>
          <w:lang w:val="en-GB"/>
        </w:rPr>
        <w:t>2.6.1—2</w:t>
      </w:r>
      <w:r w:rsidRPr="001D1563">
        <w:rPr>
          <w:lang w:val="en-GB"/>
        </w:rPr>
        <w:tab/>
      </w:r>
      <w:bookmarkEnd w:id="2"/>
      <w:r w:rsidRPr="001D1563">
        <w:rPr>
          <w:lang w:val="en-GB"/>
        </w:rPr>
        <w:t>Definitions</w:t>
      </w:r>
      <w:bookmarkEnd w:id="3"/>
    </w:p>
    <w:p w:rsidR="00F9279F" w:rsidRPr="001D1563" w:rsidRDefault="00F9279F" w:rsidP="00F9279F">
      <w:pPr>
        <w:pStyle w:val="FSCnatHeading"/>
        <w:rPr>
          <w:lang w:val="en-GB"/>
        </w:rPr>
      </w:pPr>
      <w:r w:rsidRPr="00F9279F">
        <w:rPr>
          <w:b/>
          <w:i/>
          <w:lang w:val="en-GB"/>
        </w:rPr>
        <w:t>Note</w:t>
      </w:r>
      <w:r w:rsidRPr="001D1563">
        <w:rPr>
          <w:lang w:val="en-GB"/>
        </w:rPr>
        <w:tab/>
        <w:t>In this Code (see section 1.1.2—3):</w:t>
      </w:r>
    </w:p>
    <w:p w:rsidR="00F9279F" w:rsidRPr="001D1563" w:rsidRDefault="00F9279F" w:rsidP="00F9279F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fruit juice</w:t>
      </w:r>
      <w:r w:rsidRPr="001D1563">
        <w:rPr>
          <w:lang w:val="en-GB"/>
        </w:rPr>
        <w:t xml:space="preserve"> means juice made from a fruit.</w:t>
      </w:r>
    </w:p>
    <w:p w:rsidR="00F9279F" w:rsidRPr="001D1563" w:rsidRDefault="00F9279F" w:rsidP="00F9279F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juice</w:t>
      </w:r>
      <w:r w:rsidRPr="001D1563">
        <w:rPr>
          <w:lang w:val="en-GB"/>
        </w:rPr>
        <w:t>:</w:t>
      </w:r>
    </w:p>
    <w:p w:rsidR="00F9279F" w:rsidRPr="001D1563" w:rsidRDefault="00F9279F" w:rsidP="00F9279F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means the liquid portion, with or without pulp, obtained from:</w:t>
      </w:r>
    </w:p>
    <w:p w:rsidR="00F9279F" w:rsidRPr="001D1563" w:rsidRDefault="00F9279F" w:rsidP="00F9279F">
      <w:pPr>
        <w:pStyle w:val="FSCn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a fruit or a vegetable; or</w:t>
      </w:r>
    </w:p>
    <w:p w:rsidR="00F9279F" w:rsidRPr="001D1563" w:rsidRDefault="00F9279F" w:rsidP="00F9279F">
      <w:pPr>
        <w:pStyle w:val="FSCn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in the case of citrus fruit, other than lime—the endocarp only of the fruit; and</w:t>
      </w:r>
    </w:p>
    <w:p w:rsidR="00F9279F" w:rsidRPr="001D1563" w:rsidRDefault="00F9279F" w:rsidP="00F9279F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includes a product that results from concentrating juice and then reconstituting it with water.</w:t>
      </w:r>
    </w:p>
    <w:p w:rsidR="00F9279F" w:rsidRPr="001D1563" w:rsidRDefault="00F9279F" w:rsidP="0050312D">
      <w:pPr>
        <w:pStyle w:val="FSCnMain"/>
        <w:ind w:left="1701" w:hanging="1701"/>
        <w:rPr>
          <w:lang w:val="en-GB"/>
        </w:rPr>
      </w:pPr>
      <w:r w:rsidRPr="001D1563">
        <w:rPr>
          <w:b/>
          <w:i/>
          <w:lang w:val="en-GB"/>
        </w:rPr>
        <w:tab/>
        <w:t>juice blend</w:t>
      </w:r>
      <w:r w:rsidRPr="001D1563">
        <w:rPr>
          <w:lang w:val="en-GB"/>
        </w:rPr>
        <w:t xml:space="preserve"> means a blend of more than one juice (including a blend of one or more fruit juices and one or more vegetable juices).</w:t>
      </w:r>
    </w:p>
    <w:p w:rsidR="00F9279F" w:rsidRPr="001D1563" w:rsidRDefault="00F9279F" w:rsidP="00F9279F">
      <w:pPr>
        <w:pStyle w:val="FSCnMain"/>
        <w:rPr>
          <w:lang w:val="en-GB"/>
        </w:rPr>
      </w:pPr>
      <w:bookmarkStart w:id="4" w:name="_Ref333230131"/>
      <w:bookmarkStart w:id="5" w:name="_Ref333230274"/>
      <w:bookmarkStart w:id="6" w:name="_Ref333230627"/>
      <w:r w:rsidRPr="001D1563">
        <w:rPr>
          <w:b/>
          <w:i/>
          <w:lang w:val="en-GB"/>
        </w:rPr>
        <w:tab/>
        <w:t>vegetable juice</w:t>
      </w:r>
      <w:r w:rsidRPr="001D1563">
        <w:rPr>
          <w:lang w:val="en-GB"/>
        </w:rPr>
        <w:t xml:space="preserve"> means juice made from a vegetable.</w:t>
      </w:r>
    </w:p>
    <w:p w:rsidR="00F9279F" w:rsidRPr="001D1563" w:rsidRDefault="00F9279F" w:rsidP="00F9279F">
      <w:pPr>
        <w:pStyle w:val="FSCh5Section"/>
        <w:rPr>
          <w:lang w:val="en-GB"/>
        </w:rPr>
      </w:pPr>
      <w:bookmarkStart w:id="7" w:name="_Toc371505582"/>
      <w:bookmarkStart w:id="8" w:name="_Toc400032197"/>
      <w:r w:rsidRPr="001D1563">
        <w:rPr>
          <w:lang w:val="en-GB"/>
        </w:rPr>
        <w:t>2.6.1—3</w:t>
      </w:r>
      <w:r w:rsidRPr="001D1563">
        <w:rPr>
          <w:lang w:val="en-GB"/>
        </w:rPr>
        <w:tab/>
        <w:t>Requirement for food sold as fruit juice or vegetable juice</w:t>
      </w:r>
      <w:bookmarkEnd w:id="4"/>
      <w:bookmarkEnd w:id="5"/>
      <w:bookmarkEnd w:id="6"/>
      <w:bookmarkEnd w:id="7"/>
      <w:bookmarkEnd w:id="8"/>
    </w:p>
    <w:p w:rsidR="00F9279F" w:rsidRPr="001D1563" w:rsidRDefault="00F9279F" w:rsidP="00F9279F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A food that is sold as fruit juice or as the juice of a specified fruit or fruits must be fruit juice or a blend of fruit juices, and may contain any of the following additional ingredients:</w:t>
      </w:r>
    </w:p>
    <w:p w:rsidR="00F9279F" w:rsidRPr="001D1563" w:rsidRDefault="00F9279F" w:rsidP="00F9279F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no more than 40 g/kg of sugars;</w:t>
      </w:r>
    </w:p>
    <w:p w:rsidR="00F9279F" w:rsidRPr="001D1563" w:rsidRDefault="00F9279F" w:rsidP="00F9279F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salt;</w:t>
      </w:r>
    </w:p>
    <w:p w:rsidR="00F9279F" w:rsidRPr="001D1563" w:rsidRDefault="00F9279F" w:rsidP="00F9279F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herbs and spices.</w:t>
      </w:r>
    </w:p>
    <w:p w:rsidR="00F9279F" w:rsidRPr="001D1563" w:rsidRDefault="00F9279F" w:rsidP="00F9279F">
      <w:pPr>
        <w:pStyle w:val="FSCtMain"/>
        <w:rPr>
          <w:lang w:val="en-GB"/>
        </w:rPr>
      </w:pPr>
      <w:bookmarkStart w:id="9" w:name="_Ref332879171"/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A food that is sold as vegetable juice or as the juice of a specified vegetable or vegetables must be vegetable juice, or a blend of vegetable juices, and may contain any of the following additional ingredients:</w:t>
      </w:r>
    </w:p>
    <w:p w:rsidR="00F9279F" w:rsidRPr="001D1563" w:rsidRDefault="00F9279F" w:rsidP="00F9279F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sugars;</w:t>
      </w:r>
    </w:p>
    <w:p w:rsidR="00F9279F" w:rsidRPr="001D1563" w:rsidRDefault="00F9279F" w:rsidP="00F9279F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salt;</w:t>
      </w:r>
    </w:p>
    <w:p w:rsidR="00F9279F" w:rsidRPr="001D1563" w:rsidRDefault="00F9279F" w:rsidP="00F9279F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herbs and spices.</w:t>
      </w:r>
    </w:p>
    <w:p w:rsidR="00F9279F" w:rsidRPr="001D1563" w:rsidRDefault="00F9279F" w:rsidP="00F9279F">
      <w:pPr>
        <w:pStyle w:val="FSCh5Section"/>
        <w:rPr>
          <w:lang w:val="en-GB"/>
        </w:rPr>
      </w:pPr>
      <w:bookmarkStart w:id="10" w:name="_Ref336442910"/>
      <w:bookmarkStart w:id="11" w:name="_Toc371505583"/>
      <w:bookmarkStart w:id="12" w:name="_Toc400032198"/>
      <w:r w:rsidRPr="001D1563">
        <w:rPr>
          <w:lang w:val="en-GB"/>
        </w:rPr>
        <w:t>2.6.1—4</w:t>
      </w:r>
      <w:r w:rsidRPr="001D1563">
        <w:rPr>
          <w:lang w:val="en-GB"/>
        </w:rPr>
        <w:tab/>
        <w:t>Name and percentage by volume of juices in juice blend</w:t>
      </w:r>
      <w:bookmarkEnd w:id="9"/>
      <w:bookmarkEnd w:id="10"/>
      <w:bookmarkEnd w:id="11"/>
      <w:bookmarkEnd w:id="12"/>
    </w:p>
    <w:p w:rsidR="00F9279F" w:rsidRPr="001D1563" w:rsidRDefault="00F9279F" w:rsidP="00F9279F">
      <w:pPr>
        <w:pStyle w:val="FSCtMain"/>
        <w:rPr>
          <w:lang w:val="en-GB"/>
        </w:rPr>
      </w:pPr>
      <w:bookmarkStart w:id="13" w:name="_Ref322444227"/>
      <w:r w:rsidRPr="001D1563">
        <w:rPr>
          <w:lang w:val="en-GB"/>
        </w:rPr>
        <w:tab/>
      </w:r>
      <w:r w:rsidRPr="001D1563">
        <w:rPr>
          <w:lang w:val="en-GB"/>
        </w:rPr>
        <w:tab/>
        <w:t>For the labelling provisions, the name and percentage of each juice in juice blend is not required for orange juice which contains no more than 10% in total of</w:t>
      </w:r>
      <w:bookmarkEnd w:id="13"/>
      <w:r w:rsidRPr="001D1563">
        <w:rPr>
          <w:lang w:val="en-GB"/>
        </w:rPr>
        <w:t>:</w:t>
      </w:r>
    </w:p>
    <w:p w:rsidR="00F9279F" w:rsidRPr="001D1563" w:rsidRDefault="00F9279F" w:rsidP="00F9279F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mandarin juice; or</w:t>
      </w:r>
    </w:p>
    <w:p w:rsidR="00F9279F" w:rsidRPr="001D1563" w:rsidRDefault="00F9279F" w:rsidP="00F9279F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tangelo juice; or</w:t>
      </w:r>
    </w:p>
    <w:p w:rsidR="00F9279F" w:rsidRPr="001D1563" w:rsidRDefault="00F9279F" w:rsidP="00F9279F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mandarin juice and tangelo juice.</w:t>
      </w:r>
    </w:p>
    <w:p w:rsidR="00F9279F" w:rsidRPr="001D1563" w:rsidRDefault="00F9279F" w:rsidP="00F9279F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The labelling provisions are set out in Standard 1.2.1.</w:t>
      </w:r>
    </w:p>
    <w:p w:rsidR="00F9279F" w:rsidRPr="001D1563" w:rsidRDefault="00F9279F" w:rsidP="00F9279F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E32E5E" w:rsidRPr="000F7093" w:rsidRDefault="00E32E5E" w:rsidP="00E32E5E"/>
    <w:sectPr w:rsidR="00E32E5E" w:rsidRPr="000F7093" w:rsidSect="0009423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79F" w:rsidRDefault="00F9279F">
      <w:r>
        <w:separator/>
      </w:r>
    </w:p>
  </w:endnote>
  <w:endnote w:type="continuationSeparator" w:id="0">
    <w:p w:rsidR="00F9279F" w:rsidRDefault="00F9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D9" w:rsidRDefault="002954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094234" w:rsidRPr="00CF1834" w:rsidRDefault="00094234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D9" w:rsidRDefault="002954D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2954D9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F9279F">
      <w:rPr>
        <w:rFonts w:cs="Arial"/>
        <w:noProof/>
        <w:sz w:val="18"/>
        <w:szCs w:val="18"/>
      </w:rPr>
      <w:t xml:space="preserve">Standard 2.6.1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79F" w:rsidRDefault="00F9279F">
      <w:r>
        <w:separator/>
      </w:r>
    </w:p>
  </w:footnote>
  <w:footnote w:type="continuationSeparator" w:id="0">
    <w:p w:rsidR="00F9279F" w:rsidRDefault="00F92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D9" w:rsidRDefault="002954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D9" w:rsidRDefault="002954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D9" w:rsidRDefault="002954D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F9279F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4234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954D9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2052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312D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35127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9279F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0312D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50312D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50312D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50312D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50312D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50312D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50312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0312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0312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50312D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50312D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0312D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0312D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0312D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0312D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50312D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12D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12D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0312D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50312D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50312D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0312D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5031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12D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50312D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50312D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50312D"/>
    <w:pPr>
      <w:ind w:right="1417"/>
    </w:pPr>
  </w:style>
  <w:style w:type="character" w:styleId="FootnoteReference">
    <w:name w:val="footnote reference"/>
    <w:basedOn w:val="DefaultParagraphFont"/>
    <w:semiHidden/>
    <w:rsid w:val="0050312D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50312D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0312D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50312D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50312D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50312D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50312D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50312D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50312D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50312D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50312D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50312D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50312D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50312D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50312D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12D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50312D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50312D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50312D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50312D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50312D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50312D"/>
  </w:style>
  <w:style w:type="paragraph" w:customStyle="1" w:styleId="FSCsbMainSection">
    <w:name w:val="FSC_sb_Main_Section"/>
    <w:basedOn w:val="FSCsbFirstSection"/>
    <w:qFormat/>
    <w:rsid w:val="0050312D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50312D"/>
  </w:style>
  <w:style w:type="paragraph" w:customStyle="1" w:styleId="FSCtDefn">
    <w:name w:val="FSC_t_Defn"/>
    <w:aliases w:val="t1_Defn"/>
    <w:basedOn w:val="FSCtMain"/>
    <w:rsid w:val="0050312D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50312D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50312D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50312D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50312D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50312D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50312D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50312D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50312D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50312D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50312D"/>
    <w:rPr>
      <w:sz w:val="16"/>
    </w:rPr>
  </w:style>
  <w:style w:type="paragraph" w:customStyle="1" w:styleId="FSCoTitleofInstrument">
    <w:name w:val="FSC_o_Title_of_Instrument"/>
    <w:basedOn w:val="Normal"/>
    <w:rsid w:val="0050312D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50312D"/>
  </w:style>
  <w:style w:type="paragraph" w:styleId="BalloonText">
    <w:name w:val="Balloon Text"/>
    <w:basedOn w:val="Normal"/>
    <w:link w:val="BalloonTextChar"/>
    <w:uiPriority w:val="99"/>
    <w:semiHidden/>
    <w:unhideWhenUsed/>
    <w:rsid w:val="005031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12D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98"/>
    <w:rsid w:val="00257896"/>
    <w:pPr>
      <w:ind w:left="720"/>
      <w:contextualSpacing/>
    </w:pPr>
  </w:style>
  <w:style w:type="paragraph" w:customStyle="1" w:styleId="FSCoContents">
    <w:name w:val="FSC_o_Contents"/>
    <w:basedOn w:val="FSCh2Part"/>
    <w:rsid w:val="0050312D"/>
    <w:pPr>
      <w:ind w:left="0" w:firstLine="0"/>
      <w:jc w:val="center"/>
    </w:pPr>
  </w:style>
  <w:style w:type="paragraph" w:customStyle="1" w:styleId="FSCbaseheading">
    <w:name w:val="FSC_base_heading"/>
    <w:rsid w:val="0050312D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50312D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50312D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50312D"/>
    <w:pPr>
      <w:jc w:val="center"/>
    </w:pPr>
    <w:rPr>
      <w:iCs w:val="0"/>
    </w:rPr>
  </w:style>
  <w:style w:type="paragraph" w:customStyle="1" w:styleId="FSCfooter">
    <w:name w:val="FSC_footer"/>
    <w:basedOn w:val="Normal"/>
    <w:rsid w:val="0050312D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50312D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50312D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50312D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50312D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50312D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50312D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50312D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50312D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50312D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50312D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50312D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50312D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50312D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50312D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50312D"/>
    <w:pPr>
      <w:ind w:left="1701"/>
    </w:pPr>
  </w:style>
  <w:style w:type="paragraph" w:customStyle="1" w:styleId="FSCbasetbl">
    <w:name w:val="FSC_base_tbl"/>
    <w:basedOn w:val="FSCbasepara"/>
    <w:qFormat/>
    <w:rsid w:val="0050312D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50312D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50312D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50312D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0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12D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12D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50312D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50312D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50312D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50312D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50312D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50312D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50312D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50312D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50312D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50312D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50312D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50312D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094234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09423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094234"/>
    <w:rPr>
      <w:b w:val="0"/>
    </w:rPr>
  </w:style>
  <w:style w:type="character" w:customStyle="1" w:styleId="ClauseChar">
    <w:name w:val="Clause Char"/>
    <w:basedOn w:val="DefaultParagraphFont"/>
    <w:link w:val="Clause"/>
    <w:rsid w:val="00094234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094234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94234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0312D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50312D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50312D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50312D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50312D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50312D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50312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0312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0312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50312D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50312D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0312D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0312D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0312D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0312D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50312D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12D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12D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0312D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50312D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50312D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0312D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5031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12D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50312D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50312D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50312D"/>
    <w:pPr>
      <w:ind w:right="1417"/>
    </w:pPr>
  </w:style>
  <w:style w:type="character" w:styleId="FootnoteReference">
    <w:name w:val="footnote reference"/>
    <w:basedOn w:val="DefaultParagraphFont"/>
    <w:semiHidden/>
    <w:rsid w:val="0050312D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50312D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0312D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50312D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50312D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50312D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50312D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50312D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50312D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50312D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50312D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50312D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50312D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50312D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50312D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12D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50312D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50312D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50312D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50312D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50312D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50312D"/>
  </w:style>
  <w:style w:type="paragraph" w:customStyle="1" w:styleId="FSCsbMainSection">
    <w:name w:val="FSC_sb_Main_Section"/>
    <w:basedOn w:val="FSCsbFirstSection"/>
    <w:qFormat/>
    <w:rsid w:val="0050312D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50312D"/>
  </w:style>
  <w:style w:type="paragraph" w:customStyle="1" w:styleId="FSCtDefn">
    <w:name w:val="FSC_t_Defn"/>
    <w:aliases w:val="t1_Defn"/>
    <w:basedOn w:val="FSCtMain"/>
    <w:rsid w:val="0050312D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50312D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50312D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50312D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50312D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50312D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50312D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50312D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50312D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50312D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50312D"/>
    <w:rPr>
      <w:sz w:val="16"/>
    </w:rPr>
  </w:style>
  <w:style w:type="paragraph" w:customStyle="1" w:styleId="FSCoTitleofInstrument">
    <w:name w:val="FSC_o_Title_of_Instrument"/>
    <w:basedOn w:val="Normal"/>
    <w:rsid w:val="0050312D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50312D"/>
  </w:style>
  <w:style w:type="paragraph" w:styleId="BalloonText">
    <w:name w:val="Balloon Text"/>
    <w:basedOn w:val="Normal"/>
    <w:link w:val="BalloonTextChar"/>
    <w:uiPriority w:val="99"/>
    <w:semiHidden/>
    <w:unhideWhenUsed/>
    <w:rsid w:val="005031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12D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98"/>
    <w:rsid w:val="00257896"/>
    <w:pPr>
      <w:ind w:left="720"/>
      <w:contextualSpacing/>
    </w:pPr>
  </w:style>
  <w:style w:type="paragraph" w:customStyle="1" w:styleId="FSCoContents">
    <w:name w:val="FSC_o_Contents"/>
    <w:basedOn w:val="FSCh2Part"/>
    <w:rsid w:val="0050312D"/>
    <w:pPr>
      <w:ind w:left="0" w:firstLine="0"/>
      <w:jc w:val="center"/>
    </w:pPr>
  </w:style>
  <w:style w:type="paragraph" w:customStyle="1" w:styleId="FSCbaseheading">
    <w:name w:val="FSC_base_heading"/>
    <w:rsid w:val="0050312D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50312D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50312D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50312D"/>
    <w:pPr>
      <w:jc w:val="center"/>
    </w:pPr>
    <w:rPr>
      <w:iCs w:val="0"/>
    </w:rPr>
  </w:style>
  <w:style w:type="paragraph" w:customStyle="1" w:styleId="FSCfooter">
    <w:name w:val="FSC_footer"/>
    <w:basedOn w:val="Normal"/>
    <w:rsid w:val="0050312D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50312D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50312D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50312D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50312D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50312D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50312D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50312D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50312D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50312D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50312D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50312D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50312D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50312D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50312D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50312D"/>
    <w:pPr>
      <w:ind w:left="1701"/>
    </w:pPr>
  </w:style>
  <w:style w:type="paragraph" w:customStyle="1" w:styleId="FSCbasetbl">
    <w:name w:val="FSC_base_tbl"/>
    <w:basedOn w:val="FSCbasepara"/>
    <w:qFormat/>
    <w:rsid w:val="0050312D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50312D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50312D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50312D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0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12D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12D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50312D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50312D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50312D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50312D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50312D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50312D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50312D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50312D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50312D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50312D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50312D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50312D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094234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09423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094234"/>
    <w:rPr>
      <w:b w:val="0"/>
    </w:rPr>
  </w:style>
  <w:style w:type="character" w:customStyle="1" w:styleId="ClauseChar">
    <w:name w:val="Clause Char"/>
    <w:basedOn w:val="DefaultParagraphFont"/>
    <w:link w:val="Clause"/>
    <w:rsid w:val="00094234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094234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94234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2015-03-31T05:03:00Z</dcterms:created>
  <dcterms:modified xsi:type="dcterms:W3CDTF">2015-03-31T05:04:00Z</dcterms:modified>
</cp:coreProperties>
</file>