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67" w:rsidRPr="00C0014E" w:rsidRDefault="00AA7467" w:rsidP="00AA7467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7BF61F9D" wp14:editId="2C27C8F7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67" w:rsidRPr="006153A1" w:rsidRDefault="00AA7467" w:rsidP="00AA7467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AA7467" w:rsidRPr="002A7834" w:rsidRDefault="00AA7467" w:rsidP="00AA7467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AA7467" w:rsidRPr="00C0014E" w:rsidRDefault="00AA7467" w:rsidP="00AA7467">
      <w:pPr>
        <w:pBdr>
          <w:bottom w:val="single" w:sz="4" w:space="1" w:color="auto"/>
        </w:pBdr>
        <w:rPr>
          <w:b/>
        </w:rPr>
      </w:pPr>
    </w:p>
    <w:p w:rsidR="00AA7467" w:rsidRPr="008F2616" w:rsidRDefault="00AA7467" w:rsidP="00AA7467"/>
    <w:p w:rsidR="00AA7467" w:rsidRPr="00F85758" w:rsidRDefault="00AA7467" w:rsidP="00AA7467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AA7467" w:rsidRPr="008F2616" w:rsidRDefault="00AA7467" w:rsidP="00AA7467"/>
    <w:p w:rsidR="00AA7467" w:rsidRPr="007B2098" w:rsidRDefault="00AA7467" w:rsidP="00AA7467">
      <w:r w:rsidRPr="007B2098">
        <w:t xml:space="preserve">Dated </w:t>
      </w:r>
      <w:r>
        <w:t>25</w:t>
      </w:r>
      <w:r w:rsidRPr="007B2098">
        <w:t xml:space="preserve"> March 2015</w:t>
      </w:r>
    </w:p>
    <w:p w:rsidR="00AA7467" w:rsidRPr="008F2616" w:rsidRDefault="00AA7467" w:rsidP="00AA7467">
      <w:r>
        <w:rPr>
          <w:noProof/>
          <w:lang w:val="en-AU"/>
        </w:rPr>
        <w:drawing>
          <wp:inline distT="0" distB="0" distL="0" distR="0" wp14:anchorId="2620B0C0" wp14:editId="4F296E9F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67" w:rsidRPr="008F2616" w:rsidRDefault="00AA7467" w:rsidP="00AA7467">
      <w:r w:rsidRPr="008F2616">
        <w:t>Standards Management Officer</w:t>
      </w:r>
    </w:p>
    <w:p w:rsidR="00AA7467" w:rsidRPr="008F2616" w:rsidRDefault="00AA7467" w:rsidP="00AA7467">
      <w:r w:rsidRPr="008F2616">
        <w:t>Delegate of the Board of Food Standards Australia New Zealand</w:t>
      </w:r>
    </w:p>
    <w:p w:rsidR="00AA7467" w:rsidRDefault="00AA7467" w:rsidP="00AA7467"/>
    <w:p w:rsidR="00AA7467" w:rsidRDefault="00AA7467" w:rsidP="00AA7467"/>
    <w:p w:rsidR="00AA7467" w:rsidRDefault="00AA7467" w:rsidP="00AA7467"/>
    <w:p w:rsidR="00AA7467" w:rsidRDefault="00AA7467" w:rsidP="00AA7467"/>
    <w:p w:rsidR="00AA7467" w:rsidRDefault="00AA7467" w:rsidP="00AA7467"/>
    <w:p w:rsidR="00AA7467" w:rsidRPr="00574DE1" w:rsidRDefault="00AA7467" w:rsidP="00AA7467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AA7467" w:rsidRPr="00574DE1" w:rsidRDefault="00AA7467" w:rsidP="00AA7467">
      <w:pPr>
        <w:pStyle w:val="EditorialNotetext"/>
        <w:rPr>
          <w:lang w:val="en-AU"/>
        </w:rPr>
      </w:pPr>
    </w:p>
    <w:p w:rsidR="00AA7467" w:rsidRPr="007B2098" w:rsidRDefault="00AA7467" w:rsidP="00AA7467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AA7467" w:rsidRDefault="00AA7467" w:rsidP="00AA7467"/>
    <w:p w:rsidR="00AA7467" w:rsidRDefault="00AA7467" w:rsidP="00AA7467">
      <w:pPr>
        <w:sectPr w:rsidR="00AA7467" w:rsidSect="00AA74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941752" w:rsidRPr="001D1563" w:rsidRDefault="00941752" w:rsidP="00941752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23</w:t>
      </w:r>
      <w:r w:rsidRPr="001D1563">
        <w:rPr>
          <w:lang w:val="en-GB"/>
        </w:rPr>
        <w:tab/>
        <w:t>Prohibited plants and fungi</w:t>
      </w:r>
    </w:p>
    <w:p w:rsidR="00941752" w:rsidRPr="001D1563" w:rsidRDefault="00941752" w:rsidP="00941752">
      <w:pPr>
        <w:pStyle w:val="FSCnatHeading"/>
        <w:rPr>
          <w:lang w:val="en-GB"/>
        </w:rPr>
      </w:pPr>
      <w:r w:rsidRPr="00941752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BF2031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941752" w:rsidRPr="001D1563" w:rsidRDefault="00941752" w:rsidP="00941752">
      <w:pPr>
        <w:pStyle w:val="FSCnatHeading"/>
        <w:rPr>
          <w:lang w:val="en-GB"/>
        </w:rPr>
      </w:pPr>
      <w:r w:rsidRPr="001D1563">
        <w:rPr>
          <w:lang w:val="en-GB"/>
        </w:rPr>
        <w:tab/>
        <w:t xml:space="preserve">Prohibited plants and fungi are regulated by paragraphs 1.1.1—10(3)(a) and (4)(e) and Standard 1.4.4. This Standard lists plants and fungi for the definition of </w:t>
      </w:r>
      <w:r w:rsidRPr="001D1563">
        <w:rPr>
          <w:b/>
          <w:i/>
          <w:lang w:val="en-GB"/>
        </w:rPr>
        <w:t xml:space="preserve">prohibited plant or fungus </w:t>
      </w:r>
      <w:r w:rsidRPr="001D1563">
        <w:rPr>
          <w:lang w:val="en-GB"/>
        </w:rPr>
        <w:t>in section 1.1.2—3.</w:t>
      </w:r>
    </w:p>
    <w:p w:rsidR="00941752" w:rsidRPr="001D1563" w:rsidRDefault="00941752" w:rsidP="00941752">
      <w:pPr>
        <w:pStyle w:val="FSCnatHeading"/>
        <w:rPr>
          <w:lang w:val="en-GB"/>
        </w:rPr>
      </w:pPr>
      <w:r w:rsidRPr="00941752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941752" w:rsidRPr="001D1563" w:rsidRDefault="00941752" w:rsidP="00941752">
      <w:pPr>
        <w:pStyle w:val="FSCh5Section"/>
        <w:rPr>
          <w:lang w:val="en-GB"/>
        </w:rPr>
      </w:pPr>
      <w:bookmarkStart w:id="1" w:name="_Toc400032519"/>
      <w:bookmarkStart w:id="2" w:name="_Toc371505878"/>
      <w:r w:rsidRPr="001D1563">
        <w:rPr>
          <w:rFonts w:ascii="Arial Bold" w:hAnsi="Arial Bold"/>
          <w:lang w:val="en-GB"/>
        </w:rPr>
        <w:t>S23—1</w:t>
      </w:r>
      <w:r w:rsidRPr="001D1563">
        <w:rPr>
          <w:lang w:val="en-GB"/>
        </w:rPr>
        <w:tab/>
        <w:t>Name</w:t>
      </w:r>
      <w:bookmarkEnd w:id="1"/>
    </w:p>
    <w:p w:rsidR="00941752" w:rsidRPr="00BF2031" w:rsidRDefault="00941752" w:rsidP="00941752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BF2031" w:rsidRPr="00BF2031">
        <w:rPr>
          <w:lang w:val="en-GB"/>
        </w:rPr>
        <w:t>–</w:t>
      </w:r>
      <w:r w:rsidRPr="00BF2031">
        <w:rPr>
          <w:lang w:val="en-GB"/>
        </w:rPr>
        <w:t xml:space="preserve"> Schedule 23 </w:t>
      </w:r>
      <w:r w:rsidR="00BF2031" w:rsidRPr="00BF2031">
        <w:rPr>
          <w:lang w:val="en-GB"/>
        </w:rPr>
        <w:t>–</w:t>
      </w:r>
      <w:r w:rsidRPr="00BF2031">
        <w:rPr>
          <w:lang w:val="en-GB"/>
        </w:rPr>
        <w:t xml:space="preserve"> Prohibited plants and fungi.</w:t>
      </w:r>
    </w:p>
    <w:p w:rsidR="00941752" w:rsidRPr="001D1563" w:rsidRDefault="00941752" w:rsidP="00941752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941752" w:rsidRPr="001D1563" w:rsidRDefault="00941752" w:rsidP="00941752">
      <w:pPr>
        <w:pStyle w:val="FSCh5Section"/>
        <w:rPr>
          <w:lang w:val="en-GB"/>
        </w:rPr>
      </w:pPr>
      <w:bookmarkStart w:id="3" w:name="_Toc400032520"/>
      <w:r w:rsidRPr="001D1563">
        <w:rPr>
          <w:lang w:val="en-GB"/>
        </w:rPr>
        <w:t>S23—2</w:t>
      </w:r>
      <w:r w:rsidRPr="001D1563">
        <w:rPr>
          <w:lang w:val="en-GB"/>
        </w:rPr>
        <w:tab/>
        <w:t>Prohibited plants and fungi</w:t>
      </w:r>
      <w:bookmarkEnd w:id="2"/>
      <w:bookmarkEnd w:id="3"/>
    </w:p>
    <w:p w:rsidR="00941752" w:rsidRPr="001D1563" w:rsidRDefault="00941752" w:rsidP="00C430BF">
      <w:pPr>
        <w:pStyle w:val="FSCtMain"/>
        <w:ind w:right="-286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For paragraph (a) of the definition of </w:t>
      </w:r>
      <w:r w:rsidRPr="001D1563">
        <w:rPr>
          <w:b/>
          <w:i/>
          <w:lang w:val="en-GB"/>
        </w:rPr>
        <w:t xml:space="preserve">prohibited plant or fungus </w:t>
      </w:r>
      <w:r w:rsidRPr="001D1563">
        <w:rPr>
          <w:lang w:val="en-GB"/>
        </w:rPr>
        <w:t>in section 1.1.2—3, the plants and fungi are:</w:t>
      </w:r>
    </w:p>
    <w:p w:rsidR="00941752" w:rsidRPr="001D1563" w:rsidRDefault="00941752" w:rsidP="00BF2031">
      <w:pPr>
        <w:pStyle w:val="FSCtblBh2"/>
      </w:pPr>
      <w:r w:rsidRPr="001D1563">
        <w:t>Prohibited plants and fungi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393"/>
      </w:tblGrid>
      <w:tr w:rsidR="00BF2031" w:rsidRPr="00BF2031" w:rsidTr="00C430BF">
        <w:trPr>
          <w:cantSplit/>
          <w:tblHeader/>
          <w:jc w:val="center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</w:tcPr>
          <w:p w:rsidR="00BF2031" w:rsidRPr="00BF2031" w:rsidRDefault="00BF2031" w:rsidP="00BF2031">
            <w:pPr>
              <w:pStyle w:val="FSCtblAh3"/>
            </w:pPr>
            <w:r w:rsidRPr="00BF2031">
              <w:t>Species name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</w:tcPr>
          <w:p w:rsidR="00BF2031" w:rsidRPr="00BF2031" w:rsidRDefault="00BF2031" w:rsidP="00BF2031">
            <w:pPr>
              <w:pStyle w:val="FSCtblAh3"/>
            </w:pPr>
            <w:r w:rsidRPr="00BF2031">
              <w:t>Common name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  <w:tcBorders>
              <w:top w:val="single" w:sz="4" w:space="0" w:color="auto"/>
            </w:tcBorders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Abrus cantoniensis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Abrus precatorius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Jequirity seeds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Acokanthera schimperi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Arrow poison tree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Aconitum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Aconite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Acorus calamus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Calamus oil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Adonis vernalis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False hellebore, Spring adonis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Aesculus hippocastanum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Horse chestnut, Buckeye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Alocasia macrorrhiza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Cunjevoi, Elephant ear, Kape, ‘Ape, Ta’amu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Alstonia constricta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Alstonia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Amanita muscaria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Agaricus, Fly agaric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Amanita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Amanita Mushroom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Ammi visnaga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Bisnaga, Khella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Anadenanthera peregrina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Cohoba yope, Niopo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Anchusa officinalis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Bugloss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Apocynum androsaemifolium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Bitter root, Spreading dogbane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Apocynum cannabinum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Canadian hemp, Dogbane, Indian hemp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Areca catechu nut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Betel nut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Argyreia nervosa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Woolly morning glory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Aristolochia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Birthwort, Snakeroot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Arnica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Arnica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Atropa belladonna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Deadly nightshade, Dwale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Banisteriopsis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Banisteria, Caapi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Borago officinalis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Borage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Brachyglottis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Rangiora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lastRenderedPageBreak/>
              <w:t>Brunfelsia uniflora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Manaca, Mercury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Bryonia alba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 xml:space="preserve">European white bryony 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Bryonia dioica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White bryony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Cacalia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Calotropis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Calotropis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Cannabis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Hemp, Marijuana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Catha edulis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Khat, Chat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Catharanthus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Periwinkle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Cestrum nocturnum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Queen of the night, Night blooming jessamine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Chelidonium majus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Common celandine, Greater celandine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Chenopodium ambrosioides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Wormseed, Mexican goosefoot, Pigweed, America wormseed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Cicuta virosa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Cowbane, European water hemlock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Clitocybe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Fungi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Colchicum autumnale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Autumn crocus, Meadow saffron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Conium maculatum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Hemlock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Conocybe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Convallaria majalis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Lily of the Valley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Copelandia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Fungi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Coprinus atramentarius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Common ink cap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Coriaria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Tutu, Tuupaakihi, Puuhou, Toot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Cornyocarpus laevigatus </w:t>
            </w:r>
            <w:r w:rsidRPr="00BF2031">
              <w:t>seed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Karaka kernel, New Zealand laurel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Coronilla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Crown vetch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Cortinarius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Fungi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Coryanthe yohimbe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Yohimbe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Crotolaria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Crotolaria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Croton tiglium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Croton, Purging croton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Cycas media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Zamia palm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Cynoglossum officinale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>
              <w:t>Hound’</w:t>
            </w:r>
            <w:r w:rsidRPr="00BF2031">
              <w:t>s tongue, Beggar’s lice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Cytisus scoparius </w:t>
            </w:r>
            <w:r w:rsidRPr="00BF2031">
              <w:t>(see</w:t>
            </w:r>
            <w:r w:rsidRPr="00BF2031">
              <w:rPr>
                <w:i/>
              </w:rPr>
              <w:t xml:space="preserve"> Sarothamnus scoparius</w:t>
            </w:r>
            <w:r w:rsidRPr="00BF2031">
              <w:t>)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Daphne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Daphne, Mezereum, Spurge laurel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Datura stramonium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Jimson weed, Datura, Thornapple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Delphinium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Larkspur, Stavesacre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Digitalis purpurea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Foxglove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Dryopteris filix-mas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Male fern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Duboisia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Corkwood, Pituri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Echium plantagineum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Patterson’s curse, Salvation Jane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Echium vulgare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Viper’s bugloss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Entoloma sinuatus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Fungus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Ephedra sinica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Ma-huang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Erysimum canescens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Euonymus europaeus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Spindle tree, Skewer wood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Eupatorium rugosum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White snakeroot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Euphorbia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Euphorbia, Milkweed, Spurge, Pennyroyal oil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Farfugium japonicum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Galanthus nivalis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Snowdrop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Galerina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Fungi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Gelsemium sempervirens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Yellow Jessamine, Gelsemium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Gymnopilus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Fungi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Gyromitra esculenta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False morel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Haemadictyon amazonica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Yage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Heliotropium </w:t>
            </w:r>
            <w:r w:rsidRPr="00BF2031">
              <w:t>spp.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Heliotrope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Helleborous niger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Black hellebore, Christmas rose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Hemerocallis fulva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Pale day lily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Hippomane mancinella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Manzanillo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Homeria breyniana </w:t>
            </w:r>
            <w:r w:rsidRPr="00BF2031">
              <w:t xml:space="preserve">(see </w:t>
            </w:r>
            <w:r w:rsidRPr="00BF2031">
              <w:rPr>
                <w:i/>
              </w:rPr>
              <w:t>Homeria collina</w:t>
            </w:r>
            <w:r w:rsidRPr="00BF2031">
              <w:t>)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Homeria collina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One-leaved cape tulip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Homeria miniata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Two-leaved cape tulip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Hydrastis canadensis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Goldenseal root or its extract</w:t>
            </w:r>
          </w:p>
        </w:tc>
      </w:tr>
      <w:tr w:rsidR="00BF2031" w:rsidRPr="00BF2031" w:rsidTr="00C430BF">
        <w:trPr>
          <w:jc w:val="center"/>
        </w:trPr>
        <w:tc>
          <w:tcPr>
            <w:tcW w:w="4679" w:type="dxa"/>
          </w:tcPr>
          <w:p w:rsidR="00BF2031" w:rsidRPr="00BF2031" w:rsidRDefault="00BF2031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Hydnocarpus anthelmentica</w:t>
            </w:r>
          </w:p>
        </w:tc>
        <w:tc>
          <w:tcPr>
            <w:tcW w:w="4393" w:type="dxa"/>
          </w:tcPr>
          <w:p w:rsidR="00BF2031" w:rsidRPr="00BF2031" w:rsidRDefault="00BF2031" w:rsidP="00BF2031">
            <w:pPr>
              <w:pStyle w:val="FSCtblAMain"/>
            </w:pPr>
            <w:r w:rsidRPr="00BF2031">
              <w:t>Chalmoogra seed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Hyoscyamus niger</w:t>
            </w:r>
          </w:p>
        </w:tc>
        <w:tc>
          <w:tcPr>
            <w:tcW w:w="4393" w:type="dxa"/>
          </w:tcPr>
          <w:p w:rsidR="00C430BF" w:rsidRPr="00BF2031" w:rsidRDefault="00C430BF" w:rsidP="006F0AFD">
            <w:pPr>
              <w:pStyle w:val="FSCtblAMain"/>
            </w:pPr>
            <w:r w:rsidRPr="00BF2031">
              <w:t>Black henbane, Stinking nightshade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rPr>
                <w:i/>
              </w:rPr>
              <w:t>Hypholoma fascicu</w:t>
            </w:r>
            <w:r w:rsidRPr="00BF2031">
              <w:t>lare</w:t>
            </w:r>
          </w:p>
        </w:tc>
        <w:tc>
          <w:tcPr>
            <w:tcW w:w="4393" w:type="dxa"/>
          </w:tcPr>
          <w:p w:rsidR="00C430BF" w:rsidRPr="00BF2031" w:rsidRDefault="00C430BF" w:rsidP="006F0AFD">
            <w:pPr>
              <w:pStyle w:val="FSCtblAMain"/>
            </w:pPr>
            <w:r w:rsidRPr="00BF2031">
              <w:t>Sulphur tuft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Ilex aquifolium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Holly, English holly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Inocybe </w:t>
            </w:r>
            <w:r w:rsidRPr="00BF2031">
              <w:t>spp.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Fungi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Ipomoea burmanni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Morning glory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Ipomoea hederacea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Morning glory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Ipomoea tricolor</w:t>
            </w:r>
            <w:r w:rsidRPr="00BF2031">
              <w:t xml:space="preserve"> (see </w:t>
            </w:r>
            <w:r w:rsidRPr="00BF2031">
              <w:rPr>
                <w:i/>
              </w:rPr>
              <w:t>Ipomoea violacea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Ipomoea violacea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Morning glory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Juniperus sabina oil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Savin oil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Kalmia latifolia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 xml:space="preserve">Calico bush, Mountain Laurel, Ivy Bush 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Laburnum anagyroides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Laburnum, Golden chain, Golden rain, Bean tree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Lantana camara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Lantana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Laurelia nova-zelandiae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Pukatea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Lepiota morgani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Fungus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Lithospermum </w:t>
            </w:r>
            <w:r w:rsidRPr="00BF2031">
              <w:t>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Lobelia inflata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Indian tobacco, Lobelia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Lophophora </w:t>
            </w:r>
            <w:r w:rsidRPr="00BF2031">
              <w:t>spp.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Peyote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Lycium ferocissimum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Boxthorn, African boxthorn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Mahonia aquifolium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Oregon grape or Mountain grape root or its extract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Mandragora officinarum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European mandrake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Manihot esculenta Crantz</w:t>
            </w:r>
            <w:r w:rsidRPr="00BF2031">
              <w:t xml:space="preserve"> (other than Sweet Cassava)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Cassava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Melia azedarach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White cedar, Indian bead tree, Chinaberry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Menispermum canadense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 xml:space="preserve">Yellow parilla, Moonseed 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Myoporum laetum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Ngaio, Kaio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Narcissus jonquille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Narcissus, Daffodil, Jonquil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Narcissus poeticus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Narcissus, Daffodil, Jonquil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Narcissus pseudonarcissus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Narcissus, Daffodil, Jonquil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rPr>
                <w:i/>
              </w:rPr>
              <w:t>Nerium oleander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Oleander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rPr>
                <w:i/>
              </w:rPr>
              <w:t xml:space="preserve">Nicotiana </w:t>
            </w:r>
            <w:r w:rsidRPr="00BF2031">
              <w:t>spp.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Tobacco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Oenanthe aquatica</w:t>
            </w:r>
            <w:r w:rsidRPr="00BF2031">
              <w:t xml:space="preserve"> (see </w:t>
            </w:r>
            <w:r w:rsidRPr="00BF2031">
              <w:rPr>
                <w:i/>
              </w:rPr>
              <w:t>Oenanthe phellandrium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Oenanthe phellandrium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Water fennel, Water dropwort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Omphalotus </w:t>
            </w:r>
            <w:r w:rsidRPr="00BF2031">
              <w:t>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Fungi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Opuntia cylindrica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San Pedro cactus, Cane cactus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Panaeolus </w:t>
            </w:r>
            <w:r w:rsidRPr="00BF2031">
              <w:t>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Fungi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Papaver bracteatum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Oriental poppy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Papaver somniferum </w:t>
            </w:r>
            <w:r w:rsidRPr="00BF2031">
              <w:t>(other than seeds)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Opium poppy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Pausinystalia yohimbe </w:t>
            </w:r>
            <w:r w:rsidRPr="00BF2031">
              <w:t xml:space="preserve">(see </w:t>
            </w:r>
            <w:r w:rsidRPr="00BF2031">
              <w:rPr>
                <w:i/>
              </w:rPr>
              <w:t>Coryanthe yohimbe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Peganum harmala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Wild rue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Petasites </w:t>
            </w:r>
            <w:r w:rsidRPr="00BF2031">
              <w:t>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  <w:rPr>
                <w:b/>
              </w:rPr>
            </w:pPr>
            <w:r w:rsidRPr="00BF2031">
              <w:t>Butterbur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Peumus boldus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Boldo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Phoradendron flavascens </w:t>
            </w:r>
            <w:r w:rsidRPr="00BF2031">
              <w:t xml:space="preserve">(see </w:t>
            </w:r>
            <w:r w:rsidRPr="00BF2031">
              <w:rPr>
                <w:i/>
              </w:rPr>
              <w:t>Viscum flavescens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Phoradendron serotinum </w:t>
            </w:r>
            <w:r w:rsidRPr="00BF2031">
              <w:t xml:space="preserve">(see </w:t>
            </w:r>
            <w:r w:rsidRPr="00BF2031">
              <w:rPr>
                <w:i/>
              </w:rPr>
              <w:t>Viscum flavescens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Phoradendron tomentosum </w:t>
            </w:r>
            <w:r w:rsidRPr="00BF2031">
              <w:t xml:space="preserve">(see </w:t>
            </w:r>
            <w:r w:rsidRPr="00BF2031">
              <w:rPr>
                <w:i/>
              </w:rPr>
              <w:t>Viscum flavescens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Physostigma venenosum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Calabar bean, Ordeal bean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Phytolacca decandra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Red pokeweed, Poke root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Phytolacca americana </w:t>
            </w:r>
            <w:r w:rsidRPr="00BF2031">
              <w:t xml:space="preserve">(see </w:t>
            </w:r>
            <w:r w:rsidRPr="00BF2031">
              <w:rPr>
                <w:i/>
              </w:rPr>
              <w:t>Phytolacca decandra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Phytolacca octandra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Inkweed, Red ink plant, Dyeberry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Pilocarpus </w:t>
            </w:r>
            <w:r w:rsidRPr="00BF2031">
              <w:t>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Piptadenia macrocarpa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Cebil colorado, Cura pag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Piptadenia peregrina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Cohoba, Coxoba, Yoke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Pithomyces chartarum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Fungus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Pluteus </w:t>
            </w:r>
            <w:r w:rsidRPr="00BF2031">
              <w:t>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Fungi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Podophyllum peltatum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American mandrake, Mayapple, Podophyllum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Prestonia amazonica </w:t>
            </w:r>
            <w:r w:rsidRPr="00BF2031">
              <w:t xml:space="preserve">(see </w:t>
            </w:r>
            <w:r w:rsidRPr="00BF2031">
              <w:rPr>
                <w:i/>
              </w:rPr>
              <w:t>Haemodictyon amazonica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Prunus laurocerasus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Cherry laurel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Psoralea corylifolia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Malay tea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Psylocybe</w:t>
            </w:r>
            <w:r w:rsidRPr="00BF2031">
              <w:t xml:space="preserve"> 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Fungi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Pteridium aquilinum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Bracken Fern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Pulmonaria</w:t>
            </w:r>
            <w:r w:rsidRPr="00BF2031">
              <w:t xml:space="preserve"> 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Lungwort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Punica granatum </w:t>
            </w:r>
            <w:r w:rsidRPr="00BF2031">
              <w:t>stem and root bark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Pomegranate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Rauwolfia</w:t>
            </w:r>
            <w:r w:rsidRPr="00BF2031">
              <w:t xml:space="preserve"> 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Devil pepper, Rauwolfia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Ricinus communis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Castor bean, Castor oil plant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Robinia pseudoacacia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Black locust, False acacia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Sanguinaria canadensis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Bloodroot, Bloodwort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Sarothamnus scoparius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Common broom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Scopolia carniolica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Scopolia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Senecio</w:t>
            </w:r>
            <w:r w:rsidRPr="00BF2031">
              <w:t xml:space="preserve"> spp</w:t>
            </w:r>
            <w:r w:rsidRPr="00BF2031">
              <w:rPr>
                <w:i/>
              </w:rPr>
              <w:t>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Ragwort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Solanum aviculare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Poroporo, Pooporo, Kohoho, Bullibulli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Solanum diflorum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False Jerusalem cherry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Solanum dulcamara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Bittersweet twigs, Blue bindweed, Woody nightshade, Nightshade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Solanum laciniatum </w:t>
            </w:r>
            <w:r w:rsidRPr="00BF2031">
              <w:t xml:space="preserve">(see </w:t>
            </w:r>
            <w:r w:rsidRPr="00BF2031">
              <w:rPr>
                <w:i/>
              </w:rPr>
              <w:t>Solanum aviculare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Solanum linnaenum </w:t>
            </w:r>
            <w:r w:rsidRPr="00BF2031">
              <w:t xml:space="preserve">(see </w:t>
            </w:r>
            <w:r w:rsidRPr="00BF2031">
              <w:rPr>
                <w:i/>
              </w:rPr>
              <w:t>Solanum sodomeum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Solanum nigrum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Black nightshade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Solanum pseudocapsicum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Jerusalem cherries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Solanum sodomeum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Apple of Sodom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Sophora microphylla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Kowhai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Sophora secundiflora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Mescal bean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Spartium junceum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Spanish broom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Spigela marilandica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Pinkroot, Worm grass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Strophanthus gratus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Strophanthus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Strophanthus kombe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Strophanthus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Stropharia cubensis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Fungus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Strychnos gautheriana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Hoang nan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Strychnos ignatii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Ignatious bean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Strychnos malaccensis </w:t>
            </w:r>
            <w:r w:rsidRPr="00BF2031">
              <w:t xml:space="preserve">(see </w:t>
            </w:r>
            <w:r w:rsidRPr="00BF2031">
              <w:rPr>
                <w:i/>
              </w:rPr>
              <w:t>Strychnos gautheriana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Strychnos nux-vomica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Poison nut, Nux vomica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Symphytum asperum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Prickly comfrey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Symphytum officinale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Common comfrey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Symphytum x uplandicum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Russian comfrey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Tamus communis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Blackeye root, Black bryony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Taxus baccata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Yew, European yew, Common yew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Thevetia neriifolia </w:t>
            </w:r>
            <w:r w:rsidRPr="00BF2031">
              <w:t xml:space="preserve">(see </w:t>
            </w:r>
            <w:r w:rsidRPr="00BF2031">
              <w:rPr>
                <w:i/>
              </w:rPr>
              <w:t>Thevetia peruviana</w:t>
            </w:r>
            <w:r w:rsidRPr="00BF2031">
              <w:t>)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Thevetia peruviana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Snake nut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Trichodesma africana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Tricholoma muscarium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Fungus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Tussilago farfara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Coltsfoot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Veratrum </w:t>
            </w:r>
            <w:r w:rsidRPr="00BF2031">
              <w:t>spp.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Hellebore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 xml:space="preserve">Vinca </w:t>
            </w:r>
            <w:r w:rsidRPr="00BF2031">
              <w:t>spp.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Periwinkle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Virola sebifera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Cuajo negro, Camaticaro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Viscum album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European mistletoe berries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Viscum flavescens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American mistletoe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Xysmalobium undulatum</w:t>
            </w:r>
          </w:p>
        </w:tc>
        <w:tc>
          <w:tcPr>
            <w:tcW w:w="4393" w:type="dxa"/>
          </w:tcPr>
          <w:p w:rsidR="00C430BF" w:rsidRPr="00BF2031" w:rsidRDefault="00C430BF" w:rsidP="00BF2031">
            <w:pPr>
              <w:pStyle w:val="FSCtblAMain"/>
            </w:pPr>
            <w:r w:rsidRPr="00BF2031">
              <w:t>Uzara, Thornbush</w:t>
            </w:r>
          </w:p>
        </w:tc>
      </w:tr>
      <w:tr w:rsidR="00C430BF" w:rsidRPr="00BF2031" w:rsidTr="00C430BF">
        <w:trPr>
          <w:jc w:val="center"/>
        </w:trPr>
        <w:tc>
          <w:tcPr>
            <w:tcW w:w="4679" w:type="dxa"/>
            <w:tcBorders>
              <w:bottom w:val="single" w:sz="4" w:space="0" w:color="auto"/>
            </w:tcBorders>
          </w:tcPr>
          <w:p w:rsidR="00C430BF" w:rsidRPr="00BF2031" w:rsidRDefault="00C430BF" w:rsidP="00BF2031">
            <w:pPr>
              <w:pStyle w:val="FSCtblAMain"/>
              <w:rPr>
                <w:i/>
              </w:rPr>
            </w:pPr>
            <w:r w:rsidRPr="00BF2031">
              <w:rPr>
                <w:i/>
              </w:rPr>
              <w:t>Zamia integrifolia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C430BF" w:rsidRPr="00BF2031" w:rsidRDefault="00C430BF" w:rsidP="00BF2031">
            <w:pPr>
              <w:pStyle w:val="FSCtblAMain"/>
            </w:pPr>
            <w:r w:rsidRPr="00BF2031">
              <w:t>Coonties, Florida arrowroot</w:t>
            </w:r>
          </w:p>
        </w:tc>
      </w:tr>
    </w:tbl>
    <w:p w:rsidR="00E32E5E" w:rsidRPr="000F7093" w:rsidRDefault="00941752" w:rsidP="00BF2031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sectPr w:rsidR="00E32E5E" w:rsidRPr="000F7093" w:rsidSect="00AA746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52" w:rsidRDefault="00941752">
      <w:r>
        <w:separator/>
      </w:r>
    </w:p>
  </w:endnote>
  <w:endnote w:type="continuationSeparator" w:id="0">
    <w:p w:rsidR="00941752" w:rsidRDefault="0094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03" w:rsidRDefault="00241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AA7467" w:rsidRPr="00CF1834" w:rsidRDefault="00AA7467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03" w:rsidRDefault="0024190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241903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5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941752">
      <w:rPr>
        <w:rFonts w:cs="Arial"/>
        <w:noProof/>
        <w:sz w:val="18"/>
        <w:szCs w:val="18"/>
      </w:rPr>
      <w:t xml:space="preserve">Schedule 23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52" w:rsidRDefault="00941752">
      <w:r>
        <w:separator/>
      </w:r>
    </w:p>
  </w:footnote>
  <w:footnote w:type="continuationSeparator" w:id="0">
    <w:p w:rsidR="00941752" w:rsidRDefault="00941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03" w:rsidRDefault="002419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03" w:rsidRDefault="002419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03" w:rsidRDefault="0024190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941752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1903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41752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467"/>
    <w:rsid w:val="00AA795C"/>
    <w:rsid w:val="00AB20E2"/>
    <w:rsid w:val="00AB24D7"/>
    <w:rsid w:val="00AB3A76"/>
    <w:rsid w:val="00AB6123"/>
    <w:rsid w:val="00AC5CE2"/>
    <w:rsid w:val="00AC7BFF"/>
    <w:rsid w:val="00AD6B86"/>
    <w:rsid w:val="00AD7310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2031"/>
    <w:rsid w:val="00BF3151"/>
    <w:rsid w:val="00C201BA"/>
    <w:rsid w:val="00C24200"/>
    <w:rsid w:val="00C3317E"/>
    <w:rsid w:val="00C3374E"/>
    <w:rsid w:val="00C33E01"/>
    <w:rsid w:val="00C430BF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56E50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F2031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F2031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BF2031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BF2031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BF2031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BF2031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BF203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F203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F203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BF2031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BF2031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F2031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F2031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F2031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F2031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BF2031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031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031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F2031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BF2031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BF2031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BF2031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BF203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BF2031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F56E5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BF203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F56E5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F56E5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BF2031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BF203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BF2031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031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BF2031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BF2031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BF2031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BF2031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BF2031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BF2031"/>
  </w:style>
  <w:style w:type="paragraph" w:customStyle="1" w:styleId="FSCsbMainSection">
    <w:name w:val="FSC_sb_Main_Section"/>
    <w:basedOn w:val="FSCsbFirstSection"/>
    <w:qFormat/>
    <w:rsid w:val="00BF2031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BF2031"/>
  </w:style>
  <w:style w:type="paragraph" w:customStyle="1" w:styleId="FSCtDefn">
    <w:name w:val="FSC_t_Defn"/>
    <w:aliases w:val="t1_Defn"/>
    <w:basedOn w:val="FSCtMain"/>
    <w:rsid w:val="00BF2031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BF203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BF203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BF2031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BF203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BF2031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BF2031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BF2031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BF2031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BF2031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BF2031"/>
    <w:rPr>
      <w:sz w:val="16"/>
    </w:rPr>
  </w:style>
  <w:style w:type="paragraph" w:customStyle="1" w:styleId="FSCoTitleofInstrument">
    <w:name w:val="FSC_o_Title_of_Instrument"/>
    <w:basedOn w:val="Normal"/>
    <w:rsid w:val="00BF2031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BF2031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BF2031"/>
    <w:pPr>
      <w:ind w:left="0" w:firstLine="0"/>
      <w:jc w:val="center"/>
    </w:pPr>
  </w:style>
  <w:style w:type="paragraph" w:customStyle="1" w:styleId="FSCbaseheading">
    <w:name w:val="FSC_base_heading"/>
    <w:rsid w:val="00BF2031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BF2031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BF2031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BF2031"/>
    <w:pPr>
      <w:jc w:val="center"/>
    </w:pPr>
    <w:rPr>
      <w:iCs w:val="0"/>
    </w:rPr>
  </w:style>
  <w:style w:type="paragraph" w:customStyle="1" w:styleId="FSCfooter">
    <w:name w:val="FSC_footer"/>
    <w:basedOn w:val="Normal"/>
    <w:rsid w:val="00BF2031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BF2031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BF2031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BF2031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BF2031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BF2031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BF2031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BF2031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BF2031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BF2031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BF2031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BF2031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BF2031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BF2031"/>
    <w:pPr>
      <w:ind w:left="1701"/>
    </w:pPr>
  </w:style>
  <w:style w:type="paragraph" w:customStyle="1" w:styleId="FSCbasetbl">
    <w:name w:val="FSC_base_tbl"/>
    <w:basedOn w:val="FSCbasepara"/>
    <w:qFormat/>
    <w:rsid w:val="00BF2031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BF203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BF2031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BF2031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BF2031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BF2031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BF2031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BF2031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BF203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BF203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BF2031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BF2031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AA7467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AA7467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AA7467"/>
    <w:rPr>
      <w:b w:val="0"/>
    </w:rPr>
  </w:style>
  <w:style w:type="character" w:customStyle="1" w:styleId="ClauseChar">
    <w:name w:val="Clause Char"/>
    <w:basedOn w:val="DefaultParagraphFont"/>
    <w:link w:val="Clause"/>
    <w:rsid w:val="00AA7467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AA7467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A7467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F2031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BF2031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BF2031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BF2031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BF2031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BF2031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BF203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BF203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BF2031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BF2031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BF2031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F2031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F2031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F2031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F2031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BF2031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031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031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F2031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BF2031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BF2031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BF2031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BF2031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BF2031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F56E50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BF2031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F56E50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F56E50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BF2031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BF2031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BF2031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031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BF2031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BF2031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BF2031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BF2031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BF2031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BF2031"/>
  </w:style>
  <w:style w:type="paragraph" w:customStyle="1" w:styleId="FSCsbMainSection">
    <w:name w:val="FSC_sb_Main_Section"/>
    <w:basedOn w:val="FSCsbFirstSection"/>
    <w:qFormat/>
    <w:rsid w:val="00BF2031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BF2031"/>
  </w:style>
  <w:style w:type="paragraph" w:customStyle="1" w:styleId="FSCtDefn">
    <w:name w:val="FSC_t_Defn"/>
    <w:aliases w:val="t1_Defn"/>
    <w:basedOn w:val="FSCtMain"/>
    <w:rsid w:val="00BF2031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BF2031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BF2031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BF2031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BF2031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BF2031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BF2031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BF2031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BF2031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BF2031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BF2031"/>
    <w:rPr>
      <w:sz w:val="16"/>
    </w:rPr>
  </w:style>
  <w:style w:type="paragraph" w:customStyle="1" w:styleId="FSCoTitleofInstrument">
    <w:name w:val="FSC_o_Title_of_Instrument"/>
    <w:basedOn w:val="Normal"/>
    <w:rsid w:val="00BF2031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BF2031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BF2031"/>
    <w:pPr>
      <w:ind w:left="0" w:firstLine="0"/>
      <w:jc w:val="center"/>
    </w:pPr>
  </w:style>
  <w:style w:type="paragraph" w:customStyle="1" w:styleId="FSCbaseheading">
    <w:name w:val="FSC_base_heading"/>
    <w:rsid w:val="00BF2031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BF2031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BF2031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BF2031"/>
    <w:pPr>
      <w:jc w:val="center"/>
    </w:pPr>
    <w:rPr>
      <w:iCs w:val="0"/>
    </w:rPr>
  </w:style>
  <w:style w:type="paragraph" w:customStyle="1" w:styleId="FSCfooter">
    <w:name w:val="FSC_footer"/>
    <w:basedOn w:val="Normal"/>
    <w:rsid w:val="00BF2031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BF2031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BF2031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BF2031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BF2031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BF2031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BF2031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BF2031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BF2031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BF2031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BF2031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BF2031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BF2031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BF2031"/>
    <w:pPr>
      <w:ind w:left="1701"/>
    </w:pPr>
  </w:style>
  <w:style w:type="paragraph" w:customStyle="1" w:styleId="FSCbasetbl">
    <w:name w:val="FSC_base_tbl"/>
    <w:basedOn w:val="FSCbasepara"/>
    <w:qFormat/>
    <w:rsid w:val="00BF2031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BF203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BF2031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BF2031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BF2031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BF2031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BF2031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BF2031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BF2031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BF2031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BF2031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BF2031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AA7467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AA7467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AA7467"/>
    <w:rPr>
      <w:b w:val="0"/>
    </w:rPr>
  </w:style>
  <w:style w:type="character" w:customStyle="1" w:styleId="ClauseChar">
    <w:name w:val="Clause Char"/>
    <w:basedOn w:val="DefaultParagraphFont"/>
    <w:link w:val="Clause"/>
    <w:rsid w:val="00AA7467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AA7467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A7467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7716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2015-03-31T22:26:00Z</dcterms:created>
  <dcterms:modified xsi:type="dcterms:W3CDTF">2015-03-31T22:26:00Z</dcterms:modified>
</cp:coreProperties>
</file>