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DED" w:rsidRPr="004A267B" w:rsidRDefault="00073DED" w:rsidP="00073DED">
      <w:pPr>
        <w:rPr>
          <w:sz w:val="28"/>
        </w:rPr>
      </w:pPr>
      <w:r w:rsidRPr="004A267B">
        <w:rPr>
          <w:noProof/>
          <w:lang w:eastAsia="en-AU"/>
        </w:rPr>
        <w:drawing>
          <wp:inline distT="0" distB="0" distL="0" distR="0" wp14:anchorId="2127CC3F" wp14:editId="0ED35EC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073DED" w:rsidRPr="004A267B" w:rsidRDefault="00073DED" w:rsidP="00073DED">
      <w:pPr>
        <w:rPr>
          <w:sz w:val="19"/>
        </w:rPr>
      </w:pPr>
    </w:p>
    <w:p w:rsidR="00073DED" w:rsidRPr="004A267B" w:rsidRDefault="00073DED" w:rsidP="00073DED">
      <w:pPr>
        <w:pStyle w:val="ShortT"/>
      </w:pPr>
      <w:r w:rsidRPr="004A267B">
        <w:t>National Health (Claims and under co</w:t>
      </w:r>
      <w:r>
        <w:noBreakHyphen/>
      </w:r>
      <w:r w:rsidRPr="004A267B">
        <w:t>payment data) Amendment (Medication Chart Prescriptions) Rule 2015 (PB 19 of 2015)</w:t>
      </w:r>
    </w:p>
    <w:p w:rsidR="00073DED" w:rsidRPr="004A267B" w:rsidRDefault="00073DED" w:rsidP="00073DED">
      <w:pPr>
        <w:pStyle w:val="SignCoverPageStart"/>
        <w:rPr>
          <w:szCs w:val="22"/>
        </w:rPr>
      </w:pPr>
      <w:r w:rsidRPr="004A267B">
        <w:rPr>
          <w:szCs w:val="22"/>
        </w:rPr>
        <w:t>I, Felicity McNeill, First Assistant Secretary, Pharmaceutical Benefits Division, Department of Health, delegate of the Minister for Health, make the following rule.</w:t>
      </w:r>
    </w:p>
    <w:p w:rsidR="00073DED" w:rsidRPr="004A267B" w:rsidRDefault="00073DED" w:rsidP="00073DED">
      <w:pPr>
        <w:keepNext/>
        <w:spacing w:before="300" w:line="240" w:lineRule="atLeast"/>
        <w:ind w:right="397"/>
        <w:jc w:val="both"/>
        <w:rPr>
          <w:szCs w:val="22"/>
        </w:rPr>
      </w:pPr>
      <w:r>
        <w:rPr>
          <w:szCs w:val="22"/>
        </w:rPr>
        <w:t xml:space="preserve">Dated 26 March </w:t>
      </w:r>
      <w:r w:rsidRPr="004A267B">
        <w:rPr>
          <w:szCs w:val="22"/>
        </w:rPr>
        <w:t>2015</w:t>
      </w:r>
    </w:p>
    <w:p w:rsidR="00073DED" w:rsidRPr="004A267B" w:rsidRDefault="00073DED" w:rsidP="00073DED">
      <w:pPr>
        <w:keepNext/>
        <w:tabs>
          <w:tab w:val="left" w:pos="3402"/>
        </w:tabs>
        <w:spacing w:before="1440" w:line="300" w:lineRule="atLeast"/>
        <w:ind w:right="397"/>
        <w:rPr>
          <w:szCs w:val="22"/>
        </w:rPr>
      </w:pPr>
      <w:r w:rsidRPr="004A267B">
        <w:rPr>
          <w:szCs w:val="22"/>
        </w:rPr>
        <w:t>Felicity McNeill</w:t>
      </w:r>
    </w:p>
    <w:p w:rsidR="00073DED" w:rsidRPr="004A267B" w:rsidRDefault="00073DED" w:rsidP="00073DED">
      <w:pPr>
        <w:pStyle w:val="SignCoverPageEnd"/>
        <w:rPr>
          <w:szCs w:val="22"/>
        </w:rPr>
      </w:pPr>
      <w:r w:rsidRPr="004A267B">
        <w:rPr>
          <w:szCs w:val="22"/>
        </w:rPr>
        <w:t>First Assistant Secretary</w:t>
      </w:r>
    </w:p>
    <w:p w:rsidR="00073DED" w:rsidRPr="004A267B" w:rsidRDefault="00073DED" w:rsidP="00073DED">
      <w:pPr>
        <w:pStyle w:val="SignCoverPageEnd"/>
        <w:rPr>
          <w:szCs w:val="22"/>
        </w:rPr>
      </w:pPr>
      <w:r w:rsidRPr="004A267B">
        <w:rPr>
          <w:szCs w:val="22"/>
        </w:rPr>
        <w:t>Pharmaceutical Benefits Division</w:t>
      </w:r>
      <w:r w:rsidRPr="004A267B">
        <w:rPr>
          <w:szCs w:val="22"/>
        </w:rPr>
        <w:br/>
        <w:t>Department of Health</w:t>
      </w:r>
    </w:p>
    <w:p w:rsidR="00073DED" w:rsidRPr="004A267B" w:rsidRDefault="00073DED" w:rsidP="00073DED"/>
    <w:p w:rsidR="00073DED" w:rsidRPr="004A267B" w:rsidRDefault="00073DED" w:rsidP="00073DED">
      <w:pPr>
        <w:pStyle w:val="Header"/>
        <w:tabs>
          <w:tab w:val="clear" w:pos="4150"/>
          <w:tab w:val="clear" w:pos="8307"/>
        </w:tabs>
      </w:pPr>
      <w:r w:rsidRPr="004A267B">
        <w:rPr>
          <w:rStyle w:val="CharAmSchNo"/>
        </w:rPr>
        <w:t xml:space="preserve"> </w:t>
      </w:r>
      <w:r w:rsidRPr="004A267B">
        <w:rPr>
          <w:rStyle w:val="CharAmSchText"/>
        </w:rPr>
        <w:t xml:space="preserve"> </w:t>
      </w:r>
    </w:p>
    <w:p w:rsidR="00073DED" w:rsidRDefault="00073DED" w:rsidP="00003743">
      <w:pPr>
        <w:rPr>
          <w:rStyle w:val="IntenseReference"/>
          <w:b w:val="0"/>
          <w:bCs w:val="0"/>
          <w:i w:val="0"/>
          <w:smallCaps w:val="0"/>
          <w:color w:val="auto"/>
          <w:spacing w:val="0"/>
        </w:rPr>
        <w:sectPr w:rsidR="00073DED">
          <w:footerReference w:type="default" r:id="rId9"/>
          <w:pgSz w:w="11906" w:h="16838"/>
          <w:pgMar w:top="1440" w:right="1800" w:bottom="1440" w:left="1800" w:header="708" w:footer="708" w:gutter="0"/>
          <w:cols w:space="708"/>
          <w:docGrid w:linePitch="360"/>
        </w:sectPr>
      </w:pPr>
    </w:p>
    <w:p w:rsidR="00073DED" w:rsidRPr="004A267B" w:rsidRDefault="00073DED" w:rsidP="00073DED">
      <w:pPr>
        <w:rPr>
          <w:sz w:val="36"/>
        </w:rPr>
      </w:pPr>
      <w:r w:rsidRPr="004A267B">
        <w:rPr>
          <w:sz w:val="36"/>
        </w:rPr>
        <w:lastRenderedPageBreak/>
        <w:t>Contents</w:t>
      </w:r>
    </w:p>
    <w:bookmarkStart w:id="0" w:name="BKCheck15B_1"/>
    <w:bookmarkEnd w:id="0"/>
    <w:p w:rsidR="00073DED" w:rsidRPr="004A267B" w:rsidRDefault="00073DED" w:rsidP="00073DED">
      <w:pPr>
        <w:pStyle w:val="TOC5"/>
        <w:rPr>
          <w:rFonts w:asciiTheme="minorHAnsi" w:eastAsiaTheme="minorEastAsia" w:hAnsiTheme="minorHAnsi" w:cstheme="minorBidi"/>
          <w:noProof/>
          <w:kern w:val="0"/>
          <w:sz w:val="22"/>
          <w:szCs w:val="22"/>
        </w:rPr>
      </w:pPr>
      <w:r w:rsidRPr="004A267B">
        <w:fldChar w:fldCharType="begin"/>
      </w:r>
      <w:r w:rsidRPr="004A267B">
        <w:instrText xml:space="preserve"> TOC \o "1-9" </w:instrText>
      </w:r>
      <w:r w:rsidRPr="004A267B">
        <w:fldChar w:fldCharType="separate"/>
      </w:r>
      <w:r w:rsidRPr="004A267B">
        <w:rPr>
          <w:noProof/>
        </w:rPr>
        <w:t>1</w:t>
      </w:r>
      <w:r w:rsidRPr="004A267B">
        <w:rPr>
          <w:noProof/>
        </w:rPr>
        <w:tab/>
        <w:t>Name</w:t>
      </w:r>
      <w:r w:rsidRPr="004A267B">
        <w:rPr>
          <w:noProof/>
        </w:rPr>
        <w:tab/>
      </w:r>
      <w:r w:rsidRPr="004A267B">
        <w:rPr>
          <w:noProof/>
        </w:rPr>
        <w:fldChar w:fldCharType="begin"/>
      </w:r>
      <w:r w:rsidRPr="004A267B">
        <w:rPr>
          <w:noProof/>
        </w:rPr>
        <w:instrText xml:space="preserve"> PAGEREF _Toc410376959 \h </w:instrText>
      </w:r>
      <w:r w:rsidRPr="004A267B">
        <w:rPr>
          <w:noProof/>
        </w:rPr>
      </w:r>
      <w:r w:rsidRPr="004A267B">
        <w:rPr>
          <w:noProof/>
        </w:rPr>
        <w:fldChar w:fldCharType="separate"/>
      </w:r>
      <w:r>
        <w:rPr>
          <w:noProof/>
        </w:rPr>
        <w:t>1</w:t>
      </w:r>
      <w:r w:rsidRPr="004A267B">
        <w:rPr>
          <w:noProof/>
        </w:rPr>
        <w:fldChar w:fldCharType="end"/>
      </w:r>
    </w:p>
    <w:p w:rsidR="00073DED" w:rsidRPr="004A267B" w:rsidRDefault="00073DED" w:rsidP="00073DED">
      <w:pPr>
        <w:pStyle w:val="TOC5"/>
        <w:rPr>
          <w:rFonts w:asciiTheme="minorHAnsi" w:eastAsiaTheme="minorEastAsia" w:hAnsiTheme="minorHAnsi" w:cstheme="minorBidi"/>
          <w:noProof/>
          <w:kern w:val="0"/>
          <w:sz w:val="22"/>
          <w:szCs w:val="22"/>
        </w:rPr>
      </w:pPr>
      <w:r w:rsidRPr="004A267B">
        <w:rPr>
          <w:noProof/>
        </w:rPr>
        <w:t>2</w:t>
      </w:r>
      <w:r w:rsidRPr="004A267B">
        <w:rPr>
          <w:noProof/>
        </w:rPr>
        <w:tab/>
        <w:t>Commencement</w:t>
      </w:r>
      <w:r w:rsidRPr="004A267B">
        <w:rPr>
          <w:noProof/>
        </w:rPr>
        <w:tab/>
      </w:r>
      <w:r w:rsidRPr="004A267B">
        <w:rPr>
          <w:noProof/>
        </w:rPr>
        <w:fldChar w:fldCharType="begin"/>
      </w:r>
      <w:r w:rsidRPr="004A267B">
        <w:rPr>
          <w:noProof/>
        </w:rPr>
        <w:instrText xml:space="preserve"> PAGEREF _Toc410376960 \h </w:instrText>
      </w:r>
      <w:r w:rsidRPr="004A267B">
        <w:rPr>
          <w:noProof/>
        </w:rPr>
      </w:r>
      <w:r w:rsidRPr="004A267B">
        <w:rPr>
          <w:noProof/>
        </w:rPr>
        <w:fldChar w:fldCharType="separate"/>
      </w:r>
      <w:r>
        <w:rPr>
          <w:noProof/>
        </w:rPr>
        <w:t>1</w:t>
      </w:r>
      <w:r w:rsidRPr="004A267B">
        <w:rPr>
          <w:noProof/>
        </w:rPr>
        <w:fldChar w:fldCharType="end"/>
      </w:r>
    </w:p>
    <w:p w:rsidR="00073DED" w:rsidRPr="004A267B" w:rsidRDefault="00073DED" w:rsidP="00073DED">
      <w:pPr>
        <w:pStyle w:val="TOC5"/>
        <w:rPr>
          <w:rFonts w:asciiTheme="minorHAnsi" w:eastAsiaTheme="minorEastAsia" w:hAnsiTheme="minorHAnsi" w:cstheme="minorBidi"/>
          <w:noProof/>
          <w:kern w:val="0"/>
          <w:sz w:val="22"/>
          <w:szCs w:val="22"/>
        </w:rPr>
      </w:pPr>
      <w:r w:rsidRPr="004A267B">
        <w:rPr>
          <w:noProof/>
        </w:rPr>
        <w:t>3</w:t>
      </w:r>
      <w:r w:rsidRPr="004A267B">
        <w:rPr>
          <w:noProof/>
        </w:rPr>
        <w:tab/>
        <w:t>Authority</w:t>
      </w:r>
      <w:r w:rsidRPr="004A267B">
        <w:rPr>
          <w:noProof/>
        </w:rPr>
        <w:tab/>
      </w:r>
      <w:r w:rsidRPr="004A267B">
        <w:rPr>
          <w:noProof/>
        </w:rPr>
        <w:fldChar w:fldCharType="begin"/>
      </w:r>
      <w:r w:rsidRPr="004A267B">
        <w:rPr>
          <w:noProof/>
        </w:rPr>
        <w:instrText xml:space="preserve"> PAGEREF _Toc410376961 \h </w:instrText>
      </w:r>
      <w:r w:rsidRPr="004A267B">
        <w:rPr>
          <w:noProof/>
        </w:rPr>
      </w:r>
      <w:r w:rsidRPr="004A267B">
        <w:rPr>
          <w:noProof/>
        </w:rPr>
        <w:fldChar w:fldCharType="separate"/>
      </w:r>
      <w:r>
        <w:rPr>
          <w:noProof/>
        </w:rPr>
        <w:t>1</w:t>
      </w:r>
      <w:r w:rsidRPr="004A267B">
        <w:rPr>
          <w:noProof/>
        </w:rPr>
        <w:fldChar w:fldCharType="end"/>
      </w:r>
    </w:p>
    <w:p w:rsidR="00073DED" w:rsidRPr="004A267B" w:rsidRDefault="00073DED" w:rsidP="00073DED">
      <w:pPr>
        <w:pStyle w:val="TOC5"/>
        <w:rPr>
          <w:rFonts w:asciiTheme="minorHAnsi" w:eastAsiaTheme="minorEastAsia" w:hAnsiTheme="minorHAnsi" w:cstheme="minorBidi"/>
          <w:noProof/>
          <w:kern w:val="0"/>
          <w:sz w:val="22"/>
          <w:szCs w:val="22"/>
        </w:rPr>
      </w:pPr>
      <w:r w:rsidRPr="004A267B">
        <w:rPr>
          <w:noProof/>
        </w:rPr>
        <w:t>4</w:t>
      </w:r>
      <w:r w:rsidRPr="004A267B">
        <w:rPr>
          <w:noProof/>
        </w:rPr>
        <w:tab/>
        <w:t>Schedules</w:t>
      </w:r>
      <w:r w:rsidRPr="004A267B">
        <w:rPr>
          <w:noProof/>
        </w:rPr>
        <w:tab/>
      </w:r>
      <w:r w:rsidRPr="004A267B">
        <w:rPr>
          <w:noProof/>
        </w:rPr>
        <w:fldChar w:fldCharType="begin"/>
      </w:r>
      <w:r w:rsidRPr="004A267B">
        <w:rPr>
          <w:noProof/>
        </w:rPr>
        <w:instrText xml:space="preserve"> PAGEREF _Toc410376962 \h </w:instrText>
      </w:r>
      <w:r w:rsidRPr="004A267B">
        <w:rPr>
          <w:noProof/>
        </w:rPr>
      </w:r>
      <w:r w:rsidRPr="004A267B">
        <w:rPr>
          <w:noProof/>
        </w:rPr>
        <w:fldChar w:fldCharType="separate"/>
      </w:r>
      <w:r>
        <w:rPr>
          <w:noProof/>
        </w:rPr>
        <w:t>1</w:t>
      </w:r>
      <w:r w:rsidRPr="004A267B">
        <w:rPr>
          <w:noProof/>
        </w:rPr>
        <w:fldChar w:fldCharType="end"/>
      </w:r>
    </w:p>
    <w:p w:rsidR="00073DED" w:rsidRPr="004A267B" w:rsidRDefault="00073DED" w:rsidP="00073DED">
      <w:pPr>
        <w:pStyle w:val="TOC6"/>
        <w:rPr>
          <w:rFonts w:asciiTheme="minorHAnsi" w:eastAsiaTheme="minorEastAsia" w:hAnsiTheme="minorHAnsi" w:cstheme="minorBidi"/>
          <w:b w:val="0"/>
          <w:noProof/>
          <w:kern w:val="0"/>
          <w:sz w:val="22"/>
          <w:szCs w:val="22"/>
        </w:rPr>
      </w:pPr>
      <w:r w:rsidRPr="004A267B">
        <w:rPr>
          <w:noProof/>
        </w:rPr>
        <w:t>Schedule 1—Amendments</w:t>
      </w:r>
      <w:r w:rsidRPr="004A267B">
        <w:rPr>
          <w:b w:val="0"/>
          <w:noProof/>
          <w:sz w:val="18"/>
        </w:rPr>
        <w:tab/>
      </w:r>
      <w:r w:rsidRPr="004A267B">
        <w:rPr>
          <w:b w:val="0"/>
          <w:noProof/>
          <w:sz w:val="18"/>
        </w:rPr>
        <w:fldChar w:fldCharType="begin"/>
      </w:r>
      <w:r w:rsidRPr="004A267B">
        <w:rPr>
          <w:b w:val="0"/>
          <w:noProof/>
          <w:sz w:val="18"/>
        </w:rPr>
        <w:instrText xml:space="preserve"> PAGEREF _Toc410376963 \h </w:instrText>
      </w:r>
      <w:r w:rsidRPr="004A267B">
        <w:rPr>
          <w:b w:val="0"/>
          <w:noProof/>
          <w:sz w:val="18"/>
        </w:rPr>
      </w:r>
      <w:r w:rsidRPr="004A267B">
        <w:rPr>
          <w:b w:val="0"/>
          <w:noProof/>
          <w:sz w:val="18"/>
        </w:rPr>
        <w:fldChar w:fldCharType="separate"/>
      </w:r>
      <w:r>
        <w:rPr>
          <w:b w:val="0"/>
          <w:noProof/>
          <w:sz w:val="18"/>
        </w:rPr>
        <w:t>2</w:t>
      </w:r>
      <w:r w:rsidRPr="004A267B">
        <w:rPr>
          <w:b w:val="0"/>
          <w:noProof/>
          <w:sz w:val="18"/>
        </w:rPr>
        <w:fldChar w:fldCharType="end"/>
      </w:r>
    </w:p>
    <w:p w:rsidR="00073DED" w:rsidRPr="004A267B" w:rsidRDefault="00073DED" w:rsidP="00073DED">
      <w:pPr>
        <w:pStyle w:val="TOC9"/>
        <w:rPr>
          <w:rFonts w:asciiTheme="minorHAnsi" w:eastAsiaTheme="minorEastAsia" w:hAnsiTheme="minorHAnsi" w:cstheme="minorBidi"/>
          <w:i w:val="0"/>
          <w:noProof/>
          <w:kern w:val="0"/>
          <w:sz w:val="22"/>
          <w:szCs w:val="22"/>
        </w:rPr>
      </w:pPr>
      <w:r w:rsidRPr="004A267B">
        <w:rPr>
          <w:noProof/>
        </w:rPr>
        <w:t>National Health (Claims and under co</w:t>
      </w:r>
      <w:r>
        <w:rPr>
          <w:noProof/>
        </w:rPr>
        <w:noBreakHyphen/>
      </w:r>
      <w:r w:rsidRPr="004A267B">
        <w:rPr>
          <w:noProof/>
        </w:rPr>
        <w:t>payment data) Rules 2012</w:t>
      </w:r>
      <w:r w:rsidRPr="004A267B">
        <w:rPr>
          <w:i w:val="0"/>
          <w:noProof/>
          <w:sz w:val="18"/>
        </w:rPr>
        <w:tab/>
      </w:r>
      <w:r w:rsidRPr="004A267B">
        <w:rPr>
          <w:i w:val="0"/>
          <w:noProof/>
          <w:sz w:val="18"/>
        </w:rPr>
        <w:fldChar w:fldCharType="begin"/>
      </w:r>
      <w:r w:rsidRPr="004A267B">
        <w:rPr>
          <w:i w:val="0"/>
          <w:noProof/>
          <w:sz w:val="18"/>
        </w:rPr>
        <w:instrText xml:space="preserve"> PAGEREF _Toc410376964 \h </w:instrText>
      </w:r>
      <w:r w:rsidRPr="004A267B">
        <w:rPr>
          <w:i w:val="0"/>
          <w:noProof/>
          <w:sz w:val="18"/>
        </w:rPr>
      </w:r>
      <w:r w:rsidRPr="004A267B">
        <w:rPr>
          <w:i w:val="0"/>
          <w:noProof/>
          <w:sz w:val="18"/>
        </w:rPr>
        <w:fldChar w:fldCharType="separate"/>
      </w:r>
      <w:r>
        <w:rPr>
          <w:i w:val="0"/>
          <w:noProof/>
          <w:sz w:val="18"/>
        </w:rPr>
        <w:t>2</w:t>
      </w:r>
      <w:r w:rsidRPr="004A267B">
        <w:rPr>
          <w:i w:val="0"/>
          <w:noProof/>
          <w:sz w:val="18"/>
        </w:rPr>
        <w:fldChar w:fldCharType="end"/>
      </w:r>
    </w:p>
    <w:p w:rsidR="00003743" w:rsidRDefault="00073DED" w:rsidP="00073DED">
      <w:pPr>
        <w:rPr>
          <w:rStyle w:val="IntenseReference"/>
          <w:b w:val="0"/>
          <w:bCs w:val="0"/>
          <w:i w:val="0"/>
          <w:smallCaps w:val="0"/>
          <w:color w:val="auto"/>
          <w:spacing w:val="0"/>
        </w:rPr>
      </w:pPr>
      <w:r w:rsidRPr="004A267B">
        <w:fldChar w:fldCharType="end"/>
      </w:r>
    </w:p>
    <w:p w:rsidR="00073DED" w:rsidRDefault="00073DED" w:rsidP="00003743">
      <w:pPr>
        <w:rPr>
          <w:rStyle w:val="IntenseReference"/>
          <w:b w:val="0"/>
          <w:bCs w:val="0"/>
          <w:i w:val="0"/>
          <w:smallCaps w:val="0"/>
          <w:color w:val="auto"/>
          <w:spacing w:val="0"/>
        </w:rPr>
        <w:sectPr w:rsidR="00073DED" w:rsidSect="00103FA0">
          <w:headerReference w:type="default" r:id="rId10"/>
          <w:footerReference w:type="default" r:id="rId11"/>
          <w:pgSz w:w="11906" w:h="16838"/>
          <w:pgMar w:top="1440" w:right="1800" w:bottom="1440" w:left="1800" w:header="708" w:footer="708" w:gutter="0"/>
          <w:pgNumType w:fmt="lowerRoman" w:start="1"/>
          <w:cols w:space="708"/>
          <w:docGrid w:linePitch="360"/>
        </w:sectPr>
      </w:pPr>
    </w:p>
    <w:p w:rsidR="00073DED" w:rsidRPr="004A267B" w:rsidRDefault="00073DED" w:rsidP="00073DED">
      <w:pPr>
        <w:pStyle w:val="ActHead5"/>
      </w:pPr>
      <w:bookmarkStart w:id="1" w:name="_Toc410376959"/>
      <w:r w:rsidRPr="004A267B">
        <w:rPr>
          <w:rStyle w:val="CharSectno"/>
        </w:rPr>
        <w:lastRenderedPageBreak/>
        <w:t>1</w:t>
      </w:r>
      <w:r w:rsidRPr="004A267B">
        <w:t xml:space="preserve">  Name</w:t>
      </w:r>
      <w:bookmarkEnd w:id="1"/>
    </w:p>
    <w:p w:rsidR="00073DED" w:rsidRPr="004A267B" w:rsidRDefault="00073DED" w:rsidP="00073DED">
      <w:pPr>
        <w:pStyle w:val="subsection"/>
      </w:pPr>
      <w:r w:rsidRPr="004A267B">
        <w:tab/>
        <w:t>(1)</w:t>
      </w:r>
      <w:r w:rsidRPr="004A267B">
        <w:tab/>
        <w:t xml:space="preserve">This is the </w:t>
      </w:r>
      <w:bookmarkStart w:id="2" w:name="BKCheck15B_2"/>
      <w:bookmarkEnd w:id="2"/>
      <w:r w:rsidRPr="004A267B">
        <w:rPr>
          <w:i/>
          <w:noProof/>
        </w:rPr>
        <w:t>National Health (Claims and under co</w:t>
      </w:r>
      <w:r>
        <w:rPr>
          <w:i/>
          <w:noProof/>
        </w:rPr>
        <w:noBreakHyphen/>
      </w:r>
      <w:r w:rsidRPr="004A267B">
        <w:rPr>
          <w:i/>
          <w:noProof/>
        </w:rPr>
        <w:t>payment data) Amendment (Medication Chart Prescriptions) Rule 2015</w:t>
      </w:r>
      <w:r w:rsidRPr="004A267B">
        <w:t>.</w:t>
      </w:r>
    </w:p>
    <w:p w:rsidR="00073DED" w:rsidRPr="004A267B" w:rsidRDefault="00073DED" w:rsidP="00073DED">
      <w:pPr>
        <w:pStyle w:val="subsection"/>
      </w:pPr>
      <w:r w:rsidRPr="004A267B">
        <w:tab/>
        <w:t>(2)</w:t>
      </w:r>
      <w:r w:rsidRPr="004A267B">
        <w:tab/>
        <w:t>This instrument may also be cited as PB 19 of 2015.</w:t>
      </w:r>
    </w:p>
    <w:p w:rsidR="00073DED" w:rsidRPr="004A267B" w:rsidRDefault="00073DED" w:rsidP="00073DED">
      <w:pPr>
        <w:pStyle w:val="ActHead5"/>
      </w:pPr>
      <w:bookmarkStart w:id="3" w:name="_Toc410376960"/>
      <w:r w:rsidRPr="004A267B">
        <w:rPr>
          <w:rStyle w:val="CharSectno"/>
        </w:rPr>
        <w:t>2</w:t>
      </w:r>
      <w:r w:rsidRPr="004A267B">
        <w:t xml:space="preserve">  Commencement</w:t>
      </w:r>
      <w:bookmarkEnd w:id="3"/>
    </w:p>
    <w:p w:rsidR="00073DED" w:rsidRPr="004A267B" w:rsidRDefault="00073DED" w:rsidP="00073DED">
      <w:pPr>
        <w:pStyle w:val="subsection"/>
      </w:pPr>
      <w:r w:rsidRPr="004A267B">
        <w:tab/>
      </w:r>
      <w:r w:rsidRPr="004A267B">
        <w:tab/>
        <w:t>This instrument commences on 1 April 2015.</w:t>
      </w:r>
    </w:p>
    <w:p w:rsidR="00073DED" w:rsidRPr="004A267B" w:rsidRDefault="00073DED" w:rsidP="00073DED">
      <w:pPr>
        <w:pStyle w:val="ActHead5"/>
      </w:pPr>
      <w:bookmarkStart w:id="4" w:name="_Toc410376961"/>
      <w:r w:rsidRPr="004A267B">
        <w:rPr>
          <w:rStyle w:val="CharSectno"/>
        </w:rPr>
        <w:t>3</w:t>
      </w:r>
      <w:r w:rsidRPr="004A267B">
        <w:t xml:space="preserve">  Authority</w:t>
      </w:r>
      <w:bookmarkEnd w:id="4"/>
    </w:p>
    <w:p w:rsidR="00073DED" w:rsidRPr="004A267B" w:rsidRDefault="00073DED" w:rsidP="00073DED">
      <w:pPr>
        <w:pStyle w:val="subsection"/>
      </w:pPr>
      <w:r w:rsidRPr="004A267B">
        <w:tab/>
      </w:r>
      <w:r w:rsidRPr="004A267B">
        <w:tab/>
        <w:t xml:space="preserve">This instrument is made under subsections 98AC(4) and 99AAA(8) of the </w:t>
      </w:r>
      <w:r w:rsidRPr="004A267B">
        <w:rPr>
          <w:i/>
        </w:rPr>
        <w:t>National Health Act 1953</w:t>
      </w:r>
      <w:r w:rsidRPr="004A267B">
        <w:t>.</w:t>
      </w:r>
    </w:p>
    <w:p w:rsidR="00073DED" w:rsidRPr="004A267B" w:rsidRDefault="00073DED" w:rsidP="00073DED">
      <w:pPr>
        <w:pStyle w:val="ActHead5"/>
      </w:pPr>
      <w:bookmarkStart w:id="5" w:name="_Toc410376962"/>
      <w:r w:rsidRPr="004A267B">
        <w:rPr>
          <w:rStyle w:val="CharSectno"/>
        </w:rPr>
        <w:t>4</w:t>
      </w:r>
      <w:r w:rsidRPr="004A267B">
        <w:t xml:space="preserve">  Schedules</w:t>
      </w:r>
      <w:bookmarkEnd w:id="5"/>
    </w:p>
    <w:p w:rsidR="00073DED" w:rsidRPr="004A267B" w:rsidRDefault="00073DED" w:rsidP="00073DED">
      <w:pPr>
        <w:pStyle w:val="subsection"/>
      </w:pPr>
      <w:r w:rsidRPr="004A267B">
        <w:tab/>
      </w:r>
      <w:r w:rsidRPr="004A267B">
        <w:tab/>
        <w:t>Each instrument that is specified in a Schedule to this instrument is amended or repealed as set out in the applicable items in the Schedule concerned, and any other item in a Schedule to this instrument has effect according to its terms.</w:t>
      </w:r>
    </w:p>
    <w:p w:rsidR="00073DED" w:rsidRDefault="00073DED" w:rsidP="00003743">
      <w:pPr>
        <w:rPr>
          <w:rStyle w:val="IntenseReference"/>
          <w:b w:val="0"/>
          <w:bCs w:val="0"/>
          <w:i w:val="0"/>
          <w:smallCaps w:val="0"/>
          <w:color w:val="auto"/>
          <w:spacing w:val="0"/>
        </w:rPr>
      </w:pPr>
    </w:p>
    <w:p w:rsidR="00073DED" w:rsidRDefault="00073DED" w:rsidP="00003743">
      <w:pPr>
        <w:rPr>
          <w:rStyle w:val="IntenseReference"/>
          <w:b w:val="0"/>
          <w:bCs w:val="0"/>
          <w:i w:val="0"/>
          <w:smallCaps w:val="0"/>
          <w:color w:val="auto"/>
          <w:spacing w:val="0"/>
        </w:rPr>
      </w:pPr>
    </w:p>
    <w:p w:rsidR="00073DED" w:rsidRDefault="00073DED" w:rsidP="00003743">
      <w:pPr>
        <w:rPr>
          <w:rStyle w:val="IntenseReference"/>
          <w:b w:val="0"/>
          <w:bCs w:val="0"/>
          <w:i w:val="0"/>
          <w:smallCaps w:val="0"/>
          <w:color w:val="auto"/>
          <w:spacing w:val="0"/>
        </w:rPr>
        <w:sectPr w:rsidR="00073DED" w:rsidSect="00103FA0">
          <w:footerReference w:type="default" r:id="rId12"/>
          <w:pgSz w:w="11906" w:h="16838"/>
          <w:pgMar w:top="1440" w:right="1800" w:bottom="1440" w:left="1800" w:header="708" w:footer="708" w:gutter="0"/>
          <w:pgNumType w:start="1"/>
          <w:cols w:space="708"/>
          <w:docGrid w:linePitch="360"/>
        </w:sectPr>
      </w:pPr>
    </w:p>
    <w:p w:rsidR="00C1004C" w:rsidRPr="004A267B" w:rsidRDefault="00C1004C" w:rsidP="00C1004C">
      <w:pPr>
        <w:pStyle w:val="ActHead6"/>
        <w:pageBreakBefore/>
      </w:pPr>
      <w:bookmarkStart w:id="6" w:name="_Toc410376963"/>
      <w:bookmarkStart w:id="7" w:name="opcAmSched"/>
      <w:bookmarkStart w:id="8" w:name="opcCurrentFind"/>
      <w:r w:rsidRPr="004A267B">
        <w:rPr>
          <w:rStyle w:val="CharAmSchNo"/>
        </w:rPr>
        <w:lastRenderedPageBreak/>
        <w:t>Schedule 1</w:t>
      </w:r>
      <w:r w:rsidRPr="004A267B">
        <w:t>—</w:t>
      </w:r>
      <w:r w:rsidRPr="004A267B">
        <w:rPr>
          <w:rStyle w:val="CharAmSchText"/>
        </w:rPr>
        <w:t>Amendments</w:t>
      </w:r>
      <w:bookmarkEnd w:id="6"/>
    </w:p>
    <w:bookmarkEnd w:id="7"/>
    <w:bookmarkEnd w:id="8"/>
    <w:p w:rsidR="00C1004C" w:rsidRPr="004A267B" w:rsidRDefault="00C1004C" w:rsidP="00C1004C">
      <w:pPr>
        <w:pStyle w:val="Header"/>
      </w:pPr>
      <w:r w:rsidRPr="004A267B">
        <w:rPr>
          <w:rStyle w:val="CharAmPartNo"/>
        </w:rPr>
        <w:t xml:space="preserve"> </w:t>
      </w:r>
      <w:r w:rsidRPr="004A267B">
        <w:rPr>
          <w:rStyle w:val="CharAmPartText"/>
        </w:rPr>
        <w:t xml:space="preserve"> </w:t>
      </w:r>
    </w:p>
    <w:p w:rsidR="00C1004C" w:rsidRPr="004A267B" w:rsidRDefault="00C1004C" w:rsidP="00C1004C">
      <w:pPr>
        <w:pStyle w:val="ActHead9"/>
      </w:pPr>
      <w:bookmarkStart w:id="9" w:name="_Toc410376964"/>
      <w:r w:rsidRPr="004A267B">
        <w:t>National Health (Claims and under co</w:t>
      </w:r>
      <w:r>
        <w:noBreakHyphen/>
      </w:r>
      <w:r w:rsidRPr="004A267B">
        <w:t>payment data) Rules 2012</w:t>
      </w:r>
      <w:bookmarkEnd w:id="9"/>
    </w:p>
    <w:p w:rsidR="00C1004C" w:rsidRPr="004A267B" w:rsidRDefault="00C1004C" w:rsidP="00C1004C">
      <w:pPr>
        <w:pStyle w:val="ItemHead"/>
      </w:pPr>
      <w:r w:rsidRPr="004A267B">
        <w:t>1  Rule 4 (after the heading)</w:t>
      </w:r>
    </w:p>
    <w:p w:rsidR="00C1004C" w:rsidRPr="004A267B" w:rsidRDefault="00C1004C" w:rsidP="00C1004C">
      <w:pPr>
        <w:pStyle w:val="Item"/>
      </w:pPr>
      <w:r w:rsidRPr="004A267B">
        <w:t>Insert:</w:t>
      </w:r>
    </w:p>
    <w:p w:rsidR="00C1004C" w:rsidRPr="004A267B" w:rsidRDefault="00C1004C" w:rsidP="00C1004C">
      <w:pPr>
        <w:pStyle w:val="notetext"/>
      </w:pPr>
      <w:r w:rsidRPr="004A267B">
        <w:t>Note:</w:t>
      </w:r>
      <w:r w:rsidRPr="004A267B">
        <w:tab/>
        <w:t>A number of expressions used in these Rules are defined in the Act, including the following:</w:t>
      </w:r>
    </w:p>
    <w:p w:rsidR="00C1004C" w:rsidRPr="004A267B" w:rsidRDefault="00C1004C" w:rsidP="00C1004C">
      <w:pPr>
        <w:pStyle w:val="notepara"/>
      </w:pPr>
      <w:bookmarkStart w:id="10" w:name="_GoBack"/>
      <w:bookmarkEnd w:id="10"/>
      <w:r w:rsidRPr="004A267B">
        <w:t>(a)</w:t>
      </w:r>
      <w:r w:rsidRPr="004A267B">
        <w:tab/>
        <w:t>Chief Executive Medicare;</w:t>
      </w:r>
    </w:p>
    <w:p w:rsidR="00C1004C" w:rsidRPr="004A267B" w:rsidRDefault="00C1004C" w:rsidP="00C1004C">
      <w:pPr>
        <w:pStyle w:val="notepara"/>
      </w:pPr>
      <w:r w:rsidRPr="004A267B">
        <w:t>(b)</w:t>
      </w:r>
      <w:r w:rsidRPr="004A267B">
        <w:rPr>
          <w:rFonts w:ascii="Symbol" w:hAnsi="Symbol"/>
        </w:rPr>
        <w:tab/>
      </w:r>
      <w:r w:rsidRPr="004A267B">
        <w:t>Veterans’ Affairs Department.</w:t>
      </w:r>
    </w:p>
    <w:p w:rsidR="00C1004C" w:rsidRPr="004A267B" w:rsidRDefault="00C1004C" w:rsidP="00C1004C">
      <w:pPr>
        <w:pStyle w:val="ItemHead"/>
      </w:pPr>
      <w:r w:rsidRPr="004A267B">
        <w:t>2  Rule 4</w:t>
      </w:r>
    </w:p>
    <w:p w:rsidR="00C1004C" w:rsidRPr="004A267B" w:rsidRDefault="00C1004C" w:rsidP="00C1004C">
      <w:pPr>
        <w:pStyle w:val="Item"/>
      </w:pPr>
      <w:r w:rsidRPr="004A267B">
        <w:t>Before “In these Rules”, insert “(1)”.</w:t>
      </w:r>
    </w:p>
    <w:p w:rsidR="00C1004C" w:rsidRPr="004A267B" w:rsidRDefault="00C1004C" w:rsidP="00C1004C">
      <w:pPr>
        <w:pStyle w:val="ItemHead"/>
      </w:pPr>
      <w:r w:rsidRPr="004A267B">
        <w:t xml:space="preserve">3  Rule 4 (paragraph (a) of the definition of </w:t>
      </w:r>
      <w:r w:rsidRPr="004A267B">
        <w:rPr>
          <w:i/>
        </w:rPr>
        <w:t>A section</w:t>
      </w:r>
      <w:r w:rsidRPr="004A267B">
        <w:t>)</w:t>
      </w:r>
    </w:p>
    <w:p w:rsidR="00C1004C" w:rsidRPr="004A267B" w:rsidRDefault="00C1004C" w:rsidP="00C1004C">
      <w:pPr>
        <w:pStyle w:val="Item"/>
      </w:pPr>
      <w:r w:rsidRPr="004A267B">
        <w:t>Omit “an prescriber”, substitute “a prescriber”.</w:t>
      </w:r>
    </w:p>
    <w:p w:rsidR="00C1004C" w:rsidRPr="004A267B" w:rsidRDefault="00C1004C" w:rsidP="00C1004C">
      <w:pPr>
        <w:pStyle w:val="ItemHead"/>
      </w:pPr>
      <w:r w:rsidRPr="004A267B">
        <w:t xml:space="preserve">4  Rule 4 (definition of </w:t>
      </w:r>
      <w:r w:rsidRPr="004A267B">
        <w:rPr>
          <w:i/>
        </w:rPr>
        <w:t>CTS claim</w:t>
      </w:r>
      <w:r w:rsidRPr="004A267B">
        <w:t>)</w:t>
      </w:r>
    </w:p>
    <w:p w:rsidR="00C1004C" w:rsidRPr="004A267B" w:rsidRDefault="00C1004C" w:rsidP="00C1004C">
      <w:pPr>
        <w:pStyle w:val="Item"/>
      </w:pPr>
      <w:r w:rsidRPr="004A267B">
        <w:t>Repeal the definition.</w:t>
      </w:r>
    </w:p>
    <w:p w:rsidR="00C1004C" w:rsidRPr="004A267B" w:rsidRDefault="00C1004C" w:rsidP="00C1004C">
      <w:pPr>
        <w:pStyle w:val="ItemHead"/>
      </w:pPr>
      <w:r w:rsidRPr="004A267B">
        <w:t xml:space="preserve">5  Rule 4 (definition of </w:t>
      </w:r>
      <w:r w:rsidRPr="004A267B">
        <w:rPr>
          <w:i/>
        </w:rPr>
        <w:t>CTS non</w:t>
      </w:r>
      <w:r>
        <w:rPr>
          <w:i/>
        </w:rPr>
        <w:noBreakHyphen/>
      </w:r>
      <w:r w:rsidRPr="004A267B">
        <w:rPr>
          <w:i/>
        </w:rPr>
        <w:t>online claim</w:t>
      </w:r>
      <w:r w:rsidRPr="004A267B">
        <w:t>)</w:t>
      </w:r>
    </w:p>
    <w:p w:rsidR="00C1004C" w:rsidRPr="004A267B" w:rsidRDefault="00C1004C" w:rsidP="00C1004C">
      <w:pPr>
        <w:pStyle w:val="Item"/>
      </w:pPr>
      <w:r w:rsidRPr="004A267B">
        <w:t>Repeal the definition.</w:t>
      </w:r>
    </w:p>
    <w:p w:rsidR="00C1004C" w:rsidRPr="004A267B" w:rsidRDefault="00C1004C" w:rsidP="00C1004C">
      <w:pPr>
        <w:pStyle w:val="ItemHead"/>
      </w:pPr>
      <w:r w:rsidRPr="004A267B">
        <w:t xml:space="preserve">6  Rule 4 (definition of </w:t>
      </w:r>
      <w:r w:rsidRPr="004A267B">
        <w:rPr>
          <w:i/>
        </w:rPr>
        <w:t>diskette</w:t>
      </w:r>
      <w:r w:rsidRPr="004A267B">
        <w:t>)</w:t>
      </w:r>
    </w:p>
    <w:p w:rsidR="00C1004C" w:rsidRPr="004A267B" w:rsidRDefault="00C1004C" w:rsidP="00C1004C">
      <w:pPr>
        <w:pStyle w:val="Item"/>
      </w:pPr>
      <w:r w:rsidRPr="004A267B">
        <w:t>Repeal the definition.</w:t>
      </w:r>
    </w:p>
    <w:p w:rsidR="00C1004C" w:rsidRPr="004A267B" w:rsidRDefault="00C1004C" w:rsidP="00C1004C">
      <w:pPr>
        <w:pStyle w:val="ItemHead"/>
      </w:pPr>
      <w:r w:rsidRPr="004A267B">
        <w:t>7  Rule 4</w:t>
      </w:r>
    </w:p>
    <w:p w:rsidR="00C1004C" w:rsidRPr="004A267B" w:rsidRDefault="00C1004C" w:rsidP="00C1004C">
      <w:pPr>
        <w:pStyle w:val="Item"/>
      </w:pPr>
      <w:r w:rsidRPr="004A267B">
        <w:t>Insert:</w:t>
      </w:r>
    </w:p>
    <w:p w:rsidR="00C1004C" w:rsidRPr="004A267B" w:rsidRDefault="00C1004C" w:rsidP="00C1004C">
      <w:pPr>
        <w:pStyle w:val="Definition"/>
      </w:pPr>
      <w:r w:rsidRPr="004A267B">
        <w:rPr>
          <w:b/>
          <w:i/>
        </w:rPr>
        <w:t>electronic prescription</w:t>
      </w:r>
      <w:r w:rsidRPr="004A267B">
        <w:t xml:space="preserve"> has the same meaning as in the Regulations.</w:t>
      </w:r>
    </w:p>
    <w:p w:rsidR="00C1004C" w:rsidRPr="004A267B" w:rsidRDefault="00C1004C" w:rsidP="00C1004C">
      <w:pPr>
        <w:pStyle w:val="ItemHead"/>
      </w:pPr>
      <w:r w:rsidRPr="004A267B">
        <w:t xml:space="preserve">8  Rule 4 (definition of </w:t>
      </w:r>
      <w:r w:rsidRPr="004A267B">
        <w:rPr>
          <w:i/>
        </w:rPr>
        <w:t>ePrescription</w:t>
      </w:r>
      <w:r w:rsidRPr="004A267B">
        <w:t>)</w:t>
      </w:r>
    </w:p>
    <w:p w:rsidR="00C1004C" w:rsidRPr="004A267B" w:rsidRDefault="00C1004C" w:rsidP="00C1004C">
      <w:pPr>
        <w:pStyle w:val="Item"/>
      </w:pPr>
      <w:r w:rsidRPr="004A267B">
        <w:t>Repeal the definition.</w:t>
      </w:r>
    </w:p>
    <w:p w:rsidR="00C1004C" w:rsidRPr="004A267B" w:rsidRDefault="00C1004C" w:rsidP="00C1004C">
      <w:pPr>
        <w:pStyle w:val="ItemHead"/>
      </w:pPr>
      <w:r w:rsidRPr="004A267B">
        <w:t xml:space="preserve">9  Rule 4 (definition of </w:t>
      </w:r>
      <w:r w:rsidRPr="004A267B">
        <w:rPr>
          <w:i/>
        </w:rPr>
        <w:t>medication chart prescription</w:t>
      </w:r>
      <w:r w:rsidRPr="004A267B">
        <w:t>)</w:t>
      </w:r>
    </w:p>
    <w:p w:rsidR="00C1004C" w:rsidRPr="004A267B" w:rsidRDefault="00C1004C" w:rsidP="00C1004C">
      <w:pPr>
        <w:pStyle w:val="Item"/>
      </w:pPr>
      <w:r w:rsidRPr="004A267B">
        <w:t>Repeal the definition, substitute:</w:t>
      </w:r>
    </w:p>
    <w:p w:rsidR="00C1004C" w:rsidRPr="004A267B" w:rsidRDefault="00C1004C" w:rsidP="00C1004C">
      <w:pPr>
        <w:pStyle w:val="Definition"/>
      </w:pPr>
      <w:r w:rsidRPr="004A267B">
        <w:rPr>
          <w:b/>
          <w:i/>
        </w:rPr>
        <w:t xml:space="preserve">medication chart prescription </w:t>
      </w:r>
      <w:r w:rsidRPr="004A267B">
        <w:t>has the same meaning as in the Regulations.</w:t>
      </w:r>
    </w:p>
    <w:p w:rsidR="00C1004C" w:rsidRPr="004A267B" w:rsidRDefault="00C1004C" w:rsidP="00C1004C">
      <w:pPr>
        <w:pStyle w:val="ItemHead"/>
      </w:pPr>
      <w:r w:rsidRPr="004A267B">
        <w:t xml:space="preserve">10  Rule 4 (definition of </w:t>
      </w:r>
      <w:r w:rsidRPr="004A267B">
        <w:rPr>
          <w:i/>
        </w:rPr>
        <w:t>online claim</w:t>
      </w:r>
      <w:r w:rsidRPr="004A267B">
        <w:t>)</w:t>
      </w:r>
    </w:p>
    <w:p w:rsidR="00C1004C" w:rsidRPr="004A267B" w:rsidRDefault="00C1004C" w:rsidP="00C1004C">
      <w:pPr>
        <w:pStyle w:val="Item"/>
      </w:pPr>
      <w:r w:rsidRPr="004A267B">
        <w:t>Repeal the definition.</w:t>
      </w:r>
    </w:p>
    <w:p w:rsidR="00C1004C" w:rsidRPr="004A267B" w:rsidRDefault="00C1004C" w:rsidP="00C1004C">
      <w:pPr>
        <w:pStyle w:val="ItemHead"/>
      </w:pPr>
      <w:r w:rsidRPr="004A267B">
        <w:t xml:space="preserve">11  Rule 4 (definition of </w:t>
      </w:r>
      <w:r w:rsidRPr="004A267B">
        <w:rPr>
          <w:i/>
        </w:rPr>
        <w:t xml:space="preserve">original authority prescription </w:t>
      </w:r>
      <w:r w:rsidRPr="004A267B">
        <w:t xml:space="preserve">and </w:t>
      </w:r>
      <w:r w:rsidRPr="004A267B">
        <w:rPr>
          <w:i/>
        </w:rPr>
        <w:t>original prescription</w:t>
      </w:r>
      <w:r w:rsidRPr="004A267B">
        <w:t>)</w:t>
      </w:r>
    </w:p>
    <w:p w:rsidR="00C1004C" w:rsidRPr="004A267B" w:rsidRDefault="00C1004C" w:rsidP="00C1004C">
      <w:pPr>
        <w:pStyle w:val="Item"/>
      </w:pPr>
      <w:r w:rsidRPr="004A267B">
        <w:t>Repeal the definition.</w:t>
      </w:r>
    </w:p>
    <w:p w:rsidR="00C1004C" w:rsidRPr="004A267B" w:rsidRDefault="00C1004C" w:rsidP="00C1004C">
      <w:pPr>
        <w:pStyle w:val="ItemHead"/>
      </w:pPr>
      <w:r w:rsidRPr="004A267B">
        <w:t xml:space="preserve">12  Rule 4 (definition of </w:t>
      </w:r>
      <w:r w:rsidRPr="004A267B">
        <w:rPr>
          <w:i/>
        </w:rPr>
        <w:t>paperless claim for payment</w:t>
      </w:r>
      <w:r w:rsidRPr="004A267B">
        <w:t>)</w:t>
      </w:r>
    </w:p>
    <w:p w:rsidR="00C1004C" w:rsidRPr="004A267B" w:rsidRDefault="00C1004C" w:rsidP="00C1004C">
      <w:pPr>
        <w:pStyle w:val="Item"/>
      </w:pPr>
      <w:r w:rsidRPr="004A267B">
        <w:t>Repeal the definition.</w:t>
      </w:r>
    </w:p>
    <w:p w:rsidR="00C1004C" w:rsidRPr="004A267B" w:rsidRDefault="00C1004C" w:rsidP="00C1004C">
      <w:pPr>
        <w:pStyle w:val="ItemHead"/>
      </w:pPr>
      <w:r w:rsidRPr="004A267B">
        <w:lastRenderedPageBreak/>
        <w:t xml:space="preserve">13  Rule 4 (definition of </w:t>
      </w:r>
      <w:r w:rsidRPr="004A267B">
        <w:rPr>
          <w:i/>
        </w:rPr>
        <w:t>PBS prescriber</w:t>
      </w:r>
      <w:r w:rsidRPr="004A267B">
        <w:t>)</w:t>
      </w:r>
    </w:p>
    <w:p w:rsidR="00C1004C" w:rsidRPr="004A267B" w:rsidRDefault="00C1004C" w:rsidP="00C1004C">
      <w:pPr>
        <w:pStyle w:val="Item"/>
      </w:pPr>
      <w:r w:rsidRPr="004A267B">
        <w:t>Repeal the definition, substitute:</w:t>
      </w:r>
    </w:p>
    <w:p w:rsidR="00C1004C" w:rsidRPr="004A267B" w:rsidRDefault="00C1004C" w:rsidP="00C1004C">
      <w:pPr>
        <w:pStyle w:val="Definition"/>
      </w:pPr>
      <w:r w:rsidRPr="004A267B">
        <w:rPr>
          <w:b/>
          <w:i/>
        </w:rPr>
        <w:t>PBS prescriber</w:t>
      </w:r>
      <w:r w:rsidRPr="004A267B">
        <w:t>, in relation to a prescription, means the PBS prescriber (within the meaning of Part VII of the Act) who wrote or prepared the prescription.</w:t>
      </w:r>
    </w:p>
    <w:p w:rsidR="00C1004C" w:rsidRPr="004A267B" w:rsidRDefault="00C1004C" w:rsidP="00C1004C">
      <w:pPr>
        <w:pStyle w:val="ItemHead"/>
      </w:pPr>
      <w:r w:rsidRPr="004A267B">
        <w:t>14  Rule 4</w:t>
      </w:r>
    </w:p>
    <w:p w:rsidR="00C1004C" w:rsidRPr="004A267B" w:rsidRDefault="00C1004C" w:rsidP="00C1004C">
      <w:pPr>
        <w:pStyle w:val="Item"/>
      </w:pPr>
      <w:r w:rsidRPr="004A267B">
        <w:t>Insert:</w:t>
      </w:r>
    </w:p>
    <w:p w:rsidR="00C1004C" w:rsidRPr="004A267B" w:rsidRDefault="00C1004C" w:rsidP="00C1004C">
      <w:pPr>
        <w:pStyle w:val="Definition"/>
      </w:pPr>
      <w:r w:rsidRPr="004A267B">
        <w:rPr>
          <w:b/>
          <w:i/>
        </w:rPr>
        <w:t>pharmaceutical benefit</w:t>
      </w:r>
      <w:r w:rsidRPr="004A267B">
        <w:t xml:space="preserve"> has the same meaning as in Part VII of the Act.</w:t>
      </w:r>
    </w:p>
    <w:p w:rsidR="00C1004C" w:rsidRPr="004A267B" w:rsidRDefault="00C1004C" w:rsidP="00C1004C">
      <w:pPr>
        <w:pStyle w:val="ItemHead"/>
      </w:pPr>
      <w:r w:rsidRPr="004A267B">
        <w:t xml:space="preserve">15  Rule 4 (definition of </w:t>
      </w:r>
      <w:r w:rsidRPr="004A267B">
        <w:rPr>
          <w:i/>
        </w:rPr>
        <w:t>prescriber bag supply form</w:t>
      </w:r>
      <w:r w:rsidRPr="004A267B">
        <w:t>)</w:t>
      </w:r>
    </w:p>
    <w:p w:rsidR="00C1004C" w:rsidRPr="004A267B" w:rsidRDefault="00C1004C" w:rsidP="00C1004C">
      <w:pPr>
        <w:pStyle w:val="Item"/>
      </w:pPr>
      <w:r w:rsidRPr="004A267B">
        <w:t>Repeal the definition, substitute:</w:t>
      </w:r>
    </w:p>
    <w:p w:rsidR="00C1004C" w:rsidRPr="004A267B" w:rsidRDefault="00C1004C" w:rsidP="00C1004C">
      <w:pPr>
        <w:pStyle w:val="Definition"/>
      </w:pPr>
      <w:r w:rsidRPr="004A267B">
        <w:rPr>
          <w:b/>
          <w:i/>
        </w:rPr>
        <w:t>prescriber bag supply form</w:t>
      </w:r>
      <w:r w:rsidRPr="004A267B">
        <w:t xml:space="preserve"> means:</w:t>
      </w:r>
    </w:p>
    <w:p w:rsidR="00C1004C" w:rsidRPr="004A267B" w:rsidRDefault="00C1004C" w:rsidP="00C1004C">
      <w:pPr>
        <w:pStyle w:val="paragraph"/>
      </w:pPr>
      <w:r w:rsidRPr="004A267B">
        <w:tab/>
        <w:t>(a)</w:t>
      </w:r>
      <w:r w:rsidRPr="004A267B">
        <w:tab/>
        <w:t>an order form for the purpose of regulation 16 of the Regulations; or</w:t>
      </w:r>
    </w:p>
    <w:p w:rsidR="00C1004C" w:rsidRPr="004A267B" w:rsidRDefault="00C1004C" w:rsidP="00C1004C">
      <w:pPr>
        <w:pStyle w:val="paragraph"/>
      </w:pPr>
      <w:r w:rsidRPr="004A267B">
        <w:tab/>
        <w:t>(b)</w:t>
      </w:r>
      <w:r w:rsidRPr="004A267B">
        <w:tab/>
        <w:t>a form for the purpose of an approved medical practitioner giving notice of obtaining a pharmaceutical benefit when making a claim using the manual system, as mentioned in subregulation 18A(3) of the Regulations; or</w:t>
      </w:r>
    </w:p>
    <w:p w:rsidR="00C1004C" w:rsidRPr="004A267B" w:rsidRDefault="00C1004C" w:rsidP="00C1004C">
      <w:pPr>
        <w:pStyle w:val="paragraph"/>
      </w:pPr>
      <w:r w:rsidRPr="004A267B">
        <w:tab/>
        <w:t>(c)</w:t>
      </w:r>
      <w:r w:rsidRPr="004A267B">
        <w:tab/>
        <w:t>a form for the purpose of an approved medical practitioner creating a written record of obtaining a pharmaceutical benefit if he or she makes a CTS claim in relation to obtaining the benefit, as mentioned in subregulation 18A(5A) of the Regulations.</w:t>
      </w:r>
    </w:p>
    <w:p w:rsidR="00C1004C" w:rsidRPr="004A267B" w:rsidRDefault="00C1004C" w:rsidP="00C1004C">
      <w:pPr>
        <w:pStyle w:val="ItemHead"/>
      </w:pPr>
      <w:r w:rsidRPr="004A267B">
        <w:t xml:space="preserve">16  Rule 4 (definition of </w:t>
      </w:r>
      <w:r w:rsidRPr="004A267B">
        <w:rPr>
          <w:i/>
        </w:rPr>
        <w:t>prescription</w:t>
      </w:r>
      <w:r w:rsidRPr="004A267B">
        <w:t>)</w:t>
      </w:r>
    </w:p>
    <w:p w:rsidR="00C1004C" w:rsidRPr="004A267B" w:rsidRDefault="00C1004C" w:rsidP="00C1004C">
      <w:pPr>
        <w:pStyle w:val="Item"/>
      </w:pPr>
      <w:r w:rsidRPr="004A267B">
        <w:t>Repeal the definition, substitute:</w:t>
      </w:r>
    </w:p>
    <w:p w:rsidR="00C1004C" w:rsidRPr="004A267B" w:rsidRDefault="00C1004C" w:rsidP="00C1004C">
      <w:pPr>
        <w:pStyle w:val="Definition"/>
      </w:pPr>
      <w:r w:rsidRPr="004A267B">
        <w:rPr>
          <w:b/>
          <w:i/>
        </w:rPr>
        <w:t xml:space="preserve">prescription </w:t>
      </w:r>
      <w:r w:rsidRPr="004A267B">
        <w:t>includes the following:</w:t>
      </w:r>
    </w:p>
    <w:p w:rsidR="00C1004C" w:rsidRPr="004A267B" w:rsidRDefault="00C1004C" w:rsidP="00C1004C">
      <w:pPr>
        <w:pStyle w:val="paragraph"/>
      </w:pPr>
      <w:r w:rsidRPr="004A267B">
        <w:tab/>
        <w:t>(a)</w:t>
      </w:r>
      <w:r w:rsidRPr="004A267B">
        <w:tab/>
        <w:t>the Medicare Australia/DVA copy of a paper</w:t>
      </w:r>
      <w:r>
        <w:noBreakHyphen/>
      </w:r>
      <w:r w:rsidRPr="004A267B">
        <w:t>based prescription;</w:t>
      </w:r>
    </w:p>
    <w:p w:rsidR="00C1004C" w:rsidRPr="004A267B" w:rsidRDefault="00C1004C" w:rsidP="00C1004C">
      <w:pPr>
        <w:pStyle w:val="paragraph"/>
      </w:pPr>
      <w:r w:rsidRPr="004A267B">
        <w:tab/>
        <w:t>(b)</w:t>
      </w:r>
      <w:r w:rsidRPr="004A267B">
        <w:tab/>
        <w:t>a copy of a medication chart prescription that is not an electronic prescription;</w:t>
      </w:r>
    </w:p>
    <w:p w:rsidR="00C1004C" w:rsidRPr="004A267B" w:rsidRDefault="00C1004C" w:rsidP="00C1004C">
      <w:pPr>
        <w:pStyle w:val="paragraph"/>
      </w:pPr>
      <w:r w:rsidRPr="004A267B">
        <w:tab/>
        <w:t>(c)</w:t>
      </w:r>
      <w:r w:rsidRPr="004A267B">
        <w:tab/>
        <w:t>an electronic prescription in printed form;</w:t>
      </w:r>
    </w:p>
    <w:p w:rsidR="00C1004C" w:rsidRPr="004A267B" w:rsidRDefault="00C1004C" w:rsidP="00C1004C">
      <w:pPr>
        <w:pStyle w:val="paragraph"/>
      </w:pPr>
      <w:r w:rsidRPr="004A267B">
        <w:tab/>
        <w:t>(d)</w:t>
      </w:r>
      <w:r w:rsidRPr="004A267B">
        <w:tab/>
        <w:t>a repeat authorisation, a deferred supply authorisation, or a prescriber bag supply form, including such an authorisation or form in printed form if it was written or prepared by means of an electronic form.</w:t>
      </w:r>
    </w:p>
    <w:p w:rsidR="00C1004C" w:rsidRPr="004A267B" w:rsidRDefault="00C1004C" w:rsidP="00C1004C">
      <w:pPr>
        <w:pStyle w:val="ItemHead"/>
      </w:pPr>
      <w:r w:rsidRPr="004A267B">
        <w:t xml:space="preserve">17  Rule 4 (definition of </w:t>
      </w:r>
      <w:r w:rsidRPr="004A267B">
        <w:rPr>
          <w:i/>
        </w:rPr>
        <w:t>print</w:t>
      </w:r>
      <w:r>
        <w:rPr>
          <w:i/>
        </w:rPr>
        <w:noBreakHyphen/>
      </w:r>
      <w:r w:rsidRPr="004A267B">
        <w:rPr>
          <w:i/>
        </w:rPr>
        <w:t>outs</w:t>
      </w:r>
      <w:r w:rsidRPr="004A267B">
        <w:t>)</w:t>
      </w:r>
    </w:p>
    <w:p w:rsidR="00C1004C" w:rsidRPr="004A267B" w:rsidRDefault="00C1004C" w:rsidP="00C1004C">
      <w:pPr>
        <w:pStyle w:val="Item"/>
      </w:pPr>
      <w:r w:rsidRPr="004A267B">
        <w:t>Repeal the definition.</w:t>
      </w:r>
    </w:p>
    <w:p w:rsidR="00C1004C" w:rsidRPr="004A267B" w:rsidRDefault="00C1004C" w:rsidP="00C1004C">
      <w:pPr>
        <w:pStyle w:val="ItemHead"/>
      </w:pPr>
      <w:r w:rsidRPr="004A267B">
        <w:t xml:space="preserve">18  Rule 4 (paragraph (a) of the definition of </w:t>
      </w:r>
      <w:r w:rsidRPr="004A267B">
        <w:rPr>
          <w:i/>
        </w:rPr>
        <w:t>S section</w:t>
      </w:r>
      <w:r w:rsidRPr="004A267B">
        <w:t>)</w:t>
      </w:r>
    </w:p>
    <w:p w:rsidR="00C1004C" w:rsidRPr="004A267B" w:rsidRDefault="00C1004C" w:rsidP="00C1004C">
      <w:pPr>
        <w:pStyle w:val="Item"/>
      </w:pPr>
      <w:r w:rsidRPr="004A267B">
        <w:t>Omit “an prescriber”, substitute “a prescriber”.</w:t>
      </w:r>
    </w:p>
    <w:p w:rsidR="00C1004C" w:rsidRPr="004A267B" w:rsidRDefault="00C1004C" w:rsidP="00C1004C">
      <w:pPr>
        <w:pStyle w:val="ItemHead"/>
      </w:pPr>
      <w:r w:rsidRPr="004A267B">
        <w:t xml:space="preserve">19  Rule 4 (definition of </w:t>
      </w:r>
      <w:r w:rsidRPr="004A267B">
        <w:rPr>
          <w:i/>
        </w:rPr>
        <w:t>supply certification form</w:t>
      </w:r>
      <w:r w:rsidRPr="004A267B">
        <w:t>)</w:t>
      </w:r>
    </w:p>
    <w:p w:rsidR="00C1004C" w:rsidRPr="004A267B" w:rsidRDefault="00C1004C" w:rsidP="00C1004C">
      <w:pPr>
        <w:pStyle w:val="Item"/>
      </w:pPr>
      <w:r w:rsidRPr="004A267B">
        <w:t>Repeal the definition.</w:t>
      </w:r>
    </w:p>
    <w:p w:rsidR="00C1004C" w:rsidRPr="004A267B" w:rsidRDefault="00C1004C" w:rsidP="00C1004C">
      <w:pPr>
        <w:pStyle w:val="ItemHead"/>
      </w:pPr>
      <w:r w:rsidRPr="004A267B">
        <w:t xml:space="preserve">20  Rule 4 (second note at the end of the definition of </w:t>
      </w:r>
      <w:r w:rsidRPr="004A267B">
        <w:rPr>
          <w:i/>
        </w:rPr>
        <w:t>under co</w:t>
      </w:r>
      <w:r>
        <w:rPr>
          <w:i/>
        </w:rPr>
        <w:noBreakHyphen/>
      </w:r>
      <w:r w:rsidRPr="004A267B">
        <w:rPr>
          <w:i/>
        </w:rPr>
        <w:t>payment data</w:t>
      </w:r>
      <w:r w:rsidRPr="004A267B">
        <w:t>)</w:t>
      </w:r>
    </w:p>
    <w:p w:rsidR="00C1004C" w:rsidRPr="004A267B" w:rsidRDefault="00C1004C" w:rsidP="00C1004C">
      <w:pPr>
        <w:pStyle w:val="Item"/>
      </w:pPr>
      <w:r w:rsidRPr="004A267B">
        <w:t>Repeal the note.</w:t>
      </w:r>
    </w:p>
    <w:p w:rsidR="00C1004C" w:rsidRPr="004A267B" w:rsidRDefault="00C1004C" w:rsidP="00C1004C">
      <w:pPr>
        <w:pStyle w:val="ItemHead"/>
      </w:pPr>
      <w:r w:rsidRPr="004A267B">
        <w:t>21  At the end of rule 4</w:t>
      </w:r>
    </w:p>
    <w:p w:rsidR="00C1004C" w:rsidRPr="004A267B" w:rsidRDefault="00C1004C" w:rsidP="00C1004C">
      <w:pPr>
        <w:pStyle w:val="Item"/>
      </w:pPr>
      <w:r w:rsidRPr="004A267B">
        <w:t>Add:</w:t>
      </w:r>
    </w:p>
    <w:p w:rsidR="00C1004C" w:rsidRPr="004A267B" w:rsidRDefault="00C1004C" w:rsidP="00C1004C">
      <w:pPr>
        <w:pStyle w:val="subsection"/>
      </w:pPr>
      <w:r w:rsidRPr="004A267B">
        <w:lastRenderedPageBreak/>
        <w:tab/>
        <w:t>(2)</w:t>
      </w:r>
      <w:r w:rsidRPr="004A267B">
        <w:tab/>
        <w:t>A reference in these Rules to the supply of a pharmaceutical benefit includes a reference to the obtaining of a pharmaceutical benefit by an approved medical practitioner for the purpose of the supply of the benefit under section 93 of the Act.</w:t>
      </w:r>
    </w:p>
    <w:p w:rsidR="00C1004C" w:rsidRPr="004A267B" w:rsidRDefault="00C1004C" w:rsidP="00C1004C">
      <w:pPr>
        <w:pStyle w:val="ItemHead"/>
      </w:pPr>
      <w:r w:rsidRPr="004A267B">
        <w:t>22  After subrule 5(1)</w:t>
      </w:r>
    </w:p>
    <w:p w:rsidR="00C1004C" w:rsidRPr="004A267B" w:rsidRDefault="00C1004C" w:rsidP="00C1004C">
      <w:pPr>
        <w:pStyle w:val="Item"/>
      </w:pPr>
      <w:r w:rsidRPr="004A267B">
        <w:t>Insert:</w:t>
      </w:r>
    </w:p>
    <w:p w:rsidR="00C1004C" w:rsidRPr="004A267B" w:rsidRDefault="00C1004C" w:rsidP="00C1004C">
      <w:pPr>
        <w:pStyle w:val="SubsectionHead"/>
      </w:pPr>
      <w:r w:rsidRPr="004A267B">
        <w:t>Certification</w:t>
      </w:r>
    </w:p>
    <w:p w:rsidR="00C1004C" w:rsidRPr="004A267B" w:rsidRDefault="00C1004C" w:rsidP="00C1004C">
      <w:pPr>
        <w:pStyle w:val="subsection"/>
      </w:pPr>
      <w:r w:rsidRPr="004A267B">
        <w:tab/>
        <w:t>(1A)</w:t>
      </w:r>
      <w:r w:rsidRPr="004A267B">
        <w:tab/>
        <w:t>The approved supplier must certify:</w:t>
      </w:r>
    </w:p>
    <w:p w:rsidR="00C1004C" w:rsidRPr="004A267B" w:rsidRDefault="00C1004C" w:rsidP="00C1004C">
      <w:pPr>
        <w:pStyle w:val="paragraph"/>
      </w:pPr>
      <w:r w:rsidRPr="004A267B">
        <w:tab/>
        <w:t>(a)</w:t>
      </w:r>
      <w:r w:rsidRPr="004A267B">
        <w:tab/>
        <w:t xml:space="preserve">that each pharmaceutical benefit to which the information relates was supplied by, or on behalf of, the approved supplier in accordance with the </w:t>
      </w:r>
      <w:r w:rsidRPr="004A267B">
        <w:rPr>
          <w:i/>
        </w:rPr>
        <w:t>National Health Act 1953</w:t>
      </w:r>
      <w:r w:rsidRPr="004A267B">
        <w:t xml:space="preserve"> and the instruments made under it, or the RPBS; and</w:t>
      </w:r>
    </w:p>
    <w:p w:rsidR="00C1004C" w:rsidRPr="004A267B" w:rsidRDefault="00C1004C" w:rsidP="00C1004C">
      <w:pPr>
        <w:pStyle w:val="paragraph"/>
      </w:pPr>
      <w:r w:rsidRPr="004A267B">
        <w:tab/>
        <w:t>(b)</w:t>
      </w:r>
      <w:r w:rsidRPr="004A267B">
        <w:tab/>
        <w:t>that the information is correct.</w:t>
      </w:r>
    </w:p>
    <w:p w:rsidR="00C1004C" w:rsidRPr="004A267B" w:rsidRDefault="00C1004C" w:rsidP="00C1004C">
      <w:pPr>
        <w:pStyle w:val="notetext"/>
      </w:pPr>
      <w:r w:rsidRPr="004A267B">
        <w:t>Note:</w:t>
      </w:r>
      <w:r w:rsidRPr="004A267B">
        <w:tab/>
        <w:t>Paragraph 6(3)(d) sets out requirements for the Claims Transmission System about warnings and notifications that apply if the certification is not included in a form mentioned in paragraph (1)(a).</w:t>
      </w:r>
    </w:p>
    <w:p w:rsidR="00C1004C" w:rsidRPr="004A267B" w:rsidRDefault="00C1004C" w:rsidP="00C1004C">
      <w:pPr>
        <w:pStyle w:val="subsection"/>
      </w:pPr>
      <w:r w:rsidRPr="004A267B">
        <w:tab/>
        <w:t>(1B)</w:t>
      </w:r>
      <w:r w:rsidRPr="004A267B">
        <w:tab/>
        <w:t>The approved supplier may make the certification in a form mentioned in paragraph (1)(a) or in another manner.</w:t>
      </w:r>
    </w:p>
    <w:p w:rsidR="00C1004C" w:rsidRPr="004A267B" w:rsidRDefault="00C1004C" w:rsidP="00C1004C">
      <w:pPr>
        <w:pStyle w:val="subsection"/>
      </w:pPr>
      <w:r w:rsidRPr="004A267B">
        <w:tab/>
        <w:t>(1C)</w:t>
      </w:r>
      <w:r w:rsidRPr="004A267B">
        <w:tab/>
        <w:t>In certifying for the purposes of paragraph (1A)(a), the approved supplier must:</w:t>
      </w:r>
    </w:p>
    <w:p w:rsidR="00C1004C" w:rsidRPr="004A267B" w:rsidRDefault="00C1004C" w:rsidP="00C1004C">
      <w:pPr>
        <w:pStyle w:val="paragraph"/>
      </w:pPr>
      <w:r w:rsidRPr="004A267B">
        <w:tab/>
        <w:t>(a)</w:t>
      </w:r>
      <w:r w:rsidRPr="004A267B">
        <w:tab/>
        <w:t>identify the range of the serial numbers for each payment category referred to in Schedule 1 allotted in respect of the pharmaceutical benefits; and</w:t>
      </w:r>
    </w:p>
    <w:p w:rsidR="00C1004C" w:rsidRPr="004A267B" w:rsidRDefault="00C1004C" w:rsidP="00C1004C">
      <w:pPr>
        <w:pStyle w:val="paragraph"/>
      </w:pPr>
      <w:r w:rsidRPr="004A267B">
        <w:tab/>
        <w:t>(b)</w:t>
      </w:r>
      <w:r w:rsidRPr="004A267B">
        <w:tab/>
        <w:t>specify the total number of pharmaceutical benefits for each of those payment categories; and</w:t>
      </w:r>
    </w:p>
    <w:p w:rsidR="00C1004C" w:rsidRPr="004A267B" w:rsidRDefault="00C1004C" w:rsidP="00C1004C">
      <w:pPr>
        <w:pStyle w:val="paragraph"/>
      </w:pPr>
      <w:r w:rsidRPr="004A267B">
        <w:tab/>
        <w:t>(c)</w:t>
      </w:r>
      <w:r w:rsidRPr="004A267B">
        <w:tab/>
        <w:t>identify the claim period number, and the claim reference, referred to in Schedule 1 in relation to which the information is given.</w:t>
      </w:r>
    </w:p>
    <w:p w:rsidR="00C1004C" w:rsidRPr="004A267B" w:rsidRDefault="00C1004C" w:rsidP="00C1004C">
      <w:pPr>
        <w:pStyle w:val="SubsectionHead"/>
      </w:pPr>
      <w:r w:rsidRPr="004A267B">
        <w:t>Additional procedure if claim made using the manual system</w:t>
      </w:r>
    </w:p>
    <w:p w:rsidR="00C1004C" w:rsidRPr="004A267B" w:rsidRDefault="00C1004C" w:rsidP="00C1004C">
      <w:pPr>
        <w:pStyle w:val="ItemHead"/>
      </w:pPr>
      <w:r w:rsidRPr="004A267B">
        <w:t>23  Subrule 5(2)</w:t>
      </w:r>
    </w:p>
    <w:p w:rsidR="00C1004C" w:rsidRPr="004A267B" w:rsidRDefault="00C1004C" w:rsidP="00C1004C">
      <w:pPr>
        <w:pStyle w:val="Item"/>
      </w:pPr>
      <w:r w:rsidRPr="004A267B">
        <w:t>Omit “Except when providing under co</w:t>
      </w:r>
      <w:r>
        <w:noBreakHyphen/>
      </w:r>
      <w:r w:rsidRPr="004A267B">
        <w:t>payment data, or making a claim for payment to which subrule 5(3) applies, the information shall be given accompanied by the original prescriptions”, substitute “If the approved supplier is making a claim using the manual system, the information must be accompanied by the prescriptions”.</w:t>
      </w:r>
    </w:p>
    <w:p w:rsidR="00C1004C" w:rsidRPr="004A267B" w:rsidRDefault="00C1004C" w:rsidP="00C1004C">
      <w:pPr>
        <w:pStyle w:val="ItemHead"/>
      </w:pPr>
      <w:r w:rsidRPr="004A267B">
        <w:t>24  Paragraph 5(2)(b)</w:t>
      </w:r>
    </w:p>
    <w:p w:rsidR="00C1004C" w:rsidRPr="004A267B" w:rsidRDefault="00C1004C" w:rsidP="00C1004C">
      <w:pPr>
        <w:pStyle w:val="Item"/>
      </w:pPr>
      <w:r w:rsidRPr="004A267B">
        <w:t>Omit “an prescriber”, substitute “a prescriber”.</w:t>
      </w:r>
    </w:p>
    <w:p w:rsidR="00C1004C" w:rsidRPr="004A267B" w:rsidRDefault="00C1004C" w:rsidP="00C1004C">
      <w:pPr>
        <w:pStyle w:val="ItemHead"/>
      </w:pPr>
      <w:r w:rsidRPr="004A267B">
        <w:t>25  Paragraph 5(2)(c) (note)</w:t>
      </w:r>
    </w:p>
    <w:p w:rsidR="00C1004C" w:rsidRPr="004A267B" w:rsidRDefault="00C1004C" w:rsidP="00C1004C">
      <w:pPr>
        <w:pStyle w:val="Item"/>
      </w:pPr>
      <w:r w:rsidRPr="004A267B">
        <w:t>Repeal the note, substitute:</w:t>
      </w:r>
    </w:p>
    <w:p w:rsidR="00C1004C" w:rsidRPr="004A267B" w:rsidRDefault="00C1004C" w:rsidP="00C1004C">
      <w:pPr>
        <w:pStyle w:val="notetext"/>
      </w:pPr>
      <w:r w:rsidRPr="004A267B">
        <w:t>Note:</w:t>
      </w:r>
      <w:r w:rsidRPr="004A267B">
        <w:tab/>
        <w:t xml:space="preserve">The expressions </w:t>
      </w:r>
      <w:r w:rsidRPr="004A267B">
        <w:rPr>
          <w:b/>
          <w:i/>
        </w:rPr>
        <w:t xml:space="preserve">prescription </w:t>
      </w:r>
      <w:r w:rsidRPr="004A267B">
        <w:t>and</w:t>
      </w:r>
      <w:r w:rsidRPr="004A267B">
        <w:rPr>
          <w:b/>
        </w:rPr>
        <w:t xml:space="preserve"> </w:t>
      </w:r>
      <w:r w:rsidRPr="004A267B">
        <w:rPr>
          <w:b/>
          <w:i/>
        </w:rPr>
        <w:t>repeat authorisation</w:t>
      </w:r>
      <w:r w:rsidRPr="004A267B">
        <w:t xml:space="preserve"> have extended meanings under subrule 4(1).</w:t>
      </w:r>
    </w:p>
    <w:p w:rsidR="00C1004C" w:rsidRPr="004A267B" w:rsidRDefault="00C1004C" w:rsidP="00C1004C">
      <w:pPr>
        <w:pStyle w:val="ItemHead"/>
      </w:pPr>
      <w:r w:rsidRPr="004A267B">
        <w:t>26  Paragraph 5(2)(f)</w:t>
      </w:r>
    </w:p>
    <w:p w:rsidR="00C1004C" w:rsidRPr="004A267B" w:rsidRDefault="00C1004C" w:rsidP="00C1004C">
      <w:pPr>
        <w:pStyle w:val="Item"/>
      </w:pPr>
      <w:r w:rsidRPr="004A267B">
        <w:t>Omit “control; and”, substitute “control.”.</w:t>
      </w:r>
    </w:p>
    <w:p w:rsidR="00C1004C" w:rsidRPr="004A267B" w:rsidRDefault="00C1004C" w:rsidP="00C1004C">
      <w:pPr>
        <w:pStyle w:val="ItemHead"/>
      </w:pPr>
      <w:r w:rsidRPr="004A267B">
        <w:t>27  Paragraph 5(2)(g)</w:t>
      </w:r>
    </w:p>
    <w:p w:rsidR="00C1004C" w:rsidRPr="004A267B" w:rsidRDefault="00C1004C" w:rsidP="00C1004C">
      <w:pPr>
        <w:pStyle w:val="Item"/>
      </w:pPr>
      <w:r w:rsidRPr="004A267B">
        <w:t>Repeal the paragraph.</w:t>
      </w:r>
    </w:p>
    <w:p w:rsidR="00C1004C" w:rsidRPr="004A267B" w:rsidRDefault="00C1004C" w:rsidP="00C1004C">
      <w:pPr>
        <w:pStyle w:val="ItemHead"/>
      </w:pPr>
      <w:r w:rsidRPr="004A267B">
        <w:lastRenderedPageBreak/>
        <w:t>28  Subrule 5(2) (first note at the end of the subrule)</w:t>
      </w:r>
    </w:p>
    <w:p w:rsidR="00C1004C" w:rsidRPr="004A267B" w:rsidRDefault="00C1004C" w:rsidP="00C1004C">
      <w:pPr>
        <w:pStyle w:val="Item"/>
      </w:pPr>
      <w:r w:rsidRPr="004A267B">
        <w:t>Omit “RPBS prescriptions are also given”, insert “If an RPBS claim is made using the manual system, RPBS prescriptions relating to the claim are given”.</w:t>
      </w:r>
    </w:p>
    <w:p w:rsidR="00C1004C" w:rsidRPr="004A267B" w:rsidRDefault="00C1004C" w:rsidP="00C1004C">
      <w:pPr>
        <w:pStyle w:val="ItemHead"/>
      </w:pPr>
      <w:r w:rsidRPr="004A267B">
        <w:t>29  Subrule 5(2) (second note at the end of the subrule)</w:t>
      </w:r>
    </w:p>
    <w:p w:rsidR="00C1004C" w:rsidRPr="004A267B" w:rsidRDefault="00C1004C" w:rsidP="00C1004C">
      <w:pPr>
        <w:pStyle w:val="Item"/>
      </w:pPr>
      <w:r w:rsidRPr="004A267B">
        <w:t>Repeal the note.</w:t>
      </w:r>
    </w:p>
    <w:p w:rsidR="00C1004C" w:rsidRPr="004A267B" w:rsidRDefault="00C1004C" w:rsidP="00C1004C">
      <w:pPr>
        <w:pStyle w:val="ItemHead"/>
      </w:pPr>
      <w:r w:rsidRPr="004A267B">
        <w:t>30  Subrule 5(3)</w:t>
      </w:r>
    </w:p>
    <w:p w:rsidR="00C1004C" w:rsidRPr="004A267B" w:rsidRDefault="00C1004C" w:rsidP="00C1004C">
      <w:pPr>
        <w:pStyle w:val="Item"/>
      </w:pPr>
      <w:r w:rsidRPr="004A267B">
        <w:t>Repeal the subrule, substitute:</w:t>
      </w:r>
    </w:p>
    <w:p w:rsidR="00C1004C" w:rsidRPr="004A267B" w:rsidRDefault="00C1004C" w:rsidP="00C1004C">
      <w:pPr>
        <w:pStyle w:val="subsection"/>
      </w:pPr>
      <w:r w:rsidRPr="004A267B">
        <w:tab/>
        <w:t>(3)</w:t>
      </w:r>
      <w:r w:rsidRPr="004A267B">
        <w:tab/>
        <w:t>The prescriptions mentioned in subrule (2) must be grouped according to whether they are covered by subparagraph (2)(c)(i), (ii), (iii) or (iv), with the prescriptions in each group sorted in accordance with the serial numbers allotted under that subparagraph, starting with the first number allotted.</w:t>
      </w:r>
    </w:p>
    <w:p w:rsidR="00C1004C" w:rsidRPr="004A267B" w:rsidRDefault="00C1004C" w:rsidP="00C1004C">
      <w:pPr>
        <w:pStyle w:val="notetext"/>
      </w:pPr>
      <w:r w:rsidRPr="004A267B">
        <w:t>Note:</w:t>
      </w:r>
      <w:r w:rsidRPr="004A267B">
        <w:tab/>
        <w:t>The RPBS also requires an approved supplier to create a group of RPBS prescriptions sorted in accordance with the “R” serial numbers allotted to the prescriptions, starting with the first number allotted.</w:t>
      </w:r>
    </w:p>
    <w:p w:rsidR="00C1004C" w:rsidRPr="004A267B" w:rsidRDefault="00C1004C" w:rsidP="00C1004C">
      <w:pPr>
        <w:pStyle w:val="SubsectionHead"/>
      </w:pPr>
      <w:r w:rsidRPr="004A267B">
        <w:t>Additional procedure if claim made using the Claims Transmission System</w:t>
      </w:r>
    </w:p>
    <w:p w:rsidR="00C1004C" w:rsidRPr="004A267B" w:rsidRDefault="00C1004C" w:rsidP="00C1004C">
      <w:pPr>
        <w:pStyle w:val="subsection"/>
      </w:pPr>
      <w:r w:rsidRPr="004A267B">
        <w:tab/>
        <w:t>(4)</w:t>
      </w:r>
      <w:r w:rsidRPr="004A267B">
        <w:tab/>
        <w:t>If the approved supplier is making a claim using the Claims Transmission System, the approved supplier must comply with the requirements of subrules (2) and (3) in relation to the prescriptions upon the presentation of which the pharmaceutical benefits that are the subject of the claim were supplied, except that those prescriptions need not accompany the information given in accordance with subrule (1).</w:t>
      </w:r>
    </w:p>
    <w:p w:rsidR="00C1004C" w:rsidRPr="004A267B" w:rsidRDefault="00C1004C" w:rsidP="00C1004C">
      <w:pPr>
        <w:pStyle w:val="SubsectionHead"/>
      </w:pPr>
      <w:r w:rsidRPr="004A267B">
        <w:t>Exception for medication chart prescriptions</w:t>
      </w:r>
    </w:p>
    <w:p w:rsidR="00C1004C" w:rsidRPr="004A267B" w:rsidRDefault="00C1004C" w:rsidP="00C1004C">
      <w:pPr>
        <w:pStyle w:val="subsection"/>
      </w:pPr>
      <w:r w:rsidRPr="004A267B">
        <w:tab/>
        <w:t>(5)</w:t>
      </w:r>
      <w:r w:rsidRPr="004A267B">
        <w:tab/>
        <w:t>For subrules (2) to (4), a reference to a prescription does not include a reference to a medication chart prescription.</w:t>
      </w:r>
    </w:p>
    <w:p w:rsidR="00C1004C" w:rsidRPr="004A267B" w:rsidRDefault="00C1004C" w:rsidP="00C1004C">
      <w:pPr>
        <w:pStyle w:val="notetext"/>
      </w:pPr>
      <w:r w:rsidRPr="004A267B">
        <w:t>Note:</w:t>
      </w:r>
      <w:r w:rsidRPr="004A267B">
        <w:tab/>
        <w:t>If the information is given using the Claims Transmission System, Schedule 1 has the effect that a serial number is still allotted in relation to the supply of each pharmaceutical benefit on the basis of a medication chart prescription.</w:t>
      </w:r>
    </w:p>
    <w:p w:rsidR="00C1004C" w:rsidRPr="004A267B" w:rsidRDefault="00C1004C" w:rsidP="00C1004C">
      <w:pPr>
        <w:pStyle w:val="ItemHead"/>
      </w:pPr>
      <w:r w:rsidRPr="004A267B">
        <w:t>31  Rules 6 and 7</w:t>
      </w:r>
    </w:p>
    <w:p w:rsidR="00C1004C" w:rsidRPr="004A267B" w:rsidRDefault="00C1004C" w:rsidP="00C1004C">
      <w:pPr>
        <w:pStyle w:val="Item"/>
      </w:pPr>
      <w:r w:rsidRPr="004A267B">
        <w:t>Repeal the rules, substitute:</w:t>
      </w:r>
    </w:p>
    <w:p w:rsidR="00C1004C" w:rsidRPr="004A267B" w:rsidRDefault="00C1004C" w:rsidP="00C1004C">
      <w:pPr>
        <w:pStyle w:val="ActHead5"/>
      </w:pPr>
      <w:bookmarkStart w:id="11" w:name="_Toc410376965"/>
      <w:r w:rsidRPr="004A267B">
        <w:rPr>
          <w:rStyle w:val="CharSectno"/>
        </w:rPr>
        <w:t>6</w:t>
      </w:r>
      <w:r w:rsidRPr="004A267B">
        <w:t xml:space="preserve">  Claims Transmission System—procedures</w:t>
      </w:r>
      <w:bookmarkEnd w:id="11"/>
    </w:p>
    <w:p w:rsidR="00C1004C" w:rsidRPr="004A267B" w:rsidRDefault="00C1004C" w:rsidP="00C1004C">
      <w:pPr>
        <w:pStyle w:val="subsection"/>
      </w:pPr>
      <w:r w:rsidRPr="004A267B">
        <w:tab/>
        <w:t>(1)</w:t>
      </w:r>
      <w:r w:rsidRPr="004A267B">
        <w:tab/>
        <w:t>For paragraphs 98AC(4)(b) (under co</w:t>
      </w:r>
      <w:r>
        <w:noBreakHyphen/>
      </w:r>
      <w:r w:rsidRPr="004A267B">
        <w:t>payment data) and 99AAA(8)(c) (claims for payment) of the Act, this rule defines the procedures to be followed by an approved supplier in giving information to the Secretary by electronic means.</w:t>
      </w:r>
    </w:p>
    <w:p w:rsidR="00C1004C" w:rsidRPr="004A267B" w:rsidRDefault="00C1004C" w:rsidP="00C1004C">
      <w:pPr>
        <w:pStyle w:val="notetext"/>
      </w:pPr>
      <w:r w:rsidRPr="004A267B">
        <w:t>Note 1:</w:t>
      </w:r>
      <w:r w:rsidRPr="004A267B">
        <w:tab/>
        <w:t>The procedures defined in this rule constitute the Claims Transmission System.</w:t>
      </w:r>
    </w:p>
    <w:p w:rsidR="00C1004C" w:rsidRPr="004A267B" w:rsidRDefault="00C1004C" w:rsidP="00C1004C">
      <w:pPr>
        <w:pStyle w:val="notetext"/>
        <w:rPr>
          <w:i/>
        </w:rPr>
      </w:pPr>
      <w:r w:rsidRPr="004A267B">
        <w:t>Note 2:</w:t>
      </w:r>
      <w:r w:rsidRPr="004A267B">
        <w:tab/>
        <w:t>The Claims Transmission System may contain modifications due to the effect of special arrangements under section 100 of the Act, or to facilitate the payment of additional fees to approved suppliers that are not paid as a claim under section 99AAA of the Act.</w:t>
      </w:r>
    </w:p>
    <w:p w:rsidR="00C1004C" w:rsidRPr="004A267B" w:rsidRDefault="00C1004C" w:rsidP="00C1004C">
      <w:pPr>
        <w:pStyle w:val="subsection"/>
      </w:pPr>
      <w:r w:rsidRPr="004A267B">
        <w:tab/>
        <w:t>(2)</w:t>
      </w:r>
      <w:r w:rsidRPr="004A267B">
        <w:tab/>
        <w:t>The approved supplier must give the information to the Chief Executive Medicare, on behalf of the Secretary:</w:t>
      </w:r>
    </w:p>
    <w:p w:rsidR="00C1004C" w:rsidRPr="004A267B" w:rsidRDefault="00C1004C" w:rsidP="00C1004C">
      <w:pPr>
        <w:pStyle w:val="paragraph"/>
      </w:pPr>
      <w:r w:rsidRPr="004A267B">
        <w:tab/>
        <w:t>(a)</w:t>
      </w:r>
      <w:r w:rsidRPr="004A267B">
        <w:tab/>
        <w:t>in writing; and</w:t>
      </w:r>
    </w:p>
    <w:p w:rsidR="00C1004C" w:rsidRPr="004A267B" w:rsidRDefault="00C1004C" w:rsidP="00C1004C">
      <w:pPr>
        <w:pStyle w:val="paragraph"/>
      </w:pPr>
      <w:r w:rsidRPr="004A267B">
        <w:tab/>
        <w:t>(b)</w:t>
      </w:r>
      <w:r w:rsidRPr="004A267B">
        <w:tab/>
        <w:t>by means of an electronic communication; and</w:t>
      </w:r>
    </w:p>
    <w:p w:rsidR="00C1004C" w:rsidRPr="004A267B" w:rsidRDefault="00C1004C" w:rsidP="00C1004C">
      <w:pPr>
        <w:pStyle w:val="paragraph"/>
      </w:pPr>
      <w:r w:rsidRPr="004A267B">
        <w:lastRenderedPageBreak/>
        <w:tab/>
        <w:t>(c)</w:t>
      </w:r>
      <w:r w:rsidRPr="004A267B">
        <w:tab/>
        <w:t xml:space="preserve">in accordance with any other requirements that would need to be met in order for the requirement to give the information in writing to be taken to have been met under the </w:t>
      </w:r>
      <w:r w:rsidRPr="004A267B">
        <w:rPr>
          <w:i/>
        </w:rPr>
        <w:t>Electronic Transactions Act 1999</w:t>
      </w:r>
      <w:r w:rsidRPr="004A267B">
        <w:t>.</w:t>
      </w:r>
    </w:p>
    <w:p w:rsidR="00C1004C" w:rsidRPr="004A267B" w:rsidRDefault="00C1004C" w:rsidP="00C1004C">
      <w:pPr>
        <w:pStyle w:val="notetext"/>
      </w:pPr>
      <w:r w:rsidRPr="004A267B">
        <w:t>Note:</w:t>
      </w:r>
      <w:r w:rsidRPr="004A267B">
        <w:tab/>
        <w:t>Under that Act, the Chief Executive Medicare may require the information to be given in accordance with particular information technology requirements or by means of a particular kind of electronic communication (or both).</w:t>
      </w:r>
    </w:p>
    <w:p w:rsidR="00C1004C" w:rsidRPr="004A267B" w:rsidRDefault="00C1004C" w:rsidP="00C1004C">
      <w:pPr>
        <w:pStyle w:val="subsection"/>
      </w:pPr>
      <w:r w:rsidRPr="004A267B">
        <w:tab/>
        <w:t>(3)</w:t>
      </w:r>
      <w:r w:rsidRPr="004A267B">
        <w:tab/>
        <w:t>The information must be generated using one or more computer programs that ensure the following:</w:t>
      </w:r>
    </w:p>
    <w:p w:rsidR="00C1004C" w:rsidRPr="004A267B" w:rsidRDefault="00C1004C" w:rsidP="00C1004C">
      <w:pPr>
        <w:pStyle w:val="paragraph"/>
      </w:pPr>
      <w:r w:rsidRPr="004A267B">
        <w:tab/>
        <w:t>(a)</w:t>
      </w:r>
      <w:r w:rsidRPr="004A267B">
        <w:tab/>
        <w:t>that the approved supplier is prevented from altering the description in the computer program of the pharmaceutical benefit or its PBS item code under Schedule 1;</w:t>
      </w:r>
    </w:p>
    <w:p w:rsidR="00C1004C" w:rsidRPr="004A267B" w:rsidRDefault="00C1004C" w:rsidP="00C1004C">
      <w:pPr>
        <w:pStyle w:val="paragraph"/>
      </w:pPr>
      <w:r w:rsidRPr="004A267B">
        <w:tab/>
        <w:t>(b)</w:t>
      </w:r>
      <w:r w:rsidRPr="004A267B">
        <w:tab/>
        <w:t>that the information in the computer program for each pharmaceutical benefit is:</w:t>
      </w:r>
    </w:p>
    <w:p w:rsidR="00C1004C" w:rsidRPr="004A267B" w:rsidRDefault="00C1004C" w:rsidP="00C1004C">
      <w:pPr>
        <w:pStyle w:val="paragraphsub"/>
      </w:pPr>
      <w:r w:rsidRPr="004A267B">
        <w:tab/>
        <w:t>(i)</w:t>
      </w:r>
      <w:r w:rsidRPr="004A267B">
        <w:tab/>
        <w:t>in accordance with the Act, and instruments made under the Act, as in force at the time the pharmaceutical benefit was supplied; and</w:t>
      </w:r>
    </w:p>
    <w:p w:rsidR="00C1004C" w:rsidRPr="004A267B" w:rsidRDefault="00C1004C" w:rsidP="00C1004C">
      <w:pPr>
        <w:pStyle w:val="paragraphsub"/>
      </w:pPr>
      <w:r w:rsidRPr="004A267B">
        <w:tab/>
        <w:t>(ii)</w:t>
      </w:r>
      <w:r w:rsidRPr="004A267B">
        <w:tab/>
        <w:t>encrypted when it is given to the Chief Executive Medicare;</w:t>
      </w:r>
    </w:p>
    <w:p w:rsidR="00C1004C" w:rsidRPr="004A267B" w:rsidRDefault="00C1004C" w:rsidP="00C1004C">
      <w:pPr>
        <w:pStyle w:val="paragraph"/>
      </w:pPr>
      <w:r w:rsidRPr="004A267B">
        <w:tab/>
        <w:t>(c)</w:t>
      </w:r>
      <w:r w:rsidRPr="004A267B">
        <w:tab/>
        <w:t>that the approved supplier is able to take all reasonable precautions to ensure that information relating to the supply of a substance that was not, in the circumstances, a pharmaceutical benefit, or that was a pharmaceutical benefit but was supplied contrary to section 89 of the Act, is not included;</w:t>
      </w:r>
    </w:p>
    <w:p w:rsidR="00C1004C" w:rsidRPr="004A267B" w:rsidRDefault="00C1004C" w:rsidP="00C1004C">
      <w:pPr>
        <w:pStyle w:val="paragraph"/>
      </w:pPr>
      <w:r w:rsidRPr="004A267B">
        <w:tab/>
        <w:t>(d)</w:t>
      </w:r>
      <w:r w:rsidRPr="004A267B">
        <w:tab/>
        <w:t>that, if the approved supplier makes the certification required by subrule 5(1A) otherwise than in a form mentioned in paragraph 5(1)(a):</w:t>
      </w:r>
    </w:p>
    <w:p w:rsidR="00C1004C" w:rsidRPr="004A267B" w:rsidRDefault="00C1004C" w:rsidP="00C1004C">
      <w:pPr>
        <w:pStyle w:val="paragraphsub"/>
      </w:pPr>
      <w:r w:rsidRPr="004A267B">
        <w:tab/>
        <w:t>(i)</w:t>
      </w:r>
      <w:r w:rsidRPr="004A267B">
        <w:tab/>
        <w:t>the Chief Executive Medicare is notified of the certification; and</w:t>
      </w:r>
    </w:p>
    <w:p w:rsidR="00C1004C" w:rsidRPr="004A267B" w:rsidRDefault="00C1004C" w:rsidP="00C1004C">
      <w:pPr>
        <w:pStyle w:val="paragraphsub"/>
      </w:pPr>
      <w:r w:rsidRPr="004A267B">
        <w:tab/>
        <w:t>(ii)</w:t>
      </w:r>
      <w:r w:rsidRPr="004A267B">
        <w:tab/>
        <w:t xml:space="preserve">the approved supplier is warned, before the certification is made, that giving false or misleading information is a serious offence under section 137.1 of the </w:t>
      </w:r>
      <w:r w:rsidRPr="004A267B">
        <w:rPr>
          <w:i/>
        </w:rPr>
        <w:t>Criminal Code</w:t>
      </w:r>
      <w:r w:rsidRPr="004A267B">
        <w:t>.</w:t>
      </w:r>
    </w:p>
    <w:p w:rsidR="00C1004C" w:rsidRPr="004A267B" w:rsidRDefault="00C1004C" w:rsidP="00C1004C">
      <w:pPr>
        <w:pStyle w:val="ActHead5"/>
      </w:pPr>
      <w:bookmarkStart w:id="12" w:name="_Toc410376966"/>
      <w:r w:rsidRPr="004A267B">
        <w:rPr>
          <w:rStyle w:val="CharSectno"/>
        </w:rPr>
        <w:t>7</w:t>
      </w:r>
      <w:r w:rsidRPr="004A267B">
        <w:t xml:space="preserve">  Information about supplies</w:t>
      </w:r>
      <w:bookmarkEnd w:id="12"/>
    </w:p>
    <w:p w:rsidR="00C1004C" w:rsidRPr="004A267B" w:rsidRDefault="00C1004C" w:rsidP="00C1004C">
      <w:pPr>
        <w:pStyle w:val="subsection"/>
      </w:pPr>
      <w:r w:rsidRPr="004A267B">
        <w:tab/>
      </w:r>
      <w:r w:rsidRPr="004A267B">
        <w:tab/>
        <w:t>For paragraphs 98AC(4)(a) (under co</w:t>
      </w:r>
      <w:r>
        <w:noBreakHyphen/>
      </w:r>
      <w:r w:rsidRPr="004A267B">
        <w:t>payment data) and 99AAA(8)(b) (claims for payment) of the Act, the information that is to be given to the Secretary by an approved supplier in relation to the supply of a pharmaceutical benefit by the approved supplier is as follows:</w:t>
      </w:r>
    </w:p>
    <w:p w:rsidR="00C1004C" w:rsidRPr="004A267B" w:rsidRDefault="00C1004C" w:rsidP="00C1004C">
      <w:pPr>
        <w:pStyle w:val="paragraph"/>
      </w:pPr>
      <w:r w:rsidRPr="004A267B">
        <w:tab/>
        <w:t>(a)</w:t>
      </w:r>
      <w:r w:rsidRPr="004A267B">
        <w:tab/>
        <w:t>the approved supplier’s approval number allotted under regulation 8A of the Regulations;</w:t>
      </w:r>
    </w:p>
    <w:p w:rsidR="00C1004C" w:rsidRPr="004A267B" w:rsidRDefault="00C1004C" w:rsidP="00C1004C">
      <w:pPr>
        <w:pStyle w:val="paragraph"/>
      </w:pPr>
      <w:r w:rsidRPr="004A267B">
        <w:tab/>
        <w:t>(b)</w:t>
      </w:r>
      <w:r w:rsidRPr="004A267B">
        <w:tab/>
        <w:t>if the approval number is to be given using the manual system and the approved supplier is an approved pharmacist:</w:t>
      </w:r>
    </w:p>
    <w:p w:rsidR="00C1004C" w:rsidRPr="004A267B" w:rsidRDefault="00C1004C" w:rsidP="00C1004C">
      <w:pPr>
        <w:pStyle w:val="paragraphsub"/>
      </w:pPr>
      <w:r w:rsidRPr="004A267B">
        <w:tab/>
        <w:t>(i)</w:t>
      </w:r>
      <w:r w:rsidRPr="004A267B">
        <w:tab/>
        <w:t>the pharmacist’s name; and</w:t>
      </w:r>
    </w:p>
    <w:p w:rsidR="00C1004C" w:rsidRPr="004A267B" w:rsidRDefault="00C1004C" w:rsidP="00C1004C">
      <w:pPr>
        <w:pStyle w:val="paragraphsub"/>
      </w:pPr>
      <w:r w:rsidRPr="004A267B">
        <w:tab/>
        <w:t>(ii)</w:t>
      </w:r>
      <w:r w:rsidRPr="004A267B">
        <w:tab/>
        <w:t>the address of the premises to which the approval number relates;</w:t>
      </w:r>
    </w:p>
    <w:p w:rsidR="00C1004C" w:rsidRPr="004A267B" w:rsidRDefault="00C1004C" w:rsidP="00C1004C">
      <w:pPr>
        <w:pStyle w:val="paragraph"/>
      </w:pPr>
      <w:r w:rsidRPr="004A267B">
        <w:tab/>
        <w:t>(c)</w:t>
      </w:r>
      <w:r w:rsidRPr="004A267B">
        <w:tab/>
        <w:t>if the approval number is to be given using the manual system and the approved supplier is an approved medical practitioner:</w:t>
      </w:r>
    </w:p>
    <w:p w:rsidR="00C1004C" w:rsidRPr="004A267B" w:rsidRDefault="00C1004C" w:rsidP="00C1004C">
      <w:pPr>
        <w:pStyle w:val="paragraphsub"/>
      </w:pPr>
      <w:r w:rsidRPr="004A267B">
        <w:tab/>
        <w:t>(i)</w:t>
      </w:r>
      <w:r w:rsidRPr="004A267B">
        <w:tab/>
        <w:t>the medical practitioner’s name; and</w:t>
      </w:r>
    </w:p>
    <w:p w:rsidR="00C1004C" w:rsidRPr="004A267B" w:rsidRDefault="00C1004C" w:rsidP="00C1004C">
      <w:pPr>
        <w:pStyle w:val="paragraphsub"/>
      </w:pPr>
      <w:r w:rsidRPr="004A267B">
        <w:tab/>
        <w:t>(ii)</w:t>
      </w:r>
      <w:r w:rsidRPr="004A267B">
        <w:tab/>
        <w:t>the address to which the medical practitioner wishes correspondence to be directed;</w:t>
      </w:r>
    </w:p>
    <w:p w:rsidR="00C1004C" w:rsidRPr="004A267B" w:rsidRDefault="00C1004C" w:rsidP="00C1004C">
      <w:pPr>
        <w:pStyle w:val="paragraph"/>
      </w:pPr>
      <w:r w:rsidRPr="004A267B">
        <w:tab/>
        <w:t>(d)</w:t>
      </w:r>
      <w:r w:rsidRPr="004A267B">
        <w:tab/>
        <w:t>if the approval number is to be given using the manual system and the approved supplier is an approved hospital authority:</w:t>
      </w:r>
    </w:p>
    <w:p w:rsidR="00C1004C" w:rsidRPr="004A267B" w:rsidRDefault="00C1004C" w:rsidP="00C1004C">
      <w:pPr>
        <w:pStyle w:val="paragraphsub"/>
      </w:pPr>
      <w:r w:rsidRPr="004A267B">
        <w:tab/>
        <w:t>(i)</w:t>
      </w:r>
      <w:r w:rsidRPr="004A267B">
        <w:tab/>
        <w:t>the approved hospital authority’s name; and</w:t>
      </w:r>
    </w:p>
    <w:p w:rsidR="00C1004C" w:rsidRPr="004A267B" w:rsidRDefault="00C1004C" w:rsidP="00C1004C">
      <w:pPr>
        <w:pStyle w:val="paragraphsub"/>
      </w:pPr>
      <w:r w:rsidRPr="004A267B">
        <w:tab/>
        <w:t>(ii)</w:t>
      </w:r>
      <w:r w:rsidRPr="004A267B">
        <w:tab/>
        <w:t>the address of the hospital to which the approval number relates;</w:t>
      </w:r>
    </w:p>
    <w:p w:rsidR="00C1004C" w:rsidRPr="004A267B" w:rsidRDefault="00C1004C" w:rsidP="00C1004C">
      <w:pPr>
        <w:pStyle w:val="paragraph"/>
      </w:pPr>
      <w:r w:rsidRPr="004A267B">
        <w:lastRenderedPageBreak/>
        <w:tab/>
        <w:t>(e)</w:t>
      </w:r>
      <w:r w:rsidRPr="004A267B">
        <w:tab/>
        <w:t>if the approval number is to be given using the Claims Transmission System—the information required under Schedule 1 to be given in relation to the supply of the pharmaceutical benefit.</w:t>
      </w:r>
    </w:p>
    <w:p w:rsidR="00C1004C" w:rsidRPr="004A267B" w:rsidRDefault="00C1004C" w:rsidP="00C1004C">
      <w:pPr>
        <w:pStyle w:val="notetext"/>
      </w:pPr>
      <w:r w:rsidRPr="004A267B">
        <w:t>Note:</w:t>
      </w:r>
      <w:r w:rsidRPr="004A267B">
        <w:tab/>
        <w:t>Under rule 6, the information is to be given to the Chief Executive Medicare on behalf of the Secretary.</w:t>
      </w:r>
    </w:p>
    <w:p w:rsidR="00C1004C" w:rsidRPr="004A267B" w:rsidRDefault="00C1004C" w:rsidP="00C1004C">
      <w:pPr>
        <w:pStyle w:val="ItemHead"/>
      </w:pPr>
      <w:r w:rsidRPr="004A267B">
        <w:t>32  Rule 8 (note)</w:t>
      </w:r>
    </w:p>
    <w:p w:rsidR="00C1004C" w:rsidRPr="004A267B" w:rsidRDefault="00C1004C" w:rsidP="00C1004C">
      <w:pPr>
        <w:pStyle w:val="Item"/>
      </w:pPr>
      <w:r w:rsidRPr="004A267B">
        <w:t>Omit “7(1)(a), (b) and (c)” substitute “7(a), (b), (c) and (d)”.</w:t>
      </w:r>
    </w:p>
    <w:p w:rsidR="00C1004C" w:rsidRPr="004A267B" w:rsidRDefault="00C1004C" w:rsidP="00C1004C">
      <w:pPr>
        <w:pStyle w:val="ItemHead"/>
      </w:pPr>
      <w:r w:rsidRPr="004A267B">
        <w:t>33  Paragraph 10(a)</w:t>
      </w:r>
    </w:p>
    <w:p w:rsidR="00C1004C" w:rsidRPr="004A267B" w:rsidRDefault="00C1004C" w:rsidP="00C1004C">
      <w:pPr>
        <w:pStyle w:val="Item"/>
      </w:pPr>
      <w:r w:rsidRPr="004A267B">
        <w:t>After “a claim”, insert “made using the manual system”.</w:t>
      </w:r>
    </w:p>
    <w:p w:rsidR="00C1004C" w:rsidRPr="004A267B" w:rsidRDefault="00C1004C" w:rsidP="00C1004C">
      <w:pPr>
        <w:pStyle w:val="ItemHead"/>
      </w:pPr>
      <w:r w:rsidRPr="004A267B">
        <w:t>34  Rule 10 (note)</w:t>
      </w:r>
    </w:p>
    <w:p w:rsidR="00C1004C" w:rsidRPr="004A267B" w:rsidRDefault="00C1004C" w:rsidP="00C1004C">
      <w:pPr>
        <w:pStyle w:val="Item"/>
      </w:pPr>
      <w:r w:rsidRPr="004A267B">
        <w:t>Omit “online claims”, substitute “claims made using the Claims Transmission System”.</w:t>
      </w:r>
    </w:p>
    <w:p w:rsidR="00C1004C" w:rsidRPr="004A267B" w:rsidRDefault="00C1004C" w:rsidP="00C1004C">
      <w:pPr>
        <w:pStyle w:val="ItemHead"/>
      </w:pPr>
      <w:r w:rsidRPr="004A267B">
        <w:t>35  Rule 12</w:t>
      </w:r>
    </w:p>
    <w:p w:rsidR="00C1004C" w:rsidRPr="004A267B" w:rsidRDefault="00C1004C" w:rsidP="00C1004C">
      <w:pPr>
        <w:pStyle w:val="Item"/>
      </w:pPr>
      <w:r w:rsidRPr="004A267B">
        <w:t>Repeal the rule, substitute:</w:t>
      </w:r>
    </w:p>
    <w:p w:rsidR="00C1004C" w:rsidRPr="004A267B" w:rsidRDefault="00C1004C" w:rsidP="00C1004C">
      <w:pPr>
        <w:pStyle w:val="ActHead5"/>
      </w:pPr>
      <w:bookmarkStart w:id="13" w:name="_Toc410376967"/>
      <w:r w:rsidRPr="004A267B">
        <w:rPr>
          <w:rStyle w:val="CharSectno"/>
        </w:rPr>
        <w:t>12</w:t>
      </w:r>
      <w:r w:rsidRPr="004A267B">
        <w:t xml:space="preserve">  Application and transitional provisions for the </w:t>
      </w:r>
      <w:r w:rsidRPr="004A267B">
        <w:rPr>
          <w:i/>
        </w:rPr>
        <w:t>National Health (Claims and under co</w:t>
      </w:r>
      <w:r>
        <w:rPr>
          <w:i/>
        </w:rPr>
        <w:noBreakHyphen/>
      </w:r>
      <w:r w:rsidRPr="004A267B">
        <w:rPr>
          <w:i/>
        </w:rPr>
        <w:t>payment data) Amendment (Medication Chart Prescriptions) Rule 2015</w:t>
      </w:r>
      <w:bookmarkEnd w:id="13"/>
    </w:p>
    <w:p w:rsidR="00C1004C" w:rsidRPr="004A267B" w:rsidRDefault="00C1004C" w:rsidP="00C1004C">
      <w:pPr>
        <w:pStyle w:val="SubsectionHead"/>
      </w:pPr>
      <w:r w:rsidRPr="004A267B">
        <w:t>Removal of requirement to send prescriptions and introduction of electronic certification</w:t>
      </w:r>
    </w:p>
    <w:p w:rsidR="00C1004C" w:rsidRPr="004A267B" w:rsidRDefault="00C1004C" w:rsidP="00C1004C">
      <w:pPr>
        <w:pStyle w:val="subsection"/>
      </w:pPr>
      <w:r w:rsidRPr="004A267B">
        <w:tab/>
        <w:t>(1)</w:t>
      </w:r>
      <w:r w:rsidRPr="004A267B">
        <w:tab/>
        <w:t>If:</w:t>
      </w:r>
    </w:p>
    <w:p w:rsidR="00C1004C" w:rsidRPr="004A267B" w:rsidRDefault="00C1004C" w:rsidP="00C1004C">
      <w:pPr>
        <w:pStyle w:val="paragraph"/>
      </w:pPr>
      <w:r w:rsidRPr="004A267B">
        <w:tab/>
        <w:t>(a)</w:t>
      </w:r>
      <w:r w:rsidRPr="004A267B">
        <w:tab/>
        <w:t>an approved supplier gives information for the purposes of subsection 98AC(1) or section 99AAA of the Act on or after 1 April 2015 in relation to the supply of a pharmaceutical benefit; and</w:t>
      </w:r>
    </w:p>
    <w:p w:rsidR="00C1004C" w:rsidRPr="004A267B" w:rsidRDefault="00C1004C" w:rsidP="00C1004C">
      <w:pPr>
        <w:pStyle w:val="paragraph"/>
      </w:pPr>
      <w:r w:rsidRPr="004A267B">
        <w:tab/>
        <w:t>(b)</w:t>
      </w:r>
      <w:r w:rsidRPr="004A267B">
        <w:tab/>
        <w:t>at least one of the supplies to which the information relates was made before that date;</w:t>
      </w:r>
    </w:p>
    <w:p w:rsidR="00C1004C" w:rsidRPr="004A267B" w:rsidRDefault="00C1004C" w:rsidP="00C1004C">
      <w:pPr>
        <w:pStyle w:val="subsection2"/>
      </w:pPr>
      <w:r w:rsidRPr="004A267B">
        <w:t>the approved supplier must give the information in accordance with the old Claims Rules (subject to subrule (4)), except to the extent to which the information relates to a medication chart prescription of a kind mentioned in subrule (5).</w:t>
      </w:r>
    </w:p>
    <w:p w:rsidR="00C1004C" w:rsidRPr="004A267B" w:rsidRDefault="00C1004C" w:rsidP="00C1004C">
      <w:pPr>
        <w:pStyle w:val="subsection"/>
      </w:pPr>
      <w:r w:rsidRPr="004A267B">
        <w:tab/>
        <w:t>(2)</w:t>
      </w:r>
      <w:r w:rsidRPr="004A267B">
        <w:tab/>
        <w:t>If:</w:t>
      </w:r>
    </w:p>
    <w:p w:rsidR="00C1004C" w:rsidRPr="004A267B" w:rsidRDefault="00C1004C" w:rsidP="00C1004C">
      <w:pPr>
        <w:pStyle w:val="paragraph"/>
      </w:pPr>
      <w:r w:rsidRPr="004A267B">
        <w:tab/>
        <w:t>(a)</w:t>
      </w:r>
      <w:r w:rsidRPr="004A267B">
        <w:tab/>
        <w:t>an approved supplier gives information for the purposes of subsection 98AC(1) or section 99AAA of the Act in relation to the supply of a pharmaceutical benefit; and</w:t>
      </w:r>
    </w:p>
    <w:p w:rsidR="00C1004C" w:rsidRPr="004A267B" w:rsidRDefault="00C1004C" w:rsidP="00C1004C">
      <w:pPr>
        <w:pStyle w:val="paragraph"/>
      </w:pPr>
      <w:r w:rsidRPr="004A267B">
        <w:tab/>
        <w:t>(b)</w:t>
      </w:r>
      <w:r w:rsidRPr="004A267B">
        <w:tab/>
        <w:t>none of the supplies to which the information relates was made before 1 April 2015; and</w:t>
      </w:r>
    </w:p>
    <w:p w:rsidR="00C1004C" w:rsidRPr="004A267B" w:rsidRDefault="00C1004C" w:rsidP="00C1004C">
      <w:pPr>
        <w:pStyle w:val="paragraph"/>
      </w:pPr>
      <w:r w:rsidRPr="004A267B">
        <w:tab/>
        <w:t>(c)</w:t>
      </w:r>
      <w:r w:rsidRPr="004A267B">
        <w:tab/>
        <w:t>at least one of the supplies to which the information relates was made before 1 July 2015 or a later date determined for the approved supplier under subrule (3);</w:t>
      </w:r>
    </w:p>
    <w:p w:rsidR="00C1004C" w:rsidRPr="004A267B" w:rsidRDefault="00C1004C" w:rsidP="00C1004C">
      <w:pPr>
        <w:pStyle w:val="subsection2"/>
      </w:pPr>
      <w:r w:rsidRPr="004A267B">
        <w:t>then, except to the extent to which the information relates to a medication chart prescription of a kind mentioned in subrule (5), the approved supplier may give the information:</w:t>
      </w:r>
    </w:p>
    <w:p w:rsidR="00C1004C" w:rsidRPr="004A267B" w:rsidRDefault="00C1004C" w:rsidP="00C1004C">
      <w:pPr>
        <w:pStyle w:val="paragraph"/>
      </w:pPr>
      <w:r w:rsidRPr="004A267B">
        <w:tab/>
        <w:t>(d)</w:t>
      </w:r>
      <w:r w:rsidRPr="004A267B">
        <w:tab/>
        <w:t>in accordance with the old Claims Rules (subject to subrule (4)); or</w:t>
      </w:r>
    </w:p>
    <w:p w:rsidR="00C1004C" w:rsidRPr="004A267B" w:rsidRDefault="00C1004C" w:rsidP="00C1004C">
      <w:pPr>
        <w:pStyle w:val="paragraph"/>
      </w:pPr>
      <w:r w:rsidRPr="004A267B">
        <w:tab/>
        <w:t>(e)</w:t>
      </w:r>
      <w:r w:rsidRPr="004A267B">
        <w:tab/>
        <w:t>in accordance with the new Claims Rules.</w:t>
      </w:r>
    </w:p>
    <w:p w:rsidR="00C1004C" w:rsidRPr="004A267B" w:rsidRDefault="00C1004C" w:rsidP="00C1004C">
      <w:pPr>
        <w:pStyle w:val="subsection"/>
      </w:pPr>
      <w:r w:rsidRPr="004A267B">
        <w:lastRenderedPageBreak/>
        <w:tab/>
        <w:t>(3)</w:t>
      </w:r>
      <w:r w:rsidRPr="004A267B">
        <w:tab/>
        <w:t>For paragraph (2)(c), the Chief Executive Medicare may, by writing, determine a later date for an approved supplier if the Chief Executive Medicare is satisfied that exceptional circumstances exist in relation to the approved supplier. The date must be before 1 April 2017.</w:t>
      </w:r>
    </w:p>
    <w:p w:rsidR="00C1004C" w:rsidRPr="004A267B" w:rsidRDefault="00C1004C" w:rsidP="00C1004C">
      <w:pPr>
        <w:pStyle w:val="SubsectionHead"/>
      </w:pPr>
      <w:r w:rsidRPr="004A267B">
        <w:t>Removal of CTS non</w:t>
      </w:r>
      <w:r>
        <w:noBreakHyphen/>
      </w:r>
      <w:r w:rsidRPr="004A267B">
        <w:t>online claiming</w:t>
      </w:r>
    </w:p>
    <w:p w:rsidR="00C1004C" w:rsidRPr="004A267B" w:rsidRDefault="00C1004C" w:rsidP="00C1004C">
      <w:pPr>
        <w:pStyle w:val="subsection"/>
      </w:pPr>
      <w:r w:rsidRPr="004A267B">
        <w:tab/>
        <w:t>(4)</w:t>
      </w:r>
      <w:r w:rsidRPr="004A267B">
        <w:tab/>
        <w:t>The old Claims Rules continue to apply for the purposes of subrule (1) and paragraph (2)(d) in relation to information given in relation to a pharmaceutical benefit that is supplied on or after 1 April 2015 as if paragraphs 6(3)(b) and (4)(b), subparagraph 7(1)(d)(ii), and paragraph 7(2)(b), were omitted.</w:t>
      </w:r>
    </w:p>
    <w:p w:rsidR="00C1004C" w:rsidRPr="004A267B" w:rsidRDefault="00C1004C" w:rsidP="00C1004C">
      <w:pPr>
        <w:pStyle w:val="notetext"/>
      </w:pPr>
      <w:r w:rsidRPr="004A267B">
        <w:t>Note:</w:t>
      </w:r>
      <w:r w:rsidRPr="004A267B">
        <w:tab/>
        <w:t>This means that information relating to a pharmaceutical benefit supplied on or after 1 April 2015 that is given to the Chief Executive Medicare using the Claims Transmission System must be given using a computer system and cannot be given by forwarding a diskette.</w:t>
      </w:r>
    </w:p>
    <w:p w:rsidR="00C1004C" w:rsidRPr="004A267B" w:rsidRDefault="00C1004C" w:rsidP="00C1004C">
      <w:pPr>
        <w:pStyle w:val="SubsectionHead"/>
      </w:pPr>
      <w:r w:rsidRPr="004A267B">
        <w:t>Medication chart prescriptions—approved hospitals</w:t>
      </w:r>
    </w:p>
    <w:p w:rsidR="00C1004C" w:rsidRPr="004A267B" w:rsidRDefault="00C1004C" w:rsidP="00C1004C">
      <w:pPr>
        <w:pStyle w:val="subsection"/>
      </w:pPr>
      <w:r w:rsidRPr="004A267B">
        <w:tab/>
        <w:t>(5)</w:t>
      </w:r>
      <w:r w:rsidRPr="004A267B">
        <w:tab/>
        <w:t>Information that relates to a medication chart prescription written for a person who is receiving treatment in or at an approved hospital must be given in accordance with the new Claims Rules.</w:t>
      </w:r>
    </w:p>
    <w:p w:rsidR="00C1004C" w:rsidRPr="004A267B" w:rsidRDefault="00C1004C" w:rsidP="00C1004C">
      <w:pPr>
        <w:pStyle w:val="SubsectionHead"/>
      </w:pPr>
      <w:r w:rsidRPr="004A267B">
        <w:t>Definitions</w:t>
      </w:r>
    </w:p>
    <w:p w:rsidR="00C1004C" w:rsidRPr="004A267B" w:rsidRDefault="00C1004C" w:rsidP="00C1004C">
      <w:pPr>
        <w:pStyle w:val="subsection"/>
      </w:pPr>
      <w:r w:rsidRPr="004A267B">
        <w:tab/>
        <w:t>(6)</w:t>
      </w:r>
      <w:r w:rsidRPr="004A267B">
        <w:tab/>
        <w:t>In this rule:</w:t>
      </w:r>
    </w:p>
    <w:p w:rsidR="00C1004C" w:rsidRPr="004A267B" w:rsidRDefault="00C1004C" w:rsidP="00C1004C">
      <w:pPr>
        <w:pStyle w:val="Definition"/>
      </w:pPr>
      <w:r w:rsidRPr="004A267B">
        <w:rPr>
          <w:b/>
          <w:i/>
        </w:rPr>
        <w:t>new Claims Rules</w:t>
      </w:r>
      <w:r w:rsidRPr="004A267B">
        <w:t xml:space="preserve"> means these Rules as in force on 1 April 2015.</w:t>
      </w:r>
    </w:p>
    <w:p w:rsidR="00C1004C" w:rsidRPr="004A267B" w:rsidRDefault="00C1004C" w:rsidP="00C1004C">
      <w:pPr>
        <w:pStyle w:val="Definition"/>
      </w:pPr>
      <w:r w:rsidRPr="004A267B">
        <w:rPr>
          <w:b/>
          <w:i/>
        </w:rPr>
        <w:t>old Claims Rules</w:t>
      </w:r>
      <w:r w:rsidRPr="004A267B">
        <w:t xml:space="preserve"> means these Rules as in force immediately before 1 April 2015.</w:t>
      </w:r>
    </w:p>
    <w:p w:rsidR="00C1004C" w:rsidRPr="004A267B" w:rsidRDefault="00C1004C" w:rsidP="00C1004C">
      <w:pPr>
        <w:pStyle w:val="ItemHead"/>
      </w:pPr>
      <w:r w:rsidRPr="004A267B">
        <w:t>36  Schedule</w:t>
      </w:r>
    </w:p>
    <w:p w:rsidR="00C1004C" w:rsidRPr="004A267B" w:rsidRDefault="00C1004C" w:rsidP="00C1004C">
      <w:pPr>
        <w:pStyle w:val="Item"/>
      </w:pPr>
      <w:r w:rsidRPr="004A267B">
        <w:t>Repeal the Schedule, substitute:</w:t>
      </w:r>
    </w:p>
    <w:p w:rsidR="00C1004C" w:rsidRPr="004A267B" w:rsidRDefault="00C1004C" w:rsidP="00C1004C">
      <w:pPr>
        <w:pStyle w:val="ActHead1"/>
      </w:pPr>
      <w:bookmarkStart w:id="14" w:name="_Toc410376968"/>
      <w:r w:rsidRPr="004A267B">
        <w:rPr>
          <w:rStyle w:val="CharChapNo"/>
        </w:rPr>
        <w:t>Schedule 1</w:t>
      </w:r>
      <w:r w:rsidRPr="004A267B">
        <w:t>—</w:t>
      </w:r>
      <w:r w:rsidRPr="004A267B">
        <w:rPr>
          <w:rStyle w:val="CharChapText"/>
          <w:rFonts w:eastAsiaTheme="minorHAnsi"/>
        </w:rPr>
        <w:t>Information required when using Claims Transmission System</w:t>
      </w:r>
      <w:bookmarkEnd w:id="14"/>
    </w:p>
    <w:p w:rsidR="00C1004C" w:rsidRPr="004A267B" w:rsidRDefault="00C1004C" w:rsidP="00C1004C">
      <w:pPr>
        <w:pStyle w:val="notemargin"/>
      </w:pPr>
      <w:r w:rsidRPr="004A267B">
        <w:t>Note:</w:t>
      </w:r>
      <w:r w:rsidRPr="004A267B">
        <w:tab/>
        <w:t>See paragraph 7(e).</w:t>
      </w:r>
    </w:p>
    <w:p w:rsidR="00C1004C" w:rsidRPr="004A267B" w:rsidRDefault="00C1004C" w:rsidP="00C1004C">
      <w:pPr>
        <w:pStyle w:val="Header"/>
      </w:pPr>
      <w:bookmarkStart w:id="15" w:name="f_Check_Lines_above"/>
      <w:bookmarkStart w:id="16" w:name="f_Check_Lines_below"/>
      <w:bookmarkEnd w:id="15"/>
      <w:bookmarkEnd w:id="16"/>
      <w:r w:rsidRPr="004A267B">
        <w:rPr>
          <w:rStyle w:val="CharPartNo"/>
        </w:rPr>
        <w:t xml:space="preserve"> </w:t>
      </w:r>
      <w:r w:rsidRPr="004A267B">
        <w:rPr>
          <w:rStyle w:val="CharPartText"/>
        </w:rPr>
        <w:t xml:space="preserve"> </w:t>
      </w:r>
    </w:p>
    <w:p w:rsidR="00C1004C" w:rsidRPr="004A267B" w:rsidRDefault="00C1004C" w:rsidP="00C1004C">
      <w:pPr>
        <w:pStyle w:val="Header"/>
      </w:pPr>
      <w:r w:rsidRPr="004A267B">
        <w:rPr>
          <w:rStyle w:val="CharDivNo"/>
        </w:rPr>
        <w:t xml:space="preserve"> </w:t>
      </w:r>
      <w:r w:rsidRPr="004A267B">
        <w:rPr>
          <w:rStyle w:val="CharDivText"/>
        </w:rPr>
        <w:t xml:space="preserve"> </w:t>
      </w:r>
    </w:p>
    <w:p w:rsidR="00C1004C" w:rsidRPr="004A267B" w:rsidRDefault="00C1004C" w:rsidP="00C1004C">
      <w:pPr>
        <w:pStyle w:val="ActHead5"/>
      </w:pPr>
      <w:bookmarkStart w:id="17" w:name="_Toc410376969"/>
      <w:r w:rsidRPr="004A267B">
        <w:rPr>
          <w:rStyle w:val="CharSectno"/>
        </w:rPr>
        <w:t>1</w:t>
      </w:r>
      <w:r w:rsidRPr="004A267B">
        <w:t xml:space="preserve">  Information required when using Claims Transmission System</w:t>
      </w:r>
      <w:bookmarkEnd w:id="17"/>
    </w:p>
    <w:p w:rsidR="00C1004C" w:rsidRPr="004A267B" w:rsidRDefault="00C1004C" w:rsidP="00C1004C">
      <w:pPr>
        <w:pStyle w:val="subsection"/>
      </w:pPr>
      <w:r w:rsidRPr="004A267B">
        <w:tab/>
      </w:r>
      <w:r w:rsidRPr="004A267B">
        <w:tab/>
        <w:t>For paragraph 7(e) of these Rules, an approved supplier must give, in relation to the supply of a pharmaceutical benefit, the information referred to in an item in the following table in accordance with that item.</w:t>
      </w:r>
    </w:p>
    <w:p w:rsidR="00C1004C" w:rsidRPr="004A267B" w:rsidRDefault="00C1004C" w:rsidP="00C1004C">
      <w:pPr>
        <w:pStyle w:val="notetext"/>
      </w:pPr>
      <w:r w:rsidRPr="004A267B">
        <w:t>Note 1:</w:t>
      </w:r>
      <w:r w:rsidRPr="004A267B">
        <w:tab/>
        <w:t>The table applies for the purposes of an approved supplier giving under co</w:t>
      </w:r>
      <w:r>
        <w:noBreakHyphen/>
      </w:r>
      <w:r w:rsidRPr="004A267B">
        <w:t>payment data (see subsection 98AC(1) of the Act) or information required to be given because the approved supplier is making, or proposing to make, a claim (see subsection 99AAA(3) of the Act).</w:t>
      </w:r>
    </w:p>
    <w:p w:rsidR="00C1004C" w:rsidRPr="004A267B" w:rsidRDefault="00C1004C" w:rsidP="00C1004C">
      <w:pPr>
        <w:pStyle w:val="notetext"/>
      </w:pPr>
      <w:r w:rsidRPr="004A267B">
        <w:t>Note 2:</w:t>
      </w:r>
      <w:r w:rsidRPr="004A267B">
        <w:tab/>
        <w:t>The details in column 2 of an item in the table may have the effect that information is not required to be given under that item in relation to a particular supply.</w:t>
      </w:r>
    </w:p>
    <w:p w:rsidR="00C1004C" w:rsidRPr="004A267B" w:rsidRDefault="00C1004C" w:rsidP="00C1004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408"/>
        <w:gridCol w:w="6192"/>
      </w:tblGrid>
      <w:tr w:rsidR="00C1004C" w:rsidRPr="004A267B" w:rsidTr="00EB672F">
        <w:trPr>
          <w:tblHeader/>
        </w:trPr>
        <w:tc>
          <w:tcPr>
            <w:tcW w:w="8314" w:type="dxa"/>
            <w:gridSpan w:val="3"/>
            <w:tcBorders>
              <w:top w:val="single" w:sz="12" w:space="0" w:color="auto"/>
              <w:bottom w:val="single" w:sz="6" w:space="0" w:color="auto"/>
            </w:tcBorders>
            <w:shd w:val="clear" w:color="auto" w:fill="auto"/>
          </w:tcPr>
          <w:p w:rsidR="00C1004C" w:rsidRPr="004A267B" w:rsidRDefault="00C1004C" w:rsidP="00EB672F">
            <w:pPr>
              <w:pStyle w:val="TableHeading"/>
            </w:pPr>
            <w:r w:rsidRPr="004A267B">
              <w:lastRenderedPageBreak/>
              <w:t>Information to be given when using the claims transmission system</w:t>
            </w:r>
          </w:p>
        </w:tc>
      </w:tr>
      <w:tr w:rsidR="00C1004C" w:rsidRPr="004A267B" w:rsidTr="00EB672F">
        <w:trPr>
          <w:tblHeader/>
        </w:trPr>
        <w:tc>
          <w:tcPr>
            <w:tcW w:w="714" w:type="dxa"/>
            <w:tcBorders>
              <w:top w:val="single" w:sz="6" w:space="0" w:color="auto"/>
              <w:bottom w:val="single" w:sz="12" w:space="0" w:color="auto"/>
            </w:tcBorders>
            <w:shd w:val="clear" w:color="auto" w:fill="auto"/>
          </w:tcPr>
          <w:p w:rsidR="00C1004C" w:rsidRPr="004A267B" w:rsidRDefault="00C1004C" w:rsidP="00EB672F">
            <w:pPr>
              <w:pStyle w:val="TableHeading"/>
            </w:pPr>
            <w:r w:rsidRPr="004A267B">
              <w:t>Item</w:t>
            </w:r>
          </w:p>
        </w:tc>
        <w:tc>
          <w:tcPr>
            <w:tcW w:w="1408" w:type="dxa"/>
            <w:tcBorders>
              <w:top w:val="single" w:sz="6" w:space="0" w:color="auto"/>
              <w:bottom w:val="single" w:sz="12" w:space="0" w:color="auto"/>
            </w:tcBorders>
            <w:shd w:val="clear" w:color="auto" w:fill="auto"/>
          </w:tcPr>
          <w:p w:rsidR="00C1004C" w:rsidRPr="004A267B" w:rsidRDefault="00C1004C" w:rsidP="00EB672F">
            <w:pPr>
              <w:pStyle w:val="TableHeading"/>
            </w:pPr>
            <w:r w:rsidRPr="004A267B">
              <w:t>Column 1</w:t>
            </w:r>
          </w:p>
          <w:p w:rsidR="00C1004C" w:rsidRPr="004A267B" w:rsidRDefault="00C1004C" w:rsidP="00EB672F">
            <w:pPr>
              <w:pStyle w:val="TableHeading"/>
            </w:pPr>
            <w:r w:rsidRPr="004A267B">
              <w:t>Information</w:t>
            </w:r>
          </w:p>
        </w:tc>
        <w:tc>
          <w:tcPr>
            <w:tcW w:w="6192" w:type="dxa"/>
            <w:tcBorders>
              <w:top w:val="single" w:sz="6" w:space="0" w:color="auto"/>
              <w:bottom w:val="single" w:sz="12" w:space="0" w:color="auto"/>
            </w:tcBorders>
            <w:shd w:val="clear" w:color="auto" w:fill="auto"/>
          </w:tcPr>
          <w:p w:rsidR="00C1004C" w:rsidRPr="004A267B" w:rsidRDefault="00C1004C" w:rsidP="00EB672F">
            <w:pPr>
              <w:pStyle w:val="TableHeading"/>
            </w:pPr>
            <w:r w:rsidRPr="004A267B">
              <w:t>Column 2</w:t>
            </w:r>
          </w:p>
          <w:p w:rsidR="00C1004C" w:rsidRPr="004A267B" w:rsidRDefault="00C1004C" w:rsidP="00EB672F">
            <w:pPr>
              <w:pStyle w:val="TableHeading"/>
            </w:pPr>
            <w:r w:rsidRPr="004A267B">
              <w:t>Details</w:t>
            </w:r>
          </w:p>
        </w:tc>
      </w:tr>
      <w:tr w:rsidR="00C1004C" w:rsidRPr="004A267B" w:rsidTr="00EB672F">
        <w:tc>
          <w:tcPr>
            <w:tcW w:w="714" w:type="dxa"/>
            <w:shd w:val="clear" w:color="auto" w:fill="auto"/>
          </w:tcPr>
          <w:p w:rsidR="00C1004C" w:rsidRPr="004A267B" w:rsidRDefault="00C1004C" w:rsidP="00EB672F">
            <w:pPr>
              <w:pStyle w:val="Tabletext"/>
            </w:pPr>
            <w:r w:rsidRPr="004A267B">
              <w:t>1</w:t>
            </w:r>
          </w:p>
        </w:tc>
        <w:tc>
          <w:tcPr>
            <w:tcW w:w="1408" w:type="dxa"/>
            <w:shd w:val="clear" w:color="auto" w:fill="auto"/>
          </w:tcPr>
          <w:p w:rsidR="00C1004C" w:rsidRPr="004A267B" w:rsidRDefault="00C1004C" w:rsidP="00EB672F">
            <w:pPr>
              <w:pStyle w:val="Tabletext"/>
            </w:pPr>
            <w:r w:rsidRPr="004A267B">
              <w:t>Authority Prescription Number</w:t>
            </w:r>
          </w:p>
        </w:tc>
        <w:tc>
          <w:tcPr>
            <w:tcW w:w="6192" w:type="dxa"/>
            <w:shd w:val="clear" w:color="auto" w:fill="auto"/>
          </w:tcPr>
          <w:p w:rsidR="00C1004C" w:rsidRPr="004A267B" w:rsidRDefault="00C1004C" w:rsidP="00EB672F">
            <w:pPr>
              <w:pStyle w:val="Tabletext"/>
            </w:pPr>
            <w:r w:rsidRPr="004A267B">
              <w:t>Only required if the approved form for the prescription requires an authority prescription number to be entered.</w:t>
            </w:r>
          </w:p>
        </w:tc>
      </w:tr>
      <w:tr w:rsidR="00C1004C" w:rsidRPr="004A267B" w:rsidTr="00EB672F">
        <w:tc>
          <w:tcPr>
            <w:tcW w:w="714" w:type="dxa"/>
            <w:shd w:val="clear" w:color="auto" w:fill="auto"/>
          </w:tcPr>
          <w:p w:rsidR="00C1004C" w:rsidRPr="004A267B" w:rsidRDefault="00C1004C" w:rsidP="00EB672F">
            <w:pPr>
              <w:pStyle w:val="Tabletext"/>
            </w:pPr>
            <w:r w:rsidRPr="004A267B">
              <w:t>2</w:t>
            </w:r>
          </w:p>
        </w:tc>
        <w:tc>
          <w:tcPr>
            <w:tcW w:w="1408" w:type="dxa"/>
            <w:shd w:val="clear" w:color="auto" w:fill="auto"/>
          </w:tcPr>
          <w:p w:rsidR="00C1004C" w:rsidRPr="004A267B" w:rsidRDefault="00C1004C" w:rsidP="00EB672F">
            <w:pPr>
              <w:pStyle w:val="Tabletext"/>
            </w:pPr>
            <w:r w:rsidRPr="004A267B">
              <w:t>Brand</w:t>
            </w:r>
          </w:p>
        </w:tc>
        <w:tc>
          <w:tcPr>
            <w:tcW w:w="6192" w:type="dxa"/>
            <w:shd w:val="clear" w:color="auto" w:fill="auto"/>
          </w:tcPr>
          <w:p w:rsidR="00C1004C" w:rsidRPr="004A267B" w:rsidRDefault="00C1004C" w:rsidP="00EB672F">
            <w:pPr>
              <w:pStyle w:val="Tabletext"/>
            </w:pPr>
            <w:r w:rsidRPr="004A267B">
              <w:t>Manufacturer’s code that represents the listed brand of the pharmaceutical item in the determination under subsection 85(6) of the Act supplied by the approved supplier. An extemporaneously</w:t>
            </w:r>
            <w:r>
              <w:noBreakHyphen/>
            </w:r>
            <w:r w:rsidRPr="004A267B">
              <w:t>prepared pharmaceutical benefit will not have a listed brand.</w:t>
            </w:r>
          </w:p>
        </w:tc>
      </w:tr>
      <w:tr w:rsidR="00C1004C" w:rsidRPr="004A267B" w:rsidTr="00EB672F">
        <w:tc>
          <w:tcPr>
            <w:tcW w:w="714" w:type="dxa"/>
            <w:shd w:val="clear" w:color="auto" w:fill="auto"/>
          </w:tcPr>
          <w:p w:rsidR="00C1004C" w:rsidRPr="004A267B" w:rsidRDefault="00C1004C" w:rsidP="00EB672F">
            <w:pPr>
              <w:pStyle w:val="Tabletext"/>
            </w:pPr>
            <w:r w:rsidRPr="004A267B">
              <w:t>3</w:t>
            </w:r>
          </w:p>
        </w:tc>
        <w:tc>
          <w:tcPr>
            <w:tcW w:w="1408" w:type="dxa"/>
            <w:shd w:val="clear" w:color="auto" w:fill="auto"/>
          </w:tcPr>
          <w:p w:rsidR="00C1004C" w:rsidRPr="004A267B" w:rsidRDefault="00C1004C" w:rsidP="00EB672F">
            <w:pPr>
              <w:pStyle w:val="Tabletext"/>
            </w:pPr>
            <w:r w:rsidRPr="004A267B">
              <w:t>Claim Period Number</w:t>
            </w:r>
          </w:p>
        </w:tc>
        <w:tc>
          <w:tcPr>
            <w:tcW w:w="6192" w:type="dxa"/>
            <w:shd w:val="clear" w:color="auto" w:fill="auto"/>
          </w:tcPr>
          <w:p w:rsidR="00C1004C" w:rsidRPr="004A267B" w:rsidRDefault="00C1004C" w:rsidP="00EB672F">
            <w:pPr>
              <w:pStyle w:val="Tabletext"/>
            </w:pPr>
            <w:r w:rsidRPr="004A267B">
              <w:t>Indicates the sequential order and calendar year of the claim submitted by the approved supplier during that calendar year.</w:t>
            </w:r>
          </w:p>
        </w:tc>
      </w:tr>
      <w:tr w:rsidR="00C1004C" w:rsidRPr="004A267B" w:rsidTr="00EB672F">
        <w:tc>
          <w:tcPr>
            <w:tcW w:w="714" w:type="dxa"/>
            <w:shd w:val="clear" w:color="auto" w:fill="auto"/>
          </w:tcPr>
          <w:p w:rsidR="00C1004C" w:rsidRPr="004A267B" w:rsidRDefault="00C1004C" w:rsidP="00EB672F">
            <w:pPr>
              <w:pStyle w:val="Tabletext"/>
            </w:pPr>
            <w:r w:rsidRPr="004A267B">
              <w:t>4</w:t>
            </w:r>
          </w:p>
        </w:tc>
        <w:tc>
          <w:tcPr>
            <w:tcW w:w="1408" w:type="dxa"/>
            <w:shd w:val="clear" w:color="auto" w:fill="auto"/>
          </w:tcPr>
          <w:p w:rsidR="00C1004C" w:rsidRPr="004A267B" w:rsidRDefault="00C1004C" w:rsidP="00EB672F">
            <w:pPr>
              <w:pStyle w:val="Tabletext"/>
            </w:pPr>
            <w:r w:rsidRPr="004A267B">
              <w:t>Claim Reference</w:t>
            </w:r>
          </w:p>
        </w:tc>
        <w:tc>
          <w:tcPr>
            <w:tcW w:w="6192" w:type="dxa"/>
            <w:shd w:val="clear" w:color="auto" w:fill="auto"/>
          </w:tcPr>
          <w:p w:rsidR="00C1004C" w:rsidRPr="004A267B" w:rsidRDefault="00C1004C" w:rsidP="00EB672F">
            <w:pPr>
              <w:pStyle w:val="Tabletext"/>
            </w:pPr>
            <w:r w:rsidRPr="004A267B">
              <w:t>Sequential number generated for each claim submitted within a claim period.</w:t>
            </w:r>
          </w:p>
        </w:tc>
      </w:tr>
      <w:tr w:rsidR="00C1004C" w:rsidRPr="004A267B" w:rsidTr="00EB672F">
        <w:tc>
          <w:tcPr>
            <w:tcW w:w="714" w:type="dxa"/>
            <w:shd w:val="clear" w:color="auto" w:fill="auto"/>
          </w:tcPr>
          <w:p w:rsidR="00C1004C" w:rsidRPr="004A267B" w:rsidRDefault="00C1004C" w:rsidP="00EB672F">
            <w:pPr>
              <w:pStyle w:val="Tabletext"/>
            </w:pPr>
            <w:r w:rsidRPr="004A267B">
              <w:t>5</w:t>
            </w:r>
          </w:p>
        </w:tc>
        <w:tc>
          <w:tcPr>
            <w:tcW w:w="1408" w:type="dxa"/>
            <w:shd w:val="clear" w:color="auto" w:fill="auto"/>
          </w:tcPr>
          <w:p w:rsidR="00C1004C" w:rsidRPr="004A267B" w:rsidRDefault="00C1004C" w:rsidP="00EB672F">
            <w:pPr>
              <w:pStyle w:val="Tabletext"/>
            </w:pPr>
            <w:r w:rsidRPr="004A267B">
              <w:t>Date of Dispensing</w:t>
            </w:r>
          </w:p>
        </w:tc>
        <w:tc>
          <w:tcPr>
            <w:tcW w:w="6192" w:type="dxa"/>
            <w:shd w:val="clear" w:color="auto" w:fill="auto"/>
          </w:tcPr>
          <w:p w:rsidR="00C1004C" w:rsidRPr="004A267B" w:rsidRDefault="00C1004C" w:rsidP="00EB672F">
            <w:pPr>
              <w:pStyle w:val="Tabletext"/>
            </w:pPr>
            <w:r w:rsidRPr="004A267B">
              <w:t>Date the prescription was dispensed.</w:t>
            </w:r>
          </w:p>
        </w:tc>
      </w:tr>
      <w:tr w:rsidR="00C1004C" w:rsidRPr="004A267B" w:rsidTr="00EB672F">
        <w:tc>
          <w:tcPr>
            <w:tcW w:w="714" w:type="dxa"/>
            <w:shd w:val="clear" w:color="auto" w:fill="auto"/>
          </w:tcPr>
          <w:p w:rsidR="00C1004C" w:rsidRPr="004A267B" w:rsidRDefault="00C1004C" w:rsidP="00EB672F">
            <w:pPr>
              <w:pStyle w:val="Tabletext"/>
            </w:pPr>
            <w:r w:rsidRPr="004A267B">
              <w:t>6</w:t>
            </w:r>
          </w:p>
        </w:tc>
        <w:tc>
          <w:tcPr>
            <w:tcW w:w="1408" w:type="dxa"/>
            <w:shd w:val="clear" w:color="auto" w:fill="auto"/>
          </w:tcPr>
          <w:p w:rsidR="00C1004C" w:rsidRPr="004A267B" w:rsidDel="006D7300" w:rsidRDefault="00C1004C" w:rsidP="00EB672F">
            <w:pPr>
              <w:pStyle w:val="Tabletext"/>
            </w:pPr>
            <w:r w:rsidRPr="004A267B">
              <w:t>Date of Prescribing</w:t>
            </w:r>
          </w:p>
        </w:tc>
        <w:tc>
          <w:tcPr>
            <w:tcW w:w="6192" w:type="dxa"/>
            <w:shd w:val="clear" w:color="auto" w:fill="auto"/>
          </w:tcPr>
          <w:p w:rsidR="00C1004C" w:rsidRPr="004A267B" w:rsidRDefault="00C1004C" w:rsidP="00EB672F">
            <w:pPr>
              <w:pStyle w:val="Tabletext"/>
            </w:pPr>
            <w:r w:rsidRPr="004A267B">
              <w:t>Date the PBS prescriber signed the prescription.</w:t>
            </w:r>
          </w:p>
          <w:p w:rsidR="00C1004C" w:rsidRPr="004A267B" w:rsidDel="006D7300" w:rsidRDefault="00C1004C" w:rsidP="00EB672F">
            <w:pPr>
              <w:pStyle w:val="Tabletext"/>
            </w:pPr>
            <w:r w:rsidRPr="004A267B">
              <w:t>Not required for continued dispensing.</w:t>
            </w:r>
          </w:p>
        </w:tc>
      </w:tr>
      <w:tr w:rsidR="00C1004C" w:rsidRPr="004A267B" w:rsidTr="00EB672F">
        <w:tc>
          <w:tcPr>
            <w:tcW w:w="714" w:type="dxa"/>
            <w:shd w:val="clear" w:color="auto" w:fill="auto"/>
          </w:tcPr>
          <w:p w:rsidR="00C1004C" w:rsidRPr="004A267B" w:rsidRDefault="00C1004C" w:rsidP="00EB672F">
            <w:pPr>
              <w:pStyle w:val="Tabletext"/>
            </w:pPr>
            <w:r w:rsidRPr="004A267B">
              <w:t>7</w:t>
            </w:r>
          </w:p>
        </w:tc>
        <w:tc>
          <w:tcPr>
            <w:tcW w:w="1408" w:type="dxa"/>
            <w:shd w:val="clear" w:color="auto" w:fill="auto"/>
          </w:tcPr>
          <w:p w:rsidR="00C1004C" w:rsidRPr="004A267B" w:rsidDel="006D7300" w:rsidRDefault="00C1004C" w:rsidP="00EB672F">
            <w:pPr>
              <w:pStyle w:val="Tabletext"/>
            </w:pPr>
            <w:r w:rsidRPr="004A267B">
              <w:t>Date of Previous Supply</w:t>
            </w:r>
          </w:p>
        </w:tc>
        <w:tc>
          <w:tcPr>
            <w:tcW w:w="6192" w:type="dxa"/>
            <w:shd w:val="clear" w:color="auto" w:fill="auto"/>
          </w:tcPr>
          <w:p w:rsidR="00C1004C" w:rsidRPr="004A267B" w:rsidRDefault="00C1004C" w:rsidP="00EB672F">
            <w:pPr>
              <w:pStyle w:val="Tabletext"/>
            </w:pPr>
            <w:r w:rsidRPr="004A267B">
              <w:t>Date printed on a repeat authorisation in the box “Name and PBS Approval number of pharmacist issuing this authorisation” (where it is called “Date this authorisation prepared”).</w:t>
            </w:r>
          </w:p>
          <w:p w:rsidR="00C1004C" w:rsidRPr="004A267B" w:rsidDel="006D7300" w:rsidRDefault="00C1004C" w:rsidP="00EB672F">
            <w:pPr>
              <w:pStyle w:val="Tabletext"/>
            </w:pPr>
            <w:r w:rsidRPr="004A267B">
              <w:t>Not required for continued dispensing or medication chart prescription.</w:t>
            </w:r>
          </w:p>
        </w:tc>
      </w:tr>
      <w:tr w:rsidR="00C1004C" w:rsidRPr="004A267B" w:rsidTr="00EB672F">
        <w:tc>
          <w:tcPr>
            <w:tcW w:w="714" w:type="dxa"/>
            <w:shd w:val="clear" w:color="auto" w:fill="auto"/>
          </w:tcPr>
          <w:p w:rsidR="00C1004C" w:rsidRPr="004A267B" w:rsidRDefault="00C1004C" w:rsidP="00EB672F">
            <w:pPr>
              <w:pStyle w:val="Tabletext"/>
            </w:pPr>
            <w:r w:rsidRPr="004A267B">
              <w:t>8</w:t>
            </w:r>
          </w:p>
        </w:tc>
        <w:tc>
          <w:tcPr>
            <w:tcW w:w="1408" w:type="dxa"/>
            <w:shd w:val="clear" w:color="auto" w:fill="auto"/>
          </w:tcPr>
          <w:p w:rsidR="00C1004C" w:rsidRPr="004A267B" w:rsidDel="00B124B1" w:rsidRDefault="00C1004C" w:rsidP="00EB672F">
            <w:pPr>
              <w:pStyle w:val="Tabletext"/>
            </w:pPr>
            <w:r w:rsidRPr="004A267B">
              <w:t>Entitlement ID</w:t>
            </w:r>
          </w:p>
        </w:tc>
        <w:tc>
          <w:tcPr>
            <w:tcW w:w="6192" w:type="dxa"/>
            <w:shd w:val="clear" w:color="auto" w:fill="auto"/>
          </w:tcPr>
          <w:p w:rsidR="00C1004C" w:rsidRPr="004A267B" w:rsidRDefault="00C1004C" w:rsidP="00EB672F">
            <w:pPr>
              <w:pStyle w:val="Tabletext"/>
            </w:pPr>
            <w:r w:rsidRPr="004A267B">
              <w:t>Number from the Health Care Card, Pensioner Concession Card, Commonwealth Seniors Health Card, Safety Net Entitlement Card, Safety Net Concession Card, Repatriation Health Card (Specific or All Conditions), or Repatriation Pharmaceutical Benefits Card, that applies to the person for whom the prescription was written.</w:t>
            </w:r>
          </w:p>
          <w:p w:rsidR="00C1004C" w:rsidRPr="004A267B" w:rsidDel="00B124B1" w:rsidRDefault="00C1004C" w:rsidP="00EB672F">
            <w:pPr>
              <w:pStyle w:val="Tabletext"/>
            </w:pPr>
            <w:r w:rsidRPr="004A267B">
              <w:t>Not required for payment category general benefit or prescriber bag supply form.</w:t>
            </w:r>
          </w:p>
        </w:tc>
      </w:tr>
      <w:tr w:rsidR="00C1004C" w:rsidRPr="004A267B" w:rsidTr="00EB672F">
        <w:tc>
          <w:tcPr>
            <w:tcW w:w="714" w:type="dxa"/>
            <w:shd w:val="clear" w:color="auto" w:fill="auto"/>
          </w:tcPr>
          <w:p w:rsidR="00C1004C" w:rsidRPr="004A267B" w:rsidRDefault="00C1004C" w:rsidP="00EB672F">
            <w:pPr>
              <w:pStyle w:val="Tabletext"/>
            </w:pPr>
            <w:r w:rsidRPr="004A267B">
              <w:t>9</w:t>
            </w:r>
          </w:p>
        </w:tc>
        <w:tc>
          <w:tcPr>
            <w:tcW w:w="1408" w:type="dxa"/>
            <w:shd w:val="clear" w:color="auto" w:fill="auto"/>
          </w:tcPr>
          <w:p w:rsidR="00C1004C" w:rsidRPr="004A267B" w:rsidDel="00B124B1" w:rsidRDefault="00C1004C" w:rsidP="00EB672F">
            <w:pPr>
              <w:pStyle w:val="Tabletext"/>
            </w:pPr>
            <w:r w:rsidRPr="004A267B">
              <w:t>Family Name</w:t>
            </w:r>
          </w:p>
        </w:tc>
        <w:tc>
          <w:tcPr>
            <w:tcW w:w="6192" w:type="dxa"/>
            <w:shd w:val="clear" w:color="auto" w:fill="auto"/>
          </w:tcPr>
          <w:p w:rsidR="00C1004C" w:rsidRPr="004A267B" w:rsidRDefault="00C1004C" w:rsidP="00EB672F">
            <w:pPr>
              <w:pStyle w:val="Tabletext"/>
            </w:pPr>
            <w:r w:rsidRPr="004A267B">
              <w:t>Surname of the person for whom the prescription was written sourced from the Medicare or equivalent DVA card.</w:t>
            </w:r>
          </w:p>
          <w:p w:rsidR="00C1004C" w:rsidRPr="004A267B" w:rsidDel="00B124B1" w:rsidRDefault="00C1004C" w:rsidP="00EB672F">
            <w:pPr>
              <w:pStyle w:val="Tabletext"/>
            </w:pPr>
            <w:r w:rsidRPr="004A267B">
              <w:t>Not required for prescriber bag supply form.</w:t>
            </w:r>
          </w:p>
        </w:tc>
      </w:tr>
      <w:tr w:rsidR="00C1004C" w:rsidRPr="004A267B" w:rsidTr="00EB672F">
        <w:tc>
          <w:tcPr>
            <w:tcW w:w="714" w:type="dxa"/>
            <w:shd w:val="clear" w:color="auto" w:fill="auto"/>
          </w:tcPr>
          <w:p w:rsidR="00C1004C" w:rsidRPr="004A267B" w:rsidRDefault="00C1004C" w:rsidP="00EB672F">
            <w:pPr>
              <w:pStyle w:val="Tabletext"/>
            </w:pPr>
            <w:r w:rsidRPr="004A267B">
              <w:t>10</w:t>
            </w:r>
          </w:p>
        </w:tc>
        <w:tc>
          <w:tcPr>
            <w:tcW w:w="1408" w:type="dxa"/>
            <w:shd w:val="clear" w:color="auto" w:fill="auto"/>
          </w:tcPr>
          <w:p w:rsidR="00C1004C" w:rsidRPr="004A267B" w:rsidDel="00B124B1" w:rsidRDefault="00C1004C" w:rsidP="00EB672F">
            <w:pPr>
              <w:pStyle w:val="Tabletext"/>
            </w:pPr>
            <w:r w:rsidRPr="004A267B">
              <w:t>Form Category</w:t>
            </w:r>
          </w:p>
        </w:tc>
        <w:tc>
          <w:tcPr>
            <w:tcW w:w="6192" w:type="dxa"/>
            <w:shd w:val="clear" w:color="auto" w:fill="auto"/>
          </w:tcPr>
          <w:p w:rsidR="00C1004C" w:rsidRPr="004A267B" w:rsidDel="00B124B1" w:rsidRDefault="00C1004C" w:rsidP="00EB672F">
            <w:pPr>
              <w:pStyle w:val="Tabletext"/>
            </w:pPr>
            <w:r w:rsidRPr="004A267B">
              <w:t>Prescription not covered by another form category = 1</w:t>
            </w:r>
            <w:r w:rsidRPr="004A267B">
              <w:br/>
              <w:t>Repeat authorisation not relating to authority prescription = 2</w:t>
            </w:r>
            <w:r w:rsidRPr="004A267B">
              <w:br/>
              <w:t>Authority prescription = 3</w:t>
            </w:r>
            <w:r w:rsidRPr="004A267B">
              <w:br/>
              <w:t>Repeat authorisation relating to authority prescription = 4</w:t>
            </w:r>
            <w:r w:rsidRPr="004A267B">
              <w:br/>
              <w:t>Deferred supply authorisation = 5</w:t>
            </w:r>
            <w:r w:rsidRPr="004A267B">
              <w:br/>
              <w:t>Prescription written by a participating dental practitioner = 6</w:t>
            </w:r>
            <w:r w:rsidRPr="004A267B">
              <w:br/>
              <w:t>Prescriber bag supply form = 7</w:t>
            </w:r>
            <w:r w:rsidRPr="004A267B">
              <w:br/>
              <w:t>DVA authority form = 8</w:t>
            </w:r>
            <w:r w:rsidRPr="004A267B">
              <w:br/>
              <w:t>DVA authority repeat form = 9</w:t>
            </w:r>
          </w:p>
        </w:tc>
      </w:tr>
      <w:tr w:rsidR="00C1004C" w:rsidRPr="004A267B" w:rsidTr="00EB672F">
        <w:tc>
          <w:tcPr>
            <w:tcW w:w="714" w:type="dxa"/>
            <w:shd w:val="clear" w:color="auto" w:fill="auto"/>
          </w:tcPr>
          <w:p w:rsidR="00C1004C" w:rsidRPr="004A267B" w:rsidRDefault="00C1004C" w:rsidP="00EB672F">
            <w:pPr>
              <w:pStyle w:val="Tabletext"/>
            </w:pPr>
            <w:r w:rsidRPr="004A267B">
              <w:t>11</w:t>
            </w:r>
          </w:p>
        </w:tc>
        <w:tc>
          <w:tcPr>
            <w:tcW w:w="1408" w:type="dxa"/>
            <w:shd w:val="clear" w:color="auto" w:fill="auto"/>
          </w:tcPr>
          <w:p w:rsidR="00C1004C" w:rsidRPr="004A267B" w:rsidDel="00B124B1" w:rsidRDefault="00C1004C" w:rsidP="00EB672F">
            <w:pPr>
              <w:pStyle w:val="Tabletext"/>
            </w:pPr>
            <w:r w:rsidRPr="004A267B">
              <w:t>Given Name</w:t>
            </w:r>
          </w:p>
        </w:tc>
        <w:tc>
          <w:tcPr>
            <w:tcW w:w="6192" w:type="dxa"/>
            <w:shd w:val="clear" w:color="auto" w:fill="auto"/>
          </w:tcPr>
          <w:p w:rsidR="00C1004C" w:rsidRPr="004A267B" w:rsidRDefault="00C1004C" w:rsidP="00EB672F">
            <w:pPr>
              <w:pStyle w:val="Tabletext"/>
            </w:pPr>
            <w:r w:rsidRPr="004A267B">
              <w:t>Given name of the person for whom the prescription was written sourced from the Medicare or equivalent DVA card.</w:t>
            </w:r>
          </w:p>
          <w:p w:rsidR="00C1004C" w:rsidRPr="004A267B" w:rsidDel="00B124B1" w:rsidRDefault="00C1004C" w:rsidP="00EB672F">
            <w:pPr>
              <w:pStyle w:val="Tabletext"/>
            </w:pPr>
            <w:r w:rsidRPr="004A267B">
              <w:t>Not required for prescriber bag supply form.</w:t>
            </w:r>
          </w:p>
        </w:tc>
      </w:tr>
      <w:tr w:rsidR="00C1004C" w:rsidRPr="004A267B" w:rsidTr="00EB672F">
        <w:tc>
          <w:tcPr>
            <w:tcW w:w="714" w:type="dxa"/>
            <w:shd w:val="clear" w:color="auto" w:fill="auto"/>
          </w:tcPr>
          <w:p w:rsidR="00C1004C" w:rsidRPr="004A267B" w:rsidRDefault="00C1004C" w:rsidP="00EB672F">
            <w:pPr>
              <w:pStyle w:val="Tabletext"/>
            </w:pPr>
            <w:r w:rsidRPr="004A267B">
              <w:t>12</w:t>
            </w:r>
          </w:p>
        </w:tc>
        <w:tc>
          <w:tcPr>
            <w:tcW w:w="1408" w:type="dxa"/>
            <w:shd w:val="clear" w:color="auto" w:fill="auto"/>
          </w:tcPr>
          <w:p w:rsidR="00C1004C" w:rsidRPr="004A267B" w:rsidRDefault="00C1004C" w:rsidP="00EB672F">
            <w:pPr>
              <w:pStyle w:val="Tabletext"/>
            </w:pPr>
            <w:r w:rsidRPr="004A267B">
              <w:t>Glass Bottle</w:t>
            </w:r>
          </w:p>
        </w:tc>
        <w:tc>
          <w:tcPr>
            <w:tcW w:w="6192" w:type="dxa"/>
            <w:shd w:val="clear" w:color="auto" w:fill="auto"/>
          </w:tcPr>
          <w:p w:rsidR="00C1004C" w:rsidRPr="004A267B" w:rsidRDefault="00C1004C" w:rsidP="00EB672F">
            <w:pPr>
              <w:pStyle w:val="Tabletext"/>
            </w:pPr>
            <w:r w:rsidRPr="004A267B">
              <w:t>Only required if, in a prescription for extemporaneously</w:t>
            </w:r>
            <w:r>
              <w:noBreakHyphen/>
            </w:r>
            <w:r w:rsidRPr="004A267B">
              <w:t>prepared ear drops, eye drops or nasal instillations, a glass bottle is ordered by the PBS prescriber or considered necessary by the approved supplier.</w:t>
            </w:r>
          </w:p>
        </w:tc>
      </w:tr>
      <w:tr w:rsidR="00C1004C" w:rsidRPr="004A267B" w:rsidTr="00EB672F">
        <w:tc>
          <w:tcPr>
            <w:tcW w:w="714" w:type="dxa"/>
            <w:shd w:val="clear" w:color="auto" w:fill="auto"/>
          </w:tcPr>
          <w:p w:rsidR="00C1004C" w:rsidRPr="004A267B" w:rsidRDefault="00C1004C" w:rsidP="00EB672F">
            <w:pPr>
              <w:pStyle w:val="Tabletext"/>
            </w:pPr>
            <w:r w:rsidRPr="004A267B">
              <w:t>13</w:t>
            </w:r>
          </w:p>
        </w:tc>
        <w:tc>
          <w:tcPr>
            <w:tcW w:w="1408" w:type="dxa"/>
            <w:shd w:val="clear" w:color="auto" w:fill="auto"/>
          </w:tcPr>
          <w:p w:rsidR="00C1004C" w:rsidRPr="004A267B" w:rsidRDefault="00C1004C" w:rsidP="00EB672F">
            <w:pPr>
              <w:pStyle w:val="Tabletext"/>
            </w:pPr>
            <w:r w:rsidRPr="004A267B">
              <w:t xml:space="preserve">Health Practitioner (AHPRA) </w:t>
            </w:r>
            <w:r w:rsidRPr="004A267B">
              <w:lastRenderedPageBreak/>
              <w:t>Number</w:t>
            </w:r>
          </w:p>
        </w:tc>
        <w:tc>
          <w:tcPr>
            <w:tcW w:w="6192" w:type="dxa"/>
            <w:shd w:val="clear" w:color="auto" w:fill="auto"/>
          </w:tcPr>
          <w:p w:rsidR="00C1004C" w:rsidRPr="004A267B" w:rsidRDefault="00C1004C" w:rsidP="00EB672F">
            <w:pPr>
              <w:pStyle w:val="Tabletext"/>
            </w:pPr>
            <w:r w:rsidRPr="004A267B">
              <w:lastRenderedPageBreak/>
              <w:t>Only required for continued dispensing.</w:t>
            </w:r>
          </w:p>
          <w:p w:rsidR="00C1004C" w:rsidRPr="004A267B" w:rsidRDefault="00C1004C" w:rsidP="00EB672F">
            <w:pPr>
              <w:pStyle w:val="Tabletext"/>
            </w:pPr>
            <w:r w:rsidRPr="004A267B">
              <w:t xml:space="preserve">Registration number published by the Australian Health Practitioner Regulation Agency. Number required for the individual pharmacist who </w:t>
            </w:r>
            <w:r w:rsidRPr="004A267B">
              <w:lastRenderedPageBreak/>
              <w:t>personally dispensed the pharmaceutical benefit.</w:t>
            </w:r>
          </w:p>
        </w:tc>
      </w:tr>
      <w:tr w:rsidR="00C1004C" w:rsidRPr="004A267B" w:rsidTr="00EB672F">
        <w:tc>
          <w:tcPr>
            <w:tcW w:w="714" w:type="dxa"/>
            <w:shd w:val="clear" w:color="auto" w:fill="auto"/>
          </w:tcPr>
          <w:p w:rsidR="00C1004C" w:rsidRPr="004A267B" w:rsidRDefault="00C1004C" w:rsidP="00EB672F">
            <w:pPr>
              <w:pStyle w:val="Tabletext"/>
            </w:pPr>
            <w:r w:rsidRPr="004A267B">
              <w:lastRenderedPageBreak/>
              <w:t>14</w:t>
            </w:r>
          </w:p>
        </w:tc>
        <w:tc>
          <w:tcPr>
            <w:tcW w:w="1408" w:type="dxa"/>
            <w:shd w:val="clear" w:color="auto" w:fill="auto"/>
          </w:tcPr>
          <w:p w:rsidR="00C1004C" w:rsidRPr="004A267B" w:rsidRDefault="00C1004C" w:rsidP="00EB672F">
            <w:pPr>
              <w:pStyle w:val="Tabletext"/>
            </w:pPr>
            <w:r w:rsidRPr="004A267B">
              <w:t>Hospital Provider Number</w:t>
            </w:r>
          </w:p>
        </w:tc>
        <w:tc>
          <w:tcPr>
            <w:tcW w:w="6192" w:type="dxa"/>
            <w:shd w:val="clear" w:color="auto" w:fill="auto"/>
          </w:tcPr>
          <w:p w:rsidR="00C1004C" w:rsidRPr="004A267B" w:rsidRDefault="00C1004C" w:rsidP="00EB672F">
            <w:pPr>
              <w:pStyle w:val="Tabletext"/>
            </w:pPr>
            <w:r w:rsidRPr="004A267B">
              <w:t>Only required if patient category is “medication chart public hospital patient” or “medication chart private hospital patient”, or if prescription originated in a public hospital.</w:t>
            </w:r>
          </w:p>
          <w:p w:rsidR="00C1004C" w:rsidRPr="004A267B" w:rsidRDefault="00C1004C" w:rsidP="00EB672F">
            <w:pPr>
              <w:pStyle w:val="Tabletext"/>
            </w:pPr>
            <w:r w:rsidRPr="004A267B">
              <w:t>The hospital’s provider number.</w:t>
            </w:r>
          </w:p>
        </w:tc>
      </w:tr>
      <w:tr w:rsidR="00C1004C" w:rsidRPr="004A267B" w:rsidTr="00EB672F">
        <w:tc>
          <w:tcPr>
            <w:tcW w:w="714" w:type="dxa"/>
            <w:shd w:val="clear" w:color="auto" w:fill="auto"/>
          </w:tcPr>
          <w:p w:rsidR="00C1004C" w:rsidRPr="004A267B" w:rsidRDefault="00C1004C" w:rsidP="00EB672F">
            <w:pPr>
              <w:pStyle w:val="Tabletext"/>
            </w:pPr>
            <w:r w:rsidRPr="004A267B">
              <w:t>15</w:t>
            </w:r>
          </w:p>
        </w:tc>
        <w:tc>
          <w:tcPr>
            <w:tcW w:w="1408" w:type="dxa"/>
            <w:shd w:val="clear" w:color="auto" w:fill="auto"/>
          </w:tcPr>
          <w:p w:rsidR="00C1004C" w:rsidRPr="004A267B" w:rsidRDefault="00C1004C" w:rsidP="00EB672F">
            <w:pPr>
              <w:pStyle w:val="Tabletext"/>
            </w:pPr>
            <w:r w:rsidRPr="004A267B">
              <w:t>Immediate Supply Necessary</w:t>
            </w:r>
          </w:p>
        </w:tc>
        <w:tc>
          <w:tcPr>
            <w:tcW w:w="6192" w:type="dxa"/>
            <w:shd w:val="clear" w:color="auto" w:fill="auto"/>
          </w:tcPr>
          <w:p w:rsidR="00C1004C" w:rsidRPr="004A267B" w:rsidRDefault="00C1004C" w:rsidP="00EB672F">
            <w:pPr>
              <w:pStyle w:val="Tabletext"/>
            </w:pPr>
            <w:r w:rsidRPr="004A267B">
              <w:t>Required if prescription supplied within the 4 or 20 day period in accordance with regulation 25 as “immediate supply necessary”.</w:t>
            </w:r>
          </w:p>
          <w:p w:rsidR="00C1004C" w:rsidRPr="004A267B" w:rsidRDefault="00C1004C" w:rsidP="00EB672F">
            <w:pPr>
              <w:pStyle w:val="Tabletext"/>
            </w:pPr>
            <w:r w:rsidRPr="004A267B">
              <w:t>Must also indicate if prescription falls under the Safety Net 20 day rule.</w:t>
            </w:r>
          </w:p>
        </w:tc>
      </w:tr>
      <w:tr w:rsidR="00C1004C" w:rsidRPr="004A267B" w:rsidTr="00EB672F">
        <w:tc>
          <w:tcPr>
            <w:tcW w:w="714" w:type="dxa"/>
            <w:shd w:val="clear" w:color="auto" w:fill="auto"/>
          </w:tcPr>
          <w:p w:rsidR="00C1004C" w:rsidRPr="004A267B" w:rsidRDefault="00C1004C" w:rsidP="00EB672F">
            <w:pPr>
              <w:pStyle w:val="Tabletext"/>
            </w:pPr>
            <w:r w:rsidRPr="004A267B">
              <w:t>16</w:t>
            </w:r>
          </w:p>
        </w:tc>
        <w:tc>
          <w:tcPr>
            <w:tcW w:w="1408" w:type="dxa"/>
            <w:shd w:val="clear" w:color="auto" w:fill="auto"/>
          </w:tcPr>
          <w:p w:rsidR="00C1004C" w:rsidRPr="004A267B" w:rsidDel="00B124B1" w:rsidRDefault="00C1004C" w:rsidP="00EB672F">
            <w:pPr>
              <w:pStyle w:val="Tabletext"/>
            </w:pPr>
            <w:r w:rsidRPr="004A267B">
              <w:t>Medicare Number</w:t>
            </w:r>
          </w:p>
        </w:tc>
        <w:tc>
          <w:tcPr>
            <w:tcW w:w="6192" w:type="dxa"/>
            <w:shd w:val="clear" w:color="auto" w:fill="auto"/>
          </w:tcPr>
          <w:p w:rsidR="00C1004C" w:rsidRPr="004A267B" w:rsidRDefault="00C1004C" w:rsidP="00EB672F">
            <w:pPr>
              <w:pStyle w:val="Tabletext"/>
            </w:pPr>
            <w:r w:rsidRPr="004A267B">
              <w:t>Medicare card number (including card issue number and individual reference number) of the person for whom the prescription was written. The number can also be a special number which applies to the person.</w:t>
            </w:r>
          </w:p>
          <w:p w:rsidR="00C1004C" w:rsidRPr="004A267B" w:rsidDel="00B124B1" w:rsidRDefault="00C1004C" w:rsidP="00EB672F">
            <w:pPr>
              <w:pStyle w:val="Tabletext"/>
            </w:pPr>
            <w:r w:rsidRPr="004A267B">
              <w:t>Not required for prescriber bag supply form or RPBS prescriptions where entitlement number supplied.</w:t>
            </w:r>
          </w:p>
        </w:tc>
      </w:tr>
      <w:tr w:rsidR="00C1004C" w:rsidRPr="004A267B" w:rsidTr="00EB672F">
        <w:tc>
          <w:tcPr>
            <w:tcW w:w="714" w:type="dxa"/>
            <w:shd w:val="clear" w:color="auto" w:fill="auto"/>
          </w:tcPr>
          <w:p w:rsidR="00C1004C" w:rsidRPr="004A267B" w:rsidRDefault="00C1004C" w:rsidP="00EB672F">
            <w:pPr>
              <w:pStyle w:val="Tabletext"/>
            </w:pPr>
            <w:r w:rsidRPr="004A267B">
              <w:t>17</w:t>
            </w:r>
          </w:p>
        </w:tc>
        <w:tc>
          <w:tcPr>
            <w:tcW w:w="1408" w:type="dxa"/>
            <w:shd w:val="clear" w:color="auto" w:fill="auto"/>
          </w:tcPr>
          <w:p w:rsidR="00C1004C" w:rsidRPr="004A267B" w:rsidRDefault="00C1004C" w:rsidP="00EB672F">
            <w:pPr>
              <w:pStyle w:val="Tabletext"/>
            </w:pPr>
            <w:r w:rsidRPr="004A267B">
              <w:t>Medication Chart Period of Validity</w:t>
            </w:r>
          </w:p>
        </w:tc>
        <w:tc>
          <w:tcPr>
            <w:tcW w:w="6192" w:type="dxa"/>
            <w:shd w:val="clear" w:color="auto" w:fill="auto"/>
          </w:tcPr>
          <w:p w:rsidR="00C1004C" w:rsidRPr="004A267B" w:rsidRDefault="00C1004C" w:rsidP="00EB672F">
            <w:pPr>
              <w:pStyle w:val="Tabletext"/>
            </w:pPr>
            <w:r w:rsidRPr="004A267B">
              <w:t>Only required for medication chart prescription.</w:t>
            </w:r>
          </w:p>
          <w:p w:rsidR="00C1004C" w:rsidRPr="004A267B" w:rsidRDefault="00C1004C" w:rsidP="00EB672F">
            <w:pPr>
              <w:pStyle w:val="Tabletext"/>
            </w:pPr>
            <w:r w:rsidRPr="004A267B">
              <w:t>Patient receiving treatment in or at a residential care service = 4</w:t>
            </w:r>
          </w:p>
          <w:p w:rsidR="00C1004C" w:rsidRPr="004A267B" w:rsidRDefault="00C1004C" w:rsidP="00EB672F">
            <w:pPr>
              <w:pStyle w:val="Tabletext"/>
            </w:pPr>
            <w:r w:rsidRPr="004A267B">
              <w:t>Patient receiving treatment in or at an approved hospital = 1, 4 or 12</w:t>
            </w:r>
          </w:p>
        </w:tc>
      </w:tr>
      <w:tr w:rsidR="00C1004C" w:rsidRPr="004A267B" w:rsidTr="00EB672F">
        <w:tc>
          <w:tcPr>
            <w:tcW w:w="714" w:type="dxa"/>
            <w:shd w:val="clear" w:color="auto" w:fill="auto"/>
          </w:tcPr>
          <w:p w:rsidR="00C1004C" w:rsidRPr="004A267B" w:rsidRDefault="00C1004C" w:rsidP="00EB672F">
            <w:pPr>
              <w:pStyle w:val="Tabletext"/>
            </w:pPr>
            <w:r w:rsidRPr="004A267B">
              <w:t>18</w:t>
            </w:r>
          </w:p>
        </w:tc>
        <w:tc>
          <w:tcPr>
            <w:tcW w:w="1408" w:type="dxa"/>
            <w:shd w:val="clear" w:color="auto" w:fill="auto"/>
          </w:tcPr>
          <w:p w:rsidR="00C1004C" w:rsidRPr="004A267B" w:rsidRDefault="00C1004C" w:rsidP="00EB672F">
            <w:pPr>
              <w:pStyle w:val="Tabletext"/>
            </w:pPr>
            <w:r w:rsidRPr="004A267B">
              <w:t>Number of Repeats</w:t>
            </w:r>
          </w:p>
        </w:tc>
        <w:tc>
          <w:tcPr>
            <w:tcW w:w="6192" w:type="dxa"/>
            <w:shd w:val="clear" w:color="auto" w:fill="auto"/>
          </w:tcPr>
          <w:p w:rsidR="00C1004C" w:rsidRPr="004A267B" w:rsidRDefault="00C1004C" w:rsidP="00EB672F">
            <w:pPr>
              <w:pStyle w:val="Tabletext"/>
            </w:pPr>
            <w:r w:rsidRPr="004A267B">
              <w:t>Number of repeats prescribed, including number of repeats prescribed if original and repeats supplied all on the one occasion under regulation 24.</w:t>
            </w:r>
          </w:p>
        </w:tc>
      </w:tr>
      <w:tr w:rsidR="00C1004C" w:rsidRPr="004A267B" w:rsidTr="00EB672F">
        <w:tc>
          <w:tcPr>
            <w:tcW w:w="714" w:type="dxa"/>
            <w:shd w:val="clear" w:color="auto" w:fill="auto"/>
          </w:tcPr>
          <w:p w:rsidR="00C1004C" w:rsidRPr="004A267B" w:rsidRDefault="00C1004C" w:rsidP="00EB672F">
            <w:pPr>
              <w:pStyle w:val="Tabletext"/>
            </w:pPr>
            <w:r w:rsidRPr="004A267B">
              <w:t>19</w:t>
            </w:r>
          </w:p>
        </w:tc>
        <w:tc>
          <w:tcPr>
            <w:tcW w:w="1408" w:type="dxa"/>
            <w:shd w:val="clear" w:color="auto" w:fill="auto"/>
          </w:tcPr>
          <w:p w:rsidR="00C1004C" w:rsidRPr="004A267B" w:rsidDel="006D7300" w:rsidRDefault="00C1004C" w:rsidP="00EB672F">
            <w:pPr>
              <w:pStyle w:val="Tabletext"/>
            </w:pPr>
            <w:r w:rsidRPr="004A267B">
              <w:t>Original PBS Approval Number</w:t>
            </w:r>
          </w:p>
        </w:tc>
        <w:tc>
          <w:tcPr>
            <w:tcW w:w="6192" w:type="dxa"/>
            <w:shd w:val="clear" w:color="auto" w:fill="auto"/>
          </w:tcPr>
          <w:p w:rsidR="00C1004C" w:rsidRPr="004A267B" w:rsidRDefault="00C1004C" w:rsidP="00EB672F">
            <w:pPr>
              <w:pStyle w:val="Tabletext"/>
            </w:pPr>
            <w:r w:rsidRPr="004A267B">
              <w:t>Approval number allotted to approved supplier who made the first supply on the prescription, being the approval number allotted under regulation 8A.</w:t>
            </w:r>
          </w:p>
          <w:p w:rsidR="00C1004C" w:rsidRPr="004A267B" w:rsidDel="006D7300" w:rsidRDefault="00C1004C" w:rsidP="00EB672F">
            <w:pPr>
              <w:pStyle w:val="Tabletext"/>
            </w:pPr>
            <w:r w:rsidRPr="004A267B">
              <w:t>Not required for continued dispensing or medication chart prescription.</w:t>
            </w:r>
          </w:p>
        </w:tc>
      </w:tr>
      <w:tr w:rsidR="00C1004C" w:rsidRPr="004A267B" w:rsidTr="00EB672F">
        <w:tc>
          <w:tcPr>
            <w:tcW w:w="714" w:type="dxa"/>
            <w:shd w:val="clear" w:color="auto" w:fill="auto"/>
          </w:tcPr>
          <w:p w:rsidR="00C1004C" w:rsidRPr="004A267B" w:rsidRDefault="00C1004C" w:rsidP="00EB672F">
            <w:pPr>
              <w:pStyle w:val="Tabletext"/>
            </w:pPr>
            <w:r w:rsidRPr="004A267B">
              <w:t>20</w:t>
            </w:r>
          </w:p>
        </w:tc>
        <w:tc>
          <w:tcPr>
            <w:tcW w:w="1408" w:type="dxa"/>
            <w:shd w:val="clear" w:color="auto" w:fill="auto"/>
          </w:tcPr>
          <w:p w:rsidR="00C1004C" w:rsidRPr="004A267B" w:rsidDel="006D7300" w:rsidRDefault="00C1004C" w:rsidP="00EB672F">
            <w:pPr>
              <w:pStyle w:val="Tabletext"/>
            </w:pPr>
            <w:r w:rsidRPr="004A267B">
              <w:t>Original Unique Pharmacy Prescription Number</w:t>
            </w:r>
          </w:p>
        </w:tc>
        <w:tc>
          <w:tcPr>
            <w:tcW w:w="6192" w:type="dxa"/>
            <w:shd w:val="clear" w:color="auto" w:fill="auto"/>
          </w:tcPr>
          <w:p w:rsidR="00C1004C" w:rsidRPr="004A267B" w:rsidRDefault="00C1004C" w:rsidP="00EB672F">
            <w:pPr>
              <w:pStyle w:val="Tabletext"/>
            </w:pPr>
            <w:r w:rsidRPr="004A267B">
              <w:t>Prescription number allotted to prescription by approved supplier who made the first or only supply on the prescription. Appears on original prescription and any subsequent repeat authorisations.</w:t>
            </w:r>
          </w:p>
          <w:p w:rsidR="00C1004C" w:rsidRPr="004A267B" w:rsidDel="006D7300" w:rsidRDefault="00C1004C" w:rsidP="00EB672F">
            <w:pPr>
              <w:pStyle w:val="Tabletext"/>
            </w:pPr>
            <w:r w:rsidRPr="004A267B">
              <w:t>Not required for continued dispensing or medication chart prescription.</w:t>
            </w:r>
          </w:p>
        </w:tc>
      </w:tr>
      <w:tr w:rsidR="00C1004C" w:rsidRPr="004A267B" w:rsidTr="00EB672F">
        <w:tc>
          <w:tcPr>
            <w:tcW w:w="714" w:type="dxa"/>
            <w:shd w:val="clear" w:color="auto" w:fill="auto"/>
          </w:tcPr>
          <w:p w:rsidR="00C1004C" w:rsidRPr="004A267B" w:rsidRDefault="00C1004C" w:rsidP="00EB672F">
            <w:pPr>
              <w:pStyle w:val="Tabletext"/>
            </w:pPr>
            <w:r w:rsidRPr="004A267B">
              <w:t>21</w:t>
            </w:r>
          </w:p>
        </w:tc>
        <w:tc>
          <w:tcPr>
            <w:tcW w:w="1408" w:type="dxa"/>
            <w:shd w:val="clear" w:color="auto" w:fill="auto"/>
          </w:tcPr>
          <w:p w:rsidR="00C1004C" w:rsidRPr="004A267B" w:rsidDel="006D7300" w:rsidRDefault="00C1004C" w:rsidP="00EB672F">
            <w:pPr>
              <w:pStyle w:val="Tabletext"/>
            </w:pPr>
            <w:r w:rsidRPr="004A267B">
              <w:t>Patient Category</w:t>
            </w:r>
          </w:p>
        </w:tc>
        <w:tc>
          <w:tcPr>
            <w:tcW w:w="6192" w:type="dxa"/>
            <w:shd w:val="clear" w:color="auto" w:fill="auto"/>
          </w:tcPr>
          <w:p w:rsidR="00C1004C" w:rsidRPr="004A267B" w:rsidRDefault="00C1004C" w:rsidP="00EB672F">
            <w:pPr>
              <w:pStyle w:val="Tabletext"/>
            </w:pPr>
            <w:r w:rsidRPr="004A267B">
              <w:t>Continued dispensing patient = D</w:t>
            </w:r>
          </w:p>
          <w:p w:rsidR="00C1004C" w:rsidRPr="004A267B" w:rsidRDefault="00C1004C" w:rsidP="00EB672F">
            <w:pPr>
              <w:pStyle w:val="Tabletext"/>
            </w:pPr>
            <w:r w:rsidRPr="004A267B">
              <w:t>Paperless private hospital patient = H</w:t>
            </w:r>
          </w:p>
          <w:p w:rsidR="00C1004C" w:rsidRPr="004A267B" w:rsidRDefault="00C1004C" w:rsidP="00EB672F">
            <w:pPr>
              <w:pStyle w:val="Tabletext"/>
            </w:pPr>
            <w:r w:rsidRPr="004A267B">
              <w:t>Public hospital patient = B</w:t>
            </w:r>
          </w:p>
          <w:p w:rsidR="00C1004C" w:rsidRPr="004A267B" w:rsidRDefault="00C1004C" w:rsidP="00EB672F">
            <w:pPr>
              <w:pStyle w:val="Tabletext"/>
            </w:pPr>
            <w:r w:rsidRPr="004A267B">
              <w:t>Nursing home patient = N</w:t>
            </w:r>
          </w:p>
          <w:p w:rsidR="00C1004C" w:rsidRPr="004A267B" w:rsidRDefault="00C1004C" w:rsidP="00EB672F">
            <w:pPr>
              <w:pStyle w:val="Tabletext"/>
            </w:pPr>
            <w:r w:rsidRPr="004A267B">
              <w:t>Paperless public hospital patient = C</w:t>
            </w:r>
          </w:p>
          <w:p w:rsidR="00C1004C" w:rsidRPr="004A267B" w:rsidRDefault="00C1004C" w:rsidP="00EB672F">
            <w:pPr>
              <w:pStyle w:val="Tabletext"/>
            </w:pPr>
            <w:r w:rsidRPr="004A267B">
              <w:t>Community patient = 0 (zero)</w:t>
            </w:r>
          </w:p>
          <w:p w:rsidR="00C1004C" w:rsidRPr="004A267B" w:rsidRDefault="00C1004C" w:rsidP="00EB672F">
            <w:pPr>
              <w:pStyle w:val="Tabletext"/>
            </w:pPr>
            <w:r w:rsidRPr="004A267B">
              <w:t>Residential aged care facility patient (medication chart prescription) = R</w:t>
            </w:r>
          </w:p>
          <w:p w:rsidR="00C1004C" w:rsidRPr="004A267B" w:rsidRDefault="00C1004C" w:rsidP="00EB672F">
            <w:pPr>
              <w:pStyle w:val="Tabletext"/>
            </w:pPr>
            <w:r w:rsidRPr="004A267B">
              <w:t>Medication chart public hospital patient = M</w:t>
            </w:r>
          </w:p>
          <w:p w:rsidR="00C1004C" w:rsidRPr="004A267B" w:rsidDel="006D7300" w:rsidRDefault="00C1004C" w:rsidP="00EB672F">
            <w:pPr>
              <w:pStyle w:val="Tabletext"/>
            </w:pPr>
            <w:r w:rsidRPr="004A267B">
              <w:t>Medication chart private hospital patient = P</w:t>
            </w:r>
          </w:p>
        </w:tc>
      </w:tr>
      <w:tr w:rsidR="00C1004C" w:rsidRPr="004A267B" w:rsidTr="00EB672F">
        <w:tc>
          <w:tcPr>
            <w:tcW w:w="714" w:type="dxa"/>
            <w:shd w:val="clear" w:color="auto" w:fill="auto"/>
          </w:tcPr>
          <w:p w:rsidR="00C1004C" w:rsidRPr="004A267B" w:rsidRDefault="00C1004C" w:rsidP="00EB672F">
            <w:pPr>
              <w:pStyle w:val="Tabletext"/>
            </w:pPr>
            <w:r w:rsidRPr="004A267B">
              <w:t>22</w:t>
            </w:r>
          </w:p>
        </w:tc>
        <w:tc>
          <w:tcPr>
            <w:tcW w:w="1408" w:type="dxa"/>
            <w:shd w:val="clear" w:color="auto" w:fill="auto"/>
          </w:tcPr>
          <w:p w:rsidR="00C1004C" w:rsidRPr="004A267B" w:rsidDel="00B124B1" w:rsidRDefault="00C1004C" w:rsidP="00EB672F">
            <w:pPr>
              <w:pStyle w:val="Tabletext"/>
            </w:pPr>
            <w:r w:rsidRPr="004A267B">
              <w:t>Payment Category</w:t>
            </w:r>
          </w:p>
        </w:tc>
        <w:tc>
          <w:tcPr>
            <w:tcW w:w="6192" w:type="dxa"/>
            <w:shd w:val="clear" w:color="auto" w:fill="auto"/>
          </w:tcPr>
          <w:p w:rsidR="00C1004C" w:rsidRPr="004A267B" w:rsidRDefault="00C1004C" w:rsidP="00EB672F">
            <w:pPr>
              <w:pStyle w:val="Tabletext"/>
            </w:pPr>
            <w:r w:rsidRPr="004A267B">
              <w:t>General benefit = 1</w:t>
            </w:r>
          </w:p>
          <w:p w:rsidR="00C1004C" w:rsidRPr="004A267B" w:rsidRDefault="00C1004C" w:rsidP="00EB672F">
            <w:pPr>
              <w:pStyle w:val="Tabletext"/>
            </w:pPr>
            <w:r w:rsidRPr="004A267B">
              <w:t>Entitlement card/PBS Safety Net (free) = 2</w:t>
            </w:r>
          </w:p>
          <w:p w:rsidR="00C1004C" w:rsidRPr="004A267B" w:rsidRDefault="00C1004C" w:rsidP="00EB672F">
            <w:pPr>
              <w:pStyle w:val="Tabletext"/>
            </w:pPr>
            <w:r w:rsidRPr="004A267B">
              <w:t>Concessional benefit and concession card = 3</w:t>
            </w:r>
          </w:p>
          <w:p w:rsidR="00C1004C" w:rsidRPr="004A267B" w:rsidRDefault="00C1004C" w:rsidP="00EB672F">
            <w:pPr>
              <w:pStyle w:val="Tabletext"/>
            </w:pPr>
            <w:r w:rsidRPr="004A267B">
              <w:t>Repatriation = 4 (RPBS)</w:t>
            </w:r>
          </w:p>
          <w:p w:rsidR="00C1004C" w:rsidRPr="004A267B" w:rsidDel="00B124B1" w:rsidRDefault="00C1004C" w:rsidP="00EB672F">
            <w:pPr>
              <w:pStyle w:val="Tabletext"/>
            </w:pPr>
            <w:r w:rsidRPr="004A267B">
              <w:t>Prescriber bag supply form = 5</w:t>
            </w:r>
          </w:p>
        </w:tc>
      </w:tr>
      <w:tr w:rsidR="00C1004C" w:rsidRPr="004A267B" w:rsidTr="00EB672F">
        <w:tc>
          <w:tcPr>
            <w:tcW w:w="714" w:type="dxa"/>
            <w:shd w:val="clear" w:color="auto" w:fill="auto"/>
          </w:tcPr>
          <w:p w:rsidR="00C1004C" w:rsidRPr="004A267B" w:rsidRDefault="00C1004C" w:rsidP="00EB672F">
            <w:pPr>
              <w:pStyle w:val="Tabletext"/>
            </w:pPr>
            <w:r w:rsidRPr="004A267B">
              <w:t>23</w:t>
            </w:r>
          </w:p>
        </w:tc>
        <w:tc>
          <w:tcPr>
            <w:tcW w:w="1408" w:type="dxa"/>
            <w:shd w:val="clear" w:color="auto" w:fill="auto"/>
          </w:tcPr>
          <w:p w:rsidR="00C1004C" w:rsidRPr="004A267B" w:rsidRDefault="00C1004C" w:rsidP="00EB672F">
            <w:pPr>
              <w:pStyle w:val="Tabletext"/>
            </w:pPr>
            <w:r w:rsidRPr="004A267B">
              <w:t xml:space="preserve">PBS Item Code </w:t>
            </w:r>
          </w:p>
        </w:tc>
        <w:tc>
          <w:tcPr>
            <w:tcW w:w="6192" w:type="dxa"/>
            <w:shd w:val="clear" w:color="auto" w:fill="auto"/>
          </w:tcPr>
          <w:p w:rsidR="00C1004C" w:rsidRPr="004A267B" w:rsidRDefault="00C1004C" w:rsidP="00EB672F">
            <w:pPr>
              <w:pStyle w:val="Tabletext"/>
            </w:pPr>
            <w:r w:rsidRPr="004A267B">
              <w:t>Code for the pharmaceutical benefit that appears in the Schedule of Pharmaceutical Benefits published by the Department. RPBS item codes also appear in this Schedule.</w:t>
            </w:r>
          </w:p>
          <w:p w:rsidR="00C1004C" w:rsidRPr="004A267B" w:rsidRDefault="00C1004C" w:rsidP="00EB672F">
            <w:pPr>
              <w:pStyle w:val="Tabletext"/>
            </w:pPr>
            <w:r w:rsidRPr="004A267B">
              <w:t xml:space="preserve">Not required if RPBS, there is no RPBS item code, and the Veterans’ </w:t>
            </w:r>
            <w:r w:rsidRPr="004A267B">
              <w:lastRenderedPageBreak/>
              <w:t>Affairs Department has given prior approval.</w:t>
            </w:r>
          </w:p>
        </w:tc>
      </w:tr>
      <w:tr w:rsidR="00C1004C" w:rsidRPr="004A267B" w:rsidTr="00EB672F">
        <w:tc>
          <w:tcPr>
            <w:tcW w:w="714" w:type="dxa"/>
            <w:shd w:val="clear" w:color="auto" w:fill="auto"/>
          </w:tcPr>
          <w:p w:rsidR="00C1004C" w:rsidRPr="004A267B" w:rsidRDefault="00C1004C" w:rsidP="00EB672F">
            <w:pPr>
              <w:pStyle w:val="Tabletext"/>
            </w:pPr>
            <w:r w:rsidRPr="004A267B">
              <w:lastRenderedPageBreak/>
              <w:t>24</w:t>
            </w:r>
          </w:p>
        </w:tc>
        <w:tc>
          <w:tcPr>
            <w:tcW w:w="1408" w:type="dxa"/>
            <w:shd w:val="clear" w:color="auto" w:fill="auto"/>
          </w:tcPr>
          <w:p w:rsidR="00C1004C" w:rsidRPr="004A267B" w:rsidRDefault="00C1004C" w:rsidP="00EB672F">
            <w:pPr>
              <w:pStyle w:val="Tabletext"/>
            </w:pPr>
            <w:r w:rsidRPr="004A267B">
              <w:t>PBS Reference Number</w:t>
            </w:r>
          </w:p>
        </w:tc>
        <w:tc>
          <w:tcPr>
            <w:tcW w:w="6192" w:type="dxa"/>
            <w:shd w:val="clear" w:color="auto" w:fill="auto"/>
          </w:tcPr>
          <w:p w:rsidR="00C1004C" w:rsidRPr="004A267B" w:rsidRDefault="00C1004C" w:rsidP="00EB672F">
            <w:pPr>
              <w:pStyle w:val="Tabletext"/>
            </w:pPr>
            <w:r w:rsidRPr="004A267B">
              <w:t>Only required if a pre</w:t>
            </w:r>
            <w:r>
              <w:noBreakHyphen/>
            </w:r>
            <w:r w:rsidRPr="004A267B">
              <w:t>assessment was requested by approved supplier.</w:t>
            </w:r>
          </w:p>
          <w:p w:rsidR="00C1004C" w:rsidRPr="004A267B" w:rsidRDefault="00C1004C" w:rsidP="00EB672F">
            <w:pPr>
              <w:pStyle w:val="Tabletext"/>
            </w:pPr>
            <w:r w:rsidRPr="004A267B">
              <w:t>Number created by Chief Executive Medicare in relation to pre</w:t>
            </w:r>
            <w:r>
              <w:noBreakHyphen/>
            </w:r>
            <w:r w:rsidRPr="004A267B">
              <w:t>assessment.</w:t>
            </w:r>
          </w:p>
        </w:tc>
      </w:tr>
      <w:tr w:rsidR="00C1004C" w:rsidRPr="004A267B" w:rsidTr="00EB672F">
        <w:tc>
          <w:tcPr>
            <w:tcW w:w="714" w:type="dxa"/>
            <w:shd w:val="clear" w:color="auto" w:fill="auto"/>
          </w:tcPr>
          <w:p w:rsidR="00C1004C" w:rsidRPr="004A267B" w:rsidRDefault="00C1004C" w:rsidP="00EB672F">
            <w:pPr>
              <w:pStyle w:val="Tabletext"/>
            </w:pPr>
            <w:r w:rsidRPr="004A267B">
              <w:t>25</w:t>
            </w:r>
          </w:p>
        </w:tc>
        <w:tc>
          <w:tcPr>
            <w:tcW w:w="1408" w:type="dxa"/>
            <w:shd w:val="clear" w:color="auto" w:fill="auto"/>
          </w:tcPr>
          <w:p w:rsidR="00C1004C" w:rsidRPr="004A267B" w:rsidRDefault="00C1004C" w:rsidP="00EB672F">
            <w:pPr>
              <w:pStyle w:val="Tabletext"/>
            </w:pPr>
            <w:r w:rsidRPr="004A267B">
              <w:t>Pharmacy Processing Code</w:t>
            </w:r>
          </w:p>
        </w:tc>
        <w:tc>
          <w:tcPr>
            <w:tcW w:w="6192" w:type="dxa"/>
            <w:shd w:val="clear" w:color="auto" w:fill="auto"/>
          </w:tcPr>
          <w:p w:rsidR="00C1004C" w:rsidRPr="004A267B" w:rsidRDefault="00C1004C" w:rsidP="00EB672F">
            <w:pPr>
              <w:pStyle w:val="Tabletext"/>
            </w:pPr>
            <w:r w:rsidRPr="004A267B">
              <w:t>Only required if the approved supplier’s dispensing software has no real time response from Chief Executive Medicare.</w:t>
            </w:r>
          </w:p>
        </w:tc>
      </w:tr>
      <w:tr w:rsidR="00C1004C" w:rsidRPr="004A267B" w:rsidTr="00EB672F">
        <w:tc>
          <w:tcPr>
            <w:tcW w:w="714" w:type="dxa"/>
            <w:shd w:val="clear" w:color="auto" w:fill="auto"/>
          </w:tcPr>
          <w:p w:rsidR="00C1004C" w:rsidRPr="004A267B" w:rsidRDefault="00C1004C" w:rsidP="00EB672F">
            <w:pPr>
              <w:pStyle w:val="Tabletext"/>
            </w:pPr>
            <w:r w:rsidRPr="004A267B">
              <w:t>26</w:t>
            </w:r>
          </w:p>
        </w:tc>
        <w:tc>
          <w:tcPr>
            <w:tcW w:w="1408" w:type="dxa"/>
            <w:shd w:val="clear" w:color="auto" w:fill="auto"/>
          </w:tcPr>
          <w:p w:rsidR="00C1004C" w:rsidRPr="004A267B" w:rsidDel="006D7300" w:rsidRDefault="00C1004C" w:rsidP="00EB672F">
            <w:pPr>
              <w:pStyle w:val="Tabletext"/>
            </w:pPr>
            <w:r w:rsidRPr="004A267B">
              <w:t>Prescriber ID</w:t>
            </w:r>
          </w:p>
        </w:tc>
        <w:tc>
          <w:tcPr>
            <w:tcW w:w="6192" w:type="dxa"/>
            <w:shd w:val="clear" w:color="auto" w:fill="auto"/>
          </w:tcPr>
          <w:p w:rsidR="00C1004C" w:rsidRPr="004A267B" w:rsidRDefault="00C1004C" w:rsidP="00EB672F">
            <w:pPr>
              <w:pStyle w:val="Tabletext"/>
            </w:pPr>
            <w:r w:rsidRPr="004A267B">
              <w:t>Prescriber number of the PBS prescriber issued by the Chief Executive Medicare.</w:t>
            </w:r>
          </w:p>
          <w:p w:rsidR="00C1004C" w:rsidRPr="004A267B" w:rsidDel="006D7300" w:rsidRDefault="00C1004C" w:rsidP="00EB672F">
            <w:pPr>
              <w:pStyle w:val="Tabletext"/>
            </w:pPr>
            <w:r w:rsidRPr="004A267B">
              <w:t>Not required for continued dispensing, or if prescription written by medical practitioner and the prescriber number was not available to the approved supplier at the time of supply.</w:t>
            </w:r>
          </w:p>
        </w:tc>
      </w:tr>
      <w:tr w:rsidR="00C1004C" w:rsidRPr="004A267B" w:rsidTr="00EB672F">
        <w:tc>
          <w:tcPr>
            <w:tcW w:w="714" w:type="dxa"/>
            <w:shd w:val="clear" w:color="auto" w:fill="auto"/>
          </w:tcPr>
          <w:p w:rsidR="00C1004C" w:rsidRPr="004A267B" w:rsidRDefault="00C1004C" w:rsidP="00EB672F">
            <w:pPr>
              <w:pStyle w:val="Tabletext"/>
            </w:pPr>
            <w:r w:rsidRPr="004A267B">
              <w:t>27</w:t>
            </w:r>
          </w:p>
        </w:tc>
        <w:tc>
          <w:tcPr>
            <w:tcW w:w="1408" w:type="dxa"/>
            <w:shd w:val="clear" w:color="auto" w:fill="auto"/>
          </w:tcPr>
          <w:p w:rsidR="00C1004C" w:rsidRPr="004A267B" w:rsidRDefault="00C1004C" w:rsidP="00EB672F">
            <w:pPr>
              <w:pStyle w:val="Tabletext"/>
            </w:pPr>
            <w:r w:rsidRPr="004A267B">
              <w:t>Previous Supplies</w:t>
            </w:r>
          </w:p>
        </w:tc>
        <w:tc>
          <w:tcPr>
            <w:tcW w:w="6192" w:type="dxa"/>
            <w:shd w:val="clear" w:color="auto" w:fill="auto"/>
          </w:tcPr>
          <w:p w:rsidR="00C1004C" w:rsidRPr="004A267B" w:rsidRDefault="00C1004C" w:rsidP="00EB672F">
            <w:pPr>
              <w:pStyle w:val="Tabletext"/>
            </w:pPr>
            <w:r w:rsidRPr="004A267B">
              <w:t>Number of times (including the original supply) the pharmaceutical benefit has previously been supplied under the prescription.</w:t>
            </w:r>
          </w:p>
        </w:tc>
      </w:tr>
      <w:tr w:rsidR="00C1004C" w:rsidRPr="004A267B" w:rsidTr="00EB672F">
        <w:tc>
          <w:tcPr>
            <w:tcW w:w="714" w:type="dxa"/>
            <w:shd w:val="clear" w:color="auto" w:fill="auto"/>
          </w:tcPr>
          <w:p w:rsidR="00C1004C" w:rsidRPr="004A267B" w:rsidRDefault="00C1004C" w:rsidP="00EB672F">
            <w:pPr>
              <w:pStyle w:val="Tabletext"/>
            </w:pPr>
            <w:r w:rsidRPr="004A267B">
              <w:t>28</w:t>
            </w:r>
          </w:p>
        </w:tc>
        <w:tc>
          <w:tcPr>
            <w:tcW w:w="1408" w:type="dxa"/>
            <w:shd w:val="clear" w:color="auto" w:fill="auto"/>
          </w:tcPr>
          <w:p w:rsidR="00C1004C" w:rsidRPr="004A267B" w:rsidRDefault="00C1004C" w:rsidP="00EB672F">
            <w:pPr>
              <w:pStyle w:val="Tabletext"/>
            </w:pPr>
            <w:r w:rsidRPr="004A267B">
              <w:t>Price</w:t>
            </w:r>
          </w:p>
        </w:tc>
        <w:tc>
          <w:tcPr>
            <w:tcW w:w="6192" w:type="dxa"/>
            <w:shd w:val="clear" w:color="auto" w:fill="auto"/>
          </w:tcPr>
          <w:p w:rsidR="00C1004C" w:rsidRPr="004A267B" w:rsidRDefault="00C1004C" w:rsidP="00EB672F">
            <w:pPr>
              <w:pStyle w:val="Tabletext"/>
            </w:pPr>
            <w:r w:rsidRPr="004A267B">
              <w:t>Required for a prescription priced by the approved supplier in accordance with an election under subsection 31(1) of the determination under paragraph 98B(1)(a) of the Act or priced by an approved supplier as an exceptional prescription.</w:t>
            </w:r>
          </w:p>
          <w:p w:rsidR="00C1004C" w:rsidRPr="004A267B" w:rsidRDefault="00C1004C" w:rsidP="00EB672F">
            <w:pPr>
              <w:pStyle w:val="Tabletext"/>
            </w:pPr>
            <w:r w:rsidRPr="004A267B">
              <w:t>Required if RPBS, no RPBS item code, and the Veterans’ Affairs Department has given prior approval.</w:t>
            </w:r>
          </w:p>
          <w:p w:rsidR="00C1004C" w:rsidRPr="004A267B" w:rsidRDefault="00C1004C" w:rsidP="00EB672F">
            <w:pPr>
              <w:pStyle w:val="Tabletext"/>
            </w:pPr>
            <w:r w:rsidRPr="004A267B">
              <w:t>Not required when giving under co</w:t>
            </w:r>
            <w:r>
              <w:noBreakHyphen/>
            </w:r>
            <w:r w:rsidRPr="004A267B">
              <w:t>payment data.</w:t>
            </w:r>
          </w:p>
        </w:tc>
      </w:tr>
      <w:tr w:rsidR="00C1004C" w:rsidRPr="004A267B" w:rsidTr="00EB672F">
        <w:tc>
          <w:tcPr>
            <w:tcW w:w="714" w:type="dxa"/>
            <w:shd w:val="clear" w:color="auto" w:fill="auto"/>
          </w:tcPr>
          <w:p w:rsidR="00C1004C" w:rsidRPr="004A267B" w:rsidRDefault="00C1004C" w:rsidP="00EB672F">
            <w:pPr>
              <w:pStyle w:val="Tabletext"/>
            </w:pPr>
            <w:r w:rsidRPr="004A267B">
              <w:t>29</w:t>
            </w:r>
          </w:p>
        </w:tc>
        <w:tc>
          <w:tcPr>
            <w:tcW w:w="1408" w:type="dxa"/>
            <w:shd w:val="clear" w:color="auto" w:fill="auto"/>
          </w:tcPr>
          <w:p w:rsidR="00C1004C" w:rsidRPr="004A267B" w:rsidRDefault="00C1004C" w:rsidP="00EB672F">
            <w:pPr>
              <w:pStyle w:val="Tabletext"/>
            </w:pPr>
            <w:r w:rsidRPr="004A267B">
              <w:t>Quantity</w:t>
            </w:r>
          </w:p>
        </w:tc>
        <w:tc>
          <w:tcPr>
            <w:tcW w:w="6192" w:type="dxa"/>
            <w:shd w:val="clear" w:color="auto" w:fill="auto"/>
          </w:tcPr>
          <w:p w:rsidR="00C1004C" w:rsidRPr="004A267B" w:rsidRDefault="00C1004C" w:rsidP="00EB672F">
            <w:pPr>
              <w:pStyle w:val="Tabletext"/>
            </w:pPr>
            <w:r w:rsidRPr="004A267B">
              <w:t>Quantity of the pharmaceutical benefit supplied. Must be total quantity supplied (first supply and all repeats) if supplied all on the one occasion under regulation 24.</w:t>
            </w:r>
          </w:p>
        </w:tc>
      </w:tr>
      <w:tr w:rsidR="00C1004C" w:rsidRPr="004A267B" w:rsidTr="00EB672F">
        <w:tc>
          <w:tcPr>
            <w:tcW w:w="714" w:type="dxa"/>
            <w:shd w:val="clear" w:color="auto" w:fill="auto"/>
          </w:tcPr>
          <w:p w:rsidR="00C1004C" w:rsidRPr="004A267B" w:rsidRDefault="00C1004C" w:rsidP="00EB672F">
            <w:pPr>
              <w:pStyle w:val="Tabletext"/>
            </w:pPr>
            <w:r w:rsidRPr="004A267B">
              <w:t>30</w:t>
            </w:r>
          </w:p>
        </w:tc>
        <w:tc>
          <w:tcPr>
            <w:tcW w:w="1408" w:type="dxa"/>
            <w:shd w:val="clear" w:color="auto" w:fill="auto"/>
          </w:tcPr>
          <w:p w:rsidR="00C1004C" w:rsidRPr="004A267B" w:rsidRDefault="00C1004C" w:rsidP="00EB672F">
            <w:pPr>
              <w:pStyle w:val="Tabletext"/>
            </w:pPr>
            <w:r w:rsidRPr="004A267B">
              <w:t>Regulation 24</w:t>
            </w:r>
          </w:p>
        </w:tc>
        <w:tc>
          <w:tcPr>
            <w:tcW w:w="6192" w:type="dxa"/>
            <w:shd w:val="clear" w:color="auto" w:fill="auto"/>
          </w:tcPr>
          <w:p w:rsidR="00C1004C" w:rsidRPr="004A267B" w:rsidRDefault="00C1004C" w:rsidP="00EB672F">
            <w:pPr>
              <w:pStyle w:val="Tabletext"/>
            </w:pPr>
            <w:r w:rsidRPr="004A267B">
              <w:t>Only required if first supply and all repeats were supplied all on the one occasion under regulation 24.</w:t>
            </w:r>
          </w:p>
        </w:tc>
      </w:tr>
      <w:tr w:rsidR="00C1004C" w:rsidRPr="004A267B" w:rsidTr="00EB672F">
        <w:tc>
          <w:tcPr>
            <w:tcW w:w="714" w:type="dxa"/>
            <w:shd w:val="clear" w:color="auto" w:fill="auto"/>
          </w:tcPr>
          <w:p w:rsidR="00C1004C" w:rsidRPr="004A267B" w:rsidRDefault="00C1004C" w:rsidP="00EB672F">
            <w:pPr>
              <w:pStyle w:val="Tabletext"/>
            </w:pPr>
            <w:r w:rsidRPr="004A267B">
              <w:t>31</w:t>
            </w:r>
          </w:p>
        </w:tc>
        <w:tc>
          <w:tcPr>
            <w:tcW w:w="1408" w:type="dxa"/>
            <w:shd w:val="clear" w:color="auto" w:fill="auto"/>
          </w:tcPr>
          <w:p w:rsidR="00C1004C" w:rsidRPr="004A267B" w:rsidRDefault="00C1004C" w:rsidP="00EB672F">
            <w:pPr>
              <w:pStyle w:val="Tabletext"/>
            </w:pPr>
            <w:r w:rsidRPr="004A267B">
              <w:t>Residential Aged Care Facility ID</w:t>
            </w:r>
          </w:p>
        </w:tc>
        <w:tc>
          <w:tcPr>
            <w:tcW w:w="6192" w:type="dxa"/>
            <w:shd w:val="clear" w:color="auto" w:fill="auto"/>
          </w:tcPr>
          <w:p w:rsidR="00C1004C" w:rsidRPr="004A267B" w:rsidRDefault="00C1004C" w:rsidP="00EB672F">
            <w:pPr>
              <w:pStyle w:val="Tabletext"/>
            </w:pPr>
            <w:r w:rsidRPr="004A267B">
              <w:t>Only required if pharmaceutical benefit supplied to resident receiving residential care within the meaning given by section 41</w:t>
            </w:r>
            <w:r>
              <w:noBreakHyphen/>
            </w:r>
            <w:r w:rsidRPr="004A267B">
              <w:t xml:space="preserve">3 of the </w:t>
            </w:r>
            <w:r w:rsidRPr="004A267B">
              <w:rPr>
                <w:i/>
              </w:rPr>
              <w:t>Aged Care Act 1997</w:t>
            </w:r>
            <w:r w:rsidRPr="004A267B">
              <w:t>, including if medication chart prescription.</w:t>
            </w:r>
          </w:p>
          <w:p w:rsidR="00C1004C" w:rsidRPr="004A267B" w:rsidRDefault="00C1004C" w:rsidP="00EB672F">
            <w:pPr>
              <w:pStyle w:val="Tabletext"/>
            </w:pPr>
            <w:r w:rsidRPr="004A267B">
              <w:t>Also known as Residential Aged Care Service identification number.</w:t>
            </w:r>
          </w:p>
        </w:tc>
      </w:tr>
      <w:tr w:rsidR="00C1004C" w:rsidRPr="004A267B" w:rsidTr="00EB672F">
        <w:tc>
          <w:tcPr>
            <w:tcW w:w="714" w:type="dxa"/>
            <w:shd w:val="clear" w:color="auto" w:fill="auto"/>
          </w:tcPr>
          <w:p w:rsidR="00C1004C" w:rsidRPr="004A267B" w:rsidRDefault="00C1004C" w:rsidP="00EB672F">
            <w:pPr>
              <w:pStyle w:val="Tabletext"/>
            </w:pPr>
            <w:r w:rsidRPr="004A267B">
              <w:t>32</w:t>
            </w:r>
          </w:p>
        </w:tc>
        <w:tc>
          <w:tcPr>
            <w:tcW w:w="1408" w:type="dxa"/>
            <w:shd w:val="clear" w:color="auto" w:fill="auto"/>
          </w:tcPr>
          <w:p w:rsidR="00C1004C" w:rsidRPr="004A267B" w:rsidRDefault="00C1004C" w:rsidP="00EB672F">
            <w:pPr>
              <w:pStyle w:val="Tabletext"/>
            </w:pPr>
            <w:r w:rsidRPr="004A267B">
              <w:t>Resubmission Flag</w:t>
            </w:r>
          </w:p>
        </w:tc>
        <w:tc>
          <w:tcPr>
            <w:tcW w:w="6192" w:type="dxa"/>
            <w:shd w:val="clear" w:color="auto" w:fill="auto"/>
          </w:tcPr>
          <w:p w:rsidR="00C1004C" w:rsidRPr="004A267B" w:rsidRDefault="00C1004C" w:rsidP="00EB672F">
            <w:pPr>
              <w:pStyle w:val="Tabletext"/>
            </w:pPr>
            <w:r w:rsidRPr="004A267B">
              <w:t>Only required if information relating to the prescription was previously submitted (whether by way of claim or under co</w:t>
            </w:r>
            <w:r>
              <w:noBreakHyphen/>
            </w:r>
            <w:r w:rsidRPr="004A267B">
              <w:t>payment data) and rejected.</w:t>
            </w:r>
          </w:p>
        </w:tc>
      </w:tr>
      <w:tr w:rsidR="00C1004C" w:rsidRPr="004A267B" w:rsidTr="00EB672F">
        <w:tc>
          <w:tcPr>
            <w:tcW w:w="714" w:type="dxa"/>
            <w:shd w:val="clear" w:color="auto" w:fill="auto"/>
          </w:tcPr>
          <w:p w:rsidR="00C1004C" w:rsidRPr="004A267B" w:rsidRDefault="00C1004C" w:rsidP="00EB672F">
            <w:pPr>
              <w:pStyle w:val="Tabletext"/>
            </w:pPr>
            <w:r w:rsidRPr="004A267B">
              <w:t>33</w:t>
            </w:r>
          </w:p>
        </w:tc>
        <w:tc>
          <w:tcPr>
            <w:tcW w:w="1408" w:type="dxa"/>
            <w:shd w:val="clear" w:color="auto" w:fill="auto"/>
          </w:tcPr>
          <w:p w:rsidR="00C1004C" w:rsidRPr="004A267B" w:rsidDel="006D7300" w:rsidRDefault="00C1004C" w:rsidP="00EB672F">
            <w:pPr>
              <w:pStyle w:val="Tabletext"/>
            </w:pPr>
            <w:r w:rsidRPr="004A267B">
              <w:t>Serial Number</w:t>
            </w:r>
          </w:p>
        </w:tc>
        <w:tc>
          <w:tcPr>
            <w:tcW w:w="6192" w:type="dxa"/>
            <w:shd w:val="clear" w:color="auto" w:fill="auto"/>
          </w:tcPr>
          <w:p w:rsidR="00C1004C" w:rsidRPr="004A267B" w:rsidDel="006D7300" w:rsidRDefault="00C1004C" w:rsidP="00EB672F">
            <w:pPr>
              <w:pStyle w:val="Tabletext"/>
            </w:pPr>
            <w:r w:rsidRPr="004A267B">
              <w:t>Number that uniquely identifies the pharmaceutical benefit within the payment category, marked on the prescription by the approved supplier. The number runs sequentially, within a range, for that claim period, for each payment category, or, at times, for a type of prescription for each payment category (for example medication chart prescriptions).</w:t>
            </w:r>
          </w:p>
        </w:tc>
      </w:tr>
      <w:tr w:rsidR="00C1004C" w:rsidRPr="004A267B" w:rsidTr="00EB672F">
        <w:tc>
          <w:tcPr>
            <w:tcW w:w="714" w:type="dxa"/>
            <w:tcBorders>
              <w:bottom w:val="single" w:sz="4" w:space="0" w:color="auto"/>
            </w:tcBorders>
            <w:shd w:val="clear" w:color="auto" w:fill="auto"/>
          </w:tcPr>
          <w:p w:rsidR="00C1004C" w:rsidRPr="004A267B" w:rsidRDefault="00C1004C" w:rsidP="00EB672F">
            <w:pPr>
              <w:pStyle w:val="Tabletext"/>
            </w:pPr>
            <w:r w:rsidRPr="004A267B">
              <w:t>34</w:t>
            </w:r>
          </w:p>
        </w:tc>
        <w:tc>
          <w:tcPr>
            <w:tcW w:w="1408" w:type="dxa"/>
            <w:tcBorders>
              <w:bottom w:val="single" w:sz="4" w:space="0" w:color="auto"/>
            </w:tcBorders>
            <w:shd w:val="clear" w:color="auto" w:fill="auto"/>
          </w:tcPr>
          <w:p w:rsidR="00C1004C" w:rsidRPr="004A267B" w:rsidDel="006D7300" w:rsidRDefault="00C1004C" w:rsidP="00EB672F">
            <w:pPr>
              <w:pStyle w:val="Tabletext"/>
            </w:pPr>
            <w:r w:rsidRPr="004A267B">
              <w:t>Streamlined Authority Code</w:t>
            </w:r>
          </w:p>
        </w:tc>
        <w:tc>
          <w:tcPr>
            <w:tcW w:w="6192" w:type="dxa"/>
            <w:tcBorders>
              <w:bottom w:val="single" w:sz="4" w:space="0" w:color="auto"/>
            </w:tcBorders>
            <w:shd w:val="clear" w:color="auto" w:fill="auto"/>
          </w:tcPr>
          <w:p w:rsidR="00C1004C" w:rsidRPr="004A267B" w:rsidRDefault="00C1004C" w:rsidP="00EB672F">
            <w:pPr>
              <w:pStyle w:val="Tabletext"/>
            </w:pPr>
            <w:r w:rsidRPr="004A267B">
              <w:t>Only required for authority prescriptions, if the type of authority is streamlined authority code.</w:t>
            </w:r>
          </w:p>
          <w:p w:rsidR="00C1004C" w:rsidRPr="004A267B" w:rsidDel="006D7300" w:rsidRDefault="00C1004C" w:rsidP="00EB672F">
            <w:pPr>
              <w:pStyle w:val="Tabletext"/>
            </w:pPr>
            <w:r w:rsidRPr="004A267B">
              <w:t>The streamlined authority code is written on the prescription by the PBS prescriber. It is also written on the repeat authorisation by an approved supplier.</w:t>
            </w:r>
          </w:p>
        </w:tc>
      </w:tr>
      <w:tr w:rsidR="00C1004C" w:rsidRPr="004A267B" w:rsidTr="00EB672F">
        <w:tc>
          <w:tcPr>
            <w:tcW w:w="714" w:type="dxa"/>
            <w:tcBorders>
              <w:bottom w:val="single" w:sz="12" w:space="0" w:color="auto"/>
            </w:tcBorders>
            <w:shd w:val="clear" w:color="auto" w:fill="auto"/>
          </w:tcPr>
          <w:p w:rsidR="00C1004C" w:rsidRPr="004A267B" w:rsidRDefault="00C1004C" w:rsidP="00EB672F">
            <w:pPr>
              <w:pStyle w:val="Tabletext"/>
            </w:pPr>
            <w:r w:rsidRPr="004A267B">
              <w:t>35</w:t>
            </w:r>
          </w:p>
        </w:tc>
        <w:tc>
          <w:tcPr>
            <w:tcW w:w="1408" w:type="dxa"/>
            <w:tcBorders>
              <w:bottom w:val="single" w:sz="12" w:space="0" w:color="auto"/>
            </w:tcBorders>
            <w:shd w:val="clear" w:color="auto" w:fill="auto"/>
          </w:tcPr>
          <w:p w:rsidR="00C1004C" w:rsidRPr="004A267B" w:rsidDel="006D7300" w:rsidRDefault="00C1004C" w:rsidP="00EB672F">
            <w:pPr>
              <w:pStyle w:val="Tabletext"/>
            </w:pPr>
            <w:r w:rsidRPr="004A267B">
              <w:t>Unique Pharmacy Prescription Number</w:t>
            </w:r>
          </w:p>
        </w:tc>
        <w:tc>
          <w:tcPr>
            <w:tcW w:w="6192" w:type="dxa"/>
            <w:tcBorders>
              <w:bottom w:val="single" w:sz="12" w:space="0" w:color="auto"/>
            </w:tcBorders>
            <w:shd w:val="clear" w:color="auto" w:fill="auto"/>
          </w:tcPr>
          <w:p w:rsidR="00C1004C" w:rsidRPr="004A267B" w:rsidDel="006D7300" w:rsidRDefault="00C1004C" w:rsidP="00EB672F">
            <w:pPr>
              <w:pStyle w:val="Tabletext"/>
            </w:pPr>
            <w:r w:rsidRPr="004A267B">
              <w:t>Unique number allotted by the approved supplier’s pharmacy dispensing software to a supply of the pharmaceutical benefit. Each individual supply will only ever have one number allotted to it and that number will not be re</w:t>
            </w:r>
            <w:r>
              <w:noBreakHyphen/>
            </w:r>
            <w:r w:rsidRPr="004A267B">
              <w:t>allotted to other prescriptions supplied by the approved supplier.</w:t>
            </w:r>
          </w:p>
        </w:tc>
      </w:tr>
    </w:tbl>
    <w:p w:rsidR="00C1004C" w:rsidRPr="004A267B" w:rsidRDefault="00C1004C" w:rsidP="00C1004C">
      <w:pPr>
        <w:pStyle w:val="Tabletext"/>
      </w:pPr>
    </w:p>
    <w:p w:rsidR="00073DED" w:rsidRPr="00003743" w:rsidRDefault="00073DED" w:rsidP="00003743">
      <w:pPr>
        <w:rPr>
          <w:rStyle w:val="IntenseReference"/>
          <w:b w:val="0"/>
          <w:bCs w:val="0"/>
          <w:i w:val="0"/>
          <w:smallCaps w:val="0"/>
          <w:color w:val="auto"/>
          <w:spacing w:val="0"/>
        </w:rPr>
      </w:pPr>
    </w:p>
    <w:sectPr w:rsidR="00073DED" w:rsidRPr="00003743" w:rsidSect="00103FA0">
      <w:headerReference w:type="default" r:id="rId13"/>
      <w:pgSz w:w="11907" w:h="16839"/>
      <w:pgMar w:top="167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DED" w:rsidRDefault="00073DED" w:rsidP="00073DED">
      <w:pPr>
        <w:spacing w:line="240" w:lineRule="auto"/>
      </w:pPr>
      <w:r>
        <w:separator/>
      </w:r>
    </w:p>
  </w:endnote>
  <w:endnote w:type="continuationSeparator" w:id="0">
    <w:p w:rsidR="00073DED" w:rsidRDefault="00073DED" w:rsidP="00073D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A0" w:rsidRDefault="00103FA0" w:rsidP="00103FA0"/>
  <w:p w:rsidR="00103FA0" w:rsidRDefault="00103FA0" w:rsidP="00103FA0">
    <w:r w:rsidRPr="0033754F">
      <w:rPr>
        <w:rFonts w:cs="Times New Roman"/>
        <w:i/>
        <w:sz w:val="18"/>
      </w:rPr>
      <w:t>OPC60834 -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A0" w:rsidRPr="00E33C1C" w:rsidRDefault="00103FA0" w:rsidP="00103FA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03FA0" w:rsidTr="00EB672F">
      <w:tc>
        <w:tcPr>
          <w:tcW w:w="1384" w:type="dxa"/>
          <w:tcBorders>
            <w:top w:val="nil"/>
            <w:left w:val="nil"/>
            <w:bottom w:val="nil"/>
            <w:right w:val="nil"/>
          </w:tcBorders>
        </w:tcPr>
        <w:p w:rsidR="00103FA0" w:rsidRDefault="00103FA0" w:rsidP="00EB672F">
          <w:pPr>
            <w:spacing w:line="0" w:lineRule="atLeast"/>
            <w:rPr>
              <w:sz w:val="18"/>
            </w:rPr>
          </w:pPr>
        </w:p>
      </w:tc>
      <w:tc>
        <w:tcPr>
          <w:tcW w:w="6379" w:type="dxa"/>
          <w:tcBorders>
            <w:top w:val="nil"/>
            <w:left w:val="nil"/>
            <w:bottom w:val="nil"/>
            <w:right w:val="nil"/>
          </w:tcBorders>
        </w:tcPr>
        <w:p w:rsidR="00103FA0" w:rsidRDefault="003C0F94" w:rsidP="003C0F94">
          <w:pPr>
            <w:spacing w:line="0" w:lineRule="atLeast"/>
            <w:jc w:val="center"/>
            <w:rPr>
              <w:sz w:val="18"/>
            </w:rPr>
          </w:pPr>
          <w:r w:rsidRPr="003C0F94">
            <w:rPr>
              <w:sz w:val="18"/>
            </w:rPr>
            <w:t>National Health (Claims and under co</w:t>
          </w:r>
          <w:r>
            <w:rPr>
              <w:sz w:val="18"/>
            </w:rPr>
            <w:t>-</w:t>
          </w:r>
          <w:r w:rsidRPr="003C0F94">
            <w:rPr>
              <w:sz w:val="18"/>
            </w:rPr>
            <w:t>payment data) Amendment (Medication Chart Prescriptions) Rule 2015 (PB 19 of 2015)</w:t>
          </w:r>
        </w:p>
      </w:tc>
      <w:tc>
        <w:tcPr>
          <w:tcW w:w="709" w:type="dxa"/>
          <w:tcBorders>
            <w:top w:val="nil"/>
            <w:left w:val="nil"/>
            <w:bottom w:val="nil"/>
            <w:right w:val="nil"/>
          </w:tcBorders>
        </w:tcPr>
        <w:p w:rsidR="00103FA0" w:rsidRDefault="00103FA0" w:rsidP="00EB67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C0F94">
            <w:rPr>
              <w:i/>
              <w:noProof/>
              <w:sz w:val="18"/>
            </w:rPr>
            <w:t>i</w:t>
          </w:r>
          <w:r w:rsidRPr="00ED79B6">
            <w:rPr>
              <w:i/>
              <w:sz w:val="18"/>
            </w:rPr>
            <w:fldChar w:fldCharType="end"/>
          </w:r>
        </w:p>
      </w:tc>
    </w:tr>
  </w:tbl>
  <w:p w:rsidR="00073DED" w:rsidRPr="00103FA0" w:rsidRDefault="00103FA0" w:rsidP="00103FA0">
    <w:pPr>
      <w:rPr>
        <w:i/>
        <w:sz w:val="18"/>
      </w:rPr>
    </w:pPr>
    <w:r w:rsidRPr="0033754F">
      <w:rPr>
        <w:rFonts w:cs="Times New Roman"/>
        <w:i/>
        <w:sz w:val="18"/>
      </w:rPr>
      <w:t>OPC60834 -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A0" w:rsidRPr="00E33C1C" w:rsidRDefault="00103FA0" w:rsidP="00103FA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03FA0" w:rsidTr="00EB672F">
      <w:tc>
        <w:tcPr>
          <w:tcW w:w="1384" w:type="dxa"/>
          <w:tcBorders>
            <w:top w:val="nil"/>
            <w:left w:val="nil"/>
            <w:bottom w:val="nil"/>
            <w:right w:val="nil"/>
          </w:tcBorders>
        </w:tcPr>
        <w:p w:rsidR="00103FA0" w:rsidRDefault="00103FA0" w:rsidP="00EB672F">
          <w:pPr>
            <w:spacing w:line="0" w:lineRule="atLeast"/>
            <w:rPr>
              <w:sz w:val="18"/>
            </w:rPr>
          </w:pPr>
        </w:p>
      </w:tc>
      <w:tc>
        <w:tcPr>
          <w:tcW w:w="6379" w:type="dxa"/>
          <w:tcBorders>
            <w:top w:val="nil"/>
            <w:left w:val="nil"/>
            <w:bottom w:val="nil"/>
            <w:right w:val="nil"/>
          </w:tcBorders>
        </w:tcPr>
        <w:p w:rsidR="00103FA0" w:rsidRDefault="00F10ED6" w:rsidP="003C0F94">
          <w:pPr>
            <w:spacing w:line="0" w:lineRule="atLeast"/>
            <w:jc w:val="center"/>
            <w:rPr>
              <w:sz w:val="18"/>
            </w:rPr>
          </w:pPr>
          <w:r w:rsidRPr="00F10ED6">
            <w:rPr>
              <w:sz w:val="18"/>
            </w:rPr>
            <w:t>National Health (Claims and under co</w:t>
          </w:r>
          <w:r w:rsidR="003C0F94">
            <w:rPr>
              <w:sz w:val="18"/>
            </w:rPr>
            <w:t>-</w:t>
          </w:r>
          <w:r w:rsidRPr="00F10ED6">
            <w:rPr>
              <w:sz w:val="18"/>
            </w:rPr>
            <w:t>payment data) Amendment (Medication Chart Prescriptions) Rule 2015 (PB 19 of 2015)</w:t>
          </w:r>
        </w:p>
      </w:tc>
      <w:tc>
        <w:tcPr>
          <w:tcW w:w="709" w:type="dxa"/>
          <w:tcBorders>
            <w:top w:val="nil"/>
            <w:left w:val="nil"/>
            <w:bottom w:val="nil"/>
            <w:right w:val="nil"/>
          </w:tcBorders>
        </w:tcPr>
        <w:p w:rsidR="00103FA0" w:rsidRDefault="00103FA0" w:rsidP="00EB67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C0F94">
            <w:rPr>
              <w:i/>
              <w:noProof/>
              <w:sz w:val="18"/>
            </w:rPr>
            <w:t>2</w:t>
          </w:r>
          <w:r w:rsidRPr="00ED79B6">
            <w:rPr>
              <w:i/>
              <w:sz w:val="18"/>
            </w:rPr>
            <w:fldChar w:fldCharType="end"/>
          </w:r>
        </w:p>
      </w:tc>
    </w:tr>
  </w:tbl>
  <w:p w:rsidR="00073DED" w:rsidRPr="00103FA0" w:rsidRDefault="00103FA0" w:rsidP="00103FA0">
    <w:pPr>
      <w:rPr>
        <w:i/>
        <w:sz w:val="18"/>
      </w:rPr>
    </w:pPr>
    <w:r w:rsidRPr="0033754F">
      <w:rPr>
        <w:rFonts w:cs="Times New Roman"/>
        <w:i/>
        <w:sz w:val="18"/>
      </w:rPr>
      <w:t>OPC60834 -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DED" w:rsidRDefault="00073DED" w:rsidP="00073DED">
      <w:pPr>
        <w:spacing w:line="240" w:lineRule="auto"/>
      </w:pPr>
      <w:r>
        <w:separator/>
      </w:r>
    </w:p>
  </w:footnote>
  <w:footnote w:type="continuationSeparator" w:id="0">
    <w:p w:rsidR="00073DED" w:rsidRDefault="00073DED" w:rsidP="00073D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DED" w:rsidRDefault="00073DED">
    <w:pPr>
      <w:pStyle w:val="Header"/>
    </w:pPr>
  </w:p>
  <w:p w:rsidR="00073DED" w:rsidRPr="00A961C4" w:rsidRDefault="00073DED" w:rsidP="00073DED">
    <w:pPr>
      <w:pBdr>
        <w:bottom w:val="single" w:sz="6" w:space="1" w:color="auto"/>
      </w:pBdr>
      <w:spacing w:after="1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D6" w:rsidRPr="00F10ED6" w:rsidRDefault="00F10ED6">
    <w:pPr>
      <w:pStyle w:val="Header"/>
      <w:rPr>
        <w:sz w:val="20"/>
      </w:rPr>
    </w:pPr>
    <w:r w:rsidRPr="00F10ED6">
      <w:rPr>
        <w:b/>
        <w:sz w:val="20"/>
      </w:rPr>
      <w:t>Schedule 1</w:t>
    </w:r>
    <w:r w:rsidRPr="00F10ED6">
      <w:rPr>
        <w:sz w:val="20"/>
      </w:rPr>
      <w:t xml:space="preserve">  Amendments</w:t>
    </w:r>
  </w:p>
  <w:p w:rsidR="00F10ED6" w:rsidRPr="00A961C4" w:rsidRDefault="00F10ED6" w:rsidP="00073DED">
    <w:pPr>
      <w:pBdr>
        <w:bottom w:val="single" w:sz="6" w:space="1" w:color="auto"/>
      </w:pBdr>
      <w:spacing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4DD0C45"/>
    <w:multiLevelType w:val="hybridMultilevel"/>
    <w:tmpl w:val="D76E4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ED"/>
    <w:rsid w:val="00003743"/>
    <w:rsid w:val="00067456"/>
    <w:rsid w:val="00073DED"/>
    <w:rsid w:val="00103FA0"/>
    <w:rsid w:val="001B3443"/>
    <w:rsid w:val="0030786C"/>
    <w:rsid w:val="003C0F94"/>
    <w:rsid w:val="003D17F9"/>
    <w:rsid w:val="004867E2"/>
    <w:rsid w:val="004C4BC3"/>
    <w:rsid w:val="008264EB"/>
    <w:rsid w:val="00A4512D"/>
    <w:rsid w:val="00A705AF"/>
    <w:rsid w:val="00B42851"/>
    <w:rsid w:val="00C1004C"/>
    <w:rsid w:val="00CB5B1A"/>
    <w:rsid w:val="00F10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ne number"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73DED"/>
    <w:pPr>
      <w:spacing w:line="260" w:lineRule="atLeast"/>
    </w:pPr>
    <w:rPr>
      <w:rFonts w:eastAsiaTheme="minorHAnsi" w:cstheme="minorBidi"/>
      <w:sz w:val="22"/>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ShortT">
    <w:name w:val="ShortT"/>
    <w:basedOn w:val="Normal"/>
    <w:next w:val="Normal"/>
    <w:qFormat/>
    <w:rsid w:val="00073DED"/>
    <w:pPr>
      <w:spacing w:line="240" w:lineRule="auto"/>
    </w:pPr>
    <w:rPr>
      <w:rFonts w:eastAsia="Times New Roman" w:cs="Times New Roman"/>
      <w:b/>
      <w:sz w:val="40"/>
      <w:lang w:eastAsia="en-AU"/>
    </w:rPr>
  </w:style>
  <w:style w:type="character" w:customStyle="1" w:styleId="CharAmSchNo">
    <w:name w:val="CharAmSchNo"/>
    <w:basedOn w:val="DefaultParagraphFont"/>
    <w:qFormat/>
    <w:rsid w:val="00073DED"/>
  </w:style>
  <w:style w:type="character" w:customStyle="1" w:styleId="CharAmSchText">
    <w:name w:val="CharAmSchText"/>
    <w:basedOn w:val="DefaultParagraphFont"/>
    <w:qFormat/>
    <w:rsid w:val="00073DED"/>
  </w:style>
  <w:style w:type="paragraph" w:styleId="Header">
    <w:name w:val="header"/>
    <w:basedOn w:val="Normal"/>
    <w:link w:val="HeaderChar"/>
    <w:unhideWhenUsed/>
    <w:rsid w:val="00073DED"/>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073DED"/>
    <w:rPr>
      <w:sz w:val="16"/>
    </w:rPr>
  </w:style>
  <w:style w:type="paragraph" w:customStyle="1" w:styleId="SignCoverPageEnd">
    <w:name w:val="SignCoverPageEnd"/>
    <w:basedOn w:val="Normal"/>
    <w:next w:val="Normal"/>
    <w:rsid w:val="00073DED"/>
    <w:pPr>
      <w:keepNext/>
      <w:pBdr>
        <w:bottom w:val="single" w:sz="4" w:space="12" w:color="auto"/>
      </w:pBdr>
      <w:tabs>
        <w:tab w:val="left" w:pos="3402"/>
      </w:tabs>
      <w:spacing w:line="300" w:lineRule="atLeast"/>
      <w:ind w:right="397"/>
    </w:pPr>
    <w:rPr>
      <w:rFonts w:eastAsia="Times New Roman" w:cs="Times New Roman"/>
      <w:lang w:eastAsia="en-AU"/>
    </w:rPr>
  </w:style>
  <w:style w:type="paragraph" w:customStyle="1" w:styleId="SignCoverPageStart">
    <w:name w:val="SignCoverPageStart"/>
    <w:basedOn w:val="Normal"/>
    <w:next w:val="Normal"/>
    <w:rsid w:val="00073DED"/>
    <w:pPr>
      <w:pBdr>
        <w:top w:val="single" w:sz="4" w:space="1" w:color="auto"/>
      </w:pBdr>
      <w:spacing w:before="360"/>
      <w:ind w:right="397"/>
      <w:jc w:val="both"/>
    </w:pPr>
    <w:rPr>
      <w:rFonts w:eastAsia="Times New Roman" w:cs="Times New Roman"/>
      <w:lang w:eastAsia="en-AU"/>
    </w:rPr>
  </w:style>
  <w:style w:type="paragraph" w:styleId="BalloonText">
    <w:name w:val="Balloon Text"/>
    <w:basedOn w:val="Normal"/>
    <w:link w:val="BalloonTextChar"/>
    <w:uiPriority w:val="99"/>
    <w:rsid w:val="00073D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73DED"/>
    <w:rPr>
      <w:rFonts w:ascii="Tahoma" w:eastAsiaTheme="minorHAnsi" w:hAnsi="Tahoma" w:cs="Tahoma"/>
      <w:sz w:val="16"/>
      <w:szCs w:val="16"/>
      <w:lang w:eastAsia="en-US"/>
    </w:rPr>
  </w:style>
  <w:style w:type="paragraph" w:styleId="Footer">
    <w:name w:val="footer"/>
    <w:basedOn w:val="Normal"/>
    <w:link w:val="FooterChar"/>
    <w:rsid w:val="00073DED"/>
    <w:pPr>
      <w:tabs>
        <w:tab w:val="center" w:pos="4513"/>
        <w:tab w:val="right" w:pos="9026"/>
      </w:tabs>
      <w:spacing w:line="240" w:lineRule="auto"/>
    </w:pPr>
  </w:style>
  <w:style w:type="character" w:customStyle="1" w:styleId="FooterChar">
    <w:name w:val="Footer Char"/>
    <w:basedOn w:val="DefaultParagraphFont"/>
    <w:link w:val="Footer"/>
    <w:rsid w:val="00073DED"/>
    <w:rPr>
      <w:rFonts w:eastAsiaTheme="minorHAnsi" w:cstheme="minorBidi"/>
      <w:sz w:val="22"/>
      <w:lang w:eastAsia="en-US"/>
    </w:rPr>
  </w:style>
  <w:style w:type="paragraph" w:styleId="TOC5">
    <w:name w:val="toc 5"/>
    <w:basedOn w:val="Normal"/>
    <w:next w:val="Normal"/>
    <w:uiPriority w:val="39"/>
    <w:unhideWhenUsed/>
    <w:rsid w:val="00073DE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73DE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073DE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ActHead5">
    <w:name w:val="ActHead 5"/>
    <w:aliases w:val="s"/>
    <w:basedOn w:val="Normal"/>
    <w:next w:val="subsection"/>
    <w:qFormat/>
    <w:rsid w:val="00073DED"/>
    <w:pPr>
      <w:keepNext/>
      <w:keepLines/>
      <w:spacing w:before="280" w:line="240" w:lineRule="auto"/>
      <w:ind w:left="1134" w:hanging="1134"/>
      <w:outlineLvl w:val="4"/>
    </w:pPr>
    <w:rPr>
      <w:rFonts w:eastAsia="Times New Roman" w:cs="Times New Roman"/>
      <w:b/>
      <w:kern w:val="28"/>
      <w:sz w:val="24"/>
      <w:lang w:eastAsia="en-AU"/>
    </w:rPr>
  </w:style>
  <w:style w:type="character" w:customStyle="1" w:styleId="CharSectno">
    <w:name w:val="CharSectno"/>
    <w:basedOn w:val="DefaultParagraphFont"/>
    <w:qFormat/>
    <w:rsid w:val="00073DED"/>
  </w:style>
  <w:style w:type="paragraph" w:customStyle="1" w:styleId="subsection">
    <w:name w:val="subsection"/>
    <w:aliases w:val="ss"/>
    <w:basedOn w:val="Normal"/>
    <w:rsid w:val="00073DED"/>
    <w:pPr>
      <w:tabs>
        <w:tab w:val="right" w:pos="1021"/>
      </w:tabs>
      <w:spacing w:before="180" w:line="240" w:lineRule="auto"/>
      <w:ind w:left="1134" w:hanging="1134"/>
    </w:pPr>
    <w:rPr>
      <w:rFonts w:eastAsia="Times New Roman" w:cs="Times New Roman"/>
      <w:lang w:eastAsia="en-AU"/>
    </w:rPr>
  </w:style>
  <w:style w:type="character" w:customStyle="1" w:styleId="OPCCharBase">
    <w:name w:val="OPCCharBase"/>
    <w:uiPriority w:val="1"/>
    <w:qFormat/>
    <w:rsid w:val="00C1004C"/>
  </w:style>
  <w:style w:type="paragraph" w:customStyle="1" w:styleId="OPCParaBase">
    <w:name w:val="OPCParaBase"/>
    <w:qFormat/>
    <w:rsid w:val="00C1004C"/>
    <w:pPr>
      <w:spacing w:line="260" w:lineRule="atLeast"/>
    </w:pPr>
    <w:rPr>
      <w:sz w:val="22"/>
    </w:rPr>
  </w:style>
  <w:style w:type="paragraph" w:customStyle="1" w:styleId="ActHead1">
    <w:name w:val="ActHead 1"/>
    <w:aliases w:val="c"/>
    <w:basedOn w:val="OPCParaBase"/>
    <w:next w:val="Normal"/>
    <w:qFormat/>
    <w:rsid w:val="00C1004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1004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1004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1004C"/>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C1004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1004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1004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1004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1004C"/>
  </w:style>
  <w:style w:type="paragraph" w:customStyle="1" w:styleId="Blocks">
    <w:name w:val="Blocks"/>
    <w:aliases w:val="bb"/>
    <w:basedOn w:val="OPCParaBase"/>
    <w:qFormat/>
    <w:rsid w:val="00C1004C"/>
    <w:pPr>
      <w:spacing w:line="240" w:lineRule="auto"/>
    </w:pPr>
    <w:rPr>
      <w:sz w:val="24"/>
    </w:rPr>
  </w:style>
  <w:style w:type="paragraph" w:customStyle="1" w:styleId="BoxText">
    <w:name w:val="BoxText"/>
    <w:aliases w:val="bt"/>
    <w:basedOn w:val="OPCParaBase"/>
    <w:qFormat/>
    <w:rsid w:val="00C1004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1004C"/>
    <w:rPr>
      <w:b/>
    </w:rPr>
  </w:style>
  <w:style w:type="paragraph" w:customStyle="1" w:styleId="BoxHeadItalic">
    <w:name w:val="BoxHeadItalic"/>
    <w:aliases w:val="bhi"/>
    <w:basedOn w:val="BoxText"/>
    <w:next w:val="BoxStep"/>
    <w:qFormat/>
    <w:rsid w:val="00C1004C"/>
    <w:rPr>
      <w:i/>
    </w:rPr>
  </w:style>
  <w:style w:type="paragraph" w:customStyle="1" w:styleId="BoxList">
    <w:name w:val="BoxList"/>
    <w:aliases w:val="bl"/>
    <w:basedOn w:val="BoxText"/>
    <w:qFormat/>
    <w:rsid w:val="00C1004C"/>
    <w:pPr>
      <w:ind w:left="1559" w:hanging="425"/>
    </w:pPr>
  </w:style>
  <w:style w:type="paragraph" w:customStyle="1" w:styleId="BoxNote">
    <w:name w:val="BoxNote"/>
    <w:aliases w:val="bn"/>
    <w:basedOn w:val="BoxText"/>
    <w:qFormat/>
    <w:rsid w:val="00C1004C"/>
    <w:pPr>
      <w:tabs>
        <w:tab w:val="left" w:pos="1985"/>
      </w:tabs>
      <w:spacing w:before="122" w:line="198" w:lineRule="exact"/>
      <w:ind w:left="2948" w:hanging="1814"/>
    </w:pPr>
    <w:rPr>
      <w:sz w:val="18"/>
    </w:rPr>
  </w:style>
  <w:style w:type="paragraph" w:customStyle="1" w:styleId="BoxPara">
    <w:name w:val="BoxPara"/>
    <w:aliases w:val="bp"/>
    <w:basedOn w:val="BoxText"/>
    <w:qFormat/>
    <w:rsid w:val="00C1004C"/>
    <w:pPr>
      <w:tabs>
        <w:tab w:val="right" w:pos="2268"/>
      </w:tabs>
      <w:ind w:left="2552" w:hanging="1418"/>
    </w:pPr>
  </w:style>
  <w:style w:type="paragraph" w:customStyle="1" w:styleId="BoxStep">
    <w:name w:val="BoxStep"/>
    <w:aliases w:val="bs"/>
    <w:basedOn w:val="BoxText"/>
    <w:qFormat/>
    <w:rsid w:val="00C1004C"/>
    <w:pPr>
      <w:ind w:left="1985" w:hanging="851"/>
    </w:pPr>
  </w:style>
  <w:style w:type="character" w:customStyle="1" w:styleId="CharAmPartNo">
    <w:name w:val="CharAmPartNo"/>
    <w:basedOn w:val="OPCCharBase"/>
    <w:qFormat/>
    <w:rsid w:val="00C1004C"/>
  </w:style>
  <w:style w:type="character" w:customStyle="1" w:styleId="CharAmPartText">
    <w:name w:val="CharAmPartText"/>
    <w:basedOn w:val="OPCCharBase"/>
    <w:qFormat/>
    <w:rsid w:val="00C1004C"/>
  </w:style>
  <w:style w:type="character" w:customStyle="1" w:styleId="CharBoldItalic">
    <w:name w:val="CharBoldItalic"/>
    <w:basedOn w:val="OPCCharBase"/>
    <w:uiPriority w:val="1"/>
    <w:qFormat/>
    <w:rsid w:val="00C1004C"/>
    <w:rPr>
      <w:b/>
      <w:i/>
    </w:rPr>
  </w:style>
  <w:style w:type="character" w:customStyle="1" w:styleId="CharChapNo">
    <w:name w:val="CharChapNo"/>
    <w:basedOn w:val="OPCCharBase"/>
    <w:uiPriority w:val="1"/>
    <w:qFormat/>
    <w:rsid w:val="00C1004C"/>
  </w:style>
  <w:style w:type="character" w:customStyle="1" w:styleId="CharChapText">
    <w:name w:val="CharChapText"/>
    <w:basedOn w:val="OPCCharBase"/>
    <w:uiPriority w:val="1"/>
    <w:qFormat/>
    <w:rsid w:val="00C1004C"/>
  </w:style>
  <w:style w:type="character" w:customStyle="1" w:styleId="CharDivNo">
    <w:name w:val="CharDivNo"/>
    <w:basedOn w:val="OPCCharBase"/>
    <w:uiPriority w:val="1"/>
    <w:qFormat/>
    <w:rsid w:val="00C1004C"/>
  </w:style>
  <w:style w:type="character" w:customStyle="1" w:styleId="CharDivText">
    <w:name w:val="CharDivText"/>
    <w:basedOn w:val="OPCCharBase"/>
    <w:uiPriority w:val="1"/>
    <w:qFormat/>
    <w:rsid w:val="00C1004C"/>
  </w:style>
  <w:style w:type="character" w:customStyle="1" w:styleId="CharItalic">
    <w:name w:val="CharItalic"/>
    <w:basedOn w:val="OPCCharBase"/>
    <w:uiPriority w:val="1"/>
    <w:qFormat/>
    <w:rsid w:val="00C1004C"/>
    <w:rPr>
      <w:i/>
    </w:rPr>
  </w:style>
  <w:style w:type="character" w:customStyle="1" w:styleId="CharPartNo">
    <w:name w:val="CharPartNo"/>
    <w:basedOn w:val="OPCCharBase"/>
    <w:uiPriority w:val="1"/>
    <w:qFormat/>
    <w:rsid w:val="00C1004C"/>
  </w:style>
  <w:style w:type="character" w:customStyle="1" w:styleId="CharPartText">
    <w:name w:val="CharPartText"/>
    <w:basedOn w:val="OPCCharBase"/>
    <w:uiPriority w:val="1"/>
    <w:qFormat/>
    <w:rsid w:val="00C1004C"/>
  </w:style>
  <w:style w:type="character" w:customStyle="1" w:styleId="CharSubdNo">
    <w:name w:val="CharSubdNo"/>
    <w:basedOn w:val="OPCCharBase"/>
    <w:uiPriority w:val="1"/>
    <w:qFormat/>
    <w:rsid w:val="00C1004C"/>
  </w:style>
  <w:style w:type="character" w:customStyle="1" w:styleId="CharSubdText">
    <w:name w:val="CharSubdText"/>
    <w:basedOn w:val="OPCCharBase"/>
    <w:uiPriority w:val="1"/>
    <w:qFormat/>
    <w:rsid w:val="00C1004C"/>
  </w:style>
  <w:style w:type="paragraph" w:customStyle="1" w:styleId="CTA--">
    <w:name w:val="CTA --"/>
    <w:basedOn w:val="OPCParaBase"/>
    <w:next w:val="Normal"/>
    <w:rsid w:val="00C1004C"/>
    <w:pPr>
      <w:spacing w:before="60" w:line="240" w:lineRule="atLeast"/>
      <w:ind w:left="142" w:hanging="142"/>
    </w:pPr>
    <w:rPr>
      <w:sz w:val="20"/>
    </w:rPr>
  </w:style>
  <w:style w:type="paragraph" w:customStyle="1" w:styleId="CTA-">
    <w:name w:val="CTA -"/>
    <w:basedOn w:val="OPCParaBase"/>
    <w:rsid w:val="00C1004C"/>
    <w:pPr>
      <w:spacing w:before="60" w:line="240" w:lineRule="atLeast"/>
      <w:ind w:left="85" w:hanging="85"/>
    </w:pPr>
    <w:rPr>
      <w:sz w:val="20"/>
    </w:rPr>
  </w:style>
  <w:style w:type="paragraph" w:customStyle="1" w:styleId="CTA---">
    <w:name w:val="CTA ---"/>
    <w:basedOn w:val="OPCParaBase"/>
    <w:next w:val="Normal"/>
    <w:rsid w:val="00C1004C"/>
    <w:pPr>
      <w:spacing w:before="60" w:line="240" w:lineRule="atLeast"/>
      <w:ind w:left="198" w:hanging="198"/>
    </w:pPr>
    <w:rPr>
      <w:sz w:val="20"/>
    </w:rPr>
  </w:style>
  <w:style w:type="paragraph" w:customStyle="1" w:styleId="CTA----">
    <w:name w:val="CTA ----"/>
    <w:basedOn w:val="OPCParaBase"/>
    <w:next w:val="Normal"/>
    <w:rsid w:val="00C1004C"/>
    <w:pPr>
      <w:spacing w:before="60" w:line="240" w:lineRule="atLeast"/>
      <w:ind w:left="255" w:hanging="255"/>
    </w:pPr>
    <w:rPr>
      <w:sz w:val="20"/>
    </w:rPr>
  </w:style>
  <w:style w:type="paragraph" w:customStyle="1" w:styleId="CTA1a">
    <w:name w:val="CTA 1(a)"/>
    <w:basedOn w:val="OPCParaBase"/>
    <w:rsid w:val="00C1004C"/>
    <w:pPr>
      <w:tabs>
        <w:tab w:val="right" w:pos="414"/>
      </w:tabs>
      <w:spacing w:before="40" w:line="240" w:lineRule="atLeast"/>
      <w:ind w:left="675" w:hanging="675"/>
    </w:pPr>
    <w:rPr>
      <w:sz w:val="20"/>
    </w:rPr>
  </w:style>
  <w:style w:type="paragraph" w:customStyle="1" w:styleId="CTA1ai">
    <w:name w:val="CTA 1(a)(i)"/>
    <w:basedOn w:val="OPCParaBase"/>
    <w:rsid w:val="00C1004C"/>
    <w:pPr>
      <w:tabs>
        <w:tab w:val="right" w:pos="1004"/>
      </w:tabs>
      <w:spacing w:before="40" w:line="240" w:lineRule="atLeast"/>
      <w:ind w:left="1253" w:hanging="1253"/>
    </w:pPr>
    <w:rPr>
      <w:sz w:val="20"/>
    </w:rPr>
  </w:style>
  <w:style w:type="paragraph" w:customStyle="1" w:styleId="CTA2a">
    <w:name w:val="CTA 2(a)"/>
    <w:basedOn w:val="OPCParaBase"/>
    <w:rsid w:val="00C1004C"/>
    <w:pPr>
      <w:tabs>
        <w:tab w:val="right" w:pos="482"/>
      </w:tabs>
      <w:spacing w:before="40" w:line="240" w:lineRule="atLeast"/>
      <w:ind w:left="748" w:hanging="748"/>
    </w:pPr>
    <w:rPr>
      <w:sz w:val="20"/>
    </w:rPr>
  </w:style>
  <w:style w:type="paragraph" w:customStyle="1" w:styleId="CTA2ai">
    <w:name w:val="CTA 2(a)(i)"/>
    <w:basedOn w:val="OPCParaBase"/>
    <w:rsid w:val="00C1004C"/>
    <w:pPr>
      <w:tabs>
        <w:tab w:val="right" w:pos="1089"/>
      </w:tabs>
      <w:spacing w:before="40" w:line="240" w:lineRule="atLeast"/>
      <w:ind w:left="1327" w:hanging="1327"/>
    </w:pPr>
    <w:rPr>
      <w:sz w:val="20"/>
    </w:rPr>
  </w:style>
  <w:style w:type="paragraph" w:customStyle="1" w:styleId="CTA3a">
    <w:name w:val="CTA 3(a)"/>
    <w:basedOn w:val="OPCParaBase"/>
    <w:rsid w:val="00C1004C"/>
    <w:pPr>
      <w:tabs>
        <w:tab w:val="right" w:pos="556"/>
      </w:tabs>
      <w:spacing w:before="40" w:line="240" w:lineRule="atLeast"/>
      <w:ind w:left="805" w:hanging="805"/>
    </w:pPr>
    <w:rPr>
      <w:sz w:val="20"/>
    </w:rPr>
  </w:style>
  <w:style w:type="paragraph" w:customStyle="1" w:styleId="CTA3ai">
    <w:name w:val="CTA 3(a)(i)"/>
    <w:basedOn w:val="OPCParaBase"/>
    <w:rsid w:val="00C1004C"/>
    <w:pPr>
      <w:tabs>
        <w:tab w:val="right" w:pos="1140"/>
      </w:tabs>
      <w:spacing w:before="40" w:line="240" w:lineRule="atLeast"/>
      <w:ind w:left="1361" w:hanging="1361"/>
    </w:pPr>
    <w:rPr>
      <w:sz w:val="20"/>
    </w:rPr>
  </w:style>
  <w:style w:type="paragraph" w:customStyle="1" w:styleId="CTA4a">
    <w:name w:val="CTA 4(a)"/>
    <w:basedOn w:val="OPCParaBase"/>
    <w:rsid w:val="00C1004C"/>
    <w:pPr>
      <w:tabs>
        <w:tab w:val="right" w:pos="624"/>
      </w:tabs>
      <w:spacing w:before="40" w:line="240" w:lineRule="atLeast"/>
      <w:ind w:left="873" w:hanging="873"/>
    </w:pPr>
    <w:rPr>
      <w:sz w:val="20"/>
    </w:rPr>
  </w:style>
  <w:style w:type="paragraph" w:customStyle="1" w:styleId="CTA4ai">
    <w:name w:val="CTA 4(a)(i)"/>
    <w:basedOn w:val="OPCParaBase"/>
    <w:rsid w:val="00C1004C"/>
    <w:pPr>
      <w:tabs>
        <w:tab w:val="right" w:pos="1213"/>
      </w:tabs>
      <w:spacing w:before="40" w:line="240" w:lineRule="atLeast"/>
      <w:ind w:left="1452" w:hanging="1452"/>
    </w:pPr>
    <w:rPr>
      <w:sz w:val="20"/>
    </w:rPr>
  </w:style>
  <w:style w:type="paragraph" w:customStyle="1" w:styleId="CTACAPS">
    <w:name w:val="CTA CAPS"/>
    <w:basedOn w:val="OPCParaBase"/>
    <w:rsid w:val="00C1004C"/>
    <w:pPr>
      <w:spacing w:before="60" w:line="240" w:lineRule="atLeast"/>
    </w:pPr>
    <w:rPr>
      <w:sz w:val="20"/>
    </w:rPr>
  </w:style>
  <w:style w:type="paragraph" w:customStyle="1" w:styleId="CTAright">
    <w:name w:val="CTA right"/>
    <w:basedOn w:val="OPCParaBase"/>
    <w:rsid w:val="00C1004C"/>
    <w:pPr>
      <w:spacing w:before="60" w:line="240" w:lineRule="auto"/>
      <w:jc w:val="right"/>
    </w:pPr>
    <w:rPr>
      <w:sz w:val="20"/>
    </w:rPr>
  </w:style>
  <w:style w:type="paragraph" w:customStyle="1" w:styleId="Definition">
    <w:name w:val="Definition"/>
    <w:aliases w:val="dd"/>
    <w:basedOn w:val="OPCParaBase"/>
    <w:rsid w:val="00C1004C"/>
    <w:pPr>
      <w:spacing w:before="180" w:line="240" w:lineRule="auto"/>
      <w:ind w:left="1134"/>
    </w:pPr>
  </w:style>
  <w:style w:type="paragraph" w:customStyle="1" w:styleId="ETAsubitem">
    <w:name w:val="ETA(subitem)"/>
    <w:basedOn w:val="OPCParaBase"/>
    <w:rsid w:val="00C1004C"/>
    <w:pPr>
      <w:tabs>
        <w:tab w:val="right" w:pos="340"/>
      </w:tabs>
      <w:spacing w:before="60" w:line="240" w:lineRule="auto"/>
      <w:ind w:left="454" w:hanging="454"/>
    </w:pPr>
    <w:rPr>
      <w:sz w:val="20"/>
    </w:rPr>
  </w:style>
  <w:style w:type="paragraph" w:customStyle="1" w:styleId="ETApara">
    <w:name w:val="ETA(para)"/>
    <w:basedOn w:val="OPCParaBase"/>
    <w:rsid w:val="00C1004C"/>
    <w:pPr>
      <w:tabs>
        <w:tab w:val="right" w:pos="754"/>
      </w:tabs>
      <w:spacing w:before="60" w:line="240" w:lineRule="auto"/>
      <w:ind w:left="828" w:hanging="828"/>
    </w:pPr>
    <w:rPr>
      <w:sz w:val="20"/>
    </w:rPr>
  </w:style>
  <w:style w:type="paragraph" w:customStyle="1" w:styleId="ETAsubpara">
    <w:name w:val="ETA(subpara)"/>
    <w:basedOn w:val="OPCParaBase"/>
    <w:rsid w:val="00C1004C"/>
    <w:pPr>
      <w:tabs>
        <w:tab w:val="right" w:pos="1083"/>
      </w:tabs>
      <w:spacing w:before="60" w:line="240" w:lineRule="auto"/>
      <w:ind w:left="1191" w:hanging="1191"/>
    </w:pPr>
    <w:rPr>
      <w:sz w:val="20"/>
    </w:rPr>
  </w:style>
  <w:style w:type="paragraph" w:customStyle="1" w:styleId="ETAsub-subpara">
    <w:name w:val="ETA(sub-subpara)"/>
    <w:basedOn w:val="OPCParaBase"/>
    <w:rsid w:val="00C1004C"/>
    <w:pPr>
      <w:tabs>
        <w:tab w:val="right" w:pos="1412"/>
      </w:tabs>
      <w:spacing w:before="60" w:line="240" w:lineRule="auto"/>
      <w:ind w:left="1525" w:hanging="1525"/>
    </w:pPr>
    <w:rPr>
      <w:sz w:val="20"/>
    </w:rPr>
  </w:style>
  <w:style w:type="paragraph" w:customStyle="1" w:styleId="Formula">
    <w:name w:val="Formula"/>
    <w:basedOn w:val="OPCParaBase"/>
    <w:rsid w:val="00C1004C"/>
    <w:pPr>
      <w:spacing w:line="240" w:lineRule="auto"/>
      <w:ind w:left="1134"/>
    </w:pPr>
    <w:rPr>
      <w:sz w:val="20"/>
    </w:rPr>
  </w:style>
  <w:style w:type="paragraph" w:customStyle="1" w:styleId="House">
    <w:name w:val="House"/>
    <w:basedOn w:val="OPCParaBase"/>
    <w:rsid w:val="00C1004C"/>
    <w:pPr>
      <w:spacing w:line="240" w:lineRule="auto"/>
    </w:pPr>
    <w:rPr>
      <w:sz w:val="28"/>
    </w:rPr>
  </w:style>
  <w:style w:type="paragraph" w:customStyle="1" w:styleId="Item">
    <w:name w:val="Item"/>
    <w:aliases w:val="i"/>
    <w:basedOn w:val="OPCParaBase"/>
    <w:next w:val="ItemHead"/>
    <w:rsid w:val="00C1004C"/>
    <w:pPr>
      <w:keepLines/>
      <w:spacing w:before="80" w:line="240" w:lineRule="auto"/>
      <w:ind w:left="709"/>
    </w:pPr>
  </w:style>
  <w:style w:type="paragraph" w:customStyle="1" w:styleId="ItemHead">
    <w:name w:val="ItemHead"/>
    <w:aliases w:val="ih"/>
    <w:basedOn w:val="OPCParaBase"/>
    <w:next w:val="Item"/>
    <w:rsid w:val="00C1004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1004C"/>
    <w:pPr>
      <w:spacing w:line="240" w:lineRule="auto"/>
    </w:pPr>
    <w:rPr>
      <w:b/>
      <w:sz w:val="32"/>
    </w:rPr>
  </w:style>
  <w:style w:type="paragraph" w:customStyle="1" w:styleId="notedraft">
    <w:name w:val="note(draft)"/>
    <w:aliases w:val="nd"/>
    <w:basedOn w:val="OPCParaBase"/>
    <w:rsid w:val="00C1004C"/>
    <w:pPr>
      <w:spacing w:before="240" w:line="240" w:lineRule="auto"/>
      <w:ind w:left="284" w:hanging="284"/>
    </w:pPr>
    <w:rPr>
      <w:i/>
      <w:sz w:val="24"/>
    </w:rPr>
  </w:style>
  <w:style w:type="paragraph" w:customStyle="1" w:styleId="notemargin">
    <w:name w:val="note(margin)"/>
    <w:aliases w:val="nm"/>
    <w:basedOn w:val="OPCParaBase"/>
    <w:rsid w:val="00C1004C"/>
    <w:pPr>
      <w:tabs>
        <w:tab w:val="left" w:pos="709"/>
      </w:tabs>
      <w:spacing w:before="122" w:line="198" w:lineRule="exact"/>
      <w:ind w:left="709" w:hanging="709"/>
    </w:pPr>
    <w:rPr>
      <w:sz w:val="18"/>
    </w:rPr>
  </w:style>
  <w:style w:type="paragraph" w:customStyle="1" w:styleId="noteToPara">
    <w:name w:val="noteToPara"/>
    <w:aliases w:val="ntp"/>
    <w:basedOn w:val="OPCParaBase"/>
    <w:rsid w:val="00C1004C"/>
    <w:pPr>
      <w:spacing w:before="122" w:line="198" w:lineRule="exact"/>
      <w:ind w:left="2353" w:hanging="709"/>
    </w:pPr>
    <w:rPr>
      <w:sz w:val="18"/>
    </w:rPr>
  </w:style>
  <w:style w:type="paragraph" w:customStyle="1" w:styleId="noteParlAmend">
    <w:name w:val="note(ParlAmend)"/>
    <w:aliases w:val="npp"/>
    <w:basedOn w:val="OPCParaBase"/>
    <w:next w:val="ParlAmend"/>
    <w:rsid w:val="00C1004C"/>
    <w:pPr>
      <w:spacing w:line="240" w:lineRule="auto"/>
      <w:jc w:val="right"/>
    </w:pPr>
    <w:rPr>
      <w:rFonts w:ascii="Arial" w:hAnsi="Arial"/>
      <w:b/>
      <w:i/>
    </w:rPr>
  </w:style>
  <w:style w:type="paragraph" w:customStyle="1" w:styleId="Page1">
    <w:name w:val="Page1"/>
    <w:basedOn w:val="OPCParaBase"/>
    <w:rsid w:val="00C1004C"/>
    <w:pPr>
      <w:spacing w:before="5600" w:line="240" w:lineRule="auto"/>
    </w:pPr>
    <w:rPr>
      <w:b/>
      <w:sz w:val="32"/>
    </w:rPr>
  </w:style>
  <w:style w:type="paragraph" w:customStyle="1" w:styleId="PageBreak">
    <w:name w:val="PageBreak"/>
    <w:aliases w:val="pb"/>
    <w:basedOn w:val="OPCParaBase"/>
    <w:rsid w:val="00C1004C"/>
    <w:pPr>
      <w:spacing w:line="240" w:lineRule="auto"/>
    </w:pPr>
    <w:rPr>
      <w:sz w:val="20"/>
    </w:rPr>
  </w:style>
  <w:style w:type="paragraph" w:customStyle="1" w:styleId="paragraphsub">
    <w:name w:val="paragraph(sub)"/>
    <w:aliases w:val="aa"/>
    <w:basedOn w:val="OPCParaBase"/>
    <w:rsid w:val="00C1004C"/>
    <w:pPr>
      <w:tabs>
        <w:tab w:val="right" w:pos="1985"/>
      </w:tabs>
      <w:spacing w:before="40" w:line="240" w:lineRule="auto"/>
      <w:ind w:left="2098" w:hanging="2098"/>
    </w:pPr>
  </w:style>
  <w:style w:type="paragraph" w:customStyle="1" w:styleId="paragraphsub-sub">
    <w:name w:val="paragraph(sub-sub)"/>
    <w:aliases w:val="aaa"/>
    <w:basedOn w:val="OPCParaBase"/>
    <w:rsid w:val="00C1004C"/>
    <w:pPr>
      <w:tabs>
        <w:tab w:val="right" w:pos="2722"/>
      </w:tabs>
      <w:spacing w:before="40" w:line="240" w:lineRule="auto"/>
      <w:ind w:left="2835" w:hanging="2835"/>
    </w:pPr>
  </w:style>
  <w:style w:type="paragraph" w:customStyle="1" w:styleId="paragraph">
    <w:name w:val="paragraph"/>
    <w:aliases w:val="a"/>
    <w:basedOn w:val="OPCParaBase"/>
    <w:rsid w:val="00C1004C"/>
    <w:pPr>
      <w:tabs>
        <w:tab w:val="right" w:pos="1531"/>
      </w:tabs>
      <w:spacing w:before="40" w:line="240" w:lineRule="auto"/>
      <w:ind w:left="1644" w:hanging="1644"/>
    </w:pPr>
  </w:style>
  <w:style w:type="paragraph" w:customStyle="1" w:styleId="ParlAmend">
    <w:name w:val="ParlAmend"/>
    <w:aliases w:val="pp"/>
    <w:basedOn w:val="OPCParaBase"/>
    <w:rsid w:val="00C1004C"/>
    <w:pPr>
      <w:spacing w:before="240" w:line="240" w:lineRule="atLeast"/>
      <w:ind w:hanging="567"/>
    </w:pPr>
    <w:rPr>
      <w:sz w:val="24"/>
    </w:rPr>
  </w:style>
  <w:style w:type="paragraph" w:customStyle="1" w:styleId="Penalty">
    <w:name w:val="Penalty"/>
    <w:basedOn w:val="OPCParaBase"/>
    <w:rsid w:val="00C1004C"/>
    <w:pPr>
      <w:tabs>
        <w:tab w:val="left" w:pos="2977"/>
      </w:tabs>
      <w:spacing w:before="180" w:line="240" w:lineRule="auto"/>
      <w:ind w:left="1985" w:hanging="851"/>
    </w:pPr>
  </w:style>
  <w:style w:type="paragraph" w:customStyle="1" w:styleId="Portfolio">
    <w:name w:val="Portfolio"/>
    <w:basedOn w:val="OPCParaBase"/>
    <w:rsid w:val="00C1004C"/>
    <w:pPr>
      <w:spacing w:line="240" w:lineRule="auto"/>
    </w:pPr>
    <w:rPr>
      <w:i/>
      <w:sz w:val="20"/>
    </w:rPr>
  </w:style>
  <w:style w:type="paragraph" w:customStyle="1" w:styleId="Preamble">
    <w:name w:val="Preamble"/>
    <w:basedOn w:val="OPCParaBase"/>
    <w:next w:val="Normal"/>
    <w:rsid w:val="00C1004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1004C"/>
    <w:pPr>
      <w:spacing w:line="240" w:lineRule="auto"/>
    </w:pPr>
    <w:rPr>
      <w:i/>
      <w:sz w:val="20"/>
    </w:rPr>
  </w:style>
  <w:style w:type="paragraph" w:customStyle="1" w:styleId="Session">
    <w:name w:val="Session"/>
    <w:basedOn w:val="OPCParaBase"/>
    <w:rsid w:val="00C1004C"/>
    <w:pPr>
      <w:spacing w:line="240" w:lineRule="auto"/>
    </w:pPr>
    <w:rPr>
      <w:sz w:val="28"/>
    </w:rPr>
  </w:style>
  <w:style w:type="paragraph" w:customStyle="1" w:styleId="Sponsor">
    <w:name w:val="Sponsor"/>
    <w:basedOn w:val="OPCParaBase"/>
    <w:rsid w:val="00C1004C"/>
    <w:pPr>
      <w:spacing w:line="240" w:lineRule="auto"/>
    </w:pPr>
    <w:rPr>
      <w:i/>
    </w:rPr>
  </w:style>
  <w:style w:type="paragraph" w:customStyle="1" w:styleId="Subitem">
    <w:name w:val="Subitem"/>
    <w:aliases w:val="iss"/>
    <w:basedOn w:val="OPCParaBase"/>
    <w:rsid w:val="00C1004C"/>
    <w:pPr>
      <w:spacing w:before="180" w:line="240" w:lineRule="auto"/>
      <w:ind w:left="709" w:hanging="709"/>
    </w:pPr>
  </w:style>
  <w:style w:type="paragraph" w:customStyle="1" w:styleId="SubitemHead">
    <w:name w:val="SubitemHead"/>
    <w:aliases w:val="issh"/>
    <w:basedOn w:val="OPCParaBase"/>
    <w:rsid w:val="00C1004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1004C"/>
    <w:pPr>
      <w:spacing w:before="40" w:line="240" w:lineRule="auto"/>
      <w:ind w:left="1134"/>
    </w:pPr>
  </w:style>
  <w:style w:type="paragraph" w:customStyle="1" w:styleId="SubsectionHead">
    <w:name w:val="SubsectionHead"/>
    <w:aliases w:val="ssh"/>
    <w:basedOn w:val="OPCParaBase"/>
    <w:next w:val="subsection"/>
    <w:rsid w:val="00C1004C"/>
    <w:pPr>
      <w:keepNext/>
      <w:keepLines/>
      <w:spacing w:before="240" w:line="240" w:lineRule="auto"/>
      <w:ind w:left="1134"/>
    </w:pPr>
    <w:rPr>
      <w:i/>
    </w:rPr>
  </w:style>
  <w:style w:type="paragraph" w:customStyle="1" w:styleId="Tablea">
    <w:name w:val="Table(a)"/>
    <w:aliases w:val="ta"/>
    <w:basedOn w:val="OPCParaBase"/>
    <w:rsid w:val="00C1004C"/>
    <w:pPr>
      <w:spacing w:before="60" w:line="240" w:lineRule="auto"/>
      <w:ind w:left="284" w:hanging="284"/>
    </w:pPr>
    <w:rPr>
      <w:sz w:val="20"/>
    </w:rPr>
  </w:style>
  <w:style w:type="paragraph" w:customStyle="1" w:styleId="TableAA">
    <w:name w:val="Table(AA)"/>
    <w:aliases w:val="taaa"/>
    <w:basedOn w:val="OPCParaBase"/>
    <w:rsid w:val="00C1004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1004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1004C"/>
    <w:pPr>
      <w:spacing w:before="60" w:line="240" w:lineRule="atLeast"/>
    </w:pPr>
    <w:rPr>
      <w:sz w:val="20"/>
    </w:rPr>
  </w:style>
  <w:style w:type="paragraph" w:customStyle="1" w:styleId="TLPBoxTextnote">
    <w:name w:val="TLPBoxText(note"/>
    <w:aliases w:val="right)"/>
    <w:basedOn w:val="OPCParaBase"/>
    <w:rsid w:val="00C1004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1004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1004C"/>
    <w:pPr>
      <w:spacing w:before="122" w:line="198" w:lineRule="exact"/>
      <w:ind w:left="1985" w:hanging="851"/>
      <w:jc w:val="right"/>
    </w:pPr>
    <w:rPr>
      <w:sz w:val="18"/>
    </w:rPr>
  </w:style>
  <w:style w:type="paragraph" w:customStyle="1" w:styleId="TLPTableBullet">
    <w:name w:val="TLPTableBullet"/>
    <w:aliases w:val="ttb"/>
    <w:basedOn w:val="OPCParaBase"/>
    <w:rsid w:val="00C1004C"/>
    <w:pPr>
      <w:spacing w:line="240" w:lineRule="exact"/>
      <w:ind w:left="284" w:hanging="284"/>
    </w:pPr>
    <w:rPr>
      <w:sz w:val="20"/>
    </w:rPr>
  </w:style>
  <w:style w:type="paragraph" w:styleId="TOC1">
    <w:name w:val="toc 1"/>
    <w:basedOn w:val="OPCParaBase"/>
    <w:next w:val="Normal"/>
    <w:uiPriority w:val="39"/>
    <w:unhideWhenUsed/>
    <w:rsid w:val="00C1004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1004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1004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C1004C"/>
    <w:pPr>
      <w:keepLines/>
      <w:tabs>
        <w:tab w:val="right" w:pos="8278"/>
      </w:tabs>
      <w:spacing w:before="80" w:line="240" w:lineRule="auto"/>
      <w:ind w:left="2183" w:right="567" w:hanging="1332"/>
    </w:pPr>
    <w:rPr>
      <w:b/>
      <w:kern w:val="28"/>
      <w:sz w:val="20"/>
    </w:rPr>
  </w:style>
  <w:style w:type="paragraph" w:styleId="TOC7">
    <w:name w:val="toc 7"/>
    <w:basedOn w:val="OPCParaBase"/>
    <w:next w:val="Normal"/>
    <w:uiPriority w:val="39"/>
    <w:unhideWhenUsed/>
    <w:rsid w:val="00C1004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C1004C"/>
    <w:pPr>
      <w:keepLines/>
      <w:tabs>
        <w:tab w:val="right" w:pos="8278"/>
      </w:tabs>
      <w:spacing w:before="80" w:line="240" w:lineRule="auto"/>
      <w:ind w:left="1900" w:right="567" w:hanging="1049"/>
    </w:pPr>
    <w:rPr>
      <w:kern w:val="28"/>
      <w:sz w:val="20"/>
    </w:rPr>
  </w:style>
  <w:style w:type="paragraph" w:customStyle="1" w:styleId="TofSectsGroupHeading">
    <w:name w:val="TofSects(GroupHeading)"/>
    <w:basedOn w:val="OPCParaBase"/>
    <w:next w:val="TofSectsSection"/>
    <w:rsid w:val="00C1004C"/>
    <w:pPr>
      <w:keepLines/>
      <w:spacing w:before="240" w:after="120" w:line="240" w:lineRule="auto"/>
      <w:ind w:left="794"/>
    </w:pPr>
    <w:rPr>
      <w:b/>
      <w:kern w:val="28"/>
      <w:sz w:val="20"/>
    </w:rPr>
  </w:style>
  <w:style w:type="paragraph" w:customStyle="1" w:styleId="TofSectsHeading">
    <w:name w:val="TofSects(Heading)"/>
    <w:basedOn w:val="OPCParaBase"/>
    <w:rsid w:val="00C1004C"/>
    <w:pPr>
      <w:spacing w:before="240" w:after="120" w:line="240" w:lineRule="auto"/>
    </w:pPr>
    <w:rPr>
      <w:b/>
      <w:sz w:val="24"/>
    </w:rPr>
  </w:style>
  <w:style w:type="paragraph" w:customStyle="1" w:styleId="TofSectsSection">
    <w:name w:val="TofSects(Section)"/>
    <w:basedOn w:val="OPCParaBase"/>
    <w:rsid w:val="00C1004C"/>
    <w:pPr>
      <w:keepLines/>
      <w:spacing w:before="40" w:line="240" w:lineRule="auto"/>
      <w:ind w:left="1588" w:hanging="794"/>
    </w:pPr>
    <w:rPr>
      <w:kern w:val="28"/>
      <w:sz w:val="18"/>
    </w:rPr>
  </w:style>
  <w:style w:type="paragraph" w:customStyle="1" w:styleId="TofSectsSubdiv">
    <w:name w:val="TofSects(Subdiv)"/>
    <w:basedOn w:val="OPCParaBase"/>
    <w:rsid w:val="00C1004C"/>
    <w:pPr>
      <w:keepLines/>
      <w:spacing w:before="80" w:line="240" w:lineRule="auto"/>
      <w:ind w:left="1588" w:hanging="794"/>
    </w:pPr>
    <w:rPr>
      <w:kern w:val="28"/>
    </w:rPr>
  </w:style>
  <w:style w:type="paragraph" w:customStyle="1" w:styleId="WRStyle">
    <w:name w:val="WR Style"/>
    <w:aliases w:val="WR"/>
    <w:basedOn w:val="OPCParaBase"/>
    <w:rsid w:val="00C1004C"/>
    <w:pPr>
      <w:spacing w:before="240" w:line="240" w:lineRule="auto"/>
      <w:ind w:left="284" w:hanging="284"/>
    </w:pPr>
    <w:rPr>
      <w:b/>
      <w:i/>
      <w:kern w:val="28"/>
      <w:sz w:val="24"/>
    </w:rPr>
  </w:style>
  <w:style w:type="paragraph" w:customStyle="1" w:styleId="notepara">
    <w:name w:val="note(para)"/>
    <w:aliases w:val="na"/>
    <w:basedOn w:val="OPCParaBase"/>
    <w:rsid w:val="00C1004C"/>
    <w:pPr>
      <w:spacing w:before="40" w:line="198" w:lineRule="exact"/>
      <w:ind w:left="2354" w:hanging="369"/>
    </w:pPr>
    <w:rPr>
      <w:sz w:val="18"/>
    </w:rPr>
  </w:style>
  <w:style w:type="character" w:styleId="LineNumber">
    <w:name w:val="line number"/>
    <w:basedOn w:val="OPCCharBase"/>
    <w:uiPriority w:val="99"/>
    <w:unhideWhenUsed/>
    <w:rsid w:val="00C1004C"/>
    <w:rPr>
      <w:sz w:val="16"/>
    </w:rPr>
  </w:style>
  <w:style w:type="table" w:customStyle="1" w:styleId="CFlag">
    <w:name w:val="CFlag"/>
    <w:basedOn w:val="TableNormal"/>
    <w:uiPriority w:val="99"/>
    <w:rsid w:val="00C1004C"/>
    <w:tblPr/>
  </w:style>
  <w:style w:type="table" w:styleId="TableGrid">
    <w:name w:val="Table Grid"/>
    <w:basedOn w:val="TableNormal"/>
    <w:uiPriority w:val="59"/>
    <w:rsid w:val="00C1004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1004C"/>
    <w:rPr>
      <w:b/>
      <w:sz w:val="28"/>
      <w:szCs w:val="32"/>
    </w:rPr>
  </w:style>
  <w:style w:type="paragraph" w:customStyle="1" w:styleId="LegislationMadeUnder">
    <w:name w:val="LegislationMadeUnder"/>
    <w:basedOn w:val="OPCParaBase"/>
    <w:next w:val="Normal"/>
    <w:rsid w:val="00C1004C"/>
    <w:rPr>
      <w:i/>
      <w:sz w:val="32"/>
      <w:szCs w:val="32"/>
    </w:rPr>
  </w:style>
  <w:style w:type="paragraph" w:customStyle="1" w:styleId="NotesHeading1">
    <w:name w:val="NotesHeading 1"/>
    <w:basedOn w:val="OPCParaBase"/>
    <w:next w:val="Normal"/>
    <w:rsid w:val="00C1004C"/>
    <w:rPr>
      <w:b/>
      <w:sz w:val="28"/>
      <w:szCs w:val="28"/>
    </w:rPr>
  </w:style>
  <w:style w:type="paragraph" w:customStyle="1" w:styleId="NotesHeading2">
    <w:name w:val="NotesHeading 2"/>
    <w:basedOn w:val="OPCParaBase"/>
    <w:next w:val="Normal"/>
    <w:rsid w:val="00C1004C"/>
    <w:rPr>
      <w:b/>
      <w:sz w:val="28"/>
      <w:szCs w:val="28"/>
    </w:rPr>
  </w:style>
  <w:style w:type="paragraph" w:customStyle="1" w:styleId="ENotesText">
    <w:name w:val="ENotesText"/>
    <w:aliases w:val="Ent"/>
    <w:basedOn w:val="OPCParaBase"/>
    <w:next w:val="Normal"/>
    <w:rsid w:val="00C1004C"/>
    <w:pPr>
      <w:spacing w:before="120"/>
    </w:pPr>
  </w:style>
  <w:style w:type="paragraph" w:customStyle="1" w:styleId="CompiledActNo">
    <w:name w:val="CompiledActNo"/>
    <w:basedOn w:val="OPCParaBase"/>
    <w:next w:val="Normal"/>
    <w:rsid w:val="00C1004C"/>
    <w:rPr>
      <w:b/>
      <w:sz w:val="24"/>
      <w:szCs w:val="24"/>
    </w:rPr>
  </w:style>
  <w:style w:type="paragraph" w:customStyle="1" w:styleId="CompiledMadeUnder">
    <w:name w:val="CompiledMadeUnder"/>
    <w:basedOn w:val="OPCParaBase"/>
    <w:next w:val="Normal"/>
    <w:rsid w:val="00C1004C"/>
    <w:rPr>
      <w:i/>
      <w:sz w:val="24"/>
      <w:szCs w:val="24"/>
    </w:rPr>
  </w:style>
  <w:style w:type="paragraph" w:customStyle="1" w:styleId="Paragraphsub-sub-sub">
    <w:name w:val="Paragraph(sub-sub-sub)"/>
    <w:aliases w:val="aaaa"/>
    <w:basedOn w:val="OPCParaBase"/>
    <w:rsid w:val="00C1004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1004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1004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1004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1004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1004C"/>
    <w:pPr>
      <w:spacing w:before="60" w:line="240" w:lineRule="auto"/>
    </w:pPr>
    <w:rPr>
      <w:rFonts w:cs="Arial"/>
      <w:sz w:val="20"/>
      <w:szCs w:val="22"/>
    </w:rPr>
  </w:style>
  <w:style w:type="paragraph" w:customStyle="1" w:styleId="NoteToSubpara">
    <w:name w:val="NoteToSubpara"/>
    <w:aliases w:val="nts"/>
    <w:basedOn w:val="OPCParaBase"/>
    <w:rsid w:val="00C1004C"/>
    <w:pPr>
      <w:spacing w:before="40" w:line="198" w:lineRule="exact"/>
      <w:ind w:left="2835" w:hanging="709"/>
    </w:pPr>
    <w:rPr>
      <w:sz w:val="18"/>
    </w:rPr>
  </w:style>
  <w:style w:type="paragraph" w:customStyle="1" w:styleId="ENoteTableHeading">
    <w:name w:val="ENoteTableHeading"/>
    <w:aliases w:val="enth"/>
    <w:basedOn w:val="OPCParaBase"/>
    <w:rsid w:val="00C1004C"/>
    <w:pPr>
      <w:keepNext/>
      <w:spacing w:before="60" w:line="240" w:lineRule="atLeast"/>
    </w:pPr>
    <w:rPr>
      <w:rFonts w:ascii="Arial" w:hAnsi="Arial"/>
      <w:b/>
      <w:sz w:val="16"/>
    </w:rPr>
  </w:style>
  <w:style w:type="paragraph" w:customStyle="1" w:styleId="ENoteTTi">
    <w:name w:val="ENoteTTi"/>
    <w:aliases w:val="entti"/>
    <w:basedOn w:val="OPCParaBase"/>
    <w:rsid w:val="00C1004C"/>
    <w:pPr>
      <w:keepNext/>
      <w:spacing w:before="60" w:line="240" w:lineRule="atLeast"/>
      <w:ind w:left="170"/>
    </w:pPr>
    <w:rPr>
      <w:sz w:val="16"/>
    </w:rPr>
  </w:style>
  <w:style w:type="paragraph" w:customStyle="1" w:styleId="ENotesHeading1">
    <w:name w:val="ENotesHeading 1"/>
    <w:aliases w:val="Enh1"/>
    <w:basedOn w:val="OPCParaBase"/>
    <w:next w:val="Normal"/>
    <w:rsid w:val="00C1004C"/>
    <w:pPr>
      <w:spacing w:before="120"/>
      <w:outlineLvl w:val="1"/>
    </w:pPr>
    <w:rPr>
      <w:b/>
      <w:sz w:val="28"/>
      <w:szCs w:val="28"/>
    </w:rPr>
  </w:style>
  <w:style w:type="paragraph" w:customStyle="1" w:styleId="ENotesHeading2">
    <w:name w:val="ENotesHeading 2"/>
    <w:aliases w:val="Enh2"/>
    <w:basedOn w:val="OPCParaBase"/>
    <w:next w:val="Normal"/>
    <w:rsid w:val="00C1004C"/>
    <w:pPr>
      <w:spacing w:before="120" w:after="120"/>
      <w:outlineLvl w:val="2"/>
    </w:pPr>
    <w:rPr>
      <w:b/>
      <w:sz w:val="24"/>
      <w:szCs w:val="28"/>
    </w:rPr>
  </w:style>
  <w:style w:type="paragraph" w:customStyle="1" w:styleId="ENoteTTIndentHeading">
    <w:name w:val="ENoteTTIndentHeading"/>
    <w:aliases w:val="enTTHi"/>
    <w:basedOn w:val="OPCParaBase"/>
    <w:rsid w:val="00C1004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1004C"/>
    <w:pPr>
      <w:spacing w:before="60" w:line="240" w:lineRule="atLeast"/>
    </w:pPr>
    <w:rPr>
      <w:sz w:val="16"/>
    </w:rPr>
  </w:style>
  <w:style w:type="paragraph" w:customStyle="1" w:styleId="MadeunderText">
    <w:name w:val="MadeunderText"/>
    <w:basedOn w:val="OPCParaBase"/>
    <w:next w:val="CompiledMadeUnder"/>
    <w:rsid w:val="00C1004C"/>
    <w:pPr>
      <w:spacing w:before="240"/>
    </w:pPr>
    <w:rPr>
      <w:sz w:val="24"/>
      <w:szCs w:val="24"/>
    </w:rPr>
  </w:style>
  <w:style w:type="paragraph" w:customStyle="1" w:styleId="ENotesHeading3">
    <w:name w:val="ENotesHeading 3"/>
    <w:aliases w:val="Enh3"/>
    <w:basedOn w:val="OPCParaBase"/>
    <w:next w:val="Normal"/>
    <w:rsid w:val="00C1004C"/>
    <w:pPr>
      <w:keepNext/>
      <w:spacing w:before="120" w:line="240" w:lineRule="auto"/>
      <w:outlineLvl w:val="4"/>
    </w:pPr>
    <w:rPr>
      <w:b/>
      <w:szCs w:val="24"/>
    </w:rPr>
  </w:style>
  <w:style w:type="character" w:customStyle="1" w:styleId="CharSubPartTextCASA">
    <w:name w:val="CharSubPartText(CASA)"/>
    <w:basedOn w:val="OPCCharBase"/>
    <w:uiPriority w:val="1"/>
    <w:rsid w:val="00C1004C"/>
  </w:style>
  <w:style w:type="character" w:customStyle="1" w:styleId="CharSubPartNoCASA">
    <w:name w:val="CharSubPartNo(CASA)"/>
    <w:basedOn w:val="OPCCharBase"/>
    <w:uiPriority w:val="1"/>
    <w:rsid w:val="00C1004C"/>
  </w:style>
  <w:style w:type="paragraph" w:customStyle="1" w:styleId="ENoteTTIndentHeadingSub">
    <w:name w:val="ENoteTTIndentHeadingSub"/>
    <w:aliases w:val="enTTHis"/>
    <w:basedOn w:val="OPCParaBase"/>
    <w:rsid w:val="00C1004C"/>
    <w:pPr>
      <w:keepNext/>
      <w:spacing w:before="60" w:line="240" w:lineRule="atLeast"/>
      <w:ind w:left="340"/>
    </w:pPr>
    <w:rPr>
      <w:b/>
      <w:sz w:val="16"/>
    </w:rPr>
  </w:style>
  <w:style w:type="paragraph" w:customStyle="1" w:styleId="ENoteTTiSub">
    <w:name w:val="ENoteTTiSub"/>
    <w:aliases w:val="enttis"/>
    <w:basedOn w:val="OPCParaBase"/>
    <w:rsid w:val="00C1004C"/>
    <w:pPr>
      <w:keepNext/>
      <w:spacing w:before="60" w:line="240" w:lineRule="atLeast"/>
      <w:ind w:left="340"/>
    </w:pPr>
    <w:rPr>
      <w:sz w:val="16"/>
    </w:rPr>
  </w:style>
  <w:style w:type="paragraph" w:customStyle="1" w:styleId="SubDivisionMigration">
    <w:name w:val="SubDivisionMigration"/>
    <w:aliases w:val="sdm"/>
    <w:basedOn w:val="OPCParaBase"/>
    <w:rsid w:val="00C1004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1004C"/>
    <w:pPr>
      <w:keepNext/>
      <w:keepLines/>
      <w:spacing w:before="240" w:line="240" w:lineRule="auto"/>
      <w:ind w:left="1134" w:hanging="1134"/>
    </w:pPr>
    <w:rPr>
      <w:b/>
      <w:sz w:val="28"/>
    </w:rPr>
  </w:style>
  <w:style w:type="paragraph" w:customStyle="1" w:styleId="notetext">
    <w:name w:val="note(text)"/>
    <w:aliases w:val="n"/>
    <w:basedOn w:val="OPCParaBase"/>
    <w:rsid w:val="00C1004C"/>
    <w:pPr>
      <w:spacing w:before="122" w:line="240" w:lineRule="auto"/>
      <w:ind w:left="1985" w:hanging="851"/>
    </w:pPr>
    <w:rPr>
      <w:sz w:val="18"/>
    </w:rPr>
  </w:style>
  <w:style w:type="paragraph" w:customStyle="1" w:styleId="FreeForm">
    <w:name w:val="FreeForm"/>
    <w:rsid w:val="00C1004C"/>
    <w:rPr>
      <w:rFonts w:ascii="Arial" w:eastAsiaTheme="minorHAnsi" w:hAnsi="Arial" w:cstheme="minorBidi"/>
      <w:sz w:val="22"/>
      <w:lang w:eastAsia="en-US"/>
    </w:rPr>
  </w:style>
  <w:style w:type="paragraph" w:customStyle="1" w:styleId="SOText">
    <w:name w:val="SO Text"/>
    <w:aliases w:val="sot"/>
    <w:link w:val="SOTextChar"/>
    <w:rsid w:val="00C1004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1004C"/>
    <w:rPr>
      <w:rFonts w:eastAsiaTheme="minorHAnsi" w:cstheme="minorBidi"/>
      <w:sz w:val="22"/>
      <w:lang w:eastAsia="en-US"/>
    </w:rPr>
  </w:style>
  <w:style w:type="paragraph" w:customStyle="1" w:styleId="SOTextNote">
    <w:name w:val="SO TextNote"/>
    <w:aliases w:val="sont"/>
    <w:basedOn w:val="SOText"/>
    <w:qFormat/>
    <w:rsid w:val="00C1004C"/>
    <w:pPr>
      <w:spacing w:before="122" w:line="198" w:lineRule="exact"/>
      <w:ind w:left="1843" w:hanging="709"/>
    </w:pPr>
    <w:rPr>
      <w:sz w:val="18"/>
    </w:rPr>
  </w:style>
  <w:style w:type="paragraph" w:customStyle="1" w:styleId="SOPara">
    <w:name w:val="SO Para"/>
    <w:aliases w:val="soa"/>
    <w:basedOn w:val="SOText"/>
    <w:link w:val="SOParaChar"/>
    <w:qFormat/>
    <w:rsid w:val="00C1004C"/>
    <w:pPr>
      <w:tabs>
        <w:tab w:val="right" w:pos="1786"/>
      </w:tabs>
      <w:spacing w:before="40"/>
      <w:ind w:left="2070" w:hanging="936"/>
    </w:pPr>
  </w:style>
  <w:style w:type="character" w:customStyle="1" w:styleId="SOParaChar">
    <w:name w:val="SO Para Char"/>
    <w:aliases w:val="soa Char"/>
    <w:basedOn w:val="DefaultParagraphFont"/>
    <w:link w:val="SOPara"/>
    <w:rsid w:val="00C1004C"/>
    <w:rPr>
      <w:rFonts w:eastAsiaTheme="minorHAnsi" w:cstheme="minorBidi"/>
      <w:sz w:val="22"/>
      <w:lang w:eastAsia="en-US"/>
    </w:rPr>
  </w:style>
  <w:style w:type="paragraph" w:customStyle="1" w:styleId="FileName">
    <w:name w:val="FileName"/>
    <w:basedOn w:val="Normal"/>
    <w:rsid w:val="00C1004C"/>
  </w:style>
  <w:style w:type="paragraph" w:customStyle="1" w:styleId="TableHeading">
    <w:name w:val="TableHeading"/>
    <w:aliases w:val="th"/>
    <w:basedOn w:val="OPCParaBase"/>
    <w:next w:val="Tabletext"/>
    <w:rsid w:val="00C1004C"/>
    <w:pPr>
      <w:keepNext/>
      <w:spacing w:before="60" w:line="240" w:lineRule="atLeast"/>
    </w:pPr>
    <w:rPr>
      <w:b/>
      <w:sz w:val="20"/>
    </w:rPr>
  </w:style>
  <w:style w:type="paragraph" w:customStyle="1" w:styleId="SOHeadBold">
    <w:name w:val="SO HeadBold"/>
    <w:aliases w:val="sohb"/>
    <w:basedOn w:val="SOText"/>
    <w:next w:val="SOText"/>
    <w:link w:val="SOHeadBoldChar"/>
    <w:qFormat/>
    <w:rsid w:val="00C1004C"/>
    <w:rPr>
      <w:b/>
    </w:rPr>
  </w:style>
  <w:style w:type="character" w:customStyle="1" w:styleId="SOHeadBoldChar">
    <w:name w:val="SO HeadBold Char"/>
    <w:aliases w:val="sohb Char"/>
    <w:basedOn w:val="DefaultParagraphFont"/>
    <w:link w:val="SOHeadBold"/>
    <w:rsid w:val="00C1004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1004C"/>
    <w:rPr>
      <w:i/>
    </w:rPr>
  </w:style>
  <w:style w:type="character" w:customStyle="1" w:styleId="SOHeadItalicChar">
    <w:name w:val="SO HeadItalic Char"/>
    <w:aliases w:val="sohi Char"/>
    <w:basedOn w:val="DefaultParagraphFont"/>
    <w:link w:val="SOHeadItalic"/>
    <w:rsid w:val="00C1004C"/>
    <w:rPr>
      <w:rFonts w:eastAsiaTheme="minorHAnsi" w:cstheme="minorBidi"/>
      <w:i/>
      <w:sz w:val="22"/>
      <w:lang w:eastAsia="en-US"/>
    </w:rPr>
  </w:style>
  <w:style w:type="paragraph" w:customStyle="1" w:styleId="SOBullet">
    <w:name w:val="SO Bullet"/>
    <w:aliases w:val="sotb"/>
    <w:basedOn w:val="SOText"/>
    <w:link w:val="SOBulletChar"/>
    <w:qFormat/>
    <w:rsid w:val="00C1004C"/>
    <w:pPr>
      <w:ind w:left="1559" w:hanging="425"/>
    </w:pPr>
  </w:style>
  <w:style w:type="character" w:customStyle="1" w:styleId="SOBulletChar">
    <w:name w:val="SO Bullet Char"/>
    <w:aliases w:val="sotb Char"/>
    <w:basedOn w:val="DefaultParagraphFont"/>
    <w:link w:val="SOBullet"/>
    <w:rsid w:val="00C1004C"/>
    <w:rPr>
      <w:rFonts w:eastAsiaTheme="minorHAnsi" w:cstheme="minorBidi"/>
      <w:sz w:val="22"/>
      <w:lang w:eastAsia="en-US"/>
    </w:rPr>
  </w:style>
  <w:style w:type="paragraph" w:customStyle="1" w:styleId="SOBulletNote">
    <w:name w:val="SO BulletNote"/>
    <w:aliases w:val="sonb"/>
    <w:basedOn w:val="SOTextNote"/>
    <w:link w:val="SOBulletNoteChar"/>
    <w:qFormat/>
    <w:rsid w:val="00C1004C"/>
    <w:pPr>
      <w:tabs>
        <w:tab w:val="left" w:pos="1560"/>
      </w:tabs>
      <w:ind w:left="2268" w:hanging="1134"/>
    </w:pPr>
  </w:style>
  <w:style w:type="character" w:customStyle="1" w:styleId="SOBulletNoteChar">
    <w:name w:val="SO BulletNote Char"/>
    <w:aliases w:val="sonb Char"/>
    <w:basedOn w:val="DefaultParagraphFont"/>
    <w:link w:val="SOBulletNote"/>
    <w:rsid w:val="00C1004C"/>
    <w:rPr>
      <w:rFonts w:eastAsiaTheme="minorHAnsi" w:cstheme="minorBidi"/>
      <w:sz w:val="18"/>
      <w:lang w:eastAsia="en-US"/>
    </w:rPr>
  </w:style>
  <w:style w:type="paragraph" w:customStyle="1" w:styleId="SOText2">
    <w:name w:val="SO Text2"/>
    <w:aliases w:val="sot2"/>
    <w:basedOn w:val="Normal"/>
    <w:next w:val="SOText"/>
    <w:link w:val="SOText2Char"/>
    <w:rsid w:val="00C1004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1004C"/>
    <w:rPr>
      <w:rFonts w:eastAsiaTheme="minorHAnsi" w:cstheme="minorBidi"/>
      <w:sz w:val="22"/>
      <w:lang w:eastAsia="en-US"/>
    </w:rPr>
  </w:style>
  <w:style w:type="paragraph" w:customStyle="1" w:styleId="SubPartCASA">
    <w:name w:val="SubPart(CASA)"/>
    <w:aliases w:val="csp"/>
    <w:basedOn w:val="OPCParaBase"/>
    <w:next w:val="ActHead3"/>
    <w:rsid w:val="00C1004C"/>
    <w:pPr>
      <w:keepNext/>
      <w:keepLines/>
      <w:spacing w:before="280"/>
      <w:ind w:left="1134" w:hanging="1134"/>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ne number"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73DED"/>
    <w:pPr>
      <w:spacing w:line="260" w:lineRule="atLeast"/>
    </w:pPr>
    <w:rPr>
      <w:rFonts w:eastAsiaTheme="minorHAnsi" w:cstheme="minorBidi"/>
      <w:sz w:val="22"/>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ShortT">
    <w:name w:val="ShortT"/>
    <w:basedOn w:val="Normal"/>
    <w:next w:val="Normal"/>
    <w:qFormat/>
    <w:rsid w:val="00073DED"/>
    <w:pPr>
      <w:spacing w:line="240" w:lineRule="auto"/>
    </w:pPr>
    <w:rPr>
      <w:rFonts w:eastAsia="Times New Roman" w:cs="Times New Roman"/>
      <w:b/>
      <w:sz w:val="40"/>
      <w:lang w:eastAsia="en-AU"/>
    </w:rPr>
  </w:style>
  <w:style w:type="character" w:customStyle="1" w:styleId="CharAmSchNo">
    <w:name w:val="CharAmSchNo"/>
    <w:basedOn w:val="DefaultParagraphFont"/>
    <w:qFormat/>
    <w:rsid w:val="00073DED"/>
  </w:style>
  <w:style w:type="character" w:customStyle="1" w:styleId="CharAmSchText">
    <w:name w:val="CharAmSchText"/>
    <w:basedOn w:val="DefaultParagraphFont"/>
    <w:qFormat/>
    <w:rsid w:val="00073DED"/>
  </w:style>
  <w:style w:type="paragraph" w:styleId="Header">
    <w:name w:val="header"/>
    <w:basedOn w:val="Normal"/>
    <w:link w:val="HeaderChar"/>
    <w:unhideWhenUsed/>
    <w:rsid w:val="00073DED"/>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073DED"/>
    <w:rPr>
      <w:sz w:val="16"/>
    </w:rPr>
  </w:style>
  <w:style w:type="paragraph" w:customStyle="1" w:styleId="SignCoverPageEnd">
    <w:name w:val="SignCoverPageEnd"/>
    <w:basedOn w:val="Normal"/>
    <w:next w:val="Normal"/>
    <w:rsid w:val="00073DED"/>
    <w:pPr>
      <w:keepNext/>
      <w:pBdr>
        <w:bottom w:val="single" w:sz="4" w:space="12" w:color="auto"/>
      </w:pBdr>
      <w:tabs>
        <w:tab w:val="left" w:pos="3402"/>
      </w:tabs>
      <w:spacing w:line="300" w:lineRule="atLeast"/>
      <w:ind w:right="397"/>
    </w:pPr>
    <w:rPr>
      <w:rFonts w:eastAsia="Times New Roman" w:cs="Times New Roman"/>
      <w:lang w:eastAsia="en-AU"/>
    </w:rPr>
  </w:style>
  <w:style w:type="paragraph" w:customStyle="1" w:styleId="SignCoverPageStart">
    <w:name w:val="SignCoverPageStart"/>
    <w:basedOn w:val="Normal"/>
    <w:next w:val="Normal"/>
    <w:rsid w:val="00073DED"/>
    <w:pPr>
      <w:pBdr>
        <w:top w:val="single" w:sz="4" w:space="1" w:color="auto"/>
      </w:pBdr>
      <w:spacing w:before="360"/>
      <w:ind w:right="397"/>
      <w:jc w:val="both"/>
    </w:pPr>
    <w:rPr>
      <w:rFonts w:eastAsia="Times New Roman" w:cs="Times New Roman"/>
      <w:lang w:eastAsia="en-AU"/>
    </w:rPr>
  </w:style>
  <w:style w:type="paragraph" w:styleId="BalloonText">
    <w:name w:val="Balloon Text"/>
    <w:basedOn w:val="Normal"/>
    <w:link w:val="BalloonTextChar"/>
    <w:uiPriority w:val="99"/>
    <w:rsid w:val="00073D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73DED"/>
    <w:rPr>
      <w:rFonts w:ascii="Tahoma" w:eastAsiaTheme="minorHAnsi" w:hAnsi="Tahoma" w:cs="Tahoma"/>
      <w:sz w:val="16"/>
      <w:szCs w:val="16"/>
      <w:lang w:eastAsia="en-US"/>
    </w:rPr>
  </w:style>
  <w:style w:type="paragraph" w:styleId="Footer">
    <w:name w:val="footer"/>
    <w:basedOn w:val="Normal"/>
    <w:link w:val="FooterChar"/>
    <w:rsid w:val="00073DED"/>
    <w:pPr>
      <w:tabs>
        <w:tab w:val="center" w:pos="4513"/>
        <w:tab w:val="right" w:pos="9026"/>
      </w:tabs>
      <w:spacing w:line="240" w:lineRule="auto"/>
    </w:pPr>
  </w:style>
  <w:style w:type="character" w:customStyle="1" w:styleId="FooterChar">
    <w:name w:val="Footer Char"/>
    <w:basedOn w:val="DefaultParagraphFont"/>
    <w:link w:val="Footer"/>
    <w:rsid w:val="00073DED"/>
    <w:rPr>
      <w:rFonts w:eastAsiaTheme="minorHAnsi" w:cstheme="minorBidi"/>
      <w:sz w:val="22"/>
      <w:lang w:eastAsia="en-US"/>
    </w:rPr>
  </w:style>
  <w:style w:type="paragraph" w:styleId="TOC5">
    <w:name w:val="toc 5"/>
    <w:basedOn w:val="Normal"/>
    <w:next w:val="Normal"/>
    <w:uiPriority w:val="39"/>
    <w:unhideWhenUsed/>
    <w:rsid w:val="00073DE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73DE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073DE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ActHead5">
    <w:name w:val="ActHead 5"/>
    <w:aliases w:val="s"/>
    <w:basedOn w:val="Normal"/>
    <w:next w:val="subsection"/>
    <w:qFormat/>
    <w:rsid w:val="00073DED"/>
    <w:pPr>
      <w:keepNext/>
      <w:keepLines/>
      <w:spacing w:before="280" w:line="240" w:lineRule="auto"/>
      <w:ind w:left="1134" w:hanging="1134"/>
      <w:outlineLvl w:val="4"/>
    </w:pPr>
    <w:rPr>
      <w:rFonts w:eastAsia="Times New Roman" w:cs="Times New Roman"/>
      <w:b/>
      <w:kern w:val="28"/>
      <w:sz w:val="24"/>
      <w:lang w:eastAsia="en-AU"/>
    </w:rPr>
  </w:style>
  <w:style w:type="character" w:customStyle="1" w:styleId="CharSectno">
    <w:name w:val="CharSectno"/>
    <w:basedOn w:val="DefaultParagraphFont"/>
    <w:qFormat/>
    <w:rsid w:val="00073DED"/>
  </w:style>
  <w:style w:type="paragraph" w:customStyle="1" w:styleId="subsection">
    <w:name w:val="subsection"/>
    <w:aliases w:val="ss"/>
    <w:basedOn w:val="Normal"/>
    <w:rsid w:val="00073DED"/>
    <w:pPr>
      <w:tabs>
        <w:tab w:val="right" w:pos="1021"/>
      </w:tabs>
      <w:spacing w:before="180" w:line="240" w:lineRule="auto"/>
      <w:ind w:left="1134" w:hanging="1134"/>
    </w:pPr>
    <w:rPr>
      <w:rFonts w:eastAsia="Times New Roman" w:cs="Times New Roman"/>
      <w:lang w:eastAsia="en-AU"/>
    </w:rPr>
  </w:style>
  <w:style w:type="character" w:customStyle="1" w:styleId="OPCCharBase">
    <w:name w:val="OPCCharBase"/>
    <w:uiPriority w:val="1"/>
    <w:qFormat/>
    <w:rsid w:val="00C1004C"/>
  </w:style>
  <w:style w:type="paragraph" w:customStyle="1" w:styleId="OPCParaBase">
    <w:name w:val="OPCParaBase"/>
    <w:qFormat/>
    <w:rsid w:val="00C1004C"/>
    <w:pPr>
      <w:spacing w:line="260" w:lineRule="atLeast"/>
    </w:pPr>
    <w:rPr>
      <w:sz w:val="22"/>
    </w:rPr>
  </w:style>
  <w:style w:type="paragraph" w:customStyle="1" w:styleId="ActHead1">
    <w:name w:val="ActHead 1"/>
    <w:aliases w:val="c"/>
    <w:basedOn w:val="OPCParaBase"/>
    <w:next w:val="Normal"/>
    <w:qFormat/>
    <w:rsid w:val="00C1004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1004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1004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1004C"/>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C1004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1004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1004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1004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1004C"/>
  </w:style>
  <w:style w:type="paragraph" w:customStyle="1" w:styleId="Blocks">
    <w:name w:val="Blocks"/>
    <w:aliases w:val="bb"/>
    <w:basedOn w:val="OPCParaBase"/>
    <w:qFormat/>
    <w:rsid w:val="00C1004C"/>
    <w:pPr>
      <w:spacing w:line="240" w:lineRule="auto"/>
    </w:pPr>
    <w:rPr>
      <w:sz w:val="24"/>
    </w:rPr>
  </w:style>
  <w:style w:type="paragraph" w:customStyle="1" w:styleId="BoxText">
    <w:name w:val="BoxText"/>
    <w:aliases w:val="bt"/>
    <w:basedOn w:val="OPCParaBase"/>
    <w:qFormat/>
    <w:rsid w:val="00C1004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1004C"/>
    <w:rPr>
      <w:b/>
    </w:rPr>
  </w:style>
  <w:style w:type="paragraph" w:customStyle="1" w:styleId="BoxHeadItalic">
    <w:name w:val="BoxHeadItalic"/>
    <w:aliases w:val="bhi"/>
    <w:basedOn w:val="BoxText"/>
    <w:next w:val="BoxStep"/>
    <w:qFormat/>
    <w:rsid w:val="00C1004C"/>
    <w:rPr>
      <w:i/>
    </w:rPr>
  </w:style>
  <w:style w:type="paragraph" w:customStyle="1" w:styleId="BoxList">
    <w:name w:val="BoxList"/>
    <w:aliases w:val="bl"/>
    <w:basedOn w:val="BoxText"/>
    <w:qFormat/>
    <w:rsid w:val="00C1004C"/>
    <w:pPr>
      <w:ind w:left="1559" w:hanging="425"/>
    </w:pPr>
  </w:style>
  <w:style w:type="paragraph" w:customStyle="1" w:styleId="BoxNote">
    <w:name w:val="BoxNote"/>
    <w:aliases w:val="bn"/>
    <w:basedOn w:val="BoxText"/>
    <w:qFormat/>
    <w:rsid w:val="00C1004C"/>
    <w:pPr>
      <w:tabs>
        <w:tab w:val="left" w:pos="1985"/>
      </w:tabs>
      <w:spacing w:before="122" w:line="198" w:lineRule="exact"/>
      <w:ind w:left="2948" w:hanging="1814"/>
    </w:pPr>
    <w:rPr>
      <w:sz w:val="18"/>
    </w:rPr>
  </w:style>
  <w:style w:type="paragraph" w:customStyle="1" w:styleId="BoxPara">
    <w:name w:val="BoxPara"/>
    <w:aliases w:val="bp"/>
    <w:basedOn w:val="BoxText"/>
    <w:qFormat/>
    <w:rsid w:val="00C1004C"/>
    <w:pPr>
      <w:tabs>
        <w:tab w:val="right" w:pos="2268"/>
      </w:tabs>
      <w:ind w:left="2552" w:hanging="1418"/>
    </w:pPr>
  </w:style>
  <w:style w:type="paragraph" w:customStyle="1" w:styleId="BoxStep">
    <w:name w:val="BoxStep"/>
    <w:aliases w:val="bs"/>
    <w:basedOn w:val="BoxText"/>
    <w:qFormat/>
    <w:rsid w:val="00C1004C"/>
    <w:pPr>
      <w:ind w:left="1985" w:hanging="851"/>
    </w:pPr>
  </w:style>
  <w:style w:type="character" w:customStyle="1" w:styleId="CharAmPartNo">
    <w:name w:val="CharAmPartNo"/>
    <w:basedOn w:val="OPCCharBase"/>
    <w:qFormat/>
    <w:rsid w:val="00C1004C"/>
  </w:style>
  <w:style w:type="character" w:customStyle="1" w:styleId="CharAmPartText">
    <w:name w:val="CharAmPartText"/>
    <w:basedOn w:val="OPCCharBase"/>
    <w:qFormat/>
    <w:rsid w:val="00C1004C"/>
  </w:style>
  <w:style w:type="character" w:customStyle="1" w:styleId="CharBoldItalic">
    <w:name w:val="CharBoldItalic"/>
    <w:basedOn w:val="OPCCharBase"/>
    <w:uiPriority w:val="1"/>
    <w:qFormat/>
    <w:rsid w:val="00C1004C"/>
    <w:rPr>
      <w:b/>
      <w:i/>
    </w:rPr>
  </w:style>
  <w:style w:type="character" w:customStyle="1" w:styleId="CharChapNo">
    <w:name w:val="CharChapNo"/>
    <w:basedOn w:val="OPCCharBase"/>
    <w:uiPriority w:val="1"/>
    <w:qFormat/>
    <w:rsid w:val="00C1004C"/>
  </w:style>
  <w:style w:type="character" w:customStyle="1" w:styleId="CharChapText">
    <w:name w:val="CharChapText"/>
    <w:basedOn w:val="OPCCharBase"/>
    <w:uiPriority w:val="1"/>
    <w:qFormat/>
    <w:rsid w:val="00C1004C"/>
  </w:style>
  <w:style w:type="character" w:customStyle="1" w:styleId="CharDivNo">
    <w:name w:val="CharDivNo"/>
    <w:basedOn w:val="OPCCharBase"/>
    <w:uiPriority w:val="1"/>
    <w:qFormat/>
    <w:rsid w:val="00C1004C"/>
  </w:style>
  <w:style w:type="character" w:customStyle="1" w:styleId="CharDivText">
    <w:name w:val="CharDivText"/>
    <w:basedOn w:val="OPCCharBase"/>
    <w:uiPriority w:val="1"/>
    <w:qFormat/>
    <w:rsid w:val="00C1004C"/>
  </w:style>
  <w:style w:type="character" w:customStyle="1" w:styleId="CharItalic">
    <w:name w:val="CharItalic"/>
    <w:basedOn w:val="OPCCharBase"/>
    <w:uiPriority w:val="1"/>
    <w:qFormat/>
    <w:rsid w:val="00C1004C"/>
    <w:rPr>
      <w:i/>
    </w:rPr>
  </w:style>
  <w:style w:type="character" w:customStyle="1" w:styleId="CharPartNo">
    <w:name w:val="CharPartNo"/>
    <w:basedOn w:val="OPCCharBase"/>
    <w:uiPriority w:val="1"/>
    <w:qFormat/>
    <w:rsid w:val="00C1004C"/>
  </w:style>
  <w:style w:type="character" w:customStyle="1" w:styleId="CharPartText">
    <w:name w:val="CharPartText"/>
    <w:basedOn w:val="OPCCharBase"/>
    <w:uiPriority w:val="1"/>
    <w:qFormat/>
    <w:rsid w:val="00C1004C"/>
  </w:style>
  <w:style w:type="character" w:customStyle="1" w:styleId="CharSubdNo">
    <w:name w:val="CharSubdNo"/>
    <w:basedOn w:val="OPCCharBase"/>
    <w:uiPriority w:val="1"/>
    <w:qFormat/>
    <w:rsid w:val="00C1004C"/>
  </w:style>
  <w:style w:type="character" w:customStyle="1" w:styleId="CharSubdText">
    <w:name w:val="CharSubdText"/>
    <w:basedOn w:val="OPCCharBase"/>
    <w:uiPriority w:val="1"/>
    <w:qFormat/>
    <w:rsid w:val="00C1004C"/>
  </w:style>
  <w:style w:type="paragraph" w:customStyle="1" w:styleId="CTA--">
    <w:name w:val="CTA --"/>
    <w:basedOn w:val="OPCParaBase"/>
    <w:next w:val="Normal"/>
    <w:rsid w:val="00C1004C"/>
    <w:pPr>
      <w:spacing w:before="60" w:line="240" w:lineRule="atLeast"/>
      <w:ind w:left="142" w:hanging="142"/>
    </w:pPr>
    <w:rPr>
      <w:sz w:val="20"/>
    </w:rPr>
  </w:style>
  <w:style w:type="paragraph" w:customStyle="1" w:styleId="CTA-">
    <w:name w:val="CTA -"/>
    <w:basedOn w:val="OPCParaBase"/>
    <w:rsid w:val="00C1004C"/>
    <w:pPr>
      <w:spacing w:before="60" w:line="240" w:lineRule="atLeast"/>
      <w:ind w:left="85" w:hanging="85"/>
    </w:pPr>
    <w:rPr>
      <w:sz w:val="20"/>
    </w:rPr>
  </w:style>
  <w:style w:type="paragraph" w:customStyle="1" w:styleId="CTA---">
    <w:name w:val="CTA ---"/>
    <w:basedOn w:val="OPCParaBase"/>
    <w:next w:val="Normal"/>
    <w:rsid w:val="00C1004C"/>
    <w:pPr>
      <w:spacing w:before="60" w:line="240" w:lineRule="atLeast"/>
      <w:ind w:left="198" w:hanging="198"/>
    </w:pPr>
    <w:rPr>
      <w:sz w:val="20"/>
    </w:rPr>
  </w:style>
  <w:style w:type="paragraph" w:customStyle="1" w:styleId="CTA----">
    <w:name w:val="CTA ----"/>
    <w:basedOn w:val="OPCParaBase"/>
    <w:next w:val="Normal"/>
    <w:rsid w:val="00C1004C"/>
    <w:pPr>
      <w:spacing w:before="60" w:line="240" w:lineRule="atLeast"/>
      <w:ind w:left="255" w:hanging="255"/>
    </w:pPr>
    <w:rPr>
      <w:sz w:val="20"/>
    </w:rPr>
  </w:style>
  <w:style w:type="paragraph" w:customStyle="1" w:styleId="CTA1a">
    <w:name w:val="CTA 1(a)"/>
    <w:basedOn w:val="OPCParaBase"/>
    <w:rsid w:val="00C1004C"/>
    <w:pPr>
      <w:tabs>
        <w:tab w:val="right" w:pos="414"/>
      </w:tabs>
      <w:spacing w:before="40" w:line="240" w:lineRule="atLeast"/>
      <w:ind w:left="675" w:hanging="675"/>
    </w:pPr>
    <w:rPr>
      <w:sz w:val="20"/>
    </w:rPr>
  </w:style>
  <w:style w:type="paragraph" w:customStyle="1" w:styleId="CTA1ai">
    <w:name w:val="CTA 1(a)(i)"/>
    <w:basedOn w:val="OPCParaBase"/>
    <w:rsid w:val="00C1004C"/>
    <w:pPr>
      <w:tabs>
        <w:tab w:val="right" w:pos="1004"/>
      </w:tabs>
      <w:spacing w:before="40" w:line="240" w:lineRule="atLeast"/>
      <w:ind w:left="1253" w:hanging="1253"/>
    </w:pPr>
    <w:rPr>
      <w:sz w:val="20"/>
    </w:rPr>
  </w:style>
  <w:style w:type="paragraph" w:customStyle="1" w:styleId="CTA2a">
    <w:name w:val="CTA 2(a)"/>
    <w:basedOn w:val="OPCParaBase"/>
    <w:rsid w:val="00C1004C"/>
    <w:pPr>
      <w:tabs>
        <w:tab w:val="right" w:pos="482"/>
      </w:tabs>
      <w:spacing w:before="40" w:line="240" w:lineRule="atLeast"/>
      <w:ind w:left="748" w:hanging="748"/>
    </w:pPr>
    <w:rPr>
      <w:sz w:val="20"/>
    </w:rPr>
  </w:style>
  <w:style w:type="paragraph" w:customStyle="1" w:styleId="CTA2ai">
    <w:name w:val="CTA 2(a)(i)"/>
    <w:basedOn w:val="OPCParaBase"/>
    <w:rsid w:val="00C1004C"/>
    <w:pPr>
      <w:tabs>
        <w:tab w:val="right" w:pos="1089"/>
      </w:tabs>
      <w:spacing w:before="40" w:line="240" w:lineRule="atLeast"/>
      <w:ind w:left="1327" w:hanging="1327"/>
    </w:pPr>
    <w:rPr>
      <w:sz w:val="20"/>
    </w:rPr>
  </w:style>
  <w:style w:type="paragraph" w:customStyle="1" w:styleId="CTA3a">
    <w:name w:val="CTA 3(a)"/>
    <w:basedOn w:val="OPCParaBase"/>
    <w:rsid w:val="00C1004C"/>
    <w:pPr>
      <w:tabs>
        <w:tab w:val="right" w:pos="556"/>
      </w:tabs>
      <w:spacing w:before="40" w:line="240" w:lineRule="atLeast"/>
      <w:ind w:left="805" w:hanging="805"/>
    </w:pPr>
    <w:rPr>
      <w:sz w:val="20"/>
    </w:rPr>
  </w:style>
  <w:style w:type="paragraph" w:customStyle="1" w:styleId="CTA3ai">
    <w:name w:val="CTA 3(a)(i)"/>
    <w:basedOn w:val="OPCParaBase"/>
    <w:rsid w:val="00C1004C"/>
    <w:pPr>
      <w:tabs>
        <w:tab w:val="right" w:pos="1140"/>
      </w:tabs>
      <w:spacing w:before="40" w:line="240" w:lineRule="atLeast"/>
      <w:ind w:left="1361" w:hanging="1361"/>
    </w:pPr>
    <w:rPr>
      <w:sz w:val="20"/>
    </w:rPr>
  </w:style>
  <w:style w:type="paragraph" w:customStyle="1" w:styleId="CTA4a">
    <w:name w:val="CTA 4(a)"/>
    <w:basedOn w:val="OPCParaBase"/>
    <w:rsid w:val="00C1004C"/>
    <w:pPr>
      <w:tabs>
        <w:tab w:val="right" w:pos="624"/>
      </w:tabs>
      <w:spacing w:before="40" w:line="240" w:lineRule="atLeast"/>
      <w:ind w:left="873" w:hanging="873"/>
    </w:pPr>
    <w:rPr>
      <w:sz w:val="20"/>
    </w:rPr>
  </w:style>
  <w:style w:type="paragraph" w:customStyle="1" w:styleId="CTA4ai">
    <w:name w:val="CTA 4(a)(i)"/>
    <w:basedOn w:val="OPCParaBase"/>
    <w:rsid w:val="00C1004C"/>
    <w:pPr>
      <w:tabs>
        <w:tab w:val="right" w:pos="1213"/>
      </w:tabs>
      <w:spacing w:before="40" w:line="240" w:lineRule="atLeast"/>
      <w:ind w:left="1452" w:hanging="1452"/>
    </w:pPr>
    <w:rPr>
      <w:sz w:val="20"/>
    </w:rPr>
  </w:style>
  <w:style w:type="paragraph" w:customStyle="1" w:styleId="CTACAPS">
    <w:name w:val="CTA CAPS"/>
    <w:basedOn w:val="OPCParaBase"/>
    <w:rsid w:val="00C1004C"/>
    <w:pPr>
      <w:spacing w:before="60" w:line="240" w:lineRule="atLeast"/>
    </w:pPr>
    <w:rPr>
      <w:sz w:val="20"/>
    </w:rPr>
  </w:style>
  <w:style w:type="paragraph" w:customStyle="1" w:styleId="CTAright">
    <w:name w:val="CTA right"/>
    <w:basedOn w:val="OPCParaBase"/>
    <w:rsid w:val="00C1004C"/>
    <w:pPr>
      <w:spacing w:before="60" w:line="240" w:lineRule="auto"/>
      <w:jc w:val="right"/>
    </w:pPr>
    <w:rPr>
      <w:sz w:val="20"/>
    </w:rPr>
  </w:style>
  <w:style w:type="paragraph" w:customStyle="1" w:styleId="Definition">
    <w:name w:val="Definition"/>
    <w:aliases w:val="dd"/>
    <w:basedOn w:val="OPCParaBase"/>
    <w:rsid w:val="00C1004C"/>
    <w:pPr>
      <w:spacing w:before="180" w:line="240" w:lineRule="auto"/>
      <w:ind w:left="1134"/>
    </w:pPr>
  </w:style>
  <w:style w:type="paragraph" w:customStyle="1" w:styleId="ETAsubitem">
    <w:name w:val="ETA(subitem)"/>
    <w:basedOn w:val="OPCParaBase"/>
    <w:rsid w:val="00C1004C"/>
    <w:pPr>
      <w:tabs>
        <w:tab w:val="right" w:pos="340"/>
      </w:tabs>
      <w:spacing w:before="60" w:line="240" w:lineRule="auto"/>
      <w:ind w:left="454" w:hanging="454"/>
    </w:pPr>
    <w:rPr>
      <w:sz w:val="20"/>
    </w:rPr>
  </w:style>
  <w:style w:type="paragraph" w:customStyle="1" w:styleId="ETApara">
    <w:name w:val="ETA(para)"/>
    <w:basedOn w:val="OPCParaBase"/>
    <w:rsid w:val="00C1004C"/>
    <w:pPr>
      <w:tabs>
        <w:tab w:val="right" w:pos="754"/>
      </w:tabs>
      <w:spacing w:before="60" w:line="240" w:lineRule="auto"/>
      <w:ind w:left="828" w:hanging="828"/>
    </w:pPr>
    <w:rPr>
      <w:sz w:val="20"/>
    </w:rPr>
  </w:style>
  <w:style w:type="paragraph" w:customStyle="1" w:styleId="ETAsubpara">
    <w:name w:val="ETA(subpara)"/>
    <w:basedOn w:val="OPCParaBase"/>
    <w:rsid w:val="00C1004C"/>
    <w:pPr>
      <w:tabs>
        <w:tab w:val="right" w:pos="1083"/>
      </w:tabs>
      <w:spacing w:before="60" w:line="240" w:lineRule="auto"/>
      <w:ind w:left="1191" w:hanging="1191"/>
    </w:pPr>
    <w:rPr>
      <w:sz w:val="20"/>
    </w:rPr>
  </w:style>
  <w:style w:type="paragraph" w:customStyle="1" w:styleId="ETAsub-subpara">
    <w:name w:val="ETA(sub-subpara)"/>
    <w:basedOn w:val="OPCParaBase"/>
    <w:rsid w:val="00C1004C"/>
    <w:pPr>
      <w:tabs>
        <w:tab w:val="right" w:pos="1412"/>
      </w:tabs>
      <w:spacing w:before="60" w:line="240" w:lineRule="auto"/>
      <w:ind w:left="1525" w:hanging="1525"/>
    </w:pPr>
    <w:rPr>
      <w:sz w:val="20"/>
    </w:rPr>
  </w:style>
  <w:style w:type="paragraph" w:customStyle="1" w:styleId="Formula">
    <w:name w:val="Formula"/>
    <w:basedOn w:val="OPCParaBase"/>
    <w:rsid w:val="00C1004C"/>
    <w:pPr>
      <w:spacing w:line="240" w:lineRule="auto"/>
      <w:ind w:left="1134"/>
    </w:pPr>
    <w:rPr>
      <w:sz w:val="20"/>
    </w:rPr>
  </w:style>
  <w:style w:type="paragraph" w:customStyle="1" w:styleId="House">
    <w:name w:val="House"/>
    <w:basedOn w:val="OPCParaBase"/>
    <w:rsid w:val="00C1004C"/>
    <w:pPr>
      <w:spacing w:line="240" w:lineRule="auto"/>
    </w:pPr>
    <w:rPr>
      <w:sz w:val="28"/>
    </w:rPr>
  </w:style>
  <w:style w:type="paragraph" w:customStyle="1" w:styleId="Item">
    <w:name w:val="Item"/>
    <w:aliases w:val="i"/>
    <w:basedOn w:val="OPCParaBase"/>
    <w:next w:val="ItemHead"/>
    <w:rsid w:val="00C1004C"/>
    <w:pPr>
      <w:keepLines/>
      <w:spacing w:before="80" w:line="240" w:lineRule="auto"/>
      <w:ind w:left="709"/>
    </w:pPr>
  </w:style>
  <w:style w:type="paragraph" w:customStyle="1" w:styleId="ItemHead">
    <w:name w:val="ItemHead"/>
    <w:aliases w:val="ih"/>
    <w:basedOn w:val="OPCParaBase"/>
    <w:next w:val="Item"/>
    <w:rsid w:val="00C1004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1004C"/>
    <w:pPr>
      <w:spacing w:line="240" w:lineRule="auto"/>
    </w:pPr>
    <w:rPr>
      <w:b/>
      <w:sz w:val="32"/>
    </w:rPr>
  </w:style>
  <w:style w:type="paragraph" w:customStyle="1" w:styleId="notedraft">
    <w:name w:val="note(draft)"/>
    <w:aliases w:val="nd"/>
    <w:basedOn w:val="OPCParaBase"/>
    <w:rsid w:val="00C1004C"/>
    <w:pPr>
      <w:spacing w:before="240" w:line="240" w:lineRule="auto"/>
      <w:ind w:left="284" w:hanging="284"/>
    </w:pPr>
    <w:rPr>
      <w:i/>
      <w:sz w:val="24"/>
    </w:rPr>
  </w:style>
  <w:style w:type="paragraph" w:customStyle="1" w:styleId="notemargin">
    <w:name w:val="note(margin)"/>
    <w:aliases w:val="nm"/>
    <w:basedOn w:val="OPCParaBase"/>
    <w:rsid w:val="00C1004C"/>
    <w:pPr>
      <w:tabs>
        <w:tab w:val="left" w:pos="709"/>
      </w:tabs>
      <w:spacing w:before="122" w:line="198" w:lineRule="exact"/>
      <w:ind w:left="709" w:hanging="709"/>
    </w:pPr>
    <w:rPr>
      <w:sz w:val="18"/>
    </w:rPr>
  </w:style>
  <w:style w:type="paragraph" w:customStyle="1" w:styleId="noteToPara">
    <w:name w:val="noteToPara"/>
    <w:aliases w:val="ntp"/>
    <w:basedOn w:val="OPCParaBase"/>
    <w:rsid w:val="00C1004C"/>
    <w:pPr>
      <w:spacing w:before="122" w:line="198" w:lineRule="exact"/>
      <w:ind w:left="2353" w:hanging="709"/>
    </w:pPr>
    <w:rPr>
      <w:sz w:val="18"/>
    </w:rPr>
  </w:style>
  <w:style w:type="paragraph" w:customStyle="1" w:styleId="noteParlAmend">
    <w:name w:val="note(ParlAmend)"/>
    <w:aliases w:val="npp"/>
    <w:basedOn w:val="OPCParaBase"/>
    <w:next w:val="ParlAmend"/>
    <w:rsid w:val="00C1004C"/>
    <w:pPr>
      <w:spacing w:line="240" w:lineRule="auto"/>
      <w:jc w:val="right"/>
    </w:pPr>
    <w:rPr>
      <w:rFonts w:ascii="Arial" w:hAnsi="Arial"/>
      <w:b/>
      <w:i/>
    </w:rPr>
  </w:style>
  <w:style w:type="paragraph" w:customStyle="1" w:styleId="Page1">
    <w:name w:val="Page1"/>
    <w:basedOn w:val="OPCParaBase"/>
    <w:rsid w:val="00C1004C"/>
    <w:pPr>
      <w:spacing w:before="5600" w:line="240" w:lineRule="auto"/>
    </w:pPr>
    <w:rPr>
      <w:b/>
      <w:sz w:val="32"/>
    </w:rPr>
  </w:style>
  <w:style w:type="paragraph" w:customStyle="1" w:styleId="PageBreak">
    <w:name w:val="PageBreak"/>
    <w:aliases w:val="pb"/>
    <w:basedOn w:val="OPCParaBase"/>
    <w:rsid w:val="00C1004C"/>
    <w:pPr>
      <w:spacing w:line="240" w:lineRule="auto"/>
    </w:pPr>
    <w:rPr>
      <w:sz w:val="20"/>
    </w:rPr>
  </w:style>
  <w:style w:type="paragraph" w:customStyle="1" w:styleId="paragraphsub">
    <w:name w:val="paragraph(sub)"/>
    <w:aliases w:val="aa"/>
    <w:basedOn w:val="OPCParaBase"/>
    <w:rsid w:val="00C1004C"/>
    <w:pPr>
      <w:tabs>
        <w:tab w:val="right" w:pos="1985"/>
      </w:tabs>
      <w:spacing w:before="40" w:line="240" w:lineRule="auto"/>
      <w:ind w:left="2098" w:hanging="2098"/>
    </w:pPr>
  </w:style>
  <w:style w:type="paragraph" w:customStyle="1" w:styleId="paragraphsub-sub">
    <w:name w:val="paragraph(sub-sub)"/>
    <w:aliases w:val="aaa"/>
    <w:basedOn w:val="OPCParaBase"/>
    <w:rsid w:val="00C1004C"/>
    <w:pPr>
      <w:tabs>
        <w:tab w:val="right" w:pos="2722"/>
      </w:tabs>
      <w:spacing w:before="40" w:line="240" w:lineRule="auto"/>
      <w:ind w:left="2835" w:hanging="2835"/>
    </w:pPr>
  </w:style>
  <w:style w:type="paragraph" w:customStyle="1" w:styleId="paragraph">
    <w:name w:val="paragraph"/>
    <w:aliases w:val="a"/>
    <w:basedOn w:val="OPCParaBase"/>
    <w:rsid w:val="00C1004C"/>
    <w:pPr>
      <w:tabs>
        <w:tab w:val="right" w:pos="1531"/>
      </w:tabs>
      <w:spacing w:before="40" w:line="240" w:lineRule="auto"/>
      <w:ind w:left="1644" w:hanging="1644"/>
    </w:pPr>
  </w:style>
  <w:style w:type="paragraph" w:customStyle="1" w:styleId="ParlAmend">
    <w:name w:val="ParlAmend"/>
    <w:aliases w:val="pp"/>
    <w:basedOn w:val="OPCParaBase"/>
    <w:rsid w:val="00C1004C"/>
    <w:pPr>
      <w:spacing w:before="240" w:line="240" w:lineRule="atLeast"/>
      <w:ind w:hanging="567"/>
    </w:pPr>
    <w:rPr>
      <w:sz w:val="24"/>
    </w:rPr>
  </w:style>
  <w:style w:type="paragraph" w:customStyle="1" w:styleId="Penalty">
    <w:name w:val="Penalty"/>
    <w:basedOn w:val="OPCParaBase"/>
    <w:rsid w:val="00C1004C"/>
    <w:pPr>
      <w:tabs>
        <w:tab w:val="left" w:pos="2977"/>
      </w:tabs>
      <w:spacing w:before="180" w:line="240" w:lineRule="auto"/>
      <w:ind w:left="1985" w:hanging="851"/>
    </w:pPr>
  </w:style>
  <w:style w:type="paragraph" w:customStyle="1" w:styleId="Portfolio">
    <w:name w:val="Portfolio"/>
    <w:basedOn w:val="OPCParaBase"/>
    <w:rsid w:val="00C1004C"/>
    <w:pPr>
      <w:spacing w:line="240" w:lineRule="auto"/>
    </w:pPr>
    <w:rPr>
      <w:i/>
      <w:sz w:val="20"/>
    </w:rPr>
  </w:style>
  <w:style w:type="paragraph" w:customStyle="1" w:styleId="Preamble">
    <w:name w:val="Preamble"/>
    <w:basedOn w:val="OPCParaBase"/>
    <w:next w:val="Normal"/>
    <w:rsid w:val="00C1004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1004C"/>
    <w:pPr>
      <w:spacing w:line="240" w:lineRule="auto"/>
    </w:pPr>
    <w:rPr>
      <w:i/>
      <w:sz w:val="20"/>
    </w:rPr>
  </w:style>
  <w:style w:type="paragraph" w:customStyle="1" w:styleId="Session">
    <w:name w:val="Session"/>
    <w:basedOn w:val="OPCParaBase"/>
    <w:rsid w:val="00C1004C"/>
    <w:pPr>
      <w:spacing w:line="240" w:lineRule="auto"/>
    </w:pPr>
    <w:rPr>
      <w:sz w:val="28"/>
    </w:rPr>
  </w:style>
  <w:style w:type="paragraph" w:customStyle="1" w:styleId="Sponsor">
    <w:name w:val="Sponsor"/>
    <w:basedOn w:val="OPCParaBase"/>
    <w:rsid w:val="00C1004C"/>
    <w:pPr>
      <w:spacing w:line="240" w:lineRule="auto"/>
    </w:pPr>
    <w:rPr>
      <w:i/>
    </w:rPr>
  </w:style>
  <w:style w:type="paragraph" w:customStyle="1" w:styleId="Subitem">
    <w:name w:val="Subitem"/>
    <w:aliases w:val="iss"/>
    <w:basedOn w:val="OPCParaBase"/>
    <w:rsid w:val="00C1004C"/>
    <w:pPr>
      <w:spacing w:before="180" w:line="240" w:lineRule="auto"/>
      <w:ind w:left="709" w:hanging="709"/>
    </w:pPr>
  </w:style>
  <w:style w:type="paragraph" w:customStyle="1" w:styleId="SubitemHead">
    <w:name w:val="SubitemHead"/>
    <w:aliases w:val="issh"/>
    <w:basedOn w:val="OPCParaBase"/>
    <w:rsid w:val="00C1004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1004C"/>
    <w:pPr>
      <w:spacing w:before="40" w:line="240" w:lineRule="auto"/>
      <w:ind w:left="1134"/>
    </w:pPr>
  </w:style>
  <w:style w:type="paragraph" w:customStyle="1" w:styleId="SubsectionHead">
    <w:name w:val="SubsectionHead"/>
    <w:aliases w:val="ssh"/>
    <w:basedOn w:val="OPCParaBase"/>
    <w:next w:val="subsection"/>
    <w:rsid w:val="00C1004C"/>
    <w:pPr>
      <w:keepNext/>
      <w:keepLines/>
      <w:spacing w:before="240" w:line="240" w:lineRule="auto"/>
      <w:ind w:left="1134"/>
    </w:pPr>
    <w:rPr>
      <w:i/>
    </w:rPr>
  </w:style>
  <w:style w:type="paragraph" w:customStyle="1" w:styleId="Tablea">
    <w:name w:val="Table(a)"/>
    <w:aliases w:val="ta"/>
    <w:basedOn w:val="OPCParaBase"/>
    <w:rsid w:val="00C1004C"/>
    <w:pPr>
      <w:spacing w:before="60" w:line="240" w:lineRule="auto"/>
      <w:ind w:left="284" w:hanging="284"/>
    </w:pPr>
    <w:rPr>
      <w:sz w:val="20"/>
    </w:rPr>
  </w:style>
  <w:style w:type="paragraph" w:customStyle="1" w:styleId="TableAA">
    <w:name w:val="Table(AA)"/>
    <w:aliases w:val="taaa"/>
    <w:basedOn w:val="OPCParaBase"/>
    <w:rsid w:val="00C1004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1004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1004C"/>
    <w:pPr>
      <w:spacing w:before="60" w:line="240" w:lineRule="atLeast"/>
    </w:pPr>
    <w:rPr>
      <w:sz w:val="20"/>
    </w:rPr>
  </w:style>
  <w:style w:type="paragraph" w:customStyle="1" w:styleId="TLPBoxTextnote">
    <w:name w:val="TLPBoxText(note"/>
    <w:aliases w:val="right)"/>
    <w:basedOn w:val="OPCParaBase"/>
    <w:rsid w:val="00C1004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1004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1004C"/>
    <w:pPr>
      <w:spacing w:before="122" w:line="198" w:lineRule="exact"/>
      <w:ind w:left="1985" w:hanging="851"/>
      <w:jc w:val="right"/>
    </w:pPr>
    <w:rPr>
      <w:sz w:val="18"/>
    </w:rPr>
  </w:style>
  <w:style w:type="paragraph" w:customStyle="1" w:styleId="TLPTableBullet">
    <w:name w:val="TLPTableBullet"/>
    <w:aliases w:val="ttb"/>
    <w:basedOn w:val="OPCParaBase"/>
    <w:rsid w:val="00C1004C"/>
    <w:pPr>
      <w:spacing w:line="240" w:lineRule="exact"/>
      <w:ind w:left="284" w:hanging="284"/>
    </w:pPr>
    <w:rPr>
      <w:sz w:val="20"/>
    </w:rPr>
  </w:style>
  <w:style w:type="paragraph" w:styleId="TOC1">
    <w:name w:val="toc 1"/>
    <w:basedOn w:val="OPCParaBase"/>
    <w:next w:val="Normal"/>
    <w:uiPriority w:val="39"/>
    <w:unhideWhenUsed/>
    <w:rsid w:val="00C1004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1004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1004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C1004C"/>
    <w:pPr>
      <w:keepLines/>
      <w:tabs>
        <w:tab w:val="right" w:pos="8278"/>
      </w:tabs>
      <w:spacing w:before="80" w:line="240" w:lineRule="auto"/>
      <w:ind w:left="2183" w:right="567" w:hanging="1332"/>
    </w:pPr>
    <w:rPr>
      <w:b/>
      <w:kern w:val="28"/>
      <w:sz w:val="20"/>
    </w:rPr>
  </w:style>
  <w:style w:type="paragraph" w:styleId="TOC7">
    <w:name w:val="toc 7"/>
    <w:basedOn w:val="OPCParaBase"/>
    <w:next w:val="Normal"/>
    <w:uiPriority w:val="39"/>
    <w:unhideWhenUsed/>
    <w:rsid w:val="00C1004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C1004C"/>
    <w:pPr>
      <w:keepLines/>
      <w:tabs>
        <w:tab w:val="right" w:pos="8278"/>
      </w:tabs>
      <w:spacing w:before="80" w:line="240" w:lineRule="auto"/>
      <w:ind w:left="1900" w:right="567" w:hanging="1049"/>
    </w:pPr>
    <w:rPr>
      <w:kern w:val="28"/>
      <w:sz w:val="20"/>
    </w:rPr>
  </w:style>
  <w:style w:type="paragraph" w:customStyle="1" w:styleId="TofSectsGroupHeading">
    <w:name w:val="TofSects(GroupHeading)"/>
    <w:basedOn w:val="OPCParaBase"/>
    <w:next w:val="TofSectsSection"/>
    <w:rsid w:val="00C1004C"/>
    <w:pPr>
      <w:keepLines/>
      <w:spacing w:before="240" w:after="120" w:line="240" w:lineRule="auto"/>
      <w:ind w:left="794"/>
    </w:pPr>
    <w:rPr>
      <w:b/>
      <w:kern w:val="28"/>
      <w:sz w:val="20"/>
    </w:rPr>
  </w:style>
  <w:style w:type="paragraph" w:customStyle="1" w:styleId="TofSectsHeading">
    <w:name w:val="TofSects(Heading)"/>
    <w:basedOn w:val="OPCParaBase"/>
    <w:rsid w:val="00C1004C"/>
    <w:pPr>
      <w:spacing w:before="240" w:after="120" w:line="240" w:lineRule="auto"/>
    </w:pPr>
    <w:rPr>
      <w:b/>
      <w:sz w:val="24"/>
    </w:rPr>
  </w:style>
  <w:style w:type="paragraph" w:customStyle="1" w:styleId="TofSectsSection">
    <w:name w:val="TofSects(Section)"/>
    <w:basedOn w:val="OPCParaBase"/>
    <w:rsid w:val="00C1004C"/>
    <w:pPr>
      <w:keepLines/>
      <w:spacing w:before="40" w:line="240" w:lineRule="auto"/>
      <w:ind w:left="1588" w:hanging="794"/>
    </w:pPr>
    <w:rPr>
      <w:kern w:val="28"/>
      <w:sz w:val="18"/>
    </w:rPr>
  </w:style>
  <w:style w:type="paragraph" w:customStyle="1" w:styleId="TofSectsSubdiv">
    <w:name w:val="TofSects(Subdiv)"/>
    <w:basedOn w:val="OPCParaBase"/>
    <w:rsid w:val="00C1004C"/>
    <w:pPr>
      <w:keepLines/>
      <w:spacing w:before="80" w:line="240" w:lineRule="auto"/>
      <w:ind w:left="1588" w:hanging="794"/>
    </w:pPr>
    <w:rPr>
      <w:kern w:val="28"/>
    </w:rPr>
  </w:style>
  <w:style w:type="paragraph" w:customStyle="1" w:styleId="WRStyle">
    <w:name w:val="WR Style"/>
    <w:aliases w:val="WR"/>
    <w:basedOn w:val="OPCParaBase"/>
    <w:rsid w:val="00C1004C"/>
    <w:pPr>
      <w:spacing w:before="240" w:line="240" w:lineRule="auto"/>
      <w:ind w:left="284" w:hanging="284"/>
    </w:pPr>
    <w:rPr>
      <w:b/>
      <w:i/>
      <w:kern w:val="28"/>
      <w:sz w:val="24"/>
    </w:rPr>
  </w:style>
  <w:style w:type="paragraph" w:customStyle="1" w:styleId="notepara">
    <w:name w:val="note(para)"/>
    <w:aliases w:val="na"/>
    <w:basedOn w:val="OPCParaBase"/>
    <w:rsid w:val="00C1004C"/>
    <w:pPr>
      <w:spacing w:before="40" w:line="198" w:lineRule="exact"/>
      <w:ind w:left="2354" w:hanging="369"/>
    </w:pPr>
    <w:rPr>
      <w:sz w:val="18"/>
    </w:rPr>
  </w:style>
  <w:style w:type="character" w:styleId="LineNumber">
    <w:name w:val="line number"/>
    <w:basedOn w:val="OPCCharBase"/>
    <w:uiPriority w:val="99"/>
    <w:unhideWhenUsed/>
    <w:rsid w:val="00C1004C"/>
    <w:rPr>
      <w:sz w:val="16"/>
    </w:rPr>
  </w:style>
  <w:style w:type="table" w:customStyle="1" w:styleId="CFlag">
    <w:name w:val="CFlag"/>
    <w:basedOn w:val="TableNormal"/>
    <w:uiPriority w:val="99"/>
    <w:rsid w:val="00C1004C"/>
    <w:tblPr/>
  </w:style>
  <w:style w:type="table" w:styleId="TableGrid">
    <w:name w:val="Table Grid"/>
    <w:basedOn w:val="TableNormal"/>
    <w:uiPriority w:val="59"/>
    <w:rsid w:val="00C1004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1004C"/>
    <w:rPr>
      <w:b/>
      <w:sz w:val="28"/>
      <w:szCs w:val="32"/>
    </w:rPr>
  </w:style>
  <w:style w:type="paragraph" w:customStyle="1" w:styleId="LegislationMadeUnder">
    <w:name w:val="LegislationMadeUnder"/>
    <w:basedOn w:val="OPCParaBase"/>
    <w:next w:val="Normal"/>
    <w:rsid w:val="00C1004C"/>
    <w:rPr>
      <w:i/>
      <w:sz w:val="32"/>
      <w:szCs w:val="32"/>
    </w:rPr>
  </w:style>
  <w:style w:type="paragraph" w:customStyle="1" w:styleId="NotesHeading1">
    <w:name w:val="NotesHeading 1"/>
    <w:basedOn w:val="OPCParaBase"/>
    <w:next w:val="Normal"/>
    <w:rsid w:val="00C1004C"/>
    <w:rPr>
      <w:b/>
      <w:sz w:val="28"/>
      <w:szCs w:val="28"/>
    </w:rPr>
  </w:style>
  <w:style w:type="paragraph" w:customStyle="1" w:styleId="NotesHeading2">
    <w:name w:val="NotesHeading 2"/>
    <w:basedOn w:val="OPCParaBase"/>
    <w:next w:val="Normal"/>
    <w:rsid w:val="00C1004C"/>
    <w:rPr>
      <w:b/>
      <w:sz w:val="28"/>
      <w:szCs w:val="28"/>
    </w:rPr>
  </w:style>
  <w:style w:type="paragraph" w:customStyle="1" w:styleId="ENotesText">
    <w:name w:val="ENotesText"/>
    <w:aliases w:val="Ent"/>
    <w:basedOn w:val="OPCParaBase"/>
    <w:next w:val="Normal"/>
    <w:rsid w:val="00C1004C"/>
    <w:pPr>
      <w:spacing w:before="120"/>
    </w:pPr>
  </w:style>
  <w:style w:type="paragraph" w:customStyle="1" w:styleId="CompiledActNo">
    <w:name w:val="CompiledActNo"/>
    <w:basedOn w:val="OPCParaBase"/>
    <w:next w:val="Normal"/>
    <w:rsid w:val="00C1004C"/>
    <w:rPr>
      <w:b/>
      <w:sz w:val="24"/>
      <w:szCs w:val="24"/>
    </w:rPr>
  </w:style>
  <w:style w:type="paragraph" w:customStyle="1" w:styleId="CompiledMadeUnder">
    <w:name w:val="CompiledMadeUnder"/>
    <w:basedOn w:val="OPCParaBase"/>
    <w:next w:val="Normal"/>
    <w:rsid w:val="00C1004C"/>
    <w:rPr>
      <w:i/>
      <w:sz w:val="24"/>
      <w:szCs w:val="24"/>
    </w:rPr>
  </w:style>
  <w:style w:type="paragraph" w:customStyle="1" w:styleId="Paragraphsub-sub-sub">
    <w:name w:val="Paragraph(sub-sub-sub)"/>
    <w:aliases w:val="aaaa"/>
    <w:basedOn w:val="OPCParaBase"/>
    <w:rsid w:val="00C1004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1004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1004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1004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1004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1004C"/>
    <w:pPr>
      <w:spacing w:before="60" w:line="240" w:lineRule="auto"/>
    </w:pPr>
    <w:rPr>
      <w:rFonts w:cs="Arial"/>
      <w:sz w:val="20"/>
      <w:szCs w:val="22"/>
    </w:rPr>
  </w:style>
  <w:style w:type="paragraph" w:customStyle="1" w:styleId="NoteToSubpara">
    <w:name w:val="NoteToSubpara"/>
    <w:aliases w:val="nts"/>
    <w:basedOn w:val="OPCParaBase"/>
    <w:rsid w:val="00C1004C"/>
    <w:pPr>
      <w:spacing w:before="40" w:line="198" w:lineRule="exact"/>
      <w:ind w:left="2835" w:hanging="709"/>
    </w:pPr>
    <w:rPr>
      <w:sz w:val="18"/>
    </w:rPr>
  </w:style>
  <w:style w:type="paragraph" w:customStyle="1" w:styleId="ENoteTableHeading">
    <w:name w:val="ENoteTableHeading"/>
    <w:aliases w:val="enth"/>
    <w:basedOn w:val="OPCParaBase"/>
    <w:rsid w:val="00C1004C"/>
    <w:pPr>
      <w:keepNext/>
      <w:spacing w:before="60" w:line="240" w:lineRule="atLeast"/>
    </w:pPr>
    <w:rPr>
      <w:rFonts w:ascii="Arial" w:hAnsi="Arial"/>
      <w:b/>
      <w:sz w:val="16"/>
    </w:rPr>
  </w:style>
  <w:style w:type="paragraph" w:customStyle="1" w:styleId="ENoteTTi">
    <w:name w:val="ENoteTTi"/>
    <w:aliases w:val="entti"/>
    <w:basedOn w:val="OPCParaBase"/>
    <w:rsid w:val="00C1004C"/>
    <w:pPr>
      <w:keepNext/>
      <w:spacing w:before="60" w:line="240" w:lineRule="atLeast"/>
      <w:ind w:left="170"/>
    </w:pPr>
    <w:rPr>
      <w:sz w:val="16"/>
    </w:rPr>
  </w:style>
  <w:style w:type="paragraph" w:customStyle="1" w:styleId="ENotesHeading1">
    <w:name w:val="ENotesHeading 1"/>
    <w:aliases w:val="Enh1"/>
    <w:basedOn w:val="OPCParaBase"/>
    <w:next w:val="Normal"/>
    <w:rsid w:val="00C1004C"/>
    <w:pPr>
      <w:spacing w:before="120"/>
      <w:outlineLvl w:val="1"/>
    </w:pPr>
    <w:rPr>
      <w:b/>
      <w:sz w:val="28"/>
      <w:szCs w:val="28"/>
    </w:rPr>
  </w:style>
  <w:style w:type="paragraph" w:customStyle="1" w:styleId="ENotesHeading2">
    <w:name w:val="ENotesHeading 2"/>
    <w:aliases w:val="Enh2"/>
    <w:basedOn w:val="OPCParaBase"/>
    <w:next w:val="Normal"/>
    <w:rsid w:val="00C1004C"/>
    <w:pPr>
      <w:spacing w:before="120" w:after="120"/>
      <w:outlineLvl w:val="2"/>
    </w:pPr>
    <w:rPr>
      <w:b/>
      <w:sz w:val="24"/>
      <w:szCs w:val="28"/>
    </w:rPr>
  </w:style>
  <w:style w:type="paragraph" w:customStyle="1" w:styleId="ENoteTTIndentHeading">
    <w:name w:val="ENoteTTIndentHeading"/>
    <w:aliases w:val="enTTHi"/>
    <w:basedOn w:val="OPCParaBase"/>
    <w:rsid w:val="00C1004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1004C"/>
    <w:pPr>
      <w:spacing w:before="60" w:line="240" w:lineRule="atLeast"/>
    </w:pPr>
    <w:rPr>
      <w:sz w:val="16"/>
    </w:rPr>
  </w:style>
  <w:style w:type="paragraph" w:customStyle="1" w:styleId="MadeunderText">
    <w:name w:val="MadeunderText"/>
    <w:basedOn w:val="OPCParaBase"/>
    <w:next w:val="CompiledMadeUnder"/>
    <w:rsid w:val="00C1004C"/>
    <w:pPr>
      <w:spacing w:before="240"/>
    </w:pPr>
    <w:rPr>
      <w:sz w:val="24"/>
      <w:szCs w:val="24"/>
    </w:rPr>
  </w:style>
  <w:style w:type="paragraph" w:customStyle="1" w:styleId="ENotesHeading3">
    <w:name w:val="ENotesHeading 3"/>
    <w:aliases w:val="Enh3"/>
    <w:basedOn w:val="OPCParaBase"/>
    <w:next w:val="Normal"/>
    <w:rsid w:val="00C1004C"/>
    <w:pPr>
      <w:keepNext/>
      <w:spacing w:before="120" w:line="240" w:lineRule="auto"/>
      <w:outlineLvl w:val="4"/>
    </w:pPr>
    <w:rPr>
      <w:b/>
      <w:szCs w:val="24"/>
    </w:rPr>
  </w:style>
  <w:style w:type="character" w:customStyle="1" w:styleId="CharSubPartTextCASA">
    <w:name w:val="CharSubPartText(CASA)"/>
    <w:basedOn w:val="OPCCharBase"/>
    <w:uiPriority w:val="1"/>
    <w:rsid w:val="00C1004C"/>
  </w:style>
  <w:style w:type="character" w:customStyle="1" w:styleId="CharSubPartNoCASA">
    <w:name w:val="CharSubPartNo(CASA)"/>
    <w:basedOn w:val="OPCCharBase"/>
    <w:uiPriority w:val="1"/>
    <w:rsid w:val="00C1004C"/>
  </w:style>
  <w:style w:type="paragraph" w:customStyle="1" w:styleId="ENoteTTIndentHeadingSub">
    <w:name w:val="ENoteTTIndentHeadingSub"/>
    <w:aliases w:val="enTTHis"/>
    <w:basedOn w:val="OPCParaBase"/>
    <w:rsid w:val="00C1004C"/>
    <w:pPr>
      <w:keepNext/>
      <w:spacing w:before="60" w:line="240" w:lineRule="atLeast"/>
      <w:ind w:left="340"/>
    </w:pPr>
    <w:rPr>
      <w:b/>
      <w:sz w:val="16"/>
    </w:rPr>
  </w:style>
  <w:style w:type="paragraph" w:customStyle="1" w:styleId="ENoteTTiSub">
    <w:name w:val="ENoteTTiSub"/>
    <w:aliases w:val="enttis"/>
    <w:basedOn w:val="OPCParaBase"/>
    <w:rsid w:val="00C1004C"/>
    <w:pPr>
      <w:keepNext/>
      <w:spacing w:before="60" w:line="240" w:lineRule="atLeast"/>
      <w:ind w:left="340"/>
    </w:pPr>
    <w:rPr>
      <w:sz w:val="16"/>
    </w:rPr>
  </w:style>
  <w:style w:type="paragraph" w:customStyle="1" w:styleId="SubDivisionMigration">
    <w:name w:val="SubDivisionMigration"/>
    <w:aliases w:val="sdm"/>
    <w:basedOn w:val="OPCParaBase"/>
    <w:rsid w:val="00C1004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1004C"/>
    <w:pPr>
      <w:keepNext/>
      <w:keepLines/>
      <w:spacing w:before="240" w:line="240" w:lineRule="auto"/>
      <w:ind w:left="1134" w:hanging="1134"/>
    </w:pPr>
    <w:rPr>
      <w:b/>
      <w:sz w:val="28"/>
    </w:rPr>
  </w:style>
  <w:style w:type="paragraph" w:customStyle="1" w:styleId="notetext">
    <w:name w:val="note(text)"/>
    <w:aliases w:val="n"/>
    <w:basedOn w:val="OPCParaBase"/>
    <w:rsid w:val="00C1004C"/>
    <w:pPr>
      <w:spacing w:before="122" w:line="240" w:lineRule="auto"/>
      <w:ind w:left="1985" w:hanging="851"/>
    </w:pPr>
    <w:rPr>
      <w:sz w:val="18"/>
    </w:rPr>
  </w:style>
  <w:style w:type="paragraph" w:customStyle="1" w:styleId="FreeForm">
    <w:name w:val="FreeForm"/>
    <w:rsid w:val="00C1004C"/>
    <w:rPr>
      <w:rFonts w:ascii="Arial" w:eastAsiaTheme="minorHAnsi" w:hAnsi="Arial" w:cstheme="minorBidi"/>
      <w:sz w:val="22"/>
      <w:lang w:eastAsia="en-US"/>
    </w:rPr>
  </w:style>
  <w:style w:type="paragraph" w:customStyle="1" w:styleId="SOText">
    <w:name w:val="SO Text"/>
    <w:aliases w:val="sot"/>
    <w:link w:val="SOTextChar"/>
    <w:rsid w:val="00C1004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1004C"/>
    <w:rPr>
      <w:rFonts w:eastAsiaTheme="minorHAnsi" w:cstheme="minorBidi"/>
      <w:sz w:val="22"/>
      <w:lang w:eastAsia="en-US"/>
    </w:rPr>
  </w:style>
  <w:style w:type="paragraph" w:customStyle="1" w:styleId="SOTextNote">
    <w:name w:val="SO TextNote"/>
    <w:aliases w:val="sont"/>
    <w:basedOn w:val="SOText"/>
    <w:qFormat/>
    <w:rsid w:val="00C1004C"/>
    <w:pPr>
      <w:spacing w:before="122" w:line="198" w:lineRule="exact"/>
      <w:ind w:left="1843" w:hanging="709"/>
    </w:pPr>
    <w:rPr>
      <w:sz w:val="18"/>
    </w:rPr>
  </w:style>
  <w:style w:type="paragraph" w:customStyle="1" w:styleId="SOPara">
    <w:name w:val="SO Para"/>
    <w:aliases w:val="soa"/>
    <w:basedOn w:val="SOText"/>
    <w:link w:val="SOParaChar"/>
    <w:qFormat/>
    <w:rsid w:val="00C1004C"/>
    <w:pPr>
      <w:tabs>
        <w:tab w:val="right" w:pos="1786"/>
      </w:tabs>
      <w:spacing w:before="40"/>
      <w:ind w:left="2070" w:hanging="936"/>
    </w:pPr>
  </w:style>
  <w:style w:type="character" w:customStyle="1" w:styleId="SOParaChar">
    <w:name w:val="SO Para Char"/>
    <w:aliases w:val="soa Char"/>
    <w:basedOn w:val="DefaultParagraphFont"/>
    <w:link w:val="SOPara"/>
    <w:rsid w:val="00C1004C"/>
    <w:rPr>
      <w:rFonts w:eastAsiaTheme="minorHAnsi" w:cstheme="minorBidi"/>
      <w:sz w:val="22"/>
      <w:lang w:eastAsia="en-US"/>
    </w:rPr>
  </w:style>
  <w:style w:type="paragraph" w:customStyle="1" w:styleId="FileName">
    <w:name w:val="FileName"/>
    <w:basedOn w:val="Normal"/>
    <w:rsid w:val="00C1004C"/>
  </w:style>
  <w:style w:type="paragraph" w:customStyle="1" w:styleId="TableHeading">
    <w:name w:val="TableHeading"/>
    <w:aliases w:val="th"/>
    <w:basedOn w:val="OPCParaBase"/>
    <w:next w:val="Tabletext"/>
    <w:rsid w:val="00C1004C"/>
    <w:pPr>
      <w:keepNext/>
      <w:spacing w:before="60" w:line="240" w:lineRule="atLeast"/>
    </w:pPr>
    <w:rPr>
      <w:b/>
      <w:sz w:val="20"/>
    </w:rPr>
  </w:style>
  <w:style w:type="paragraph" w:customStyle="1" w:styleId="SOHeadBold">
    <w:name w:val="SO HeadBold"/>
    <w:aliases w:val="sohb"/>
    <w:basedOn w:val="SOText"/>
    <w:next w:val="SOText"/>
    <w:link w:val="SOHeadBoldChar"/>
    <w:qFormat/>
    <w:rsid w:val="00C1004C"/>
    <w:rPr>
      <w:b/>
    </w:rPr>
  </w:style>
  <w:style w:type="character" w:customStyle="1" w:styleId="SOHeadBoldChar">
    <w:name w:val="SO HeadBold Char"/>
    <w:aliases w:val="sohb Char"/>
    <w:basedOn w:val="DefaultParagraphFont"/>
    <w:link w:val="SOHeadBold"/>
    <w:rsid w:val="00C1004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1004C"/>
    <w:rPr>
      <w:i/>
    </w:rPr>
  </w:style>
  <w:style w:type="character" w:customStyle="1" w:styleId="SOHeadItalicChar">
    <w:name w:val="SO HeadItalic Char"/>
    <w:aliases w:val="sohi Char"/>
    <w:basedOn w:val="DefaultParagraphFont"/>
    <w:link w:val="SOHeadItalic"/>
    <w:rsid w:val="00C1004C"/>
    <w:rPr>
      <w:rFonts w:eastAsiaTheme="minorHAnsi" w:cstheme="minorBidi"/>
      <w:i/>
      <w:sz w:val="22"/>
      <w:lang w:eastAsia="en-US"/>
    </w:rPr>
  </w:style>
  <w:style w:type="paragraph" w:customStyle="1" w:styleId="SOBullet">
    <w:name w:val="SO Bullet"/>
    <w:aliases w:val="sotb"/>
    <w:basedOn w:val="SOText"/>
    <w:link w:val="SOBulletChar"/>
    <w:qFormat/>
    <w:rsid w:val="00C1004C"/>
    <w:pPr>
      <w:ind w:left="1559" w:hanging="425"/>
    </w:pPr>
  </w:style>
  <w:style w:type="character" w:customStyle="1" w:styleId="SOBulletChar">
    <w:name w:val="SO Bullet Char"/>
    <w:aliases w:val="sotb Char"/>
    <w:basedOn w:val="DefaultParagraphFont"/>
    <w:link w:val="SOBullet"/>
    <w:rsid w:val="00C1004C"/>
    <w:rPr>
      <w:rFonts w:eastAsiaTheme="minorHAnsi" w:cstheme="minorBidi"/>
      <w:sz w:val="22"/>
      <w:lang w:eastAsia="en-US"/>
    </w:rPr>
  </w:style>
  <w:style w:type="paragraph" w:customStyle="1" w:styleId="SOBulletNote">
    <w:name w:val="SO BulletNote"/>
    <w:aliases w:val="sonb"/>
    <w:basedOn w:val="SOTextNote"/>
    <w:link w:val="SOBulletNoteChar"/>
    <w:qFormat/>
    <w:rsid w:val="00C1004C"/>
    <w:pPr>
      <w:tabs>
        <w:tab w:val="left" w:pos="1560"/>
      </w:tabs>
      <w:ind w:left="2268" w:hanging="1134"/>
    </w:pPr>
  </w:style>
  <w:style w:type="character" w:customStyle="1" w:styleId="SOBulletNoteChar">
    <w:name w:val="SO BulletNote Char"/>
    <w:aliases w:val="sonb Char"/>
    <w:basedOn w:val="DefaultParagraphFont"/>
    <w:link w:val="SOBulletNote"/>
    <w:rsid w:val="00C1004C"/>
    <w:rPr>
      <w:rFonts w:eastAsiaTheme="minorHAnsi" w:cstheme="minorBidi"/>
      <w:sz w:val="18"/>
      <w:lang w:eastAsia="en-US"/>
    </w:rPr>
  </w:style>
  <w:style w:type="paragraph" w:customStyle="1" w:styleId="SOText2">
    <w:name w:val="SO Text2"/>
    <w:aliases w:val="sot2"/>
    <w:basedOn w:val="Normal"/>
    <w:next w:val="SOText"/>
    <w:link w:val="SOText2Char"/>
    <w:rsid w:val="00C1004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1004C"/>
    <w:rPr>
      <w:rFonts w:eastAsiaTheme="minorHAnsi" w:cstheme="minorBidi"/>
      <w:sz w:val="22"/>
      <w:lang w:eastAsia="en-US"/>
    </w:rPr>
  </w:style>
  <w:style w:type="paragraph" w:customStyle="1" w:styleId="SubPartCASA">
    <w:name w:val="SubPart(CASA)"/>
    <w:aliases w:val="csp"/>
    <w:basedOn w:val="OPCParaBase"/>
    <w:next w:val="ActHead3"/>
    <w:rsid w:val="00C1004C"/>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3833</Words>
  <Characters>20952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Yvette</dc:creator>
  <cp:lastModifiedBy>Martin Yvette</cp:lastModifiedBy>
  <cp:revision>1</cp:revision>
  <dcterms:created xsi:type="dcterms:W3CDTF">2015-03-30T04:39:00Z</dcterms:created>
  <dcterms:modified xsi:type="dcterms:W3CDTF">2015-03-30T04:53:00Z</dcterms:modified>
</cp:coreProperties>
</file>