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72" w:rsidRPr="00C0014E" w:rsidRDefault="00E94672" w:rsidP="00E94672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0DD85E22" wp14:editId="409FEDEE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72" w:rsidRPr="006153A1" w:rsidRDefault="00E94672" w:rsidP="00E94672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E94672" w:rsidRPr="002A7834" w:rsidRDefault="00E94672" w:rsidP="00E94672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E94672" w:rsidRPr="00C0014E" w:rsidRDefault="00E94672" w:rsidP="00E94672">
      <w:pPr>
        <w:pBdr>
          <w:bottom w:val="single" w:sz="4" w:space="1" w:color="auto"/>
        </w:pBdr>
        <w:rPr>
          <w:b/>
        </w:rPr>
      </w:pPr>
    </w:p>
    <w:p w:rsidR="00E94672" w:rsidRPr="008F2616" w:rsidRDefault="00E94672" w:rsidP="00E94672"/>
    <w:p w:rsidR="00E94672" w:rsidRPr="00F85758" w:rsidRDefault="00E94672" w:rsidP="00E94672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E94672" w:rsidRPr="008F2616" w:rsidRDefault="00E94672" w:rsidP="00E94672"/>
    <w:p w:rsidR="00E94672" w:rsidRPr="007B2098" w:rsidRDefault="00E94672" w:rsidP="00E94672">
      <w:r w:rsidRPr="007B2098">
        <w:t xml:space="preserve">Dated </w:t>
      </w:r>
      <w:r>
        <w:t>25</w:t>
      </w:r>
      <w:r w:rsidRPr="007B2098">
        <w:t xml:space="preserve"> March 2015</w:t>
      </w:r>
    </w:p>
    <w:p w:rsidR="00E94672" w:rsidRPr="008F2616" w:rsidRDefault="00E94672" w:rsidP="00E94672">
      <w:r>
        <w:rPr>
          <w:noProof/>
          <w:lang w:val="en-AU"/>
        </w:rPr>
        <w:drawing>
          <wp:inline distT="0" distB="0" distL="0" distR="0" wp14:anchorId="481DCC5E" wp14:editId="3A361EA5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72" w:rsidRPr="008F2616" w:rsidRDefault="00E94672" w:rsidP="00E94672">
      <w:r w:rsidRPr="008F2616">
        <w:t>Standards Management Officer</w:t>
      </w:r>
    </w:p>
    <w:p w:rsidR="00E94672" w:rsidRPr="008F2616" w:rsidRDefault="00E94672" w:rsidP="00E94672">
      <w:r w:rsidRPr="008F2616">
        <w:t>Delegate of the Board of Food Standards Australia New Zealand</w:t>
      </w:r>
    </w:p>
    <w:p w:rsidR="00E94672" w:rsidRDefault="00E94672" w:rsidP="00E94672"/>
    <w:p w:rsidR="00E94672" w:rsidRDefault="00E94672" w:rsidP="00E94672"/>
    <w:p w:rsidR="00E94672" w:rsidRDefault="00E94672" w:rsidP="00E94672"/>
    <w:p w:rsidR="00E94672" w:rsidRDefault="00E94672" w:rsidP="00E94672"/>
    <w:p w:rsidR="00E94672" w:rsidRDefault="00E94672" w:rsidP="00E94672"/>
    <w:p w:rsidR="00E94672" w:rsidRPr="00574DE1" w:rsidRDefault="00E94672" w:rsidP="00E94672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E94672" w:rsidRPr="00574DE1" w:rsidRDefault="00E94672" w:rsidP="00E94672">
      <w:pPr>
        <w:pStyle w:val="EditorialNotetext"/>
        <w:rPr>
          <w:lang w:val="en-AU"/>
        </w:rPr>
      </w:pPr>
    </w:p>
    <w:p w:rsidR="00E94672" w:rsidRPr="007B2098" w:rsidRDefault="00E94672" w:rsidP="00E94672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E94672" w:rsidRDefault="00E94672" w:rsidP="00E94672"/>
    <w:p w:rsidR="00E94672" w:rsidRDefault="00E94672" w:rsidP="00E94672">
      <w:pPr>
        <w:sectPr w:rsidR="00E94672" w:rsidSect="00E946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986D32" w:rsidRPr="001D1563" w:rsidRDefault="00986D32" w:rsidP="00986D32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24</w:t>
      </w:r>
      <w:r w:rsidRPr="001D1563">
        <w:rPr>
          <w:lang w:val="en-GB"/>
        </w:rPr>
        <w:tab/>
        <w:t>Restricted plants and fungi</w:t>
      </w:r>
    </w:p>
    <w:p w:rsidR="00986D32" w:rsidRPr="001D1563" w:rsidRDefault="00986D32" w:rsidP="00986D32">
      <w:pPr>
        <w:pStyle w:val="FSCnatHeading"/>
        <w:rPr>
          <w:lang w:val="en-GB"/>
        </w:rPr>
      </w:pPr>
      <w:r w:rsidRPr="00986D32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C32D64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986D32" w:rsidRPr="001D1563" w:rsidRDefault="00986D32" w:rsidP="00986D32">
      <w:pPr>
        <w:pStyle w:val="FSCnatHeading"/>
        <w:rPr>
          <w:lang w:val="en-GB"/>
        </w:rPr>
      </w:pPr>
      <w:r w:rsidRPr="001D1563">
        <w:rPr>
          <w:lang w:val="en-GB"/>
        </w:rPr>
        <w:tab/>
        <w:t xml:space="preserve">Restricted plants and fungi are regulated by paragraphs 1.1.1—10(3)(a) and (4)(e) and Standard 1.4.4.This Standard lists plants and fungi for the definition of </w:t>
      </w:r>
      <w:r w:rsidRPr="001D1563">
        <w:rPr>
          <w:b/>
          <w:i/>
          <w:lang w:val="en-GB"/>
        </w:rPr>
        <w:t xml:space="preserve">restricted plant or fungus </w:t>
      </w:r>
      <w:r w:rsidRPr="001D1563">
        <w:rPr>
          <w:lang w:val="en-GB"/>
        </w:rPr>
        <w:t>in section 1.1.2—3.</w:t>
      </w:r>
    </w:p>
    <w:p w:rsidR="00986D32" w:rsidRPr="001D1563" w:rsidRDefault="00986D32" w:rsidP="00986D32">
      <w:pPr>
        <w:pStyle w:val="FSCnatHeading"/>
        <w:rPr>
          <w:lang w:val="en-GB"/>
        </w:rPr>
      </w:pPr>
      <w:r w:rsidRPr="00986D32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986D32" w:rsidRPr="001D1563" w:rsidRDefault="00986D32" w:rsidP="00986D32">
      <w:pPr>
        <w:pStyle w:val="FSCh5Section"/>
        <w:rPr>
          <w:lang w:val="en-GB"/>
        </w:rPr>
      </w:pPr>
      <w:bookmarkStart w:id="1" w:name="_Toc400032522"/>
      <w:bookmarkStart w:id="2" w:name="_Toc371505880"/>
      <w:r w:rsidRPr="001D1563">
        <w:rPr>
          <w:rFonts w:ascii="Arial Bold" w:hAnsi="Arial Bold"/>
          <w:lang w:val="en-GB"/>
        </w:rPr>
        <w:t>S24—1</w:t>
      </w:r>
      <w:r w:rsidRPr="001D1563">
        <w:rPr>
          <w:lang w:val="en-GB"/>
        </w:rPr>
        <w:tab/>
        <w:t>Name</w:t>
      </w:r>
      <w:bookmarkEnd w:id="1"/>
    </w:p>
    <w:p w:rsidR="00986D32" w:rsidRPr="00C32D64" w:rsidRDefault="00986D32" w:rsidP="00986D32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C32D64" w:rsidRPr="00C32D64">
        <w:rPr>
          <w:lang w:val="en-GB"/>
        </w:rPr>
        <w:t xml:space="preserve">– </w:t>
      </w:r>
      <w:r w:rsidRPr="00C32D64">
        <w:rPr>
          <w:lang w:val="en-GB"/>
        </w:rPr>
        <w:t xml:space="preserve">Schedule 24 </w:t>
      </w:r>
      <w:r w:rsidR="00C32D64" w:rsidRPr="00C32D64">
        <w:rPr>
          <w:lang w:val="en-GB"/>
        </w:rPr>
        <w:t>–</w:t>
      </w:r>
      <w:r w:rsidRPr="00C32D64">
        <w:rPr>
          <w:lang w:val="en-GB"/>
        </w:rPr>
        <w:t xml:space="preserve"> Restricted plants and fungi.</w:t>
      </w:r>
    </w:p>
    <w:p w:rsidR="00986D32" w:rsidRPr="001D1563" w:rsidRDefault="00986D32" w:rsidP="00986D32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986D32" w:rsidRPr="001D1563" w:rsidRDefault="00986D32" w:rsidP="00986D32">
      <w:pPr>
        <w:pStyle w:val="FSCh5Section"/>
        <w:rPr>
          <w:lang w:val="en-GB"/>
        </w:rPr>
      </w:pPr>
      <w:bookmarkStart w:id="3" w:name="_Toc400032523"/>
      <w:r w:rsidRPr="001D1563">
        <w:rPr>
          <w:lang w:val="en-GB"/>
        </w:rPr>
        <w:t>S24—2</w:t>
      </w:r>
      <w:r w:rsidRPr="001D1563">
        <w:rPr>
          <w:lang w:val="en-GB"/>
        </w:rPr>
        <w:tab/>
        <w:t>Restricted plants and fungi</w:t>
      </w:r>
      <w:bookmarkEnd w:id="2"/>
      <w:bookmarkEnd w:id="3"/>
    </w:p>
    <w:p w:rsidR="00986D32" w:rsidRPr="001D1563" w:rsidRDefault="00986D32" w:rsidP="00986D32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For paragraph (a) of the definition of </w:t>
      </w:r>
      <w:r w:rsidRPr="001D1563">
        <w:rPr>
          <w:b/>
          <w:i/>
          <w:lang w:val="en-GB"/>
        </w:rPr>
        <w:t xml:space="preserve">restricted plant or fungus </w:t>
      </w:r>
      <w:r w:rsidRPr="001D1563">
        <w:rPr>
          <w:lang w:val="en-GB"/>
        </w:rPr>
        <w:t>in section 1.1.2—3, the plants and fungi are:</w:t>
      </w:r>
    </w:p>
    <w:p w:rsidR="00986D32" w:rsidRPr="001D1563" w:rsidRDefault="00986D32" w:rsidP="00C32D64">
      <w:pPr>
        <w:pStyle w:val="FSCtblBh2"/>
      </w:pPr>
      <w:r w:rsidRPr="001D1563">
        <w:t>Restricted plants and fungi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315"/>
        <w:gridCol w:w="2427"/>
      </w:tblGrid>
      <w:tr w:rsidR="00C32D64" w:rsidRPr="00C32D64" w:rsidTr="00C32D64">
        <w:trPr>
          <w:cantSplit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32D64" w:rsidRPr="00C32D64" w:rsidRDefault="00C32D64" w:rsidP="00273125">
            <w:pPr>
              <w:pStyle w:val="FSCtblAh3"/>
            </w:pPr>
            <w:r w:rsidRPr="00C32D64">
              <w:t>Species name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C32D64" w:rsidRPr="00C32D64" w:rsidRDefault="00C32D64" w:rsidP="00273125">
            <w:pPr>
              <w:pStyle w:val="FSCtblAh3"/>
            </w:pPr>
            <w:r w:rsidRPr="00C32D64">
              <w:t>Common name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C32D64" w:rsidRPr="00C32D64" w:rsidRDefault="00C32D64" w:rsidP="00273125">
            <w:pPr>
              <w:pStyle w:val="FSCtblAh3"/>
            </w:pPr>
            <w:r w:rsidRPr="00C32D64">
              <w:t>Natural toxicant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  <w:tcBorders>
              <w:top w:val="single" w:sz="4" w:space="0" w:color="auto"/>
            </w:tcBorders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Artemisia absinthium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Common wormwood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Thujone, santonin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Artemisia cina Berg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Levant wormseed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Thujone, santonin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Artemisia maritima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Levant wormseed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Thujone, santonin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Artemisia vulgaris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Mugwort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Thujone, santonin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Chrysanthemum balsamita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Costmary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Thujone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 xml:space="preserve">Chrysanthemum parthenium </w:t>
            </w:r>
            <w:r w:rsidRPr="00C32D64">
              <w:rPr>
                <w:lang w:val="en-GB"/>
              </w:rPr>
              <w:t>(see</w:t>
            </w:r>
            <w:r w:rsidRPr="00C32D64">
              <w:rPr>
                <w:i/>
                <w:lang w:val="en-GB"/>
              </w:rPr>
              <w:t xml:space="preserve"> Tanacetum parthenium</w:t>
            </w:r>
            <w:r w:rsidRPr="00C32D64">
              <w:rPr>
                <w:lang w:val="en-GB"/>
              </w:rPr>
              <w:t>)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 xml:space="preserve">Cinchona </w:t>
            </w:r>
            <w:r w:rsidRPr="00C32D64">
              <w:rPr>
                <w:lang w:val="en-GB"/>
              </w:rPr>
              <w:t>spp.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Cinchona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Quinine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Cinnamomum camphora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Camphor tree oil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Safrole, coumarin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Cinnamomum micranthum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Micranthum oil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Safrole, coumarin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 xml:space="preserve">Hedeoma pulegioides </w:t>
            </w:r>
            <w:r w:rsidRPr="00C32D64">
              <w:rPr>
                <w:lang w:val="en-GB"/>
              </w:rPr>
              <w:t>oil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American pennyroyal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Pulegone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White snakeroot oil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Hypericum perforatum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St John's wort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Hypericine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 xml:space="preserve">Mentha pulegium </w:t>
            </w:r>
            <w:r w:rsidRPr="00C32D64">
              <w:rPr>
                <w:lang w:val="en-GB"/>
              </w:rPr>
              <w:t>oil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European pennyroyal oil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Pulegone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Sassafras albidum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American sassafras oil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Safrole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 xml:space="preserve">Sassafras officinale </w:t>
            </w:r>
            <w:r w:rsidRPr="00C32D64">
              <w:rPr>
                <w:lang w:val="en-GB"/>
              </w:rPr>
              <w:t>(see</w:t>
            </w:r>
            <w:r w:rsidRPr="00C32D64">
              <w:rPr>
                <w:i/>
                <w:lang w:val="en-GB"/>
              </w:rPr>
              <w:t xml:space="preserve"> Sassafras albidum</w:t>
            </w:r>
            <w:r w:rsidRPr="00C32D64">
              <w:rPr>
                <w:lang w:val="en-GB"/>
              </w:rPr>
              <w:t>)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 xml:space="preserve">Tanacetum balsamita </w:t>
            </w:r>
            <w:r w:rsidRPr="00C32D64">
              <w:rPr>
                <w:lang w:val="en-GB"/>
              </w:rPr>
              <w:t>(see</w:t>
            </w:r>
            <w:r w:rsidRPr="00C32D64">
              <w:rPr>
                <w:i/>
                <w:lang w:val="en-GB"/>
              </w:rPr>
              <w:t xml:space="preserve"> Chrysanthemum balsamita</w:t>
            </w:r>
            <w:r w:rsidRPr="00C32D64">
              <w:rPr>
                <w:lang w:val="en-GB"/>
              </w:rPr>
              <w:t>)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Tanacetum parthenium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Feverfew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Santonin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Tanacetum vulgare</w:t>
            </w:r>
          </w:p>
        </w:tc>
        <w:tc>
          <w:tcPr>
            <w:tcW w:w="3315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Tansy oil</w:t>
            </w:r>
          </w:p>
        </w:tc>
        <w:tc>
          <w:tcPr>
            <w:tcW w:w="2427" w:type="dxa"/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Thujone</w:t>
            </w:r>
          </w:p>
        </w:tc>
      </w:tr>
      <w:tr w:rsidR="00C32D64" w:rsidRPr="00C32D64" w:rsidTr="00C32D64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C32D64" w:rsidRPr="00C32D64" w:rsidRDefault="00C32D64" w:rsidP="00273125">
            <w:pPr>
              <w:pStyle w:val="FSCtblAMain"/>
              <w:rPr>
                <w:i/>
                <w:lang w:val="en-GB"/>
              </w:rPr>
            </w:pPr>
            <w:r w:rsidRPr="00C32D64">
              <w:rPr>
                <w:i/>
                <w:lang w:val="en-GB"/>
              </w:rPr>
              <w:t>Thuja occidentalis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Thuja, White cedar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C32D64" w:rsidRPr="00C32D64" w:rsidRDefault="00C32D64" w:rsidP="00273125">
            <w:pPr>
              <w:pStyle w:val="FSCtblAMain"/>
              <w:rPr>
                <w:lang w:val="en-GB"/>
              </w:rPr>
            </w:pPr>
            <w:r w:rsidRPr="00C32D64">
              <w:rPr>
                <w:lang w:val="en-GB"/>
              </w:rPr>
              <w:t>Thujone</w:t>
            </w:r>
          </w:p>
        </w:tc>
      </w:tr>
    </w:tbl>
    <w:p w:rsidR="00986D32" w:rsidRPr="001D1563" w:rsidRDefault="00986D32" w:rsidP="00986D32">
      <w:pPr>
        <w:pStyle w:val="h5StandardEnd"/>
        <w:rPr>
          <w:lang w:val="en-GB"/>
        </w:rPr>
      </w:pPr>
      <w:r w:rsidRPr="001D1563">
        <w:rPr>
          <w:lang w:val="en-GB"/>
        </w:rPr>
        <w:t>__________</w:t>
      </w:r>
    </w:p>
    <w:p w:rsidR="00BA1167" w:rsidRPr="000F7093" w:rsidRDefault="00BA1167" w:rsidP="00E32E5E"/>
    <w:sectPr w:rsidR="00BA1167" w:rsidRPr="000F7093" w:rsidSect="00E946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32" w:rsidRDefault="00986D32">
      <w:r>
        <w:separator/>
      </w:r>
    </w:p>
  </w:endnote>
  <w:endnote w:type="continuationSeparator" w:id="0">
    <w:p w:rsidR="00986D32" w:rsidRDefault="0098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F7" w:rsidRDefault="00146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E94672" w:rsidRPr="00CF1834" w:rsidRDefault="00E94672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F7" w:rsidRDefault="00146D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146DF7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986D32">
      <w:rPr>
        <w:rFonts w:cs="Arial"/>
        <w:noProof/>
        <w:sz w:val="18"/>
        <w:szCs w:val="18"/>
      </w:rPr>
      <w:t xml:space="preserve">Schedule 24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32" w:rsidRDefault="00986D32">
      <w:r>
        <w:separator/>
      </w:r>
    </w:p>
  </w:footnote>
  <w:footnote w:type="continuationSeparator" w:id="0">
    <w:p w:rsidR="00986D32" w:rsidRDefault="00986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F7" w:rsidRDefault="00146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F7" w:rsidRDefault="00146D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F7" w:rsidRDefault="00146DF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986D32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46DF7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86D32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2D64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4672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32D64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32D64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32D64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32D64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32D64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32D64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32D6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32D6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32D6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32D64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32D64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32D64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32D64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32D64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32D64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32D64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D64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D64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32D64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C32D64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32D64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32D64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32D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32D64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32D64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32D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32D64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32D64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32D64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32D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32D64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D64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32D64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32D64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32D64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32D64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32D64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32D64"/>
  </w:style>
  <w:style w:type="paragraph" w:customStyle="1" w:styleId="FSCsbMainSection">
    <w:name w:val="FSC_sb_Main_Section"/>
    <w:basedOn w:val="FSCsbFirstSection"/>
    <w:qFormat/>
    <w:rsid w:val="00C32D64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32D64"/>
  </w:style>
  <w:style w:type="paragraph" w:customStyle="1" w:styleId="FSCtDefn">
    <w:name w:val="FSC_t_Defn"/>
    <w:aliases w:val="t1_Defn"/>
    <w:basedOn w:val="FSCtMain"/>
    <w:rsid w:val="00C32D64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32D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32D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32D64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32D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32D64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32D64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32D64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32D64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32D64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32D64"/>
    <w:rPr>
      <w:sz w:val="16"/>
    </w:rPr>
  </w:style>
  <w:style w:type="paragraph" w:customStyle="1" w:styleId="FSCoTitleofInstrument">
    <w:name w:val="FSC_o_Title_of_Instrument"/>
    <w:basedOn w:val="Normal"/>
    <w:rsid w:val="00C32D64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32D64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C32D64"/>
    <w:pPr>
      <w:ind w:left="0" w:firstLine="0"/>
      <w:jc w:val="center"/>
    </w:pPr>
  </w:style>
  <w:style w:type="paragraph" w:customStyle="1" w:styleId="FSCbaseheading">
    <w:name w:val="FSC_base_heading"/>
    <w:rsid w:val="00C32D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32D64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32D64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32D64"/>
    <w:pPr>
      <w:jc w:val="center"/>
    </w:pPr>
    <w:rPr>
      <w:iCs w:val="0"/>
    </w:rPr>
  </w:style>
  <w:style w:type="paragraph" w:customStyle="1" w:styleId="FSCfooter">
    <w:name w:val="FSC_footer"/>
    <w:basedOn w:val="Normal"/>
    <w:rsid w:val="00C32D64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32D64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32D64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32D64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32D64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32D64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32D64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32D64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32D64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32D64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32D64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32D64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32D64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32D64"/>
    <w:pPr>
      <w:ind w:left="1701"/>
    </w:pPr>
  </w:style>
  <w:style w:type="paragraph" w:customStyle="1" w:styleId="FSCbasetbl">
    <w:name w:val="FSC_base_tbl"/>
    <w:basedOn w:val="FSCbasepara"/>
    <w:qFormat/>
    <w:rsid w:val="00C32D64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32D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32D64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32D64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32D64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32D64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32D64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32D64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32D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32D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32D64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32D64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E94672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E94672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E94672"/>
    <w:rPr>
      <w:b w:val="0"/>
    </w:rPr>
  </w:style>
  <w:style w:type="character" w:customStyle="1" w:styleId="ClauseChar">
    <w:name w:val="Clause Char"/>
    <w:basedOn w:val="DefaultParagraphFont"/>
    <w:link w:val="Clause"/>
    <w:rsid w:val="00E94672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94672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94672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32D64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32D64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32D64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32D64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32D64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32D64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32D6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32D6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32D6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32D64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32D64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32D64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32D64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32D64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32D64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32D64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D64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D64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32D64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C32D64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32D64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32D64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32D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32D64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C32D64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32D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C32D64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C32D64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32D64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32D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32D64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D64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32D64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32D64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32D64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32D64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32D64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32D64"/>
  </w:style>
  <w:style w:type="paragraph" w:customStyle="1" w:styleId="FSCsbMainSection">
    <w:name w:val="FSC_sb_Main_Section"/>
    <w:basedOn w:val="FSCsbFirstSection"/>
    <w:qFormat/>
    <w:rsid w:val="00C32D64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32D64"/>
  </w:style>
  <w:style w:type="paragraph" w:customStyle="1" w:styleId="FSCtDefn">
    <w:name w:val="FSC_t_Defn"/>
    <w:aliases w:val="t1_Defn"/>
    <w:basedOn w:val="FSCtMain"/>
    <w:rsid w:val="00C32D64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32D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32D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32D64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32D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32D64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32D64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32D64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32D64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32D64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32D64"/>
    <w:rPr>
      <w:sz w:val="16"/>
    </w:rPr>
  </w:style>
  <w:style w:type="paragraph" w:customStyle="1" w:styleId="FSCoTitleofInstrument">
    <w:name w:val="FSC_o_Title_of_Instrument"/>
    <w:basedOn w:val="Normal"/>
    <w:rsid w:val="00C32D64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32D64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C32D64"/>
    <w:pPr>
      <w:ind w:left="0" w:firstLine="0"/>
      <w:jc w:val="center"/>
    </w:pPr>
  </w:style>
  <w:style w:type="paragraph" w:customStyle="1" w:styleId="FSCbaseheading">
    <w:name w:val="FSC_base_heading"/>
    <w:rsid w:val="00C32D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32D64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32D64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32D64"/>
    <w:pPr>
      <w:jc w:val="center"/>
    </w:pPr>
    <w:rPr>
      <w:iCs w:val="0"/>
    </w:rPr>
  </w:style>
  <w:style w:type="paragraph" w:customStyle="1" w:styleId="FSCfooter">
    <w:name w:val="FSC_footer"/>
    <w:basedOn w:val="Normal"/>
    <w:rsid w:val="00C32D64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32D64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32D64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32D64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32D64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32D64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32D64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32D64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32D64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32D64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32D64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32D64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32D64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32D64"/>
    <w:pPr>
      <w:ind w:left="1701"/>
    </w:pPr>
  </w:style>
  <w:style w:type="paragraph" w:customStyle="1" w:styleId="FSCbasetbl">
    <w:name w:val="FSC_base_tbl"/>
    <w:basedOn w:val="FSCbasepara"/>
    <w:qFormat/>
    <w:rsid w:val="00C32D64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32D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32D64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32D64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32D64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32D64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32D64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32D64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32D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32D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32D64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32D64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E94672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E94672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E94672"/>
    <w:rPr>
      <w:b w:val="0"/>
    </w:rPr>
  </w:style>
  <w:style w:type="character" w:customStyle="1" w:styleId="ClauseChar">
    <w:name w:val="Clause Char"/>
    <w:basedOn w:val="DefaultParagraphFont"/>
    <w:link w:val="Clause"/>
    <w:rsid w:val="00E94672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94672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94672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2015-03-31T22:58:00Z</dcterms:created>
  <dcterms:modified xsi:type="dcterms:W3CDTF">2015-03-31T22:58:00Z</dcterms:modified>
</cp:coreProperties>
</file>