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F109" w14:textId="77777777" w:rsidR="005C72EC" w:rsidRPr="001D1563" w:rsidRDefault="005C72EC" w:rsidP="005C72EC">
      <w:pPr>
        <w:pStyle w:val="FSCh3Standard"/>
      </w:pPr>
      <w:r>
        <w:t>Schedule</w:t>
      </w:r>
      <w:r w:rsidRPr="001D1563">
        <w:t xml:space="preserve"> 25</w:t>
      </w:r>
      <w:r w:rsidRPr="001D1563">
        <w:tab/>
        <w:t>Permitted novel foods</w:t>
      </w:r>
    </w:p>
    <w:p w14:paraId="466FF10A" w14:textId="77777777" w:rsidR="005C72EC" w:rsidRPr="001D1563" w:rsidRDefault="005C72EC" w:rsidP="005C72EC">
      <w:pPr>
        <w:pStyle w:val="FSCnatHeading"/>
      </w:pPr>
      <w:r w:rsidRPr="005C72EC">
        <w:rPr>
          <w:b/>
          <w:i/>
        </w:rPr>
        <w:t>Note</w:t>
      </w:r>
      <w:r w:rsidRPr="001D1563">
        <w:rPr>
          <w:b/>
          <w:i/>
        </w:rPr>
        <w:t xml:space="preserve"> 1</w:t>
      </w:r>
      <w:r w:rsidRPr="001D1563">
        <w:tab/>
        <w:t xml:space="preserve">This instrument is a standard under the </w:t>
      </w:r>
      <w:r w:rsidRPr="001D1563">
        <w:rPr>
          <w:i/>
        </w:rPr>
        <w:t>Food Standards Australia New Zealand Act 1991</w:t>
      </w:r>
      <w:r w:rsidRPr="001D1563">
        <w:t xml:space="preserve"> (Cth). The standards together make up the </w:t>
      </w:r>
      <w:r w:rsidRPr="0057296E">
        <w:rPr>
          <w:i/>
        </w:rPr>
        <w:t>Australia New Zealand Food Standards Code</w:t>
      </w:r>
      <w:r w:rsidRPr="001D1563">
        <w:rPr>
          <w:i/>
        </w:rPr>
        <w:t>.</w:t>
      </w:r>
      <w:r w:rsidRPr="001D1563">
        <w:t xml:space="preserve"> See also section 1.1.1—3.</w:t>
      </w:r>
    </w:p>
    <w:p w14:paraId="466FF10B" w14:textId="2F9113B5" w:rsidR="005C72EC" w:rsidRPr="001D1563" w:rsidRDefault="005C72EC" w:rsidP="005C72EC">
      <w:pPr>
        <w:pStyle w:val="FSCnatHeading"/>
      </w:pPr>
      <w:r w:rsidRPr="001D1563">
        <w:tab/>
        <w:t>Novel foods are re</w:t>
      </w:r>
      <w:r w:rsidR="00C5490F">
        <w:t>gulated by paragraphs</w:t>
      </w:r>
      <w:r w:rsidR="00C5490F" w:rsidRPr="001B5287">
        <w:t xml:space="preserve"> 1.1.1—10(5)(b) and (6</w:t>
      </w:r>
      <w:r w:rsidRPr="001B5287">
        <w:t xml:space="preserve">)(f) and </w:t>
      </w:r>
      <w:r w:rsidRPr="001D1563">
        <w:t>Standard 1.5.1. This Standard lists permitted novel foods, and specifies conditions for their use, for section 1.5.1—3.</w:t>
      </w:r>
    </w:p>
    <w:p w14:paraId="466FF10C" w14:textId="77777777" w:rsidR="005C72EC" w:rsidRPr="001D1563" w:rsidRDefault="005C72EC" w:rsidP="005C72EC">
      <w:pPr>
        <w:pStyle w:val="FSCnatHeading"/>
      </w:pPr>
      <w:r w:rsidRPr="005C72EC">
        <w:rPr>
          <w:b/>
          <w:i/>
        </w:rPr>
        <w:t>Note</w:t>
      </w:r>
      <w:r w:rsidRPr="001D1563">
        <w:rPr>
          <w:b/>
          <w:i/>
        </w:rPr>
        <w:t xml:space="preserve"> 2</w:t>
      </w:r>
      <w:r w:rsidRPr="001D1563">
        <w:tab/>
        <w:t xml:space="preserve">The provisions of the Code that apply in New Zealand are incorporated in, or adopted under, the </w:t>
      </w:r>
      <w:r w:rsidRPr="001D1563">
        <w:rPr>
          <w:i/>
        </w:rPr>
        <w:t>Food Act 2014</w:t>
      </w:r>
      <w:r w:rsidRPr="001D1563">
        <w:t xml:space="preserve"> (NZ). See also section 1.1.1—3.</w:t>
      </w:r>
    </w:p>
    <w:p w14:paraId="466FF10D" w14:textId="77777777" w:rsidR="005C72EC" w:rsidRPr="001D1563" w:rsidRDefault="005C72EC" w:rsidP="005C72EC">
      <w:pPr>
        <w:pStyle w:val="FSCh5Section"/>
      </w:pPr>
      <w:bookmarkStart w:id="0" w:name="_Toc400032525"/>
      <w:bookmarkStart w:id="1" w:name="_Ref335993985"/>
      <w:bookmarkStart w:id="2" w:name="_Ref343611444"/>
      <w:bookmarkStart w:id="3" w:name="_Ref346725067"/>
      <w:bookmarkStart w:id="4" w:name="_Toc371505882"/>
      <w:r w:rsidRPr="001D1563">
        <w:rPr>
          <w:rFonts w:ascii="Arial Bold" w:hAnsi="Arial Bold"/>
        </w:rPr>
        <w:t>S25—1</w:t>
      </w:r>
      <w:r w:rsidRPr="001D1563">
        <w:tab/>
        <w:t>Name</w:t>
      </w:r>
      <w:bookmarkEnd w:id="0"/>
    </w:p>
    <w:p w14:paraId="466FF10E" w14:textId="77777777" w:rsidR="005C72EC" w:rsidRPr="0057296E" w:rsidRDefault="005C72EC" w:rsidP="005C72EC">
      <w:pPr>
        <w:pStyle w:val="FSCtMain"/>
      </w:pPr>
      <w:r w:rsidRPr="001D1563">
        <w:tab/>
      </w:r>
      <w:r w:rsidRPr="001D1563">
        <w:tab/>
        <w:t xml:space="preserve">This Standard is </w:t>
      </w:r>
      <w:r w:rsidRPr="001D1563">
        <w:rPr>
          <w:i/>
        </w:rPr>
        <w:t>Australia New Zealand Food Standards Code</w:t>
      </w:r>
      <w:r w:rsidRPr="0057296E">
        <w:t xml:space="preserve"> </w:t>
      </w:r>
      <w:r w:rsidR="0057296E" w:rsidRPr="0057296E">
        <w:t xml:space="preserve">– </w:t>
      </w:r>
      <w:r w:rsidRPr="0057296E">
        <w:t xml:space="preserve">Schedule 25 </w:t>
      </w:r>
      <w:r w:rsidR="0057296E" w:rsidRPr="0057296E">
        <w:t>–</w:t>
      </w:r>
      <w:r w:rsidRPr="0057296E">
        <w:t xml:space="preserve"> Permitted novel foods.</w:t>
      </w:r>
    </w:p>
    <w:p w14:paraId="466FF10F" w14:textId="77777777" w:rsidR="005C72EC" w:rsidRPr="001D1563" w:rsidRDefault="005C72EC" w:rsidP="005C72EC">
      <w:pPr>
        <w:pStyle w:val="FSCnMain"/>
      </w:pPr>
      <w:bookmarkStart w:id="5" w:name="_Toc400032526"/>
      <w:r w:rsidRPr="001D1563">
        <w:tab/>
      </w:r>
      <w:r w:rsidRPr="001D1563">
        <w:rPr>
          <w:b/>
          <w:i/>
        </w:rPr>
        <w:t>Note</w:t>
      </w:r>
      <w:r w:rsidRPr="001D1563">
        <w:rPr>
          <w:b/>
          <w:i/>
        </w:rPr>
        <w:tab/>
      </w:r>
      <w:r w:rsidRPr="001D1563">
        <w:t>Commencement:</w:t>
      </w:r>
      <w:r w:rsidRPr="001D1563">
        <w:rPr>
          <w:i/>
        </w:rPr>
        <w:br/>
      </w:r>
      <w:r w:rsidRPr="001D1563">
        <w:t xml:space="preserve">This Standard commences on 1 March 2016, being the date specified as the commencement date in notices in the </w:t>
      </w:r>
      <w:r w:rsidRPr="001D1563">
        <w:rPr>
          <w:i/>
        </w:rPr>
        <w:t>Gazette</w:t>
      </w:r>
      <w:r w:rsidRPr="001D1563">
        <w:t xml:space="preserve"> and the New Zealand Gazette under section 92 of the </w:t>
      </w:r>
      <w:r w:rsidRPr="001D1563">
        <w:rPr>
          <w:i/>
        </w:rPr>
        <w:t>Food Standards Australia New Zealand Act 1991</w:t>
      </w:r>
      <w:r w:rsidRPr="001D1563">
        <w:t xml:space="preserve"> (Cth). See also section 93 of that Act.</w:t>
      </w:r>
    </w:p>
    <w:p w14:paraId="466FF110" w14:textId="77777777" w:rsidR="005C72EC" w:rsidRPr="001D1563" w:rsidRDefault="005C72EC" w:rsidP="005C72EC">
      <w:pPr>
        <w:pStyle w:val="FSCh5Section"/>
      </w:pPr>
      <w:r w:rsidRPr="001D1563">
        <w:t>S25—2</w:t>
      </w:r>
      <w:r w:rsidRPr="001D1563">
        <w:tab/>
        <w:t>Sale of novel foods</w:t>
      </w:r>
      <w:bookmarkEnd w:id="1"/>
      <w:bookmarkEnd w:id="2"/>
      <w:bookmarkEnd w:id="3"/>
      <w:bookmarkEnd w:id="4"/>
      <w:bookmarkEnd w:id="5"/>
    </w:p>
    <w:p w14:paraId="466FF111" w14:textId="77777777" w:rsidR="005C72EC" w:rsidRDefault="005C72EC" w:rsidP="005C72EC">
      <w:pPr>
        <w:pStyle w:val="FSCtMain"/>
      </w:pPr>
      <w:r w:rsidRPr="001D1563">
        <w:tab/>
      </w:r>
      <w:r w:rsidRPr="001D1563">
        <w:tab/>
        <w:t>For section 1.5.1—3, the permitted *novel foods and their conditions for use are:</w:t>
      </w:r>
    </w:p>
    <w:p w14:paraId="466FF112" w14:textId="77777777" w:rsidR="0057296E" w:rsidRPr="001D1563" w:rsidRDefault="0057296E" w:rsidP="005F4B75">
      <w:pPr>
        <w:pStyle w:val="FSCtblh2"/>
      </w:pPr>
      <w:r w:rsidRPr="001D1563">
        <w:t>Sale of novel foods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2836"/>
        <w:gridCol w:w="6236"/>
      </w:tblGrid>
      <w:tr w:rsidR="005C72EC" w:rsidRPr="001D1563" w14:paraId="466FF115" w14:textId="77777777" w:rsidTr="0057296E">
        <w:trPr>
          <w:tblHeader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466FF113" w14:textId="77777777" w:rsidR="005C72EC" w:rsidRPr="001D1563" w:rsidRDefault="005C72EC" w:rsidP="005F4B75">
            <w:pPr>
              <w:pStyle w:val="FSCtblh3"/>
            </w:pPr>
            <w:r w:rsidRPr="001D1563">
              <w:t>Permitted novel food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14:paraId="466FF114" w14:textId="77777777" w:rsidR="005C72EC" w:rsidRPr="001D1563" w:rsidRDefault="005C72EC" w:rsidP="005F4B75">
            <w:pPr>
              <w:pStyle w:val="FSCtblh3"/>
            </w:pPr>
            <w:r w:rsidRPr="001D1563">
              <w:t>Conditions of use</w:t>
            </w:r>
          </w:p>
        </w:tc>
      </w:tr>
      <w:tr w:rsidR="005C72EC" w:rsidRPr="001D1563" w14:paraId="466FF118" w14:textId="77777777" w:rsidTr="0057296E">
        <w:trPr>
          <w:cantSplit/>
          <w:jc w:val="center"/>
        </w:trPr>
        <w:tc>
          <w:tcPr>
            <w:tcW w:w="2836" w:type="dxa"/>
            <w:tcBorders>
              <w:top w:val="single" w:sz="4" w:space="0" w:color="auto"/>
            </w:tcBorders>
          </w:tcPr>
          <w:p w14:paraId="466FF116" w14:textId="77777777" w:rsidR="005C72EC" w:rsidRPr="001D1563" w:rsidRDefault="005C72EC" w:rsidP="00021D45">
            <w:pPr>
              <w:pStyle w:val="FSCtblMain"/>
            </w:pPr>
            <w:r w:rsidRPr="001D1563">
              <w:rPr>
                <w:rFonts w:cs="Times New Roman"/>
              </w:rPr>
              <w:t>α</w:t>
            </w:r>
            <w:r w:rsidRPr="001D1563">
              <w:t>-cyclodextrin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466FF117" w14:textId="77777777" w:rsidR="005C72EC" w:rsidRPr="001D1563" w:rsidRDefault="005C72EC" w:rsidP="00021D45">
            <w:pPr>
              <w:pStyle w:val="FSCtblPara"/>
            </w:pPr>
            <w:r w:rsidRPr="001D1563">
              <w:t>1.</w:t>
            </w:r>
            <w:r w:rsidRPr="001D1563">
              <w:tab/>
              <w:t>The name ‘alpha cyclodextrin’ or ‘</w:t>
            </w:r>
            <w:r w:rsidRPr="001D1563">
              <w:rPr>
                <w:rFonts w:cs="Times New Roman"/>
              </w:rPr>
              <w:t>α</w:t>
            </w:r>
            <w:r w:rsidRPr="001D1563">
              <w:t>- cyclodextrin’ must be used when declaring the ingredient in the statement of ingredients.</w:t>
            </w:r>
          </w:p>
        </w:tc>
      </w:tr>
      <w:tr w:rsidR="005C72EC" w:rsidRPr="001D1563" w14:paraId="466FF11B" w14:textId="77777777" w:rsidTr="0057296E">
        <w:trPr>
          <w:cantSplit/>
          <w:jc w:val="center"/>
        </w:trPr>
        <w:tc>
          <w:tcPr>
            <w:tcW w:w="2836" w:type="dxa"/>
          </w:tcPr>
          <w:p w14:paraId="466FF119" w14:textId="77777777" w:rsidR="005C72EC" w:rsidRPr="001D1563" w:rsidRDefault="005C72EC" w:rsidP="00021D45">
            <w:pPr>
              <w:pStyle w:val="FSCtblMain"/>
            </w:pPr>
            <w:r w:rsidRPr="001D1563">
              <w:rPr>
                <w:rFonts w:cs="Times New Roman"/>
              </w:rPr>
              <w:t>γ</w:t>
            </w:r>
            <w:r w:rsidRPr="001D1563">
              <w:t>-cyclodextrin</w:t>
            </w:r>
          </w:p>
        </w:tc>
        <w:tc>
          <w:tcPr>
            <w:tcW w:w="6236" w:type="dxa"/>
          </w:tcPr>
          <w:p w14:paraId="466FF11A" w14:textId="77777777" w:rsidR="005C72EC" w:rsidRPr="001D1563" w:rsidRDefault="005C72EC" w:rsidP="00021D45">
            <w:pPr>
              <w:pStyle w:val="FSCtblPara"/>
            </w:pPr>
            <w:r w:rsidRPr="001D1563">
              <w:t>1.</w:t>
            </w:r>
            <w:r w:rsidRPr="001D1563">
              <w:tab/>
              <w:t>The name ‘gamma cyclodextrin’ or ‘</w:t>
            </w:r>
            <w:r w:rsidRPr="001D1563">
              <w:rPr>
                <w:rFonts w:cs="Times New Roman"/>
              </w:rPr>
              <w:t>γ</w:t>
            </w:r>
            <w:r w:rsidRPr="001D1563">
              <w:t>- cyclodextrin’ must be used when declaring the ingredient in the statement of ingredients.</w:t>
            </w:r>
          </w:p>
        </w:tc>
      </w:tr>
      <w:tr w:rsidR="005C72EC" w:rsidRPr="001D1563" w14:paraId="466FF11E" w14:textId="77777777" w:rsidTr="0057296E">
        <w:trPr>
          <w:cantSplit/>
          <w:jc w:val="center"/>
        </w:trPr>
        <w:tc>
          <w:tcPr>
            <w:tcW w:w="2836" w:type="dxa"/>
          </w:tcPr>
          <w:p w14:paraId="466FF11C" w14:textId="77777777" w:rsidR="005C72EC" w:rsidRPr="001D1563" w:rsidRDefault="005C72EC" w:rsidP="00021D45">
            <w:pPr>
              <w:pStyle w:val="FSCtblMain"/>
            </w:pPr>
            <w:r w:rsidRPr="001D1563">
              <w:t>Diacylglycerol oil (DAG-Oil)</w:t>
            </w:r>
          </w:p>
        </w:tc>
        <w:tc>
          <w:tcPr>
            <w:tcW w:w="6236" w:type="dxa"/>
          </w:tcPr>
          <w:p w14:paraId="466FF11D" w14:textId="77777777" w:rsidR="005C72EC" w:rsidRPr="001D1563" w:rsidRDefault="005C72EC" w:rsidP="00021D45">
            <w:pPr>
              <w:pStyle w:val="FSCtblPara"/>
            </w:pPr>
            <w:r w:rsidRPr="001D1563">
              <w:t>1.</w:t>
            </w:r>
            <w:r w:rsidRPr="001D1563">
              <w:tab/>
              <w:t>The name ‘Diacylglycerol oil’ must be used when declaring the ingredient in the statement of ingredients.</w:t>
            </w:r>
          </w:p>
        </w:tc>
      </w:tr>
      <w:tr w:rsidR="005C72EC" w:rsidRPr="001D1563" w14:paraId="466FF121" w14:textId="77777777" w:rsidTr="0057296E">
        <w:trPr>
          <w:cantSplit/>
          <w:jc w:val="center"/>
        </w:trPr>
        <w:tc>
          <w:tcPr>
            <w:tcW w:w="2836" w:type="dxa"/>
          </w:tcPr>
          <w:p w14:paraId="466FF11F" w14:textId="77777777" w:rsidR="005C72EC" w:rsidRPr="001D1563" w:rsidRDefault="005C72EC" w:rsidP="00021D45">
            <w:pPr>
              <w:pStyle w:val="FSCtblMain"/>
            </w:pPr>
            <w:r w:rsidRPr="001D1563">
              <w:t>Dried marine micro-algae (</w:t>
            </w:r>
            <w:r w:rsidRPr="001D1563">
              <w:rPr>
                <w:i/>
              </w:rPr>
              <w:t>Schizochytrium</w:t>
            </w:r>
            <w:r w:rsidRPr="001D1563">
              <w:t xml:space="preserve"> sp.) rich in docosahexaenoic acid (DHA)</w:t>
            </w:r>
          </w:p>
        </w:tc>
        <w:tc>
          <w:tcPr>
            <w:tcW w:w="6236" w:type="dxa"/>
          </w:tcPr>
          <w:p w14:paraId="466FF120" w14:textId="77777777" w:rsidR="005C72EC" w:rsidRPr="001D1563" w:rsidRDefault="005C72EC" w:rsidP="005F4B75">
            <w:pPr>
              <w:pStyle w:val="FSCtblPara"/>
            </w:pPr>
          </w:p>
        </w:tc>
      </w:tr>
      <w:tr w:rsidR="0081645B" w:rsidRPr="001D1563" w14:paraId="6A6AD472" w14:textId="77777777" w:rsidTr="0057296E">
        <w:trPr>
          <w:cantSplit/>
          <w:jc w:val="center"/>
        </w:trPr>
        <w:tc>
          <w:tcPr>
            <w:tcW w:w="2836" w:type="dxa"/>
          </w:tcPr>
          <w:p w14:paraId="0D545D14" w14:textId="5629890D" w:rsidR="0081645B" w:rsidRPr="001D1563" w:rsidRDefault="0081645B" w:rsidP="0081645B">
            <w:pPr>
              <w:pStyle w:val="FSCtblMain"/>
            </w:pPr>
            <w:r w:rsidRPr="000E662B">
              <w:t xml:space="preserve">Oil derived from marine micro-algae </w:t>
            </w:r>
            <w:r w:rsidRPr="000E662B">
              <w:rPr>
                <w:i/>
              </w:rPr>
              <w:t>Schizochytrium</w:t>
            </w:r>
            <w:r w:rsidRPr="000E662B">
              <w:t xml:space="preserve"> sp. (American Type Culture Collection (ATCC) PTA-9695)</w:t>
            </w:r>
          </w:p>
        </w:tc>
        <w:tc>
          <w:tcPr>
            <w:tcW w:w="6236" w:type="dxa"/>
          </w:tcPr>
          <w:p w14:paraId="78839151" w14:textId="776E1BB3" w:rsidR="0081645B" w:rsidRPr="001D1563" w:rsidRDefault="0081645B" w:rsidP="0081645B">
            <w:pPr>
              <w:pStyle w:val="FSCtblPara"/>
            </w:pPr>
            <w:r w:rsidRPr="000E662B">
              <w:t>1.</w:t>
            </w:r>
            <w:r w:rsidRPr="000E662B">
              <w:tab/>
              <w:t>May only be added to infant formula products in accordance with Standard 2.9.1.</w:t>
            </w:r>
          </w:p>
        </w:tc>
      </w:tr>
      <w:tr w:rsidR="0081645B" w:rsidRPr="001D1563" w14:paraId="466FF124" w14:textId="77777777" w:rsidTr="0057296E">
        <w:trPr>
          <w:cantSplit/>
          <w:jc w:val="center"/>
        </w:trPr>
        <w:tc>
          <w:tcPr>
            <w:tcW w:w="2836" w:type="dxa"/>
          </w:tcPr>
          <w:p w14:paraId="466FF122" w14:textId="77777777" w:rsidR="0081645B" w:rsidRPr="001D1563" w:rsidRDefault="0081645B" w:rsidP="0081645B">
            <w:pPr>
              <w:pStyle w:val="FSCtblMain"/>
            </w:pPr>
            <w:r w:rsidRPr="001D1563">
              <w:t>Oil derived from marine micro-algae (</w:t>
            </w:r>
            <w:r w:rsidRPr="001D1563">
              <w:rPr>
                <w:i/>
              </w:rPr>
              <w:t>Schizochytrium</w:t>
            </w:r>
            <w:r w:rsidRPr="001D1563">
              <w:t xml:space="preserve"> sp.) rich in docosahexaenoic acid (DHA)</w:t>
            </w:r>
          </w:p>
        </w:tc>
        <w:tc>
          <w:tcPr>
            <w:tcW w:w="6236" w:type="dxa"/>
          </w:tcPr>
          <w:p w14:paraId="466FF123" w14:textId="77777777" w:rsidR="0081645B" w:rsidRPr="001D1563" w:rsidRDefault="0081645B" w:rsidP="0081645B">
            <w:pPr>
              <w:pStyle w:val="FSCtblPara"/>
            </w:pPr>
          </w:p>
        </w:tc>
      </w:tr>
      <w:tr w:rsidR="0081645B" w:rsidRPr="001D1563" w14:paraId="466FF127" w14:textId="77777777" w:rsidTr="0057296E">
        <w:trPr>
          <w:cantSplit/>
          <w:jc w:val="center"/>
        </w:trPr>
        <w:tc>
          <w:tcPr>
            <w:tcW w:w="2836" w:type="dxa"/>
          </w:tcPr>
          <w:p w14:paraId="466FF125" w14:textId="77777777" w:rsidR="0081645B" w:rsidRPr="001D1563" w:rsidRDefault="0081645B" w:rsidP="0081645B">
            <w:pPr>
              <w:pStyle w:val="FSCtblMain"/>
            </w:pPr>
            <w:r w:rsidRPr="001D1563">
              <w:t>Oil derived from marine micro-algae (</w:t>
            </w:r>
            <w:r w:rsidRPr="001D1563">
              <w:rPr>
                <w:i/>
              </w:rPr>
              <w:t>Ulkenia</w:t>
            </w:r>
            <w:r w:rsidRPr="001D1563">
              <w:t xml:space="preserve"> sp.) rich in docosahexaenoic acid (DHA)</w:t>
            </w:r>
          </w:p>
        </w:tc>
        <w:tc>
          <w:tcPr>
            <w:tcW w:w="6236" w:type="dxa"/>
          </w:tcPr>
          <w:p w14:paraId="466FF126" w14:textId="77777777" w:rsidR="0081645B" w:rsidRPr="001D1563" w:rsidRDefault="0081645B" w:rsidP="0081645B">
            <w:pPr>
              <w:pStyle w:val="FSCtblPara"/>
            </w:pPr>
          </w:p>
        </w:tc>
      </w:tr>
      <w:tr w:rsidR="0081645B" w:rsidRPr="001D1563" w14:paraId="466FF12A" w14:textId="77777777" w:rsidTr="0057296E">
        <w:trPr>
          <w:cantSplit/>
          <w:jc w:val="center"/>
        </w:trPr>
        <w:tc>
          <w:tcPr>
            <w:tcW w:w="2836" w:type="dxa"/>
          </w:tcPr>
          <w:p w14:paraId="466FF128" w14:textId="77777777" w:rsidR="0081645B" w:rsidRPr="001D1563" w:rsidRDefault="0081645B" w:rsidP="0081645B">
            <w:pPr>
              <w:pStyle w:val="FSCtblMain"/>
            </w:pPr>
            <w:r w:rsidRPr="001D1563">
              <w:t>Isomaltulose</w:t>
            </w:r>
          </w:p>
        </w:tc>
        <w:tc>
          <w:tcPr>
            <w:tcW w:w="6236" w:type="dxa"/>
          </w:tcPr>
          <w:p w14:paraId="466FF129" w14:textId="77777777" w:rsidR="0081645B" w:rsidRPr="001D1563" w:rsidRDefault="0081645B" w:rsidP="0081645B">
            <w:pPr>
              <w:pStyle w:val="FSCtblPara"/>
            </w:pPr>
          </w:p>
        </w:tc>
      </w:tr>
      <w:tr w:rsidR="0081645B" w:rsidRPr="001D1563" w14:paraId="466FF134" w14:textId="77777777" w:rsidTr="0057296E">
        <w:trPr>
          <w:cantSplit/>
          <w:jc w:val="center"/>
        </w:trPr>
        <w:tc>
          <w:tcPr>
            <w:tcW w:w="2836" w:type="dxa"/>
          </w:tcPr>
          <w:p w14:paraId="466FF12B" w14:textId="77777777" w:rsidR="0081645B" w:rsidRPr="0057296E" w:rsidRDefault="0081645B" w:rsidP="0081645B">
            <w:pPr>
              <w:pStyle w:val="FSCtblMain"/>
            </w:pPr>
            <w:r w:rsidRPr="0057296E">
              <w:t>*Phytosterols, phytostanols and their esters</w:t>
            </w:r>
          </w:p>
        </w:tc>
        <w:tc>
          <w:tcPr>
            <w:tcW w:w="6236" w:type="dxa"/>
          </w:tcPr>
          <w:p w14:paraId="466FF12C" w14:textId="77777777" w:rsidR="0081645B" w:rsidRPr="001D1563" w:rsidRDefault="0081645B" w:rsidP="0081645B">
            <w:pPr>
              <w:pStyle w:val="FSCtblPara"/>
            </w:pPr>
            <w:r w:rsidRPr="001D1563">
              <w:t>1.</w:t>
            </w:r>
            <w:r w:rsidRPr="001D1563">
              <w:tab/>
              <w:t>The food must comply with requirements in Standard 1.2.1 insofar as they relate to section 1.2.3—2.</w:t>
            </w:r>
          </w:p>
          <w:p w14:paraId="466FF12D" w14:textId="77777777" w:rsidR="0081645B" w:rsidRPr="001D1563" w:rsidRDefault="0081645B" w:rsidP="0081645B">
            <w:pPr>
              <w:pStyle w:val="FSCtblPara"/>
            </w:pPr>
            <w:r w:rsidRPr="001D1563">
              <w:t>2.</w:t>
            </w:r>
            <w:r w:rsidRPr="001D1563">
              <w:tab/>
              <w:t>May only be added to edible oil spreads:</w:t>
            </w:r>
          </w:p>
          <w:p w14:paraId="466FF12E" w14:textId="77777777" w:rsidR="0081645B" w:rsidRPr="001D1563" w:rsidRDefault="0081645B" w:rsidP="0081645B">
            <w:pPr>
              <w:pStyle w:val="FSCtblSubpara"/>
            </w:pPr>
            <w:r w:rsidRPr="001D1563">
              <w:t>(a)</w:t>
            </w:r>
            <w:r w:rsidRPr="001D1563">
              <w:tab/>
              <w:t>according to Standard 2.4.2; and</w:t>
            </w:r>
          </w:p>
          <w:p w14:paraId="466FF12F" w14:textId="77777777" w:rsidR="0081645B" w:rsidRPr="001D1563" w:rsidRDefault="0081645B" w:rsidP="0081645B">
            <w:pPr>
              <w:pStyle w:val="FSCtblSubpara"/>
            </w:pPr>
            <w:r w:rsidRPr="001D1563">
              <w:t>(b)</w:t>
            </w:r>
            <w:r w:rsidRPr="001D1563">
              <w:tab/>
              <w:t>where the total *saturated and *trans fatty acids present in the food are no more than 28% of the total fatty acid content of the food; and</w:t>
            </w:r>
          </w:p>
          <w:p w14:paraId="466FF133" w14:textId="16708AB9" w:rsidR="0081645B" w:rsidRPr="0057296E" w:rsidRDefault="0081645B" w:rsidP="0081645B">
            <w:pPr>
              <w:pStyle w:val="FSCtblSubpara"/>
            </w:pPr>
          </w:p>
        </w:tc>
      </w:tr>
      <w:tr w:rsidR="0081645B" w:rsidRPr="001D1563" w14:paraId="466FF139" w14:textId="77777777" w:rsidTr="0057296E">
        <w:trPr>
          <w:cantSplit/>
          <w:jc w:val="center"/>
        </w:trPr>
        <w:tc>
          <w:tcPr>
            <w:tcW w:w="2836" w:type="dxa"/>
            <w:tcBorders>
              <w:top w:val="single" w:sz="4" w:space="0" w:color="auto"/>
            </w:tcBorders>
          </w:tcPr>
          <w:p w14:paraId="466FF135" w14:textId="77777777" w:rsidR="0081645B" w:rsidRPr="0057296E" w:rsidRDefault="0081645B" w:rsidP="0081645B">
            <w:pPr>
              <w:pStyle w:val="FSCtblMain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6FF3C017" w14:textId="77777777" w:rsidR="00BE74F5" w:rsidRPr="00BE74F5" w:rsidRDefault="00BE74F5" w:rsidP="00BE74F5">
            <w:pPr>
              <w:pStyle w:val="FSCtblPara"/>
            </w:pPr>
            <w:r w:rsidRPr="00BE74F5">
              <w:t>3.</w:t>
            </w:r>
            <w:r w:rsidRPr="00BE74F5">
              <w:tab/>
              <w:t>May only be added to breakfast cereals, not including breakfast cereal bars, if:</w:t>
            </w:r>
          </w:p>
          <w:p w14:paraId="751D1CE7" w14:textId="77777777" w:rsidR="00BE74F5" w:rsidRPr="00BE74F5" w:rsidRDefault="00BE74F5" w:rsidP="00BE74F5">
            <w:pPr>
              <w:pStyle w:val="FSCtblSubpara"/>
            </w:pPr>
            <w:r w:rsidRPr="00BE74F5">
              <w:t>(a)</w:t>
            </w:r>
            <w:r w:rsidRPr="00BE74F5">
              <w:tab/>
              <w:t>the total fibre content of the breakfast cereal is no less than         3 g/50 g; and</w:t>
            </w:r>
          </w:p>
          <w:p w14:paraId="78EAAF25" w14:textId="77777777" w:rsidR="00BE74F5" w:rsidRPr="00BE74F5" w:rsidRDefault="00BE74F5" w:rsidP="00BE74F5">
            <w:pPr>
              <w:pStyle w:val="FSCtblSubpara"/>
            </w:pPr>
            <w:r w:rsidRPr="00BE74F5">
              <w:t>(b)</w:t>
            </w:r>
            <w:r w:rsidRPr="00BE74F5">
              <w:tab/>
              <w:t>the breakfast cereal contains no more than 30 g/100 g of total sugars; and</w:t>
            </w:r>
          </w:p>
          <w:p w14:paraId="5E4E0790" w14:textId="77777777" w:rsidR="00BE74F5" w:rsidRPr="00BE74F5" w:rsidRDefault="00BE74F5" w:rsidP="00BE74F5">
            <w:pPr>
              <w:pStyle w:val="FSCtblSubpara"/>
            </w:pPr>
            <w:r w:rsidRPr="00BE74F5">
              <w:t>(c)</w:t>
            </w:r>
            <w:r w:rsidRPr="00BE74F5">
              <w:tab/>
              <w:t>the *total plant sterol equivalents content is the prescribed amount.</w:t>
            </w:r>
          </w:p>
          <w:p w14:paraId="72851985" w14:textId="77777777" w:rsidR="00BE74F5" w:rsidRPr="00BE74F5" w:rsidRDefault="00BE74F5" w:rsidP="00BE74F5">
            <w:pPr>
              <w:pStyle w:val="FSCtblPara"/>
            </w:pPr>
            <w:r w:rsidRPr="00BE74F5">
              <w:t xml:space="preserve">3A. </w:t>
            </w:r>
            <w:r w:rsidRPr="00BE74F5">
              <w:tab/>
              <w:t>For the purposes of condition 3(c) above:</w:t>
            </w:r>
          </w:p>
          <w:p w14:paraId="7730E6F8" w14:textId="77777777" w:rsidR="00BE74F5" w:rsidRPr="00BE74F5" w:rsidRDefault="00BE74F5" w:rsidP="00BE74F5">
            <w:pPr>
              <w:pStyle w:val="FSCtblSubpara"/>
            </w:pPr>
            <w:r w:rsidRPr="00BE74F5">
              <w:t>(a)</w:t>
            </w:r>
            <w:r w:rsidRPr="00BE74F5">
              <w:tab/>
              <w:t xml:space="preserve">the prescribed amount during the exclusive use period is: </w:t>
            </w:r>
          </w:p>
          <w:p w14:paraId="2A19A86A" w14:textId="77777777" w:rsidR="00BE74F5" w:rsidRPr="00BE74F5" w:rsidRDefault="00BE74F5" w:rsidP="00BE74F5">
            <w:pPr>
              <w:pStyle w:val="FSCtblSubpara"/>
              <w:ind w:left="1191"/>
            </w:pPr>
            <w:r w:rsidRPr="00BE74F5">
              <w:t>(i)</w:t>
            </w:r>
            <w:r w:rsidRPr="00BE74F5">
              <w:tab/>
              <w:t xml:space="preserve">for breakfast cereals sold under the brands </w:t>
            </w:r>
            <w:r w:rsidRPr="00BE74F5">
              <w:rPr>
                <w:i/>
              </w:rPr>
              <w:t>Sanitarium Health and Wellbeing</w:t>
            </w:r>
            <w:r w:rsidRPr="00BE74F5">
              <w:t xml:space="preserve"> or </w:t>
            </w:r>
            <w:r w:rsidRPr="00BE74F5">
              <w:rPr>
                <w:i/>
              </w:rPr>
              <w:t>Weet-Bix</w:t>
            </w:r>
            <w:r w:rsidRPr="00BE74F5">
              <w:t xml:space="preserve"> – an amount that is no less than 0.5 g per serving and no more than 2.2 g per serving; and</w:t>
            </w:r>
          </w:p>
          <w:p w14:paraId="355EA8C6" w14:textId="77777777" w:rsidR="00BE74F5" w:rsidRPr="00BE74F5" w:rsidRDefault="00BE74F5" w:rsidP="00BE74F5">
            <w:pPr>
              <w:pStyle w:val="FSCtblSubpara"/>
              <w:ind w:left="1191"/>
            </w:pPr>
            <w:r w:rsidRPr="00BE74F5">
              <w:t>(ii)</w:t>
            </w:r>
            <w:r w:rsidRPr="00BE74F5">
              <w:tab/>
              <w:t>for all other breakfast cereals - an amount that is no less than 15 g/kg and no more than 19 g/kg; and</w:t>
            </w:r>
          </w:p>
          <w:p w14:paraId="0B7D8B99" w14:textId="77777777" w:rsidR="00BE74F5" w:rsidRPr="00BE74F5" w:rsidRDefault="00BE74F5" w:rsidP="00BE74F5">
            <w:pPr>
              <w:pStyle w:val="FSCtblSubpara"/>
            </w:pPr>
            <w:r w:rsidRPr="00BE74F5">
              <w:t xml:space="preserve">(b) </w:t>
            </w:r>
            <w:r w:rsidRPr="00BE74F5">
              <w:tab/>
              <w:t>the prescribed amount after the end of the exclusive use period is an amount that is no less than 0.5 g per serving and no more than 2.2 g per serving.</w:t>
            </w:r>
          </w:p>
          <w:p w14:paraId="42EF048A" w14:textId="77777777" w:rsidR="00BE74F5" w:rsidRDefault="00BE74F5" w:rsidP="00BE74F5">
            <w:pPr>
              <w:pStyle w:val="FSCtblPara"/>
              <w:rPr>
                <w:lang w:eastAsia="en-US"/>
              </w:rPr>
            </w:pPr>
            <w:r w:rsidRPr="00BE74F5">
              <w:rPr>
                <w:lang w:eastAsia="en-US"/>
              </w:rPr>
              <w:t xml:space="preserve">3B. </w:t>
            </w:r>
            <w:r w:rsidRPr="00BE74F5">
              <w:rPr>
                <w:lang w:eastAsia="en-US"/>
              </w:rPr>
              <w:tab/>
              <w:t xml:space="preserve">For the purposes of condition 3A above, </w:t>
            </w:r>
            <w:r w:rsidRPr="00BE74F5">
              <w:rPr>
                <w:b/>
                <w:lang w:eastAsia="en-US"/>
              </w:rPr>
              <w:t>exclusive use period</w:t>
            </w:r>
            <w:r w:rsidRPr="00BE74F5">
              <w:rPr>
                <w:lang w:eastAsia="en-US"/>
              </w:rPr>
              <w:t xml:space="preserve"> means the period commencing on the date of gazettal of the </w:t>
            </w:r>
            <w:r w:rsidRPr="00BE74F5">
              <w:rPr>
                <w:i/>
                <w:lang w:eastAsia="en-US"/>
              </w:rPr>
              <w:t xml:space="preserve">Food Standards (Application A1134 – </w:t>
            </w:r>
            <w:r w:rsidRPr="00BE74F5">
              <w:rPr>
                <w:bCs/>
                <w:i/>
                <w:lang w:eastAsia="en-US"/>
              </w:rPr>
              <w:t>Increased Concentration of Plant Sterols in Breakfast Cereals</w:t>
            </w:r>
            <w:r w:rsidRPr="00BE74F5">
              <w:rPr>
                <w:i/>
                <w:lang w:eastAsia="en-US"/>
              </w:rPr>
              <w:t>) Variation</w:t>
            </w:r>
            <w:r w:rsidRPr="00BE74F5">
              <w:rPr>
                <w:lang w:eastAsia="en-US"/>
              </w:rPr>
              <w:t xml:space="preserve"> and ending 15 months after that date.</w:t>
            </w:r>
          </w:p>
          <w:p w14:paraId="719C8F01" w14:textId="77777777" w:rsidR="00A5295A" w:rsidRPr="00A5295A" w:rsidRDefault="00A5295A" w:rsidP="00A5295A">
            <w:pPr>
              <w:pStyle w:val="FSCtblPara"/>
            </w:pPr>
            <w:r w:rsidRPr="00FF1817">
              <w:t>4.</w:t>
            </w:r>
            <w:r w:rsidRPr="00A5295A">
              <w:tab/>
              <w:t>Foods to which phytosterols, phytostanols or their esters have been added must not be used as ingredients in other foods.</w:t>
            </w:r>
          </w:p>
          <w:p w14:paraId="466FF137" w14:textId="135A873F" w:rsidR="0081645B" w:rsidRPr="001D1563" w:rsidRDefault="0081645B" w:rsidP="00BE74F5">
            <w:pPr>
              <w:pStyle w:val="FSCtblPara"/>
            </w:pPr>
            <w:r w:rsidRPr="001D1563">
              <w:t>5.</w:t>
            </w:r>
            <w:r w:rsidRPr="001D1563">
              <w:tab/>
              <w:t>May only be added to milk in accordance with Standard 2.5.1.</w:t>
            </w:r>
          </w:p>
          <w:p w14:paraId="466FF138" w14:textId="77777777" w:rsidR="0081645B" w:rsidRPr="001D1563" w:rsidRDefault="0081645B" w:rsidP="0081645B">
            <w:pPr>
              <w:pStyle w:val="FSCtblPara"/>
            </w:pPr>
            <w:r w:rsidRPr="001D1563">
              <w:t>6.</w:t>
            </w:r>
            <w:r w:rsidRPr="001D1563">
              <w:tab/>
              <w:t>May only be added to yoghurt in accordance with Standard 2.5.3</w:t>
            </w:r>
          </w:p>
        </w:tc>
      </w:tr>
      <w:tr w:rsidR="0081645B" w:rsidRPr="001D1563" w14:paraId="466FF13C" w14:textId="77777777" w:rsidTr="0057296E">
        <w:trPr>
          <w:cantSplit/>
          <w:jc w:val="center"/>
        </w:trPr>
        <w:tc>
          <w:tcPr>
            <w:tcW w:w="2836" w:type="dxa"/>
          </w:tcPr>
          <w:p w14:paraId="466FF13A" w14:textId="77777777" w:rsidR="0081645B" w:rsidRPr="0057296E" w:rsidRDefault="0081645B" w:rsidP="0081645B">
            <w:pPr>
              <w:pStyle w:val="FSCtblMain"/>
            </w:pPr>
            <w:r w:rsidRPr="0057296E">
              <w:t>D-Tagatose</w:t>
            </w:r>
          </w:p>
        </w:tc>
        <w:tc>
          <w:tcPr>
            <w:tcW w:w="6236" w:type="dxa"/>
          </w:tcPr>
          <w:p w14:paraId="466FF13B" w14:textId="77777777" w:rsidR="0081645B" w:rsidRPr="001D1563" w:rsidRDefault="0081645B" w:rsidP="0081645B">
            <w:pPr>
              <w:pStyle w:val="FSCtblPara"/>
              <w:rPr>
                <w:szCs w:val="20"/>
              </w:rPr>
            </w:pPr>
          </w:p>
        </w:tc>
      </w:tr>
      <w:tr w:rsidR="0081645B" w:rsidRPr="001D1563" w14:paraId="466FF143" w14:textId="77777777" w:rsidTr="0057296E">
        <w:trPr>
          <w:cantSplit/>
          <w:jc w:val="center"/>
        </w:trPr>
        <w:tc>
          <w:tcPr>
            <w:tcW w:w="2836" w:type="dxa"/>
          </w:tcPr>
          <w:p w14:paraId="466FF13D" w14:textId="77777777" w:rsidR="0081645B" w:rsidRPr="0057296E" w:rsidRDefault="0081645B" w:rsidP="0081645B">
            <w:pPr>
              <w:pStyle w:val="FSCtblMain"/>
            </w:pPr>
            <w:r w:rsidRPr="0057296E">
              <w:t>Tall oil phytosterol esters</w:t>
            </w:r>
          </w:p>
        </w:tc>
        <w:tc>
          <w:tcPr>
            <w:tcW w:w="6236" w:type="dxa"/>
          </w:tcPr>
          <w:p w14:paraId="466FF13E" w14:textId="77777777" w:rsidR="0081645B" w:rsidRPr="001D1563" w:rsidRDefault="0081645B" w:rsidP="0081645B">
            <w:pPr>
              <w:pStyle w:val="FSCtblPara"/>
            </w:pPr>
            <w:r w:rsidRPr="001D1563">
              <w:t>1.</w:t>
            </w:r>
            <w:r w:rsidRPr="001D1563">
              <w:tab/>
              <w:t>Tall oil phytosterol esters must comply with the specification for tall oil phytosterol esters in Schedule 3.</w:t>
            </w:r>
          </w:p>
          <w:p w14:paraId="466FF13F" w14:textId="77777777" w:rsidR="0081645B" w:rsidRPr="001D1563" w:rsidRDefault="0081645B" w:rsidP="0081645B">
            <w:pPr>
              <w:pStyle w:val="FSCtblPara"/>
            </w:pPr>
            <w:r w:rsidRPr="001D1563">
              <w:t>2.</w:t>
            </w:r>
            <w:r w:rsidRPr="001D1563">
              <w:tab/>
              <w:t>The food must comply with the requirements in Standard 1.2.1 insofar as they relate to section 1.2.3—2.</w:t>
            </w:r>
          </w:p>
          <w:p w14:paraId="466FF140" w14:textId="77777777" w:rsidR="0081645B" w:rsidRPr="001D1563" w:rsidRDefault="0081645B" w:rsidP="0081645B">
            <w:pPr>
              <w:pStyle w:val="FSCtblPara"/>
            </w:pPr>
            <w:r w:rsidRPr="001D1563">
              <w:t>3.</w:t>
            </w:r>
            <w:r w:rsidRPr="001D1563">
              <w:tab/>
              <w:t>The name ‘tall oil phytosterol esters’ or ‘plant sterol esters’ must be used.</w:t>
            </w:r>
          </w:p>
          <w:p w14:paraId="466FF141" w14:textId="77777777" w:rsidR="0081645B" w:rsidRPr="001D1563" w:rsidRDefault="0081645B" w:rsidP="0081645B">
            <w:pPr>
              <w:pStyle w:val="FSCtblPara"/>
            </w:pPr>
            <w:r w:rsidRPr="001D1563">
              <w:t>4.</w:t>
            </w:r>
            <w:r w:rsidRPr="001D1563">
              <w:tab/>
              <w:t>May only be added to cheese and processed cheese, in accordance with Standard 2.5.4.</w:t>
            </w:r>
          </w:p>
          <w:p w14:paraId="466FF142" w14:textId="77777777" w:rsidR="0081645B" w:rsidRPr="001D1563" w:rsidRDefault="0081645B" w:rsidP="0081645B">
            <w:pPr>
              <w:pStyle w:val="FSCtblPara"/>
            </w:pPr>
            <w:r w:rsidRPr="001D1563">
              <w:t>6.</w:t>
            </w:r>
            <w:r w:rsidRPr="001D1563">
              <w:tab/>
              <w:t>Foods to which tall oil phytosterol esters have been added must not be used as ingredients in other foods.</w:t>
            </w:r>
          </w:p>
        </w:tc>
      </w:tr>
      <w:tr w:rsidR="0081645B" w:rsidRPr="001D1563" w14:paraId="466FF146" w14:textId="77777777" w:rsidTr="0057296E">
        <w:trPr>
          <w:cantSplit/>
          <w:jc w:val="center"/>
        </w:trPr>
        <w:tc>
          <w:tcPr>
            <w:tcW w:w="2836" w:type="dxa"/>
            <w:tcBorders>
              <w:bottom w:val="single" w:sz="4" w:space="0" w:color="auto"/>
            </w:tcBorders>
          </w:tcPr>
          <w:p w14:paraId="466FF144" w14:textId="77777777" w:rsidR="0081645B" w:rsidRPr="0057296E" w:rsidRDefault="0081645B" w:rsidP="0081645B">
            <w:pPr>
              <w:pStyle w:val="FSCtblMain"/>
            </w:pPr>
            <w:r w:rsidRPr="0057296E">
              <w:t>Trehalose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466FF145" w14:textId="77777777" w:rsidR="0081645B" w:rsidRPr="001D1563" w:rsidRDefault="0081645B" w:rsidP="0081645B">
            <w:pPr>
              <w:pStyle w:val="FSCtblPara"/>
            </w:pPr>
          </w:p>
        </w:tc>
      </w:tr>
    </w:tbl>
    <w:p w14:paraId="466FF148" w14:textId="08A7D7BB" w:rsidR="00C5490F" w:rsidRDefault="005C72EC" w:rsidP="00021D45">
      <w:pPr>
        <w:pStyle w:val="FSCoStandardEnd"/>
      </w:pPr>
      <w:r w:rsidRPr="001D1563">
        <w:t>____________________</w:t>
      </w:r>
      <w:r w:rsidR="00C5490F">
        <w:br w:type="page"/>
      </w:r>
    </w:p>
    <w:p w14:paraId="5696C5C5" w14:textId="77777777" w:rsidR="00C5490F" w:rsidRPr="00745B6B" w:rsidRDefault="00C5490F" w:rsidP="00C5490F">
      <w:pPr>
        <w:pStyle w:val="FSCh4Div"/>
        <w:rPr>
          <w:lang w:val="en-AU"/>
        </w:rPr>
      </w:pPr>
      <w:r w:rsidRPr="00745B6B">
        <w:rPr>
          <w:lang w:val="en-AU"/>
        </w:rPr>
        <w:lastRenderedPageBreak/>
        <w:t>Amendment History</w:t>
      </w:r>
    </w:p>
    <w:p w14:paraId="712E0CE0" w14:textId="77777777" w:rsidR="00C5490F" w:rsidRPr="00745B6B" w:rsidRDefault="00C5490F" w:rsidP="00C5490F">
      <w:r w:rsidRPr="00745B6B">
        <w:t>The Amendment History provides information about each amendment to the S</w:t>
      </w:r>
      <w:r>
        <w:t>chedule</w:t>
      </w:r>
      <w:r w:rsidRPr="00745B6B">
        <w:t xml:space="preserve">. The information includes commencement or cessation information for relevant amendments. </w:t>
      </w:r>
    </w:p>
    <w:p w14:paraId="0EB0E650" w14:textId="77777777" w:rsidR="00C5490F" w:rsidRPr="00745B6B" w:rsidRDefault="00C5490F" w:rsidP="00C5490F"/>
    <w:p w14:paraId="338044FC" w14:textId="77777777" w:rsidR="00C5490F" w:rsidRPr="00745B6B" w:rsidRDefault="00C5490F" w:rsidP="00C5490F">
      <w:r w:rsidRPr="00745B6B">
        <w:t xml:space="preserve">These amendments are made under section 92 of the </w:t>
      </w:r>
      <w:r w:rsidRPr="00745B6B">
        <w:rPr>
          <w:i/>
          <w:iCs/>
        </w:rPr>
        <w:t>Food Standards Australia New Zealand Act 1991</w:t>
      </w:r>
      <w:r w:rsidRPr="00745B6B">
        <w:t xml:space="preserve"> unless otherwise indicated. Amendments do not have a specific date for cessation unless indicated as such.</w:t>
      </w:r>
    </w:p>
    <w:p w14:paraId="5AE33AAE" w14:textId="77777777" w:rsidR="00C5490F" w:rsidRPr="00745B6B" w:rsidRDefault="00C5490F" w:rsidP="00C5490F"/>
    <w:p w14:paraId="5A4F1BD2" w14:textId="77777777" w:rsidR="00C5490F" w:rsidRPr="00DA2754" w:rsidRDefault="00C5490F" w:rsidP="00C5490F">
      <w:pPr>
        <w:rPr>
          <w:b/>
        </w:rPr>
      </w:pPr>
      <w:r w:rsidRPr="00DA2754">
        <w:rPr>
          <w:b/>
        </w:rPr>
        <w:t>About this compilation</w:t>
      </w:r>
    </w:p>
    <w:p w14:paraId="27EB35BC" w14:textId="77777777" w:rsidR="00C5490F" w:rsidRPr="00745B6B" w:rsidRDefault="00C5490F" w:rsidP="00C5490F"/>
    <w:p w14:paraId="05793D19" w14:textId="004C4B7E" w:rsidR="00C5490F" w:rsidRPr="0012185E" w:rsidRDefault="00C5490F" w:rsidP="00C5490F">
      <w:r>
        <w:t>This is</w:t>
      </w:r>
      <w:r w:rsidRPr="00745B6B">
        <w:t xml:space="preserve"> compilation </w:t>
      </w:r>
      <w:r w:rsidR="0081645B">
        <w:t>No</w:t>
      </w:r>
      <w:r w:rsidR="0081645B" w:rsidRPr="0012185E">
        <w:t>. 2</w:t>
      </w:r>
      <w:r w:rsidRPr="0012185E">
        <w:t xml:space="preserve"> of Schedule </w:t>
      </w:r>
      <w:r w:rsidR="0081645B" w:rsidRPr="0012185E">
        <w:t>25</w:t>
      </w:r>
      <w:r w:rsidRPr="0012185E">
        <w:t xml:space="preserve"> as in force on </w:t>
      </w:r>
      <w:r w:rsidR="0012185E" w:rsidRPr="0012185E">
        <w:rPr>
          <w:b/>
        </w:rPr>
        <w:t>25</w:t>
      </w:r>
      <w:r w:rsidR="0081645B" w:rsidRPr="0012185E">
        <w:rPr>
          <w:b/>
        </w:rPr>
        <w:t xml:space="preserve"> May 2017</w:t>
      </w:r>
      <w:r w:rsidR="0081645B" w:rsidRPr="0012185E">
        <w:t xml:space="preserve"> (up to Amendment No. 1</w:t>
      </w:r>
      <w:r w:rsidR="0012185E" w:rsidRPr="0012185E">
        <w:t>70</w:t>
      </w:r>
      <w:r w:rsidRPr="0012185E">
        <w:t>). It includes any commenced amendment affecting the compilation to that date.</w:t>
      </w:r>
    </w:p>
    <w:p w14:paraId="1729ACB8" w14:textId="77777777" w:rsidR="00C5490F" w:rsidRPr="0012185E" w:rsidRDefault="00C5490F" w:rsidP="00C5490F"/>
    <w:p w14:paraId="34D3D102" w14:textId="2A8B4654" w:rsidR="00C5490F" w:rsidRPr="0012185E" w:rsidRDefault="00C5490F" w:rsidP="00C5490F">
      <w:pPr>
        <w:rPr>
          <w:i/>
        </w:rPr>
      </w:pPr>
      <w:r w:rsidRPr="0012185E">
        <w:t xml:space="preserve">Prepared by Food Standards Australia New Zealand on </w:t>
      </w:r>
      <w:r w:rsidR="0012185E" w:rsidRPr="0012185E">
        <w:rPr>
          <w:b/>
        </w:rPr>
        <w:t>25</w:t>
      </w:r>
      <w:r w:rsidR="0081645B" w:rsidRPr="0012185E">
        <w:rPr>
          <w:b/>
        </w:rPr>
        <w:t xml:space="preserve"> May 2017</w:t>
      </w:r>
      <w:r w:rsidRPr="0012185E">
        <w:t>.</w:t>
      </w:r>
    </w:p>
    <w:p w14:paraId="3D05FC1D" w14:textId="77777777" w:rsidR="00C5490F" w:rsidRPr="00BB43B3" w:rsidRDefault="00C5490F" w:rsidP="00C5490F"/>
    <w:p w14:paraId="29A5BBD4" w14:textId="77777777" w:rsidR="00C5490F" w:rsidRPr="00DA2754" w:rsidRDefault="00C5490F" w:rsidP="00C5490F">
      <w:pPr>
        <w:rPr>
          <w:b/>
        </w:rPr>
      </w:pPr>
      <w:r w:rsidRPr="00DA2754">
        <w:rPr>
          <w:b/>
        </w:rPr>
        <w:t>Uncommenced amendments or provisions ceasing to have effect</w:t>
      </w:r>
    </w:p>
    <w:p w14:paraId="56237EF1" w14:textId="77777777" w:rsidR="00C5490F" w:rsidRPr="00745B6B" w:rsidRDefault="00C5490F" w:rsidP="00C5490F"/>
    <w:p w14:paraId="2AC9D5F8" w14:textId="77777777" w:rsidR="00C5490F" w:rsidRPr="00654A7E" w:rsidRDefault="00C5490F" w:rsidP="00C5490F">
      <w:r w:rsidRPr="00654A7E">
        <w:t>To assist stakeholders, the effect of any uncommenced amendments or provisions which will cease to have effect, may be reflected in the S</w:t>
      </w:r>
      <w:r>
        <w:t>chedule</w:t>
      </w:r>
      <w:r w:rsidRPr="00654A7E">
        <w:t xml:space="preserve"> as shaded boxed text with the relevant commencement or cessation date. These amendments will be reflected in a compilation registered on the Federal Register of Legislati</w:t>
      </w:r>
      <w:r>
        <w:t>on</w:t>
      </w:r>
      <w:r w:rsidRPr="00654A7E">
        <w:t xml:space="preserve"> including or omitting those amendments and provided in the Amendment History once the date is passed.</w:t>
      </w:r>
    </w:p>
    <w:p w14:paraId="1C224C95" w14:textId="77777777" w:rsidR="00C5490F" w:rsidRPr="00745B6B" w:rsidRDefault="00C5490F" w:rsidP="00C5490F"/>
    <w:p w14:paraId="6AE0C086" w14:textId="77777777" w:rsidR="00C5490F" w:rsidRPr="00745B6B" w:rsidRDefault="00C5490F" w:rsidP="00C5490F"/>
    <w:p w14:paraId="4B46D10F" w14:textId="77777777" w:rsidR="00C5490F" w:rsidRPr="00745B6B" w:rsidRDefault="00C5490F" w:rsidP="00C5490F">
      <w:r w:rsidRPr="00745B6B">
        <w:t>The following abbreviations may be used in the table below:</w:t>
      </w:r>
    </w:p>
    <w:p w14:paraId="76CF1A5E" w14:textId="77777777" w:rsidR="00C5490F" w:rsidRPr="00745B6B" w:rsidRDefault="00C5490F" w:rsidP="00C5490F"/>
    <w:p w14:paraId="023373E6" w14:textId="77777777" w:rsidR="00C5490F" w:rsidRPr="00745B6B" w:rsidRDefault="00C5490F" w:rsidP="00C5490F">
      <w:pPr>
        <w:tabs>
          <w:tab w:val="left" w:pos="4536"/>
        </w:tabs>
      </w:pPr>
      <w:r w:rsidRPr="00745B6B">
        <w:t>ad = added or inserted</w:t>
      </w:r>
      <w:r w:rsidRPr="00745B6B">
        <w:tab/>
        <w:t>am = amended</w:t>
      </w:r>
    </w:p>
    <w:p w14:paraId="0AF1F9AD" w14:textId="77777777" w:rsidR="00C5490F" w:rsidRPr="00745B6B" w:rsidRDefault="00C5490F" w:rsidP="00C5490F">
      <w:pPr>
        <w:tabs>
          <w:tab w:val="left" w:pos="4536"/>
        </w:tabs>
      </w:pPr>
      <w:r w:rsidRPr="00745B6B">
        <w:t>exp = expired or ceased to have effect</w:t>
      </w:r>
      <w:r w:rsidRPr="00745B6B">
        <w:tab/>
        <w:t>rep = repealed</w:t>
      </w:r>
    </w:p>
    <w:p w14:paraId="00042165" w14:textId="77777777" w:rsidR="00C5490F" w:rsidRPr="00745B6B" w:rsidRDefault="00C5490F" w:rsidP="00C5490F">
      <w:pPr>
        <w:tabs>
          <w:tab w:val="left" w:pos="4536"/>
        </w:tabs>
      </w:pPr>
      <w:r w:rsidRPr="00745B6B">
        <w:t>rs = repealed and substituted</w:t>
      </w:r>
    </w:p>
    <w:p w14:paraId="3981C4FF" w14:textId="77777777" w:rsidR="00C5490F" w:rsidRPr="00745B6B" w:rsidRDefault="00C5490F" w:rsidP="00C5490F"/>
    <w:p w14:paraId="426F46C1" w14:textId="14C727A7" w:rsidR="00C5490F" w:rsidRPr="00745B6B" w:rsidRDefault="00C5490F" w:rsidP="00C5490F">
      <w:pPr>
        <w:rPr>
          <w:rFonts w:cs="Arial"/>
          <w:bCs/>
          <w:szCs w:val="18"/>
        </w:rPr>
      </w:pPr>
      <w:r>
        <w:rPr>
          <w:rFonts w:cs="Arial"/>
          <w:b/>
          <w:iCs/>
          <w:szCs w:val="18"/>
        </w:rPr>
        <w:t>Schedule 24</w:t>
      </w:r>
      <w:r w:rsidRPr="00745B6B">
        <w:rPr>
          <w:rFonts w:cs="Arial"/>
          <w:b/>
          <w:bCs/>
          <w:szCs w:val="18"/>
        </w:rPr>
        <w:t xml:space="preserve"> </w:t>
      </w:r>
      <w:r w:rsidRPr="00745B6B">
        <w:rPr>
          <w:rFonts w:cs="Arial"/>
          <w:bCs/>
          <w:szCs w:val="18"/>
        </w:rPr>
        <w:t>was published in the</w:t>
      </w:r>
      <w:r>
        <w:rPr>
          <w:rFonts w:cs="Arial"/>
          <w:bCs/>
          <w:szCs w:val="18"/>
        </w:rPr>
        <w:t xml:space="preserve"> </w:t>
      </w:r>
      <w:r>
        <w:rPr>
          <w:rFonts w:cs="Arial"/>
          <w:bCs/>
          <w:iCs/>
          <w:szCs w:val="18"/>
        </w:rPr>
        <w:t xml:space="preserve">Food Standards </w:t>
      </w:r>
      <w:r w:rsidRPr="00745B6B">
        <w:rPr>
          <w:rFonts w:cs="Arial"/>
          <w:bCs/>
          <w:iCs/>
          <w:szCs w:val="18"/>
        </w:rPr>
        <w:t>Gazette</w:t>
      </w:r>
      <w:r w:rsidRPr="00745B6B">
        <w:rPr>
          <w:rFonts w:cs="Arial"/>
          <w:bCs/>
          <w:szCs w:val="18"/>
        </w:rPr>
        <w:t xml:space="preserve"> No. FSC96 on 10 April 2015 </w:t>
      </w:r>
      <w:r w:rsidRPr="00745B6B">
        <w:t>as part of Amendment 154 (</w:t>
      </w:r>
      <w:r w:rsidRPr="00745B6B">
        <w:rPr>
          <w:rFonts w:cs="Arial"/>
          <w:bCs/>
          <w:szCs w:val="18"/>
        </w:rPr>
        <w:t>F2015L004</w:t>
      </w:r>
      <w:r>
        <w:rPr>
          <w:rFonts w:cs="Arial"/>
          <w:bCs/>
          <w:szCs w:val="18"/>
        </w:rPr>
        <w:t>40</w:t>
      </w:r>
      <w:r w:rsidRPr="00745B6B">
        <w:rPr>
          <w:rFonts w:cs="Arial"/>
          <w:bCs/>
          <w:szCs w:val="18"/>
        </w:rPr>
        <w:t xml:space="preserve"> </w:t>
      </w:r>
      <w:r w:rsidRPr="00745B6B">
        <w:t>–- 1 April 2015</w:t>
      </w:r>
      <w:r w:rsidRPr="00745B6B">
        <w:rPr>
          <w:rFonts w:cs="Arial"/>
          <w:bCs/>
          <w:szCs w:val="18"/>
        </w:rPr>
        <w:t xml:space="preserve">) and has since been amended as follows: </w:t>
      </w:r>
    </w:p>
    <w:p w14:paraId="41FA2BEF" w14:textId="77777777" w:rsidR="00C5490F" w:rsidRPr="00745B6B" w:rsidRDefault="00C5490F" w:rsidP="00C5490F"/>
    <w:tbl>
      <w:tblPr>
        <w:tblW w:w="90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559"/>
        <w:gridCol w:w="850"/>
        <w:gridCol w:w="3294"/>
      </w:tblGrid>
      <w:tr w:rsidR="00C5490F" w:rsidRPr="00745B6B" w14:paraId="7DC01BF2" w14:textId="77777777" w:rsidTr="0081645B">
        <w:trPr>
          <w:cantSplit/>
          <w:tblHeader/>
        </w:trPr>
        <w:tc>
          <w:tcPr>
            <w:tcW w:w="959" w:type="dxa"/>
            <w:shd w:val="clear" w:color="auto" w:fill="auto"/>
            <w:hideMark/>
          </w:tcPr>
          <w:p w14:paraId="35745727" w14:textId="77777777" w:rsidR="00C5490F" w:rsidRPr="00745B6B" w:rsidRDefault="00C5490F" w:rsidP="003D60F9">
            <w:pPr>
              <w:pStyle w:val="FSCtblAmendh"/>
              <w:rPr>
                <w:lang w:eastAsia="en-US"/>
              </w:rPr>
            </w:pPr>
            <w:r>
              <w:rPr>
                <w:lang w:eastAsia="en-US"/>
              </w:rPr>
              <w:t xml:space="preserve">Section </w:t>
            </w:r>
            <w:r w:rsidRPr="00745B6B">
              <w:rPr>
                <w:lang w:eastAsia="en-US"/>
              </w:rPr>
              <w:t>affected</w:t>
            </w:r>
          </w:p>
        </w:tc>
        <w:tc>
          <w:tcPr>
            <w:tcW w:w="992" w:type="dxa"/>
            <w:shd w:val="clear" w:color="auto" w:fill="auto"/>
            <w:hideMark/>
          </w:tcPr>
          <w:p w14:paraId="4B403927" w14:textId="77777777" w:rsidR="00C5490F" w:rsidRPr="00745B6B" w:rsidRDefault="00C5490F" w:rsidP="003D60F9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A’ment No.</w:t>
            </w:r>
          </w:p>
        </w:tc>
        <w:tc>
          <w:tcPr>
            <w:tcW w:w="1418" w:type="dxa"/>
            <w:shd w:val="clear" w:color="auto" w:fill="auto"/>
            <w:hideMark/>
          </w:tcPr>
          <w:p w14:paraId="79DD59AB" w14:textId="77777777" w:rsidR="00C5490F" w:rsidRPr="00745B6B" w:rsidRDefault="00C5490F" w:rsidP="003D60F9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FRL registration</w:t>
            </w:r>
          </w:p>
          <w:p w14:paraId="3BC5E06B" w14:textId="77777777" w:rsidR="00C5490F" w:rsidRPr="00745B6B" w:rsidRDefault="00C5490F" w:rsidP="003D60F9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 xml:space="preserve">Gazette </w:t>
            </w:r>
          </w:p>
        </w:tc>
        <w:tc>
          <w:tcPr>
            <w:tcW w:w="1559" w:type="dxa"/>
            <w:shd w:val="clear" w:color="auto" w:fill="auto"/>
            <w:hideMark/>
          </w:tcPr>
          <w:p w14:paraId="313F46E8" w14:textId="77777777" w:rsidR="00C5490F" w:rsidRPr="00745B6B" w:rsidRDefault="00C5490F" w:rsidP="003D60F9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Commencement</w:t>
            </w:r>
          </w:p>
          <w:p w14:paraId="63900A8C" w14:textId="77777777" w:rsidR="00C5490F" w:rsidRPr="00745B6B" w:rsidRDefault="00C5490F" w:rsidP="003D60F9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(Cessation)</w:t>
            </w:r>
          </w:p>
        </w:tc>
        <w:tc>
          <w:tcPr>
            <w:tcW w:w="850" w:type="dxa"/>
            <w:shd w:val="clear" w:color="auto" w:fill="auto"/>
            <w:hideMark/>
          </w:tcPr>
          <w:p w14:paraId="27F175A7" w14:textId="77777777" w:rsidR="00C5490F" w:rsidRPr="00745B6B" w:rsidRDefault="00C5490F" w:rsidP="003D60F9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How affected</w:t>
            </w:r>
          </w:p>
        </w:tc>
        <w:tc>
          <w:tcPr>
            <w:tcW w:w="3294" w:type="dxa"/>
            <w:shd w:val="clear" w:color="auto" w:fill="auto"/>
            <w:hideMark/>
          </w:tcPr>
          <w:p w14:paraId="753B4482" w14:textId="77777777" w:rsidR="00C5490F" w:rsidRPr="00745B6B" w:rsidRDefault="00C5490F" w:rsidP="003D60F9">
            <w:pPr>
              <w:pStyle w:val="FSCtblAmendh"/>
              <w:rPr>
                <w:lang w:eastAsia="en-US"/>
              </w:rPr>
            </w:pPr>
            <w:r w:rsidRPr="00745B6B">
              <w:rPr>
                <w:lang w:eastAsia="en-US"/>
              </w:rPr>
              <w:t>Description of amendment</w:t>
            </w:r>
          </w:p>
        </w:tc>
      </w:tr>
      <w:tr w:rsidR="00C5490F" w:rsidRPr="00745B6B" w14:paraId="35539E3F" w14:textId="77777777" w:rsidTr="00016B8B">
        <w:trPr>
          <w:cantSplit/>
        </w:trPr>
        <w:tc>
          <w:tcPr>
            <w:tcW w:w="959" w:type="dxa"/>
            <w:tcBorders>
              <w:bottom w:val="single" w:sz="12" w:space="0" w:color="auto"/>
            </w:tcBorders>
            <w:shd w:val="clear" w:color="auto" w:fill="auto"/>
          </w:tcPr>
          <w:p w14:paraId="4DFD0255" w14:textId="77777777" w:rsidR="00C5490F" w:rsidRDefault="00C5490F" w:rsidP="003D60F9">
            <w:pPr>
              <w:pStyle w:val="FSCtblAmendmain"/>
              <w:rPr>
                <w:lang w:val="en-AU"/>
              </w:rPr>
            </w:pPr>
            <w:r>
              <w:rPr>
                <w:lang w:val="en-AU"/>
              </w:rPr>
              <w:t>Note 1 to Std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7E4F549C" w14:textId="77777777" w:rsidR="00C5490F" w:rsidRDefault="00C5490F" w:rsidP="003D60F9">
            <w:pPr>
              <w:pStyle w:val="FSCtblAmendmain"/>
            </w:pPr>
            <w:r>
              <w:t>168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55A8DEC3" w14:textId="77777777" w:rsidR="00BB43B3" w:rsidRPr="00BB43B3" w:rsidRDefault="00BB43B3" w:rsidP="00BB43B3">
            <w:pPr>
              <w:pStyle w:val="FSCtblAmendmain"/>
            </w:pPr>
            <w:r w:rsidRPr="00BB43B3">
              <w:t>F2017L00414</w:t>
            </w:r>
          </w:p>
          <w:p w14:paraId="4A76B335" w14:textId="77777777" w:rsidR="00BB43B3" w:rsidRPr="00BB43B3" w:rsidRDefault="00BB43B3" w:rsidP="00BB43B3">
            <w:pPr>
              <w:pStyle w:val="FSCtblAmendmain"/>
            </w:pPr>
            <w:r w:rsidRPr="00BB43B3">
              <w:t>11 April 2017</w:t>
            </w:r>
          </w:p>
          <w:p w14:paraId="17F1D9BE" w14:textId="2EB27D81" w:rsidR="00C5490F" w:rsidRPr="00BB43B3" w:rsidRDefault="00C5490F" w:rsidP="00BB43B3">
            <w:pPr>
              <w:pStyle w:val="FSCtblAmendmain"/>
            </w:pPr>
            <w:r w:rsidRPr="00BB43B3">
              <w:t>FSC110</w:t>
            </w:r>
          </w:p>
          <w:p w14:paraId="343AFC1B" w14:textId="7A2505CF" w:rsidR="00C5490F" w:rsidRPr="00BB43B3" w:rsidRDefault="00BB43B3" w:rsidP="003D60F9">
            <w:pPr>
              <w:pStyle w:val="FSCtblAmendmain"/>
            </w:pPr>
            <w:r w:rsidRPr="00BB43B3">
              <w:t>13</w:t>
            </w:r>
            <w:r w:rsidR="00C5490F" w:rsidRPr="00BB43B3">
              <w:t xml:space="preserve"> April 2017</w:t>
            </w:r>
          </w:p>
          <w:p w14:paraId="55E6667B" w14:textId="77777777" w:rsidR="00C5490F" w:rsidRPr="00BB43B3" w:rsidRDefault="00C5490F" w:rsidP="003D60F9">
            <w:pPr>
              <w:pStyle w:val="FSCtblAmendmain"/>
            </w:pPr>
            <w:r w:rsidRPr="00BB43B3"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02F67240" w14:textId="0F14DB9F" w:rsidR="00C5490F" w:rsidRPr="00BB43B3" w:rsidRDefault="00BB43B3" w:rsidP="003D60F9">
            <w:pPr>
              <w:pStyle w:val="FSCtblAmendmain"/>
            </w:pPr>
            <w:r w:rsidRPr="00BB43B3">
              <w:rPr>
                <w:bCs w:val="0"/>
              </w:rPr>
              <w:t>13</w:t>
            </w:r>
            <w:r w:rsidR="00C5490F" w:rsidRPr="00BB43B3">
              <w:rPr>
                <w:bCs w:val="0"/>
              </w:rPr>
              <w:t xml:space="preserve"> April 2017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4389B480" w14:textId="77777777" w:rsidR="00C5490F" w:rsidRDefault="00C5490F" w:rsidP="003D60F9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bottom w:val="single" w:sz="12" w:space="0" w:color="auto"/>
            </w:tcBorders>
            <w:shd w:val="clear" w:color="auto" w:fill="auto"/>
          </w:tcPr>
          <w:p w14:paraId="14DE75A3" w14:textId="77777777" w:rsidR="00C5490F" w:rsidRDefault="00C5490F" w:rsidP="003D60F9">
            <w:pPr>
              <w:pStyle w:val="FSCtblAmendmain"/>
            </w:pPr>
            <w:r>
              <w:t>Cross-reference.</w:t>
            </w:r>
          </w:p>
        </w:tc>
      </w:tr>
      <w:tr w:rsidR="0081645B" w:rsidRPr="00745B6B" w14:paraId="0D0D0C7B" w14:textId="77777777" w:rsidTr="00016B8B">
        <w:trPr>
          <w:cantSplit/>
        </w:trPr>
        <w:tc>
          <w:tcPr>
            <w:tcW w:w="9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8A4B6" w14:textId="1B32E687" w:rsidR="0081645B" w:rsidRDefault="0081645B" w:rsidP="0081645B">
            <w:pPr>
              <w:pStyle w:val="FSCtblAmendmain"/>
              <w:rPr>
                <w:lang w:val="en-AU"/>
              </w:rPr>
            </w:pPr>
            <w:r>
              <w:rPr>
                <w:rFonts w:cs="Arial"/>
              </w:rPr>
              <w:t xml:space="preserve">table to </w:t>
            </w:r>
            <w:r w:rsidRPr="00833148">
              <w:rPr>
                <w:rFonts w:cs="Arial"/>
              </w:rPr>
              <w:t>S</w:t>
            </w:r>
            <w:r>
              <w:rPr>
                <w:rFonts w:cs="Arial"/>
              </w:rPr>
              <w:t>25</w:t>
            </w:r>
            <w:r w:rsidRPr="00833148">
              <w:rPr>
                <w:rFonts w:cs="Arial"/>
              </w:rPr>
              <w:t>—</w:t>
            </w:r>
            <w:r>
              <w:rPr>
                <w:rFonts w:cs="Arial"/>
                <w:lang w:val="en-AU" w:eastAsia="en-AU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3A69E" w14:textId="28BEC51A" w:rsidR="0081645B" w:rsidRDefault="0081645B" w:rsidP="00D73DAA">
            <w:pPr>
              <w:pStyle w:val="FSCtblAmendmain"/>
            </w:pPr>
            <w:r>
              <w:t>1</w:t>
            </w:r>
            <w:r w:rsidR="00D73DAA">
              <w:t>70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17C2C" w14:textId="66923B53" w:rsidR="0081645B" w:rsidRPr="004A6EE5" w:rsidRDefault="0081645B" w:rsidP="0081645B">
            <w:pPr>
              <w:pStyle w:val="FSCtblAmendmain"/>
            </w:pPr>
            <w:r w:rsidRPr="004A6EE5">
              <w:t>F2017L00</w:t>
            </w:r>
            <w:r w:rsidR="004A6EE5" w:rsidRPr="004A6EE5">
              <w:t>586</w:t>
            </w:r>
          </w:p>
          <w:p w14:paraId="6605816B" w14:textId="0E297400" w:rsidR="0081645B" w:rsidRPr="004A6EE5" w:rsidRDefault="004A6EE5" w:rsidP="0081645B">
            <w:pPr>
              <w:pStyle w:val="FSCtblAmendmain"/>
            </w:pPr>
            <w:r w:rsidRPr="004A6EE5">
              <w:t>23</w:t>
            </w:r>
            <w:r w:rsidR="0081645B" w:rsidRPr="004A6EE5">
              <w:t xml:space="preserve"> May 2017</w:t>
            </w:r>
          </w:p>
          <w:p w14:paraId="7C42D31D" w14:textId="4B7E9BC6" w:rsidR="0081645B" w:rsidRPr="004A6EE5" w:rsidRDefault="0081645B" w:rsidP="0081645B">
            <w:pPr>
              <w:pStyle w:val="FSCtblAmendmain"/>
            </w:pPr>
            <w:r w:rsidRPr="004A6EE5">
              <w:t>FSC11</w:t>
            </w:r>
            <w:r w:rsidR="00691434" w:rsidRPr="004A6EE5">
              <w:t>2</w:t>
            </w:r>
          </w:p>
          <w:p w14:paraId="2DCBE6B2" w14:textId="4C0BCA1F" w:rsidR="0081645B" w:rsidRPr="004A6EE5" w:rsidRDefault="00691434" w:rsidP="00335465">
            <w:pPr>
              <w:pStyle w:val="FSCtblAmendmain"/>
            </w:pPr>
            <w:r w:rsidRPr="004A6EE5">
              <w:t>25</w:t>
            </w:r>
            <w:r w:rsidR="0081645B" w:rsidRPr="004A6EE5">
              <w:t xml:space="preserve"> May 2017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E18B4" w14:textId="78ED868B" w:rsidR="0081645B" w:rsidRPr="00691434" w:rsidRDefault="00691434" w:rsidP="0081645B">
            <w:pPr>
              <w:pStyle w:val="FSCtblAmendmain"/>
              <w:rPr>
                <w:bCs w:val="0"/>
              </w:rPr>
            </w:pPr>
            <w:r w:rsidRPr="00691434">
              <w:rPr>
                <w:bCs w:val="0"/>
              </w:rPr>
              <w:t>25</w:t>
            </w:r>
            <w:r w:rsidR="0081645B" w:rsidRPr="00691434">
              <w:rPr>
                <w:bCs w:val="0"/>
              </w:rPr>
              <w:t xml:space="preserve"> May 2017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6634A" w14:textId="23498AA9" w:rsidR="0081645B" w:rsidRDefault="0081645B" w:rsidP="0081645B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CC9CA4D" w14:textId="77777777" w:rsidR="0081645B" w:rsidRDefault="0081645B" w:rsidP="0081645B">
            <w:pPr>
              <w:pStyle w:val="FSCtblAmendmain"/>
            </w:pPr>
            <w:r>
              <w:t>Entry for o</w:t>
            </w:r>
            <w:r w:rsidRPr="000E662B">
              <w:t xml:space="preserve">il derived from marine micro-algae </w:t>
            </w:r>
            <w:r w:rsidRPr="000E662B">
              <w:rPr>
                <w:i/>
              </w:rPr>
              <w:t>Schizochytrium</w:t>
            </w:r>
            <w:r w:rsidRPr="000E662B">
              <w:t xml:space="preserve"> sp. (American Type Culture Collection (ATCC) PTA-9695)</w:t>
            </w:r>
          </w:p>
          <w:p w14:paraId="177C0D0B" w14:textId="17F132B4" w:rsidR="0081645B" w:rsidRDefault="0081645B" w:rsidP="0081645B">
            <w:pPr>
              <w:pStyle w:val="FSCtblAmendmain"/>
            </w:pPr>
          </w:p>
        </w:tc>
      </w:tr>
      <w:tr w:rsidR="00E0337F" w:rsidRPr="00745B6B" w14:paraId="3BFD8C6E" w14:textId="77777777" w:rsidTr="00016B8B">
        <w:trPr>
          <w:cantSplit/>
        </w:trPr>
        <w:tc>
          <w:tcPr>
            <w:tcW w:w="95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CA6DCD" w14:textId="21586555" w:rsidR="00E0337F" w:rsidRDefault="00E0337F" w:rsidP="00E0337F">
            <w:pPr>
              <w:pStyle w:val="FSCtblAmendmain"/>
              <w:rPr>
                <w:rFonts w:cs="Arial"/>
              </w:rPr>
            </w:pPr>
            <w:r>
              <w:rPr>
                <w:rFonts w:cs="Arial"/>
              </w:rPr>
              <w:t xml:space="preserve">table to </w:t>
            </w:r>
            <w:r w:rsidRPr="00833148">
              <w:rPr>
                <w:rFonts w:cs="Arial"/>
              </w:rPr>
              <w:t>S</w:t>
            </w:r>
            <w:r>
              <w:rPr>
                <w:rFonts w:cs="Arial"/>
              </w:rPr>
              <w:t>25</w:t>
            </w:r>
            <w:r w:rsidRPr="00833148">
              <w:rPr>
                <w:rFonts w:cs="Arial"/>
              </w:rPr>
              <w:t>—</w:t>
            </w:r>
            <w:r>
              <w:rPr>
                <w:rFonts w:cs="Arial"/>
                <w:lang w:val="en-AU" w:eastAsia="en-A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E32D90" w14:textId="3DB56D08" w:rsidR="00E0337F" w:rsidRDefault="00E0337F" w:rsidP="00D73DAA">
            <w:pPr>
              <w:pStyle w:val="FSCtblAmendmain"/>
            </w:pPr>
            <w:r>
              <w:t>1</w:t>
            </w:r>
            <w:r w:rsidR="00D73DAA"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A06529" w14:textId="6E506933" w:rsidR="00E0337F" w:rsidRPr="00335465" w:rsidRDefault="00E0337F" w:rsidP="00E0337F">
            <w:pPr>
              <w:pStyle w:val="FSCtblAmendmain"/>
            </w:pPr>
            <w:r w:rsidRPr="00335465">
              <w:t>F2017L00</w:t>
            </w:r>
            <w:r w:rsidR="00335465" w:rsidRPr="00335465">
              <w:t>584</w:t>
            </w:r>
          </w:p>
          <w:p w14:paraId="2C55ADF0" w14:textId="04CB94C6" w:rsidR="00E0337F" w:rsidRPr="00335465" w:rsidRDefault="00335465" w:rsidP="00E0337F">
            <w:pPr>
              <w:pStyle w:val="FSCtblAmendmain"/>
            </w:pPr>
            <w:r w:rsidRPr="00335465">
              <w:t>23</w:t>
            </w:r>
            <w:r w:rsidR="00E0337F" w:rsidRPr="00335465">
              <w:t xml:space="preserve"> May 2017</w:t>
            </w:r>
          </w:p>
          <w:p w14:paraId="6DFE9412" w14:textId="6E3375F3" w:rsidR="00E0337F" w:rsidRPr="00335465" w:rsidRDefault="00E0337F" w:rsidP="00E0337F">
            <w:pPr>
              <w:pStyle w:val="FSCtblAmendmain"/>
            </w:pPr>
            <w:r w:rsidRPr="00335465">
              <w:t>FSC11</w:t>
            </w:r>
            <w:r w:rsidR="00691434" w:rsidRPr="00335465">
              <w:t>2</w:t>
            </w:r>
          </w:p>
          <w:p w14:paraId="5A83661B" w14:textId="71D06102" w:rsidR="00E0337F" w:rsidRPr="00335465" w:rsidRDefault="00691434" w:rsidP="00E0337F">
            <w:pPr>
              <w:pStyle w:val="FSCtblAmendmain"/>
            </w:pPr>
            <w:r w:rsidRPr="00335465">
              <w:t>25</w:t>
            </w:r>
            <w:r w:rsidR="00E0337F" w:rsidRPr="00335465">
              <w:t xml:space="preserve"> May 2017</w:t>
            </w:r>
          </w:p>
          <w:p w14:paraId="0057A9DC" w14:textId="7DF1057A" w:rsidR="00E0337F" w:rsidRPr="00335465" w:rsidRDefault="00E0337F" w:rsidP="00E0337F">
            <w:pPr>
              <w:pStyle w:val="FSCtblAmendmain"/>
            </w:pPr>
            <w:r w:rsidRPr="00335465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1C0768" w14:textId="7C129F91" w:rsidR="00E0337F" w:rsidRPr="00691434" w:rsidRDefault="00691434" w:rsidP="00E0337F">
            <w:pPr>
              <w:pStyle w:val="FSCtblAmendmain"/>
              <w:rPr>
                <w:bCs w:val="0"/>
              </w:rPr>
            </w:pPr>
            <w:r w:rsidRPr="00691434">
              <w:rPr>
                <w:bCs w:val="0"/>
              </w:rPr>
              <w:t>25</w:t>
            </w:r>
            <w:r w:rsidR="00E0337F" w:rsidRPr="00691434">
              <w:rPr>
                <w:bCs w:val="0"/>
              </w:rPr>
              <w:t xml:space="preserve"> May 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54FA3F" w14:textId="53F90918" w:rsidR="00E0337F" w:rsidRPr="00E0337F" w:rsidRDefault="00E0337F" w:rsidP="00E0337F">
            <w:pPr>
              <w:pStyle w:val="FSCtblAmendmain"/>
            </w:pPr>
            <w:r w:rsidRPr="00E0337F">
              <w:t>am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5B112677" w14:textId="1C75E2B9" w:rsidR="00E0337F" w:rsidRPr="00E0337F" w:rsidRDefault="00E0337F" w:rsidP="00E0337F">
            <w:pPr>
              <w:pStyle w:val="FSCtblAmendmain"/>
            </w:pPr>
            <w:r w:rsidRPr="00E0337F">
              <w:t>Entry for *Phytosterols, phytostanols and their esters.</w:t>
            </w:r>
          </w:p>
        </w:tc>
      </w:tr>
    </w:tbl>
    <w:p w14:paraId="2A0BD54F" w14:textId="77777777" w:rsidR="00BA1167" w:rsidRPr="000F7093" w:rsidRDefault="00BA1167" w:rsidP="0081645B">
      <w:pPr>
        <w:pStyle w:val="FSCoStandardEnd"/>
      </w:pPr>
      <w:bookmarkStart w:id="6" w:name="_GoBack"/>
      <w:bookmarkEnd w:id="6"/>
    </w:p>
    <w:sectPr w:rsidR="00BA1167" w:rsidRPr="000F7093" w:rsidSect="000375D7">
      <w:footerReference w:type="defaul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FF14B" w14:textId="77777777" w:rsidR="005C72EC" w:rsidRDefault="005C72EC">
      <w:r>
        <w:separator/>
      </w:r>
    </w:p>
    <w:p w14:paraId="6641990D" w14:textId="77777777" w:rsidR="004F0ADF" w:rsidRDefault="004F0ADF"/>
  </w:endnote>
  <w:endnote w:type="continuationSeparator" w:id="0">
    <w:p w14:paraId="466FF14C" w14:textId="77777777" w:rsidR="005C72EC" w:rsidRDefault="005C72EC">
      <w:r>
        <w:continuationSeparator/>
      </w:r>
    </w:p>
    <w:p w14:paraId="7C763FF3" w14:textId="77777777" w:rsidR="004F0ADF" w:rsidRDefault="004F0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4DBF3" w14:textId="19A1274B" w:rsidR="004F0ADF" w:rsidRDefault="00016B8B" w:rsidP="00C5490F">
    <w:pPr>
      <w:pStyle w:val="FSCfooter"/>
      <w:rPr>
        <w:noProof/>
      </w:rPr>
    </w:pPr>
    <w:sdt>
      <w:sdt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5490F" w:rsidRPr="0012185E">
          <w:t xml:space="preserve">As at </w:t>
        </w:r>
        <w:r w:rsidR="0012185E" w:rsidRPr="0012185E">
          <w:t>25</w:t>
        </w:r>
        <w:r w:rsidR="0081645B" w:rsidRPr="0012185E">
          <w:t xml:space="preserve"> May</w:t>
        </w:r>
        <w:r w:rsidR="00C5490F" w:rsidRPr="0012185E">
          <w:t xml:space="preserve"> 2017</w:t>
        </w:r>
        <w:r w:rsidR="00EB4661" w:rsidRPr="00EB4661">
          <w:tab/>
        </w:r>
        <w:r w:rsidR="00EB4661" w:rsidRPr="00EB4661">
          <w:fldChar w:fldCharType="begin"/>
        </w:r>
        <w:r w:rsidR="00EB4661" w:rsidRPr="00EB4661">
          <w:instrText xml:space="preserve"> PAGE   \* MERGEFORMAT </w:instrText>
        </w:r>
        <w:r w:rsidR="00EB4661" w:rsidRPr="00EB4661">
          <w:fldChar w:fldCharType="separate"/>
        </w:r>
        <w:r>
          <w:rPr>
            <w:noProof/>
          </w:rPr>
          <w:t>3</w:t>
        </w:r>
        <w:r w:rsidR="00EB4661" w:rsidRPr="00EB4661">
          <w:rPr>
            <w:noProof/>
          </w:rPr>
          <w:fldChar w:fldCharType="end"/>
        </w:r>
      </w:sdtContent>
    </w:sdt>
    <w:r w:rsidR="00EB4661" w:rsidRPr="00EB4661">
      <w:rPr>
        <w:noProof/>
      </w:rPr>
      <w:tab/>
    </w:r>
    <w:r w:rsidR="005C72EC">
      <w:rPr>
        <w:noProof/>
      </w:rPr>
      <w:t xml:space="preserve">Schedule 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FF152" w14:textId="77777777" w:rsidR="0062664F" w:rsidRPr="00EB4661" w:rsidRDefault="00EB4661" w:rsidP="00EB4661">
        <w:pPr>
          <w:tabs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  <w:p w14:paraId="1ABC9D74" w14:textId="77777777" w:rsidR="004F0ADF" w:rsidRDefault="004F0A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FF149" w14:textId="77777777" w:rsidR="005C72EC" w:rsidRDefault="005C72EC">
      <w:r>
        <w:separator/>
      </w:r>
    </w:p>
    <w:p w14:paraId="43298D8B" w14:textId="77777777" w:rsidR="004F0ADF" w:rsidRDefault="004F0ADF"/>
  </w:footnote>
  <w:footnote w:type="continuationSeparator" w:id="0">
    <w:p w14:paraId="466FF14A" w14:textId="77777777" w:rsidR="005C72EC" w:rsidRDefault="005C72EC">
      <w:r>
        <w:continuationSeparator/>
      </w:r>
    </w:p>
    <w:p w14:paraId="5C53EFF0" w14:textId="77777777" w:rsidR="004F0ADF" w:rsidRDefault="004F0A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 w15:restartNumberingAfterBreak="0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5C72EC"/>
    <w:rsid w:val="00002024"/>
    <w:rsid w:val="000039D7"/>
    <w:rsid w:val="00012B72"/>
    <w:rsid w:val="00016B8B"/>
    <w:rsid w:val="00021D45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185E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5287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35465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A6EE5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0ADF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296E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C72EC"/>
    <w:rsid w:val="005D4CA5"/>
    <w:rsid w:val="005D7C25"/>
    <w:rsid w:val="005F27EF"/>
    <w:rsid w:val="005F4B75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1434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2BAF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645B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09DF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02449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5295A"/>
    <w:rsid w:val="00A65E96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43B3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4F5"/>
    <w:rsid w:val="00BE7BBB"/>
    <w:rsid w:val="00BF3151"/>
    <w:rsid w:val="00C079BE"/>
    <w:rsid w:val="00C201BA"/>
    <w:rsid w:val="00C24200"/>
    <w:rsid w:val="00C3317E"/>
    <w:rsid w:val="00C3374E"/>
    <w:rsid w:val="00C33E01"/>
    <w:rsid w:val="00C448DB"/>
    <w:rsid w:val="00C519DC"/>
    <w:rsid w:val="00C53AF7"/>
    <w:rsid w:val="00C5490F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3DAA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37F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66FF109"/>
  <w15:docId w15:val="{74A50E3A-01E0-4F7E-A46E-013E2A6C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6E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57296E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57296E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57296E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57296E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57296E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57296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7296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7296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7296E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57296E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7296E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7296E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7296E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7296E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57296E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96E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96E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7296E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basedOn w:val="FSCbaseheading"/>
    <w:next w:val="FSCh2Part"/>
    <w:qFormat/>
    <w:rsid w:val="009809DF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9809DF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9809DF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basedOn w:val="FSCbaseheading"/>
    <w:next w:val="FSCtMain"/>
    <w:qFormat/>
    <w:rsid w:val="009809DF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basedOn w:val="FSCbasepara"/>
    <w:rsid w:val="009809DF"/>
    <w:pPr>
      <w:keepLines w:val="0"/>
      <w:widowControl w:val="0"/>
      <w:tabs>
        <w:tab w:val="left" w:pos="1134"/>
      </w:tabs>
      <w:spacing w:after="120"/>
    </w:pPr>
  </w:style>
  <w:style w:type="paragraph" w:customStyle="1" w:styleId="FSCh4Div">
    <w:name w:val="FSC_h4_Div"/>
    <w:basedOn w:val="FSCbaseheading"/>
    <w:next w:val="FSCh5Section"/>
    <w:qFormat/>
    <w:rsid w:val="009809DF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809DF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6Subsec">
    <w:name w:val="FSC_h6_Subsec"/>
    <w:basedOn w:val="FSCbaseheading"/>
    <w:next w:val="FSCtMain"/>
    <w:qFormat/>
    <w:rsid w:val="009809DF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57296E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96E"/>
    <w:rPr>
      <w:rFonts w:ascii="Arial" w:hAnsi="Arial"/>
      <w:szCs w:val="24"/>
      <w:lang w:val="en-GB"/>
    </w:rPr>
  </w:style>
  <w:style w:type="paragraph" w:customStyle="1" w:styleId="FSCnMain">
    <w:name w:val="FSC_n_Main"/>
    <w:basedOn w:val="FSCtPara"/>
    <w:qFormat/>
    <w:rsid w:val="009809DF"/>
    <w:rPr>
      <w:iCs w:val="0"/>
      <w:sz w:val="16"/>
      <w:szCs w:val="18"/>
    </w:rPr>
  </w:style>
  <w:style w:type="paragraph" w:customStyle="1" w:styleId="FSCnPara">
    <w:name w:val="FSC_n_Para"/>
    <w:basedOn w:val="FSCtSubpara"/>
    <w:qFormat/>
    <w:rsid w:val="009809DF"/>
    <w:rPr>
      <w:sz w:val="16"/>
    </w:rPr>
  </w:style>
  <w:style w:type="paragraph" w:customStyle="1" w:styleId="FSCnSubpara">
    <w:name w:val="FSC_n_Subpara"/>
    <w:basedOn w:val="FSCtSubsub"/>
    <w:qFormat/>
    <w:rsid w:val="009809DF"/>
    <w:rPr>
      <w:sz w:val="16"/>
    </w:rPr>
  </w:style>
  <w:style w:type="paragraph" w:customStyle="1" w:styleId="FSCnatHeading">
    <w:name w:val="FSC_n_at_Heading"/>
    <w:basedOn w:val="FSCtMain"/>
    <w:qFormat/>
    <w:rsid w:val="009809DF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tDefn">
    <w:name w:val="FSC_t_Defn"/>
    <w:basedOn w:val="FSCtMain"/>
    <w:rsid w:val="009809DF"/>
    <w:pPr>
      <w:ind w:firstLine="0"/>
    </w:pPr>
  </w:style>
  <w:style w:type="paragraph" w:customStyle="1" w:styleId="FSCtPara">
    <w:name w:val="FSC_t_Para"/>
    <w:basedOn w:val="FSCtMain"/>
    <w:qFormat/>
    <w:rsid w:val="009809DF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9809DF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basedOn w:val="FSCtPara"/>
    <w:qFormat/>
    <w:rsid w:val="009809DF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basedOn w:val="FSCh3Standard"/>
    <w:rsid w:val="009809DF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809DF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9809DF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9809DF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9809DF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9809DF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809DF"/>
    <w:rPr>
      <w:sz w:val="16"/>
    </w:rPr>
  </w:style>
  <w:style w:type="paragraph" w:customStyle="1" w:styleId="FSCoTitleofInstrument">
    <w:name w:val="FSC_o_Title_of_Instrument"/>
    <w:basedOn w:val="Normal"/>
    <w:rsid w:val="009809DF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Normal"/>
    <w:qFormat/>
    <w:rsid w:val="009809DF"/>
    <w:pPr>
      <w:spacing w:before="80"/>
    </w:pPr>
    <w:rPr>
      <w:color w:val="7030A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9809DF"/>
    <w:pPr>
      <w:ind w:left="0" w:firstLine="0"/>
      <w:jc w:val="center"/>
    </w:pPr>
  </w:style>
  <w:style w:type="paragraph" w:customStyle="1" w:styleId="FSCbaseheading">
    <w:name w:val="FSC_base_heading"/>
    <w:rsid w:val="009809DF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809DF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OC">
    <w:name w:val="FSC_base_TOC"/>
    <w:rsid w:val="009809DF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9809DF"/>
    <w:pPr>
      <w:spacing w:before="240" w:after="0"/>
      <w:jc w:val="center"/>
    </w:pPr>
    <w:rPr>
      <w:iCs w:val="0"/>
    </w:rPr>
  </w:style>
  <w:style w:type="paragraph" w:customStyle="1" w:styleId="FSCfooter">
    <w:name w:val="FSC_footer"/>
    <w:basedOn w:val="Normal"/>
    <w:rsid w:val="009809DF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FSCbasetbl">
    <w:name w:val="FSC_base_tbl"/>
    <w:basedOn w:val="FSCbasepara"/>
    <w:rsid w:val="009809DF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9809DF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basedOn w:val="FSCnSubpara"/>
    <w:qFormat/>
    <w:rsid w:val="009809DF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outChap">
    <w:name w:val="FSC_out_Chap"/>
    <w:basedOn w:val="FSCh4Div"/>
    <w:qFormat/>
    <w:rsid w:val="009809DF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809DF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809DF"/>
    <w:pPr>
      <w:tabs>
        <w:tab w:val="clear" w:pos="1134"/>
        <w:tab w:val="left" w:pos="1701"/>
      </w:tabs>
      <w:ind w:left="3402" w:hanging="3402"/>
    </w:pPr>
  </w:style>
  <w:style w:type="paragraph" w:customStyle="1" w:styleId="FSCtblAddh1">
    <w:name w:val="FSC_tbl_Add_h1"/>
    <w:basedOn w:val="FSCh4Div"/>
    <w:rsid w:val="009809DF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809DF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809DF"/>
    <w:pPr>
      <w:keepNext/>
      <w:keepLines/>
      <w:spacing w:before="60" w:after="60"/>
      <w:ind w:left="1701" w:hanging="1701"/>
    </w:pPr>
    <w:rPr>
      <w:rFonts w:eastAsiaTheme="minorHAnsi" w:cs="Arial"/>
      <w:b/>
      <w:iCs/>
      <w:sz w:val="18"/>
      <w:szCs w:val="22"/>
      <w:lang w:eastAsia="en-US"/>
    </w:rPr>
  </w:style>
  <w:style w:type="paragraph" w:customStyle="1" w:styleId="FSCtblAddh4">
    <w:name w:val="FSC_tbl_Add_h4"/>
    <w:basedOn w:val="Normal"/>
    <w:rsid w:val="009809DF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eastAsia="en-US"/>
    </w:rPr>
  </w:style>
  <w:style w:type="paragraph" w:customStyle="1" w:styleId="FSCtblAddh5">
    <w:name w:val="FSC_tbl_Add_h5"/>
    <w:basedOn w:val="Normal"/>
    <w:rsid w:val="009809DF"/>
    <w:pPr>
      <w:keepLines/>
      <w:spacing w:before="60" w:after="60"/>
      <w:ind w:left="1701" w:hanging="1701"/>
    </w:pPr>
    <w:rPr>
      <w:rFonts w:eastAsiaTheme="minorHAnsi" w:cs="Arial"/>
      <w:i/>
      <w:sz w:val="18"/>
      <w:szCs w:val="22"/>
      <w:lang w:eastAsia="en-US"/>
    </w:rPr>
  </w:style>
  <w:style w:type="paragraph" w:customStyle="1" w:styleId="FSCtblAdd1">
    <w:name w:val="FSC_tbl_Add1"/>
    <w:basedOn w:val="Normal"/>
    <w:qFormat/>
    <w:rsid w:val="009809DF"/>
    <w:pPr>
      <w:keepLines/>
      <w:spacing w:before="20" w:after="20"/>
    </w:pPr>
    <w:rPr>
      <w:rFonts w:eastAsiaTheme="minorHAnsi" w:cs="Arial"/>
      <w:sz w:val="18"/>
      <w:szCs w:val="22"/>
      <w:lang w:eastAsia="en-US"/>
    </w:rPr>
  </w:style>
  <w:style w:type="paragraph" w:customStyle="1" w:styleId="FSCtblAdd2">
    <w:name w:val="FSC_tbl_Add2"/>
    <w:basedOn w:val="Normal"/>
    <w:qFormat/>
    <w:rsid w:val="009809DF"/>
    <w:pPr>
      <w:keepLines/>
      <w:spacing w:before="20" w:after="20"/>
      <w:jc w:val="right"/>
    </w:pPr>
    <w:rPr>
      <w:rFonts w:eastAsiaTheme="minorHAnsi" w:cs="Arial"/>
      <w:sz w:val="18"/>
      <w:szCs w:val="22"/>
      <w:lang w:eastAsia="en-US"/>
    </w:rPr>
  </w:style>
  <w:style w:type="paragraph" w:customStyle="1" w:styleId="FSCtblAmendh">
    <w:name w:val="FSC_tbl_Amend_h"/>
    <w:basedOn w:val="Normal"/>
    <w:rsid w:val="009809DF"/>
    <w:pPr>
      <w:keepNext/>
      <w:spacing w:after="60"/>
    </w:pPr>
    <w:rPr>
      <w:rFonts w:eastAsia="Calibri"/>
      <w:b/>
      <w:sz w:val="16"/>
      <w:szCs w:val="20"/>
    </w:rPr>
  </w:style>
  <w:style w:type="paragraph" w:customStyle="1" w:styleId="FSCtblh2">
    <w:name w:val="FSC_tbl_h2"/>
    <w:basedOn w:val="Normal"/>
    <w:qFormat/>
    <w:rsid w:val="009809DF"/>
    <w:pPr>
      <w:keepNext/>
      <w:keepLines/>
      <w:spacing w:before="240" w:after="120"/>
      <w:jc w:val="center"/>
    </w:pPr>
    <w:rPr>
      <w:rFonts w:cs="Arial"/>
      <w:b/>
      <w:color w:val="000000"/>
      <w:sz w:val="18"/>
      <w:szCs w:val="22"/>
    </w:rPr>
  </w:style>
  <w:style w:type="paragraph" w:customStyle="1" w:styleId="FSCtblh3">
    <w:name w:val="FSC_tbl_h3"/>
    <w:basedOn w:val="Normal"/>
    <w:next w:val="Normal"/>
    <w:rsid w:val="009809DF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h4">
    <w:name w:val="FSC_tbl_h4"/>
    <w:basedOn w:val="Normal"/>
    <w:next w:val="Normal"/>
    <w:rsid w:val="009809DF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Main">
    <w:name w:val="FSC_tbl_Main"/>
    <w:basedOn w:val="Normal"/>
    <w:rsid w:val="009809DF"/>
    <w:pPr>
      <w:keepLines/>
      <w:tabs>
        <w:tab w:val="right" w:pos="3969"/>
      </w:tabs>
      <w:spacing w:before="60" w:after="60"/>
    </w:pPr>
    <w:rPr>
      <w:rFonts w:cs="Arial"/>
      <w:sz w:val="18"/>
      <w:szCs w:val="20"/>
    </w:rPr>
  </w:style>
  <w:style w:type="paragraph" w:customStyle="1" w:styleId="FSCtblMainC">
    <w:name w:val="FSC_tbl_Main_C"/>
    <w:basedOn w:val="FSCtblMain"/>
    <w:qFormat/>
    <w:rsid w:val="009809DF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809DF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809DF"/>
    <w:pPr>
      <w:keepLines/>
      <w:spacing w:before="20" w:after="20"/>
    </w:pPr>
    <w:rPr>
      <w:rFonts w:cs="Arial"/>
      <w:sz w:val="18"/>
      <w:szCs w:val="20"/>
    </w:rPr>
  </w:style>
  <w:style w:type="paragraph" w:customStyle="1" w:styleId="FSCtblMRL2">
    <w:name w:val="FSC_tbl_MRL2"/>
    <w:basedOn w:val="FSCtblMRL1"/>
    <w:qFormat/>
    <w:rsid w:val="009809DF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A02449"/>
    <w:pPr>
      <w:keepLines/>
      <w:spacing w:before="60" w:after="60"/>
      <w:ind w:left="397" w:hanging="397"/>
    </w:pPr>
    <w:rPr>
      <w:rFonts w:cs="Arial"/>
      <w:sz w:val="18"/>
      <w:szCs w:val="22"/>
    </w:rPr>
  </w:style>
  <w:style w:type="paragraph" w:customStyle="1" w:styleId="FSCtblSubpara">
    <w:name w:val="FSC_tbl_Subpara"/>
    <w:basedOn w:val="Normal"/>
    <w:rsid w:val="00A02449"/>
    <w:pPr>
      <w:keepLines/>
      <w:spacing w:before="60" w:after="60"/>
      <w:ind w:left="794" w:hanging="397"/>
    </w:pPr>
    <w:rPr>
      <w:rFonts w:cs="Arial"/>
      <w:sz w:val="18"/>
      <w:szCs w:val="22"/>
    </w:rPr>
  </w:style>
  <w:style w:type="paragraph" w:customStyle="1" w:styleId="FSCtblAmendmain">
    <w:name w:val="FSC_tbl_Amend_main"/>
    <w:basedOn w:val="Normal"/>
    <w:qFormat/>
    <w:rsid w:val="009809DF"/>
    <w:pPr>
      <w:ind w:left="113" w:hanging="113"/>
    </w:pPr>
    <w:rPr>
      <w:bCs/>
      <w:sz w:val="16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49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90F"/>
    <w:rPr>
      <w:rFonts w:ascii="Arial" w:hAnsi="Arial"/>
      <w:szCs w:val="24"/>
      <w:lang w:val="en-GB"/>
    </w:rPr>
  </w:style>
  <w:style w:type="paragraph" w:customStyle="1" w:styleId="Heading61">
    <w:name w:val="Heading 61"/>
    <w:basedOn w:val="Normal"/>
    <w:next w:val="Normal"/>
    <w:semiHidden/>
    <w:unhideWhenUsed/>
    <w:qFormat/>
    <w:rsid w:val="0081645B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hAnsi="Cambria"/>
      <w:i/>
      <w:iCs/>
      <w:color w:val="243F60"/>
      <w:sz w:val="22"/>
      <w:szCs w:val="20"/>
      <w:lang w:eastAsia="en-US"/>
    </w:rPr>
  </w:style>
  <w:style w:type="paragraph" w:customStyle="1" w:styleId="FSCheader">
    <w:name w:val="FSCheader"/>
    <w:basedOn w:val="Normal"/>
    <w:rsid w:val="0081645B"/>
    <w:pPr>
      <w:widowControl w:val="0"/>
      <w:tabs>
        <w:tab w:val="left" w:pos="851"/>
      </w:tabs>
      <w:jc w:val="center"/>
    </w:pPr>
    <w:rPr>
      <w:szCs w:val="20"/>
      <w:lang w:eastAsia="en-US"/>
    </w:rPr>
  </w:style>
  <w:style w:type="paragraph" w:customStyle="1" w:styleId="tbAt2Para">
    <w:name w:val="tbA_t2_Para"/>
    <w:basedOn w:val="Normal"/>
    <w:rsid w:val="00A5295A"/>
    <w:pPr>
      <w:keepLines/>
      <w:spacing w:before="60" w:after="60"/>
      <w:ind w:left="397" w:hanging="397"/>
    </w:pPr>
    <w:rPr>
      <w:rFonts w:ascii="Times New Roman" w:hAnsi="Times New Roman" w:cs="Arial"/>
      <w:iCs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X3VAMR3A5FUY-552-3161</_dlc_DocId>
    <_dlc_DocIdUrl xmlns="ff5de93e-c5e8-4efc-a1bd-21450292fcfe">
      <Url>http://teams/Sections/RAP/_layouts/15/DocIdRedir.aspx?ID=X3VAMR3A5FUY-552-3161</Url>
      <Description>X3VAMR3A5FUY-552-3161</Description>
    </_dlc_DocIdUrl>
    <a41428b017d04df981d58ffdf035d7b8 xmlns="ec50576e-4a27-4780-a1e1-e59563bc70b8">
      <Terms xmlns="http://schemas.microsoft.com/office/infopath/2007/PartnerControls"/>
    </a41428b017d04df981d58ffdf035d7b8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C9690F-4585-4F7E-B671-0D0221C5072E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ec50576e-4a27-4780-a1e1-e59563bc70b8"/>
    <ds:schemaRef ds:uri="http://purl.org/dc/dcmitype/"/>
    <ds:schemaRef ds:uri="http://purl.org/dc/elements/1.1/"/>
    <ds:schemaRef ds:uri="http://schemas.openxmlformats.org/package/2006/metadata/core-properties"/>
    <ds:schemaRef ds:uri="ff5de93e-c5e8-4efc-a1bd-21450292fcf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A5727F-5C89-43AE-99AE-89FEDDEC6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A4B60-E3C6-4299-A020-280F408706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0B58E4-EBCF-48BB-838D-CE4C711B3EA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B2F1361-0F9B-4841-9100-CBC3AD48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Solicitor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Graham, James</dc:creator>
  <cp:keywords/>
  <cp:lastModifiedBy>Humphries, Cathie</cp:lastModifiedBy>
  <cp:revision>20</cp:revision>
  <cp:lastPrinted>2017-05-23T03:49:00Z</cp:lastPrinted>
  <dcterms:created xsi:type="dcterms:W3CDTF">2015-03-08T01:43:00Z</dcterms:created>
  <dcterms:modified xsi:type="dcterms:W3CDTF">2017-05-23T07:51:00Z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_dlc_DocId">
    <vt:lpwstr>OURAGSID-51-68</vt:lpwstr>
  </property>
  <property fmtid="{D5CDD505-2E9C-101B-9397-08002B2CF9AE}" pid="5" name="_dlc_DocIdUrl">
    <vt:lpwstr>http://ourags.ags.gov.au/_layouts/DocIdRedir.aspx?ID=OURAGSID-51-68, OURAGSID-51-68</vt:lpwstr>
  </property>
  <property fmtid="{D5CDD505-2E9C-101B-9397-08002B2CF9AE}" pid="6" name="ContentTypeId">
    <vt:lpwstr>0x01010004C4C934AD08B647A78FCADD498BE3190200326A638932699E48A89F1995A4895C37</vt:lpwstr>
  </property>
  <property fmtid="{D5CDD505-2E9C-101B-9397-08002B2CF9AE}" pid="7" name="_dlc_DocIdItemGuid">
    <vt:lpwstr>1ef98939-b375-4851-9a65-e9b624500618</vt:lpwstr>
  </property>
  <property fmtid="{D5CDD505-2E9C-101B-9397-08002B2CF9AE}" pid="8" name="BCS_">
    <vt:lpwstr>846;#Instruments|4a8ff5e5-1f0e-4751-ab44-bc0d33b46a80</vt:lpwstr>
  </property>
  <property fmtid="{D5CDD505-2E9C-101B-9397-08002B2CF9AE}" pid="9" name="DisposalClass">
    <vt:lpwstr/>
  </property>
  <property fmtid="{D5CDD505-2E9C-101B-9397-08002B2CF9AE}" pid="10" name="a41428b017d04df981d58ffdf035d7b8">
    <vt:lpwstr/>
  </property>
  <property fmtid="{D5CDD505-2E9C-101B-9397-08002B2CF9AE}" pid="11" name="TitusGUID">
    <vt:lpwstr>65cc5a57-8732-437c-ba14-98174bd8dbf3</vt:lpwstr>
  </property>
</Properties>
</file>