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8CF" w:rsidRPr="00860A34" w:rsidRDefault="008C78CF" w:rsidP="00381303">
      <w:pPr>
        <w:ind w:right="979"/>
        <w:jc w:val="center"/>
        <w:rPr>
          <w:b/>
        </w:rPr>
      </w:pPr>
      <w:r w:rsidRPr="00860A34">
        <w:rPr>
          <w:b/>
        </w:rPr>
        <w:t>EXPLANATORY STATEMENT</w:t>
      </w:r>
    </w:p>
    <w:p w:rsidR="008C78CF" w:rsidRPr="00860A34" w:rsidRDefault="008C78CF" w:rsidP="00381303">
      <w:pPr>
        <w:ind w:right="979"/>
        <w:jc w:val="center"/>
        <w:rPr>
          <w:u w:val="single"/>
        </w:rPr>
      </w:pPr>
    </w:p>
    <w:p w:rsidR="008C78CF" w:rsidRPr="009D0D8A" w:rsidRDefault="008C78CF" w:rsidP="00381303">
      <w:pPr>
        <w:ind w:right="979"/>
        <w:jc w:val="center"/>
        <w:rPr>
          <w:i/>
        </w:rPr>
      </w:pPr>
      <w:r w:rsidRPr="009D0D8A">
        <w:rPr>
          <w:i/>
        </w:rPr>
        <w:t>National Health Act 1953</w:t>
      </w:r>
    </w:p>
    <w:p w:rsidR="008C78CF" w:rsidRPr="00860A34" w:rsidRDefault="008C78CF" w:rsidP="00381303">
      <w:pPr>
        <w:ind w:right="979"/>
      </w:pPr>
    </w:p>
    <w:p w:rsidR="008C78CF" w:rsidRPr="00860A34" w:rsidRDefault="008C78CF" w:rsidP="00381303">
      <w:pPr>
        <w:ind w:right="979"/>
        <w:jc w:val="center"/>
        <w:rPr>
          <w:b/>
          <w:i/>
        </w:rPr>
      </w:pPr>
      <w:r w:rsidRPr="00860A34">
        <w:rPr>
          <w:b/>
          <w:i/>
        </w:rPr>
        <w:t>National Health (Claims Transmission System</w:t>
      </w:r>
      <w:r>
        <w:rPr>
          <w:b/>
          <w:i/>
        </w:rPr>
        <w:t xml:space="preserve"> Exemption</w:t>
      </w:r>
      <w:r w:rsidRPr="00860A34">
        <w:rPr>
          <w:b/>
          <w:i/>
        </w:rPr>
        <w:t xml:space="preserve">) </w:t>
      </w:r>
      <w:r>
        <w:rPr>
          <w:b/>
          <w:i/>
        </w:rPr>
        <w:t xml:space="preserve">Guidelines </w:t>
      </w:r>
      <w:r w:rsidRPr="00860A34">
        <w:rPr>
          <w:b/>
          <w:i/>
        </w:rPr>
        <w:t>2015</w:t>
      </w:r>
    </w:p>
    <w:p w:rsidR="008C78CF" w:rsidRPr="00860A34" w:rsidRDefault="008C78CF" w:rsidP="00381303">
      <w:pPr>
        <w:ind w:right="979"/>
        <w:jc w:val="center"/>
        <w:rPr>
          <w:i/>
        </w:rPr>
      </w:pPr>
    </w:p>
    <w:p w:rsidR="008C78CF" w:rsidRPr="00860A34" w:rsidRDefault="008C78CF" w:rsidP="00381303">
      <w:pPr>
        <w:ind w:right="979"/>
        <w:jc w:val="center"/>
        <w:rPr>
          <w:b/>
        </w:rPr>
      </w:pPr>
      <w:r>
        <w:rPr>
          <w:b/>
        </w:rPr>
        <w:t>PB </w:t>
      </w:r>
      <w:r w:rsidR="009D0D8A">
        <w:rPr>
          <w:b/>
        </w:rPr>
        <w:t>38</w:t>
      </w:r>
      <w:r>
        <w:rPr>
          <w:b/>
        </w:rPr>
        <w:t> of </w:t>
      </w:r>
      <w:r w:rsidRPr="00860A34">
        <w:rPr>
          <w:b/>
        </w:rPr>
        <w:t>2015</w:t>
      </w:r>
    </w:p>
    <w:p w:rsidR="008C78CF" w:rsidRPr="00860A34" w:rsidRDefault="008C78CF" w:rsidP="00381303">
      <w:pPr>
        <w:ind w:right="979"/>
        <w:jc w:val="center"/>
      </w:pPr>
    </w:p>
    <w:p w:rsidR="008C78CF" w:rsidRPr="00860A34" w:rsidRDefault="008C78CF" w:rsidP="00381303">
      <w:pPr>
        <w:ind w:right="979"/>
      </w:pPr>
      <w:r w:rsidRPr="00860A34">
        <w:rPr>
          <w:b/>
        </w:rPr>
        <w:t>Authority</w:t>
      </w:r>
      <w:r w:rsidRPr="00860A34">
        <w:t xml:space="preserve"> </w:t>
      </w:r>
    </w:p>
    <w:p w:rsidR="008C78CF" w:rsidRPr="00860A34" w:rsidRDefault="008C78CF" w:rsidP="00381303">
      <w:pPr>
        <w:spacing w:after="200"/>
        <w:ind w:right="979"/>
      </w:pPr>
      <w:r w:rsidRPr="00860A34">
        <w:t>This instrument is made under s</w:t>
      </w:r>
      <w:r>
        <w:t>ubsection </w:t>
      </w:r>
      <w:r w:rsidRPr="00860A34">
        <w:t xml:space="preserve">99AAC(2) of the </w:t>
      </w:r>
      <w:r>
        <w:rPr>
          <w:i/>
        </w:rPr>
        <w:t>National Health Act </w:t>
      </w:r>
      <w:r w:rsidRPr="00860A34">
        <w:rPr>
          <w:i/>
        </w:rPr>
        <w:t>1953</w:t>
      </w:r>
      <w:r w:rsidRPr="00860A34">
        <w:t xml:space="preserve"> (the Act). </w:t>
      </w:r>
    </w:p>
    <w:p w:rsidR="008C78CF" w:rsidRPr="00860A34" w:rsidRDefault="008C78CF" w:rsidP="00381303">
      <w:pPr>
        <w:ind w:right="979"/>
        <w:rPr>
          <w:b/>
        </w:rPr>
      </w:pPr>
      <w:r w:rsidRPr="00860A34">
        <w:rPr>
          <w:b/>
        </w:rPr>
        <w:t>Purpose</w:t>
      </w:r>
    </w:p>
    <w:p w:rsidR="008C78CF" w:rsidRPr="00860A34" w:rsidRDefault="008C78CF" w:rsidP="00381303">
      <w:pPr>
        <w:spacing w:after="200"/>
        <w:ind w:right="979"/>
      </w:pPr>
      <w:r w:rsidRPr="00860A34">
        <w:t xml:space="preserve">The purpose of this instrument is to repeal and remake </w:t>
      </w:r>
      <w:r>
        <w:t>the Guidelines under subsection </w:t>
      </w:r>
      <w:r w:rsidRPr="00860A34">
        <w:t>99AAC(2) of the Act.</w:t>
      </w:r>
    </w:p>
    <w:p w:rsidR="008C78CF" w:rsidRPr="00860A34" w:rsidRDefault="008C78CF" w:rsidP="00381303">
      <w:pPr>
        <w:spacing w:after="200"/>
        <w:ind w:right="979"/>
      </w:pPr>
      <w:r w:rsidRPr="00860A34">
        <w:t>This</w:t>
      </w:r>
      <w:r>
        <w:t xml:space="preserve"> i</w:t>
      </w:r>
      <w:r w:rsidRPr="00860A34">
        <w:t xml:space="preserve">nstrument </w:t>
      </w:r>
      <w:r>
        <w:t xml:space="preserve">contains changes which are consequential to </w:t>
      </w:r>
      <w:r w:rsidRPr="00860A34">
        <w:t xml:space="preserve">the </w:t>
      </w:r>
      <w:r w:rsidRPr="00860A34">
        <w:rPr>
          <w:i/>
        </w:rPr>
        <w:t>National Health (Pharm</w:t>
      </w:r>
      <w:r>
        <w:rPr>
          <w:i/>
        </w:rPr>
        <w:t>aceutical Benefits) Regulations </w:t>
      </w:r>
      <w:r w:rsidRPr="00860A34">
        <w:rPr>
          <w:i/>
        </w:rPr>
        <w:t xml:space="preserve">1960 </w:t>
      </w:r>
      <w:r w:rsidRPr="00860A34">
        <w:t xml:space="preserve">(the Regulations), as amended by the </w:t>
      </w:r>
      <w:r w:rsidRPr="00860A34">
        <w:rPr>
          <w:i/>
        </w:rPr>
        <w:t xml:space="preserve">National Health (Pharmaceutical Benefits) Amendment (Medication </w:t>
      </w:r>
      <w:r w:rsidR="00F17A3F">
        <w:rPr>
          <w:i/>
        </w:rPr>
        <w:t>Chart Prescriptions) Regulation </w:t>
      </w:r>
      <w:r w:rsidRPr="00860A34">
        <w:rPr>
          <w:i/>
        </w:rPr>
        <w:t xml:space="preserve">2015 </w:t>
      </w:r>
      <w:r>
        <w:t>on 1 April </w:t>
      </w:r>
      <w:r w:rsidRPr="00860A34">
        <w:t xml:space="preserve">2015. </w:t>
      </w:r>
    </w:p>
    <w:p w:rsidR="008C78CF" w:rsidRPr="00860A34" w:rsidRDefault="008C78CF" w:rsidP="00381303">
      <w:pPr>
        <w:spacing w:after="120"/>
        <w:ind w:right="979"/>
      </w:pPr>
      <w:r w:rsidRPr="00860A34">
        <w:rPr>
          <w:lang w:val="en-US"/>
        </w:rPr>
        <w:t xml:space="preserve">The Regulation amendments </w:t>
      </w:r>
      <w:r w:rsidRPr="00860A34">
        <w:t xml:space="preserve">provide for a medication chart prescription to be used for hospital patients for prescribing, dispensing, and claiming on the Pharmaceutical Benefits Scheme (PBS) and Repatriation PBS (RPBS).  </w:t>
      </w:r>
      <w:r w:rsidRPr="00860A34">
        <w:rPr>
          <w:lang w:val="en-US"/>
        </w:rPr>
        <w:t>The Regulation amendments implement the PBS Medication Charts for Public and Private Hospitals measure, announced by the Austr</w:t>
      </w:r>
      <w:r>
        <w:rPr>
          <w:lang w:val="en-US"/>
        </w:rPr>
        <w:t>alian Government as part of the 2014-15 </w:t>
      </w:r>
      <w:r w:rsidRPr="00860A34">
        <w:rPr>
          <w:lang w:val="en-US"/>
        </w:rPr>
        <w:t>Budget.</w:t>
      </w:r>
      <w:r w:rsidRPr="00860A34">
        <w:t xml:space="preserve"> </w:t>
      </w:r>
    </w:p>
    <w:p w:rsidR="008C78CF" w:rsidRPr="00860A34" w:rsidRDefault="008C78CF" w:rsidP="00381303">
      <w:pPr>
        <w:spacing w:after="120"/>
        <w:ind w:right="979"/>
      </w:pPr>
      <w:r>
        <w:t>The Regulations assist</w:t>
      </w:r>
      <w:r w:rsidRPr="00860A34">
        <w:t xml:space="preserve"> with streamlining payment of claims </w:t>
      </w:r>
      <w:r>
        <w:t xml:space="preserve">submitted electronically by </w:t>
      </w:r>
      <w:r w:rsidRPr="00860A34">
        <w:t xml:space="preserve">approved suppliers </w:t>
      </w:r>
      <w:r>
        <w:t>of pharmaceutical benefits (i</w:t>
      </w:r>
      <w:r w:rsidR="009D0D8A">
        <w:t>.</w:t>
      </w:r>
      <w:r>
        <w:t>e</w:t>
      </w:r>
      <w:r w:rsidR="009D0D8A">
        <w:t>.</w:t>
      </w:r>
      <w:r>
        <w:t xml:space="preserve"> </w:t>
      </w:r>
      <w:r w:rsidRPr="00860A34">
        <w:t>pharmacis</w:t>
      </w:r>
      <w:r>
        <w:t>ts, hospitals, dispensing doctors</w:t>
      </w:r>
      <w:r w:rsidRPr="00860A34">
        <w:t xml:space="preserve">). </w:t>
      </w:r>
      <w:r w:rsidR="00F17A3F">
        <w:t xml:space="preserve"> </w:t>
      </w:r>
      <w:r w:rsidRPr="00860A34">
        <w:t>Approved suppliers will no longer be required to send in prescriptions as part of their PBS/RPBS claim, instead providing an electronic supply certification and, under the Regulation amendments, keeping prescription documents previously p</w:t>
      </w:r>
      <w:r>
        <w:t>rovided to the Commonwealth for </w:t>
      </w:r>
      <w:r w:rsidRPr="00860A34">
        <w:t>2 years.</w:t>
      </w:r>
    </w:p>
    <w:p w:rsidR="008C78CF" w:rsidRPr="00860A34" w:rsidRDefault="008C78CF" w:rsidP="00381303">
      <w:pPr>
        <w:spacing w:after="120"/>
        <w:ind w:right="979"/>
      </w:pPr>
      <w:r w:rsidRPr="00860A34">
        <w:t>Unless the</w:t>
      </w:r>
      <w:r w:rsidR="009D0D8A">
        <w:t xml:space="preserve"> Secretary, Department of Health</w:t>
      </w:r>
      <w:r w:rsidRPr="00860A34">
        <w:t>, in accordance with G</w:t>
      </w:r>
      <w:r>
        <w:t xml:space="preserve">uidelines made under </w:t>
      </w:r>
      <w:r w:rsidRPr="00F2491D">
        <w:t>subsection</w:t>
      </w:r>
      <w:r>
        <w:t> </w:t>
      </w:r>
      <w:r w:rsidRPr="00F2491D">
        <w:t>99AAC</w:t>
      </w:r>
      <w:r w:rsidRPr="00860A34">
        <w:t>(2) of the Act, declares an approved supplier exempt</w:t>
      </w:r>
      <w:r w:rsidR="009D0D8A">
        <w:t xml:space="preserve"> under </w:t>
      </w:r>
      <w:r w:rsidR="002251DB">
        <w:t>s</w:t>
      </w:r>
      <w:r w:rsidR="005D2075">
        <w:t>ubsection</w:t>
      </w:r>
      <w:r w:rsidR="00233BD6">
        <w:t> </w:t>
      </w:r>
      <w:r w:rsidR="002251DB">
        <w:t>99AAC(1</w:t>
      </w:r>
      <w:r w:rsidR="009D0D8A">
        <w:t>) of the Act</w:t>
      </w:r>
      <w:r w:rsidRPr="00860A34">
        <w:t>, an approved supplier must make a PBS/RPBS claim using the Claims Transmission System (</w:t>
      </w:r>
      <w:r w:rsidR="00233BD6">
        <w:t xml:space="preserve">an </w:t>
      </w:r>
      <w:r w:rsidRPr="00860A34">
        <w:t>electronic online claiming</w:t>
      </w:r>
      <w:r w:rsidR="00233BD6">
        <w:t xml:space="preserve"> system</w:t>
      </w:r>
      <w:r w:rsidRPr="00860A34">
        <w:t xml:space="preserve">). </w:t>
      </w:r>
      <w:r w:rsidR="00F17A3F">
        <w:t xml:space="preserve"> </w:t>
      </w:r>
      <w:r w:rsidRPr="00860A34">
        <w:t xml:space="preserve">A declaration that an approved supplier is exempt permits the approved supplier to make a PBS/RPBS claim using the manual system, that is, non-electronically, by sending prescriptions to the Chief Executive Medicare in accordance with rules made under </w:t>
      </w:r>
      <w:r>
        <w:t>subsection </w:t>
      </w:r>
      <w:r w:rsidRPr="00860A34">
        <w:t xml:space="preserve">99AAA(8) of the Act. </w:t>
      </w:r>
    </w:p>
    <w:p w:rsidR="0071739A" w:rsidRDefault="008C78CF" w:rsidP="00381303">
      <w:pPr>
        <w:spacing w:after="120"/>
        <w:ind w:right="979"/>
      </w:pPr>
      <w:r w:rsidRPr="00860A34">
        <w:t xml:space="preserve">If an approved supplier is an approved medical practitioner (dispensing doctor), </w:t>
      </w:r>
      <w:r w:rsidR="002C6319">
        <w:t xml:space="preserve">an exemption under </w:t>
      </w:r>
      <w:r w:rsidRPr="00860A34">
        <w:t xml:space="preserve">the Guidelines </w:t>
      </w:r>
      <w:r w:rsidR="002C6319">
        <w:t>is</w:t>
      </w:r>
      <w:r w:rsidRPr="00860A34">
        <w:t xml:space="preserve"> not needed</w:t>
      </w:r>
      <w:r w:rsidR="002C6319">
        <w:t>,</w:t>
      </w:r>
      <w:r w:rsidRPr="00860A34">
        <w:t xml:space="preserve"> as the dispensing doctor may choose to make a manual system</w:t>
      </w:r>
      <w:r>
        <w:t xml:space="preserve"> claim as of right</w:t>
      </w:r>
      <w:r w:rsidR="003D40CB">
        <w:t>, see</w:t>
      </w:r>
      <w:r>
        <w:t xml:space="preserve"> paragraph </w:t>
      </w:r>
      <w:r w:rsidRPr="00860A34">
        <w:t>99AAB(2)(a) of the Act.</w:t>
      </w:r>
      <w:r w:rsidR="002C6319">
        <w:t xml:space="preserve"> </w:t>
      </w:r>
    </w:p>
    <w:p w:rsidR="008C78CF" w:rsidRPr="00860A34" w:rsidRDefault="002C6319" w:rsidP="00381303">
      <w:pPr>
        <w:spacing w:after="120"/>
        <w:ind w:right="979"/>
      </w:pPr>
      <w:r>
        <w:t>The Secretary</w:t>
      </w:r>
      <w:r w:rsidR="002251DB">
        <w:t xml:space="preserve">’s </w:t>
      </w:r>
      <w:r>
        <w:t>power under s</w:t>
      </w:r>
      <w:r w:rsidR="003D40CB">
        <w:t>ubsection </w:t>
      </w:r>
      <w:r>
        <w:t xml:space="preserve">99AAC(1) of the Act, </w:t>
      </w:r>
      <w:r w:rsidR="002251DB">
        <w:t xml:space="preserve">that is, </w:t>
      </w:r>
      <w:r>
        <w:t xml:space="preserve">the power to make an exemption </w:t>
      </w:r>
      <w:r w:rsidR="003D40CB">
        <w:t>declaration</w:t>
      </w:r>
      <w:r>
        <w:t xml:space="preserve">, </w:t>
      </w:r>
      <w:r w:rsidR="002251DB">
        <w:t xml:space="preserve">has been delegated </w:t>
      </w:r>
      <w:r>
        <w:t xml:space="preserve">to the Chief Executive Medicare. </w:t>
      </w:r>
    </w:p>
    <w:p w:rsidR="003D40CB" w:rsidRDefault="003D40CB">
      <w:r>
        <w:br w:type="page"/>
      </w:r>
    </w:p>
    <w:p w:rsidR="008C78CF" w:rsidRPr="00860A34" w:rsidRDefault="008C78CF" w:rsidP="00381303">
      <w:pPr>
        <w:spacing w:after="200"/>
        <w:ind w:right="979"/>
      </w:pPr>
      <w:r w:rsidRPr="00860A34">
        <w:lastRenderedPageBreak/>
        <w:t>This instrument:</w:t>
      </w:r>
    </w:p>
    <w:p w:rsidR="008C78CF" w:rsidRPr="00860A34" w:rsidRDefault="008C78CF" w:rsidP="00F07F43">
      <w:pPr>
        <w:numPr>
          <w:ilvl w:val="0"/>
          <w:numId w:val="1"/>
        </w:numPr>
        <w:spacing w:after="200"/>
        <w:ind w:left="1134" w:right="979" w:hanging="567"/>
      </w:pPr>
      <w:r>
        <w:t>has</w:t>
      </w:r>
      <w:r w:rsidRPr="00860A34">
        <w:t xml:space="preserve"> an emergency or accessibility ground for exemption;</w:t>
      </w:r>
    </w:p>
    <w:p w:rsidR="008C78CF" w:rsidRPr="00860A34" w:rsidRDefault="008C78CF" w:rsidP="00F07F43">
      <w:pPr>
        <w:numPr>
          <w:ilvl w:val="0"/>
          <w:numId w:val="1"/>
        </w:numPr>
        <w:spacing w:after="200"/>
        <w:ind w:left="1134" w:right="979" w:hanging="567"/>
      </w:pPr>
      <w:r>
        <w:t>has</w:t>
      </w:r>
      <w:r w:rsidRPr="00860A34">
        <w:t xml:space="preserve"> a ground for exemption for an approved supplier who was using the Claims Transmission System to make PBS/RPBS claims by making a ‘CTS non-online claim’ </w:t>
      </w:r>
      <w:r w:rsidRPr="00233BD6">
        <w:t>(commonly known as diskette claim)</w:t>
      </w:r>
      <w:r w:rsidR="0003371B">
        <w:t>before</w:t>
      </w:r>
      <w:r>
        <w:t xml:space="preserve"> 1 April </w:t>
      </w:r>
      <w:r w:rsidRPr="00860A34">
        <w:t>2015.</w:t>
      </w:r>
      <w:r w:rsidR="00F17A3F">
        <w:t xml:space="preserve"> </w:t>
      </w:r>
      <w:r w:rsidRPr="00860A34">
        <w:t xml:space="preserve"> Amendments to the ru</w:t>
      </w:r>
      <w:r>
        <w:t>les made under subsections 98AC(4) and </w:t>
      </w:r>
      <w:r w:rsidRPr="00860A34">
        <w:t>99AAA(8) of the Act ceased the CTS non-onl</w:t>
      </w:r>
      <w:r>
        <w:t>ine claiming method on 1 April </w:t>
      </w:r>
      <w:r w:rsidRPr="00860A34">
        <w:t>2015;</w:t>
      </w:r>
    </w:p>
    <w:p w:rsidR="008C78CF" w:rsidRPr="00860A34" w:rsidRDefault="008C78CF" w:rsidP="00F07F43">
      <w:pPr>
        <w:numPr>
          <w:ilvl w:val="0"/>
          <w:numId w:val="1"/>
        </w:numPr>
        <w:spacing w:after="200"/>
        <w:ind w:left="1134" w:right="979" w:hanging="567"/>
      </w:pPr>
      <w:r>
        <w:t>does not retain</w:t>
      </w:r>
      <w:r w:rsidRPr="00860A34">
        <w:t xml:space="preserve"> </w:t>
      </w:r>
      <w:r>
        <w:t>older and more specific grounds for exemption that are no longer needed; and</w:t>
      </w:r>
    </w:p>
    <w:p w:rsidR="008C78CF" w:rsidRPr="00860A34" w:rsidRDefault="008C78CF" w:rsidP="00F07F43">
      <w:pPr>
        <w:numPr>
          <w:ilvl w:val="0"/>
          <w:numId w:val="1"/>
        </w:numPr>
        <w:spacing w:after="200"/>
        <w:ind w:left="1134" w:right="979" w:hanging="567"/>
      </w:pPr>
      <w:r w:rsidRPr="00860A34">
        <w:t>contains a transitional provision to ensure t</w:t>
      </w:r>
      <w:r>
        <w:t xml:space="preserve">hat any exemption in force </w:t>
      </w:r>
      <w:r w:rsidR="0003371B">
        <w:t>under PB 9 of 2000</w:t>
      </w:r>
      <w:r w:rsidRPr="00860A34">
        <w:t xml:space="preserve"> remains in force. </w:t>
      </w:r>
    </w:p>
    <w:p w:rsidR="008C78CF" w:rsidRPr="00860A34" w:rsidRDefault="008C78CF" w:rsidP="00381303">
      <w:pPr>
        <w:ind w:right="979"/>
        <w:rPr>
          <w:b/>
        </w:rPr>
      </w:pPr>
      <w:r w:rsidRPr="00860A34">
        <w:rPr>
          <w:b/>
        </w:rPr>
        <w:t>Consultation</w:t>
      </w:r>
    </w:p>
    <w:p w:rsidR="008C78CF" w:rsidRPr="00860A34" w:rsidRDefault="008C78CF" w:rsidP="00381303">
      <w:pPr>
        <w:tabs>
          <w:tab w:val="num" w:pos="1418"/>
        </w:tabs>
        <w:spacing w:after="200"/>
        <w:ind w:right="979"/>
      </w:pPr>
      <w:r w:rsidRPr="00860A34">
        <w:t xml:space="preserve">The Department of Human Services has received strong support from a range of stakeholders for the implementation of paperless (electronic) claiming of PBS/RPBS medicines. </w:t>
      </w:r>
      <w:r w:rsidR="00F17A3F">
        <w:t xml:space="preserve"> </w:t>
      </w:r>
      <w:r w:rsidRPr="00860A34">
        <w:t>This includes support for transitional arrangements to ensure stakeholder readiness for the implementation of paperless PBS/RPBS claiming.</w:t>
      </w:r>
    </w:p>
    <w:p w:rsidR="008C78CF" w:rsidRPr="00860A34" w:rsidRDefault="008C78CF" w:rsidP="00381303">
      <w:pPr>
        <w:tabs>
          <w:tab w:val="num" w:pos="1418"/>
        </w:tabs>
        <w:spacing w:after="200"/>
        <w:ind w:right="979"/>
      </w:pPr>
      <w:r w:rsidRPr="00860A34">
        <w:t xml:space="preserve">Details of the </w:t>
      </w:r>
      <w:r>
        <w:t>i</w:t>
      </w:r>
      <w:r w:rsidRPr="00860A34">
        <w:t xml:space="preserve">nstrument are set out in the </w:t>
      </w:r>
      <w:r w:rsidRPr="00860A34">
        <w:rPr>
          <w:u w:val="single"/>
        </w:rPr>
        <w:t>Attachment</w:t>
      </w:r>
      <w:r w:rsidRPr="00860A34">
        <w:t>.</w:t>
      </w:r>
    </w:p>
    <w:p w:rsidR="008C78CF" w:rsidRPr="00860A34" w:rsidRDefault="008C78CF" w:rsidP="00381303">
      <w:pPr>
        <w:spacing w:after="200"/>
        <w:ind w:right="979"/>
        <w:rPr>
          <w:lang w:val="en-US"/>
        </w:rPr>
      </w:pPr>
      <w:r w:rsidRPr="00860A34">
        <w:rPr>
          <w:lang w:val="en-US"/>
        </w:rPr>
        <w:t xml:space="preserve">This </w:t>
      </w:r>
      <w:r>
        <w:rPr>
          <w:lang w:val="en-US"/>
        </w:rPr>
        <w:t>i</w:t>
      </w:r>
      <w:r w:rsidRPr="00860A34">
        <w:rPr>
          <w:lang w:val="en-US"/>
        </w:rPr>
        <w:t xml:space="preserve">nstrument commences </w:t>
      </w:r>
      <w:r w:rsidR="0003371B">
        <w:rPr>
          <w:lang w:val="en-US"/>
        </w:rPr>
        <w:t xml:space="preserve">on </w:t>
      </w:r>
      <w:r>
        <w:rPr>
          <w:lang w:val="en-US"/>
        </w:rPr>
        <w:t>1 April </w:t>
      </w:r>
      <w:r w:rsidRPr="00860A34">
        <w:rPr>
          <w:lang w:val="en-US"/>
        </w:rPr>
        <w:t>2015.</w:t>
      </w:r>
    </w:p>
    <w:p w:rsidR="008C78CF" w:rsidRPr="00860A34" w:rsidRDefault="008C78CF" w:rsidP="00381303">
      <w:pPr>
        <w:spacing w:after="200"/>
        <w:ind w:right="979"/>
        <w:rPr>
          <w:lang w:val="en-US"/>
        </w:rPr>
      </w:pPr>
      <w:r w:rsidRPr="00860A34">
        <w:rPr>
          <w:lang w:val="en-US"/>
        </w:rPr>
        <w:t xml:space="preserve">This </w:t>
      </w:r>
      <w:r>
        <w:rPr>
          <w:lang w:val="en-US"/>
        </w:rPr>
        <w:t>i</w:t>
      </w:r>
      <w:r w:rsidRPr="00860A34">
        <w:rPr>
          <w:lang w:val="en-US"/>
        </w:rPr>
        <w:t>nstrument is a legislative instrument for the purposes of the</w:t>
      </w:r>
      <w:r>
        <w:rPr>
          <w:i/>
          <w:lang w:val="en-US"/>
        </w:rPr>
        <w:t xml:space="preserve"> Legislative Instruments Act </w:t>
      </w:r>
      <w:r w:rsidRPr="00860A34">
        <w:rPr>
          <w:i/>
          <w:lang w:val="en-US"/>
        </w:rPr>
        <w:t>2003</w:t>
      </w:r>
      <w:r w:rsidRPr="00860A34">
        <w:rPr>
          <w:lang w:val="en-US"/>
        </w:rPr>
        <w:t>.</w:t>
      </w:r>
    </w:p>
    <w:p w:rsidR="008C78CF" w:rsidRPr="00860A34" w:rsidRDefault="008C78CF" w:rsidP="00233BD6">
      <w:pPr>
        <w:spacing w:after="200"/>
        <w:ind w:right="979"/>
        <w:jc w:val="right"/>
        <w:rPr>
          <w:b/>
          <w:u w:val="single"/>
        </w:rPr>
      </w:pPr>
      <w:r w:rsidRPr="00860A34">
        <w:rPr>
          <w:lang w:val="en-US"/>
        </w:rPr>
        <w:br w:type="page"/>
      </w:r>
      <w:r w:rsidRPr="00860A34">
        <w:rPr>
          <w:b/>
          <w:u w:val="single"/>
        </w:rPr>
        <w:lastRenderedPageBreak/>
        <w:t>ATTACHMENT</w:t>
      </w:r>
    </w:p>
    <w:p w:rsidR="008C78CF" w:rsidRPr="00860A34" w:rsidRDefault="008C78CF" w:rsidP="00233BD6">
      <w:pPr>
        <w:ind w:right="979"/>
        <w:jc w:val="center"/>
        <w:rPr>
          <w:b/>
        </w:rPr>
      </w:pPr>
    </w:p>
    <w:p w:rsidR="008C78CF" w:rsidRPr="00860A34" w:rsidRDefault="008C78CF" w:rsidP="00233BD6">
      <w:pPr>
        <w:spacing w:after="200"/>
        <w:ind w:right="979"/>
        <w:jc w:val="center"/>
        <w:rPr>
          <w:b/>
          <w:i/>
          <w:u w:val="single"/>
        </w:rPr>
      </w:pPr>
      <w:r w:rsidRPr="00860A34">
        <w:rPr>
          <w:b/>
          <w:u w:val="single"/>
        </w:rPr>
        <w:t xml:space="preserve">Details of the </w:t>
      </w:r>
      <w:r w:rsidRPr="00860A34">
        <w:rPr>
          <w:b/>
          <w:i/>
          <w:u w:val="single"/>
        </w:rPr>
        <w:t>National Health (Claims Transmission System</w:t>
      </w:r>
      <w:r>
        <w:rPr>
          <w:b/>
          <w:i/>
          <w:u w:val="single"/>
        </w:rPr>
        <w:t xml:space="preserve"> Exemption</w:t>
      </w:r>
      <w:r w:rsidRPr="00860A34">
        <w:rPr>
          <w:b/>
          <w:i/>
          <w:u w:val="single"/>
        </w:rPr>
        <w:t>) Guidelines</w:t>
      </w:r>
      <w:r>
        <w:rPr>
          <w:b/>
          <w:i/>
          <w:u w:val="single"/>
        </w:rPr>
        <w:t> </w:t>
      </w:r>
      <w:r w:rsidRPr="00860A34">
        <w:rPr>
          <w:b/>
          <w:i/>
          <w:u w:val="single"/>
        </w:rPr>
        <w:t>2015</w:t>
      </w:r>
    </w:p>
    <w:p w:rsidR="008C78CF" w:rsidRPr="00860A34" w:rsidRDefault="008C78CF" w:rsidP="00381303">
      <w:pPr>
        <w:spacing w:before="480" w:after="120"/>
        <w:ind w:right="979"/>
        <w:rPr>
          <w:b/>
        </w:rPr>
      </w:pPr>
      <w:r>
        <w:rPr>
          <w:b/>
        </w:rPr>
        <w:t>Section </w:t>
      </w:r>
      <w:r w:rsidRPr="00860A34">
        <w:rPr>
          <w:b/>
        </w:rPr>
        <w:t>1</w:t>
      </w:r>
      <w:r w:rsidRPr="00860A34">
        <w:rPr>
          <w:b/>
        </w:rPr>
        <w:tab/>
        <w:t>Name of Instrument</w:t>
      </w:r>
      <w:r w:rsidRPr="00860A34">
        <w:rPr>
          <w:b/>
        </w:rPr>
        <w:br/>
      </w:r>
      <w:r w:rsidRPr="00860A34">
        <w:t xml:space="preserve">This section provides that the name of this instrument is the </w:t>
      </w:r>
      <w:r w:rsidRPr="00860A34">
        <w:rPr>
          <w:i/>
        </w:rPr>
        <w:t>National Health (Claims Transmission System</w:t>
      </w:r>
      <w:r>
        <w:rPr>
          <w:i/>
        </w:rPr>
        <w:t xml:space="preserve"> Exemption</w:t>
      </w:r>
      <w:r w:rsidRPr="00860A34">
        <w:rPr>
          <w:i/>
        </w:rPr>
        <w:t>) Guidelines</w:t>
      </w:r>
      <w:r>
        <w:rPr>
          <w:i/>
        </w:rPr>
        <w:t> </w:t>
      </w:r>
      <w:r w:rsidRPr="00860A34">
        <w:rPr>
          <w:i/>
        </w:rPr>
        <w:t xml:space="preserve">2015.  </w:t>
      </w:r>
      <w:r w:rsidRPr="00860A34">
        <w:t>I</w:t>
      </w:r>
      <w:r>
        <w:t>t can also be cited as PB </w:t>
      </w:r>
      <w:r w:rsidR="00022E11">
        <w:t>38 </w:t>
      </w:r>
      <w:r>
        <w:t>of </w:t>
      </w:r>
      <w:r w:rsidRPr="00860A34">
        <w:t>2015.</w:t>
      </w:r>
    </w:p>
    <w:p w:rsidR="008C78CF" w:rsidRPr="00860A34" w:rsidRDefault="008C78CF" w:rsidP="00381303">
      <w:pPr>
        <w:spacing w:before="480" w:after="120"/>
        <w:ind w:right="979"/>
        <w:rPr>
          <w:b/>
        </w:rPr>
      </w:pPr>
      <w:r w:rsidRPr="00860A34">
        <w:rPr>
          <w:b/>
        </w:rPr>
        <w:t>Section</w:t>
      </w:r>
      <w:r>
        <w:rPr>
          <w:b/>
        </w:rPr>
        <w:t> </w:t>
      </w:r>
      <w:r w:rsidR="00F17A3F">
        <w:rPr>
          <w:b/>
        </w:rPr>
        <w:t>2</w:t>
      </w:r>
      <w:r w:rsidR="00F17A3F">
        <w:rPr>
          <w:b/>
        </w:rPr>
        <w:tab/>
      </w:r>
      <w:r w:rsidRPr="00860A34">
        <w:rPr>
          <w:b/>
        </w:rPr>
        <w:t>Commencement</w:t>
      </w:r>
      <w:r w:rsidRPr="00860A34">
        <w:rPr>
          <w:b/>
        </w:rPr>
        <w:br/>
      </w:r>
      <w:r w:rsidRPr="00860A34">
        <w:t>This section provides that this instrument</w:t>
      </w:r>
      <w:r>
        <w:t xml:space="preserve"> commences on 1 April </w:t>
      </w:r>
      <w:r w:rsidRPr="00860A34">
        <w:t>2015.</w:t>
      </w:r>
    </w:p>
    <w:p w:rsidR="008C78CF" w:rsidRPr="00860A34" w:rsidRDefault="008C78CF" w:rsidP="00381303">
      <w:pPr>
        <w:spacing w:before="480" w:after="120"/>
        <w:ind w:right="979"/>
        <w:rPr>
          <w:b/>
        </w:rPr>
      </w:pPr>
      <w:r w:rsidRPr="00860A34">
        <w:rPr>
          <w:b/>
        </w:rPr>
        <w:t>Section</w:t>
      </w:r>
      <w:r w:rsidR="008046C1">
        <w:rPr>
          <w:b/>
        </w:rPr>
        <w:t> </w:t>
      </w:r>
      <w:r w:rsidRPr="00860A34">
        <w:rPr>
          <w:b/>
        </w:rPr>
        <w:t>3</w:t>
      </w:r>
      <w:r w:rsidRPr="00860A34">
        <w:rPr>
          <w:b/>
        </w:rPr>
        <w:tab/>
        <w:t>Repeal</w:t>
      </w:r>
      <w:r w:rsidRPr="00860A34">
        <w:rPr>
          <w:b/>
        </w:rPr>
        <w:br/>
      </w:r>
      <w:r w:rsidRPr="00860A34">
        <w:t xml:space="preserve">This section provides that </w:t>
      </w:r>
      <w:r>
        <w:t>determination PB 9 of 2000 under subsection 99AAC(2)</w:t>
      </w:r>
      <w:r w:rsidR="00022E11">
        <w:t xml:space="preserve"> of the </w:t>
      </w:r>
      <w:r w:rsidR="00022E11">
        <w:rPr>
          <w:i/>
        </w:rPr>
        <w:t xml:space="preserve">National Health Act 1953 </w:t>
      </w:r>
      <w:r w:rsidR="00022E11">
        <w:t>(the Act)</w:t>
      </w:r>
      <w:r w:rsidR="00F17A3F">
        <w:t>,</w:t>
      </w:r>
      <w:r>
        <w:t xml:space="preserve"> which commenced on 1 July </w:t>
      </w:r>
      <w:r w:rsidRPr="00860A34">
        <w:t>2000</w:t>
      </w:r>
      <w:r w:rsidR="00F17A3F">
        <w:t>,</w:t>
      </w:r>
      <w:r w:rsidRPr="00860A34">
        <w:t xml:space="preserve"> is repealed. </w:t>
      </w:r>
    </w:p>
    <w:p w:rsidR="008C78CF" w:rsidRPr="00860A34" w:rsidRDefault="008C78CF" w:rsidP="00381303">
      <w:pPr>
        <w:spacing w:before="480" w:after="120"/>
        <w:ind w:right="979"/>
        <w:rPr>
          <w:b/>
        </w:rPr>
      </w:pPr>
      <w:r w:rsidRPr="00860A34">
        <w:rPr>
          <w:b/>
        </w:rPr>
        <w:t>Section</w:t>
      </w:r>
      <w:r w:rsidR="008046C1">
        <w:rPr>
          <w:b/>
        </w:rPr>
        <w:t> </w:t>
      </w:r>
      <w:r w:rsidRPr="00860A34">
        <w:rPr>
          <w:b/>
        </w:rPr>
        <w:t>4</w:t>
      </w:r>
      <w:r w:rsidRPr="00860A34">
        <w:rPr>
          <w:b/>
        </w:rPr>
        <w:tab/>
        <w:t>Definitions</w:t>
      </w:r>
      <w:r w:rsidRPr="00860A34">
        <w:rPr>
          <w:b/>
        </w:rPr>
        <w:br/>
      </w:r>
      <w:r w:rsidRPr="00860A34">
        <w:t>This section provides definitions for ‘Act’, Claims Transmission System’ and ‘CTS non-online claim’.</w:t>
      </w:r>
      <w:r w:rsidR="00F17A3F">
        <w:t xml:space="preserve"> </w:t>
      </w:r>
      <w:r w:rsidRPr="00860A34">
        <w:t xml:space="preserve"> The ‘Claims Transmission System’ is commonly called online claiming. </w:t>
      </w:r>
      <w:r w:rsidR="00F17A3F">
        <w:t xml:space="preserve"> </w:t>
      </w:r>
      <w:r w:rsidRPr="00860A34">
        <w:t>A ‘CTS non-online claim’ is commonly called ‘diskette claiming’, and ceases to be a part of the ‘C</w:t>
      </w:r>
      <w:r w:rsidR="008046C1">
        <w:t>laims Transmission System’ on 1 April </w:t>
      </w:r>
      <w:r w:rsidRPr="00860A34">
        <w:t>2015</w:t>
      </w:r>
      <w:r w:rsidR="00D33124">
        <w:t>,</w:t>
      </w:r>
      <w:r w:rsidRPr="00860A34">
        <w:t xml:space="preserve"> via amendment to </w:t>
      </w:r>
      <w:r>
        <w:t>the rules made under subsection</w:t>
      </w:r>
      <w:r w:rsidR="00BD081E">
        <w:t>s</w:t>
      </w:r>
      <w:r>
        <w:t> 98AC(4) and </w:t>
      </w:r>
      <w:r w:rsidRPr="00860A34">
        <w:t>99AAA(8) of the Act.</w:t>
      </w:r>
      <w:r w:rsidR="00F17A3F">
        <w:t xml:space="preserve"> </w:t>
      </w:r>
      <w:r w:rsidRPr="00860A34">
        <w:t xml:space="preserve"> The definition of ‘CTS non-online claim’ is used in the exempti</w:t>
      </w:r>
      <w:r>
        <w:t>on ground contained in section 6</w:t>
      </w:r>
      <w:r w:rsidRPr="00860A34">
        <w:t xml:space="preserve"> of this instrument.</w:t>
      </w:r>
    </w:p>
    <w:p w:rsidR="008C78CF" w:rsidRDefault="008046C1" w:rsidP="00381303">
      <w:pPr>
        <w:spacing w:before="480" w:after="120"/>
        <w:ind w:right="979"/>
      </w:pPr>
      <w:r>
        <w:rPr>
          <w:b/>
        </w:rPr>
        <w:t>Section </w:t>
      </w:r>
      <w:r w:rsidR="008C78CF">
        <w:rPr>
          <w:b/>
        </w:rPr>
        <w:t>5</w:t>
      </w:r>
      <w:r w:rsidR="008C78CF" w:rsidRPr="00860A34">
        <w:rPr>
          <w:b/>
        </w:rPr>
        <w:t xml:space="preserve"> </w:t>
      </w:r>
      <w:r w:rsidR="008C78CF" w:rsidRPr="00860A34">
        <w:rPr>
          <w:b/>
        </w:rPr>
        <w:tab/>
        <w:t>Emergency or accessibility exemption</w:t>
      </w:r>
      <w:r w:rsidR="008C78CF" w:rsidRPr="00860A34">
        <w:rPr>
          <w:b/>
        </w:rPr>
        <w:br/>
      </w:r>
      <w:r w:rsidR="008C78CF" w:rsidRPr="00860A34">
        <w:t>This section provides for an emergency or accessibility ground of exemption.</w:t>
      </w:r>
      <w:r w:rsidR="00F17A3F">
        <w:t xml:space="preserve"> </w:t>
      </w:r>
      <w:r w:rsidR="008C78CF" w:rsidRPr="00860A34">
        <w:t xml:space="preserve"> An approved supplier must apply to the Chief Executive Medicare (delegate of the Secretary) for exemption, who must be satisfied that it is appropriate to </w:t>
      </w:r>
      <w:r w:rsidR="008C78CF" w:rsidRPr="00D33124">
        <w:t>make</w:t>
      </w:r>
      <w:r w:rsidR="00D33124" w:rsidRPr="00D33124">
        <w:t xml:space="preserve"> an</w:t>
      </w:r>
      <w:r w:rsidR="008C78CF" w:rsidRPr="00D33124">
        <w:t xml:space="preserve"> exemption</w:t>
      </w:r>
      <w:r w:rsidR="008C78CF" w:rsidRPr="00860A34">
        <w:t xml:space="preserve"> due to emergency</w:t>
      </w:r>
      <w:r w:rsidR="00D33124">
        <w:t>,</w:t>
      </w:r>
      <w:r w:rsidR="008C78CF" w:rsidRPr="00860A34">
        <w:t xml:space="preserve"> or otherwise in the interests of accessibility. </w:t>
      </w:r>
    </w:p>
    <w:p w:rsidR="008C78CF" w:rsidRPr="00860A34" w:rsidRDefault="008046C1" w:rsidP="00381303">
      <w:pPr>
        <w:spacing w:before="480" w:after="120"/>
        <w:ind w:right="979"/>
      </w:pPr>
      <w:r>
        <w:rPr>
          <w:b/>
        </w:rPr>
        <w:t>Section </w:t>
      </w:r>
      <w:r w:rsidR="008C78CF">
        <w:rPr>
          <w:b/>
        </w:rPr>
        <w:t>6</w:t>
      </w:r>
      <w:r w:rsidR="008C78CF" w:rsidRPr="00860A34">
        <w:rPr>
          <w:b/>
        </w:rPr>
        <w:tab/>
        <w:t xml:space="preserve">CTS non-online claim </w:t>
      </w:r>
      <w:r w:rsidR="008C78CF">
        <w:rPr>
          <w:b/>
        </w:rPr>
        <w:t>procedure</w:t>
      </w:r>
      <w:r>
        <w:rPr>
          <w:b/>
        </w:rPr>
        <w:t xml:space="preserve"> </w:t>
      </w:r>
      <w:r w:rsidR="008C78CF">
        <w:rPr>
          <w:b/>
        </w:rPr>
        <w:t>exemption</w:t>
      </w:r>
      <w:r w:rsidR="008C78CF" w:rsidRPr="00860A34">
        <w:rPr>
          <w:b/>
        </w:rPr>
        <w:br/>
      </w:r>
      <w:r w:rsidR="008C78CF" w:rsidRPr="00860A34">
        <w:t xml:space="preserve">This section </w:t>
      </w:r>
      <w:r w:rsidR="008C78CF">
        <w:t xml:space="preserve">provides </w:t>
      </w:r>
      <w:r w:rsidR="008C78CF" w:rsidRPr="00860A34">
        <w:t>a ground for exemption for an approved supplier</w:t>
      </w:r>
      <w:r w:rsidR="001E2462">
        <w:t>,</w:t>
      </w:r>
      <w:r w:rsidR="008C78CF" w:rsidRPr="00860A34">
        <w:t xml:space="preserve"> who was using the Claims Transmission System to make </w:t>
      </w:r>
      <w:r w:rsidR="001E2462">
        <w:t>Pharmaceutical Benefits Scheme (</w:t>
      </w:r>
      <w:r w:rsidR="008C78CF" w:rsidRPr="00860A34">
        <w:t>PBS</w:t>
      </w:r>
      <w:r w:rsidR="001E2462">
        <w:t>)/Repatriation PBS (</w:t>
      </w:r>
      <w:r w:rsidR="008C78CF" w:rsidRPr="00860A34">
        <w:t>RPBS</w:t>
      </w:r>
      <w:r w:rsidR="001E2462">
        <w:t>)</w:t>
      </w:r>
      <w:r w:rsidR="008C78CF" w:rsidRPr="00860A34">
        <w:t xml:space="preserve"> claims</w:t>
      </w:r>
      <w:r w:rsidR="001E2462">
        <w:t>,</w:t>
      </w:r>
      <w:r w:rsidR="008C78CF" w:rsidRPr="00860A34">
        <w:t xml:space="preserve"> by making a ‘CTS non-online claim’</w:t>
      </w:r>
      <w:r w:rsidR="001E2462">
        <w:t xml:space="preserve">, </w:t>
      </w:r>
      <w:r>
        <w:t xml:space="preserve"> </w:t>
      </w:r>
      <w:r w:rsidR="00B63DC3">
        <w:t>before</w:t>
      </w:r>
      <w:r>
        <w:t xml:space="preserve"> 1 April </w:t>
      </w:r>
      <w:r w:rsidR="008C78CF" w:rsidRPr="00860A34">
        <w:t xml:space="preserve">2015. </w:t>
      </w:r>
      <w:r w:rsidR="00F17A3F">
        <w:t xml:space="preserve"> </w:t>
      </w:r>
      <w:r w:rsidR="008C78CF" w:rsidRPr="00860A34">
        <w:t>Amendments to the ru</w:t>
      </w:r>
      <w:r w:rsidR="008C78CF">
        <w:t>les made under subsections 98AC(4) and </w:t>
      </w:r>
      <w:r w:rsidR="008C78CF" w:rsidRPr="00860A34">
        <w:t>99AAA(8) of the Act ceased the CTS non-onlin</w:t>
      </w:r>
      <w:r w:rsidR="008C78CF">
        <w:t xml:space="preserve">e claiming method on </w:t>
      </w:r>
      <w:r w:rsidR="008C78CF" w:rsidRPr="00266467">
        <w:t>and from</w:t>
      </w:r>
      <w:r w:rsidR="008C78CF">
        <w:t xml:space="preserve"> 1 April </w:t>
      </w:r>
      <w:r w:rsidR="008C78CF" w:rsidRPr="00860A34">
        <w:t xml:space="preserve">2015. </w:t>
      </w:r>
      <w:r w:rsidR="00F17A3F">
        <w:t xml:space="preserve"> </w:t>
      </w:r>
      <w:r w:rsidR="008C78CF" w:rsidRPr="00860A34">
        <w:t xml:space="preserve">An approved supplier must apply to the Chief Executive Medicare (delegate of the Secretary) for exemption. </w:t>
      </w:r>
    </w:p>
    <w:p w:rsidR="008C78CF" w:rsidRPr="00860A34" w:rsidRDefault="008C78CF" w:rsidP="00381303">
      <w:pPr>
        <w:spacing w:before="480" w:after="120"/>
        <w:ind w:right="979"/>
      </w:pPr>
      <w:r>
        <w:rPr>
          <w:b/>
        </w:rPr>
        <w:t>Section</w:t>
      </w:r>
      <w:r w:rsidR="008046C1">
        <w:rPr>
          <w:b/>
        </w:rPr>
        <w:t> </w:t>
      </w:r>
      <w:r>
        <w:rPr>
          <w:b/>
        </w:rPr>
        <w:t>7</w:t>
      </w:r>
      <w:r w:rsidRPr="00860A34">
        <w:rPr>
          <w:b/>
        </w:rPr>
        <w:tab/>
      </w:r>
      <w:r>
        <w:rPr>
          <w:b/>
        </w:rPr>
        <w:t>Section 5 or 6</w:t>
      </w:r>
      <w:r w:rsidRPr="00860A34">
        <w:rPr>
          <w:b/>
        </w:rPr>
        <w:t xml:space="preserve"> exemption</w:t>
      </w:r>
      <w:r>
        <w:rPr>
          <w:b/>
        </w:rPr>
        <w:t xml:space="preserve"> – period of exemption</w:t>
      </w:r>
      <w:r w:rsidRPr="00860A34">
        <w:rPr>
          <w:b/>
        </w:rPr>
        <w:br/>
      </w:r>
      <w:r w:rsidRPr="00860A34">
        <w:t xml:space="preserve">This section provides that the </w:t>
      </w:r>
      <w:r w:rsidR="00DA1AD8" w:rsidRPr="00860A34">
        <w:t>Chief Executive Medicare (delegate of the Secretary)</w:t>
      </w:r>
      <w:r w:rsidR="00DA1AD8">
        <w:t xml:space="preserve"> </w:t>
      </w:r>
      <w:r w:rsidRPr="00860A34">
        <w:t>may specify a period for which th</w:t>
      </w:r>
      <w:r>
        <w:t>e exemption is to be effective.</w:t>
      </w:r>
    </w:p>
    <w:p w:rsidR="008C78CF" w:rsidRDefault="008046C1" w:rsidP="00381303">
      <w:pPr>
        <w:spacing w:before="480" w:after="120"/>
        <w:ind w:right="979"/>
      </w:pPr>
      <w:r>
        <w:rPr>
          <w:b/>
        </w:rPr>
        <w:t>Section </w:t>
      </w:r>
      <w:r w:rsidR="008C78CF">
        <w:rPr>
          <w:b/>
        </w:rPr>
        <w:t>8</w:t>
      </w:r>
      <w:r w:rsidR="008C78CF" w:rsidRPr="00860A34">
        <w:rPr>
          <w:b/>
        </w:rPr>
        <w:t xml:space="preserve"> </w:t>
      </w:r>
      <w:r w:rsidR="008C78CF" w:rsidRPr="00860A34">
        <w:rPr>
          <w:b/>
        </w:rPr>
        <w:tab/>
        <w:t>Transitional</w:t>
      </w:r>
      <w:r w:rsidR="008C78CF" w:rsidRPr="00860A34">
        <w:rPr>
          <w:b/>
        </w:rPr>
        <w:br/>
      </w:r>
      <w:r w:rsidR="008C78CF" w:rsidRPr="00860A34">
        <w:t>This section is a transitional provision which provides that a declaration made by</w:t>
      </w:r>
      <w:r>
        <w:t xml:space="preserve"> the </w:t>
      </w:r>
      <w:r w:rsidR="00DA1AD8" w:rsidRPr="00860A34">
        <w:t>Chief Executive Medicare (delegate of the Secretary)</w:t>
      </w:r>
      <w:r w:rsidR="00DA1AD8">
        <w:t xml:space="preserve"> </w:t>
      </w:r>
      <w:r>
        <w:t>under subsection </w:t>
      </w:r>
      <w:r w:rsidR="008C78CF" w:rsidRPr="00860A34">
        <w:t>99AAC(1) of the Act</w:t>
      </w:r>
      <w:r w:rsidR="001E2462">
        <w:t>,</w:t>
      </w:r>
      <w:r w:rsidR="008C78CF" w:rsidRPr="00860A34">
        <w:t xml:space="preserve"> </w:t>
      </w:r>
      <w:r w:rsidR="008C78CF">
        <w:t>in accordance with</w:t>
      </w:r>
      <w:r>
        <w:t xml:space="preserve"> determination PB 9 of </w:t>
      </w:r>
      <w:r w:rsidR="008C78CF" w:rsidRPr="00860A34">
        <w:t>2000</w:t>
      </w:r>
      <w:r w:rsidR="001E2462">
        <w:t>,</w:t>
      </w:r>
      <w:r w:rsidR="008C78CF" w:rsidRPr="00860A34">
        <w:t xml:space="preserve"> continues in force, with the same perio</w:t>
      </w:r>
      <w:r w:rsidR="008C78CF">
        <w:t xml:space="preserve">d </w:t>
      </w:r>
      <w:r w:rsidR="00DA1AD8">
        <w:t xml:space="preserve">of exemption </w:t>
      </w:r>
      <w:r w:rsidR="008C78CF">
        <w:t>(if any)</w:t>
      </w:r>
      <w:r w:rsidR="00E85211">
        <w:t xml:space="preserve"> specified in that declaration</w:t>
      </w:r>
      <w:r w:rsidR="008C78CF" w:rsidRPr="00860A34">
        <w:t>.</w:t>
      </w:r>
    </w:p>
    <w:p w:rsidR="008C78CF" w:rsidRDefault="008C78CF" w:rsidP="008C78CF">
      <w:pPr>
        <w:spacing w:before="480" w:after="120"/>
      </w:pPr>
    </w:p>
    <w:p w:rsidR="00B63DC3" w:rsidRDefault="00381303" w:rsidP="008C78CF">
      <w:pPr>
        <w:spacing w:before="480" w:after="120"/>
        <w:sectPr w:rsidR="00B63DC3" w:rsidSect="00F07F4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720" w:bottom="1418" w:left="1843" w:header="0" w:footer="0" w:gutter="0"/>
          <w:pgNumType w:start="1"/>
          <w:cols w:space="708"/>
          <w:titlePg/>
          <w:docGrid w:linePitch="360"/>
        </w:sectPr>
      </w:pPr>
      <w:r>
        <w:br w:type="page"/>
      </w:r>
    </w:p>
    <w:p w:rsidR="00381303" w:rsidRDefault="00381303" w:rsidP="008C78CF">
      <w:pPr>
        <w:spacing w:before="480" w:after="120"/>
      </w:pPr>
    </w:p>
    <w:p w:rsidR="008C78CF" w:rsidRPr="00860A34" w:rsidRDefault="008C78CF" w:rsidP="00F07F43">
      <w:pPr>
        <w:pBdr>
          <w:top w:val="thinThickThinSmallGap" w:sz="12" w:space="1" w:color="auto"/>
          <w:left w:val="thinThickThinSmallGap" w:sz="12" w:space="0" w:color="auto"/>
          <w:bottom w:val="thinThickThinSmallGap" w:sz="12" w:space="23" w:color="auto"/>
          <w:right w:val="thinThickThinSmallGap" w:sz="12" w:space="4" w:color="auto"/>
        </w:pBdr>
        <w:spacing w:after="120"/>
        <w:ind w:left="-851"/>
        <w:jc w:val="center"/>
        <w:rPr>
          <w:b/>
        </w:rPr>
      </w:pPr>
      <w:r w:rsidRPr="00860A34">
        <w:rPr>
          <w:b/>
        </w:rPr>
        <w:t>Statement of Compatibility with Human Rights</w:t>
      </w:r>
    </w:p>
    <w:p w:rsidR="008C78CF" w:rsidRPr="00860A34" w:rsidRDefault="008C78CF" w:rsidP="00F07F43">
      <w:pPr>
        <w:pBdr>
          <w:top w:val="thinThickThinSmallGap" w:sz="12" w:space="1" w:color="auto"/>
          <w:left w:val="thinThickThinSmallGap" w:sz="12" w:space="0" w:color="auto"/>
          <w:bottom w:val="thinThickThinSmallGap" w:sz="12" w:space="23" w:color="auto"/>
          <w:right w:val="thinThickThinSmallGap" w:sz="12" w:space="4" w:color="auto"/>
        </w:pBdr>
        <w:spacing w:after="120"/>
        <w:ind w:left="-851"/>
        <w:jc w:val="center"/>
      </w:pPr>
      <w:r w:rsidRPr="00860A34">
        <w:rPr>
          <w:i/>
        </w:rPr>
        <w:t>Prepared in accordance with Part 3 of the Human Righ</w:t>
      </w:r>
      <w:r w:rsidR="008046C1">
        <w:rPr>
          <w:i/>
        </w:rPr>
        <w:t>ts (Parliamentary Scrutiny) Act </w:t>
      </w:r>
      <w:r w:rsidRPr="00860A34">
        <w:rPr>
          <w:i/>
        </w:rPr>
        <w:t>2011</w:t>
      </w:r>
    </w:p>
    <w:p w:rsidR="008C78CF" w:rsidRPr="00860A34" w:rsidRDefault="008C78CF" w:rsidP="00F07F43">
      <w:pPr>
        <w:pBdr>
          <w:top w:val="thinThickThinSmallGap" w:sz="12" w:space="1" w:color="auto"/>
          <w:left w:val="thinThickThinSmallGap" w:sz="12" w:space="0" w:color="auto"/>
          <w:bottom w:val="thinThickThinSmallGap" w:sz="12" w:space="23" w:color="auto"/>
          <w:right w:val="thinThickThinSmallGap" w:sz="12" w:space="4" w:color="auto"/>
        </w:pBdr>
        <w:spacing w:after="120"/>
        <w:ind w:left="-851"/>
        <w:jc w:val="center"/>
        <w:rPr>
          <w:i/>
        </w:rPr>
      </w:pPr>
      <w:r w:rsidRPr="00860A34">
        <w:rPr>
          <w:b/>
          <w:i/>
        </w:rPr>
        <w:t>National Health (Claims Transmission System</w:t>
      </w:r>
      <w:r>
        <w:rPr>
          <w:b/>
          <w:i/>
        </w:rPr>
        <w:t xml:space="preserve"> Exemption</w:t>
      </w:r>
      <w:r w:rsidRPr="00860A34">
        <w:rPr>
          <w:b/>
          <w:i/>
        </w:rPr>
        <w:t>) Guidelines</w:t>
      </w:r>
      <w:r w:rsidR="008046C1">
        <w:rPr>
          <w:b/>
          <w:i/>
        </w:rPr>
        <w:t> </w:t>
      </w:r>
      <w:r w:rsidRPr="00860A34">
        <w:rPr>
          <w:b/>
          <w:i/>
        </w:rPr>
        <w:t>2015</w:t>
      </w:r>
    </w:p>
    <w:p w:rsidR="008C78CF" w:rsidRPr="00860A34" w:rsidRDefault="008C78CF" w:rsidP="00F07F43">
      <w:pPr>
        <w:pBdr>
          <w:top w:val="thinThickThinSmallGap" w:sz="12" w:space="1" w:color="auto"/>
          <w:left w:val="thinThickThinSmallGap" w:sz="12" w:space="0" w:color="auto"/>
          <w:bottom w:val="thinThickThinSmallGap" w:sz="12" w:space="23" w:color="auto"/>
          <w:right w:val="thinThickThinSmallGap" w:sz="12" w:space="4" w:color="auto"/>
        </w:pBdr>
        <w:spacing w:after="120"/>
        <w:ind w:left="-851"/>
      </w:pPr>
      <w:r w:rsidRPr="00860A34">
        <w:t xml:space="preserve">This </w:t>
      </w:r>
      <w:r w:rsidR="001E2462">
        <w:t>i</w:t>
      </w:r>
      <w:r w:rsidRPr="00860A34">
        <w:t xml:space="preserve">nstrument is compatible with the human rights and freedoms recognised or declared in the international instruments listed in section 3 of the </w:t>
      </w:r>
      <w:r w:rsidRPr="00860A34">
        <w:rPr>
          <w:i/>
        </w:rPr>
        <w:t>Human Rights (Parliamentary Scrutiny) Act 2011</w:t>
      </w:r>
      <w:r w:rsidRPr="00860A34">
        <w:t>.</w:t>
      </w:r>
    </w:p>
    <w:p w:rsidR="008C78CF" w:rsidRPr="00860A34" w:rsidRDefault="008C78CF" w:rsidP="00F07F43">
      <w:pPr>
        <w:pBdr>
          <w:top w:val="thinThickThinSmallGap" w:sz="12" w:space="1" w:color="auto"/>
          <w:left w:val="thinThickThinSmallGap" w:sz="12" w:space="0" w:color="auto"/>
          <w:bottom w:val="thinThickThinSmallGap" w:sz="12" w:space="23" w:color="auto"/>
          <w:right w:val="thinThickThinSmallGap" w:sz="12" w:space="4" w:color="auto"/>
        </w:pBdr>
        <w:ind w:left="-851"/>
        <w:rPr>
          <w:b/>
        </w:rPr>
      </w:pPr>
      <w:r w:rsidRPr="00860A34">
        <w:rPr>
          <w:b/>
        </w:rPr>
        <w:t>Overview of the Instrument</w:t>
      </w:r>
    </w:p>
    <w:p w:rsidR="008C78CF" w:rsidRPr="00860A34" w:rsidRDefault="008C78CF" w:rsidP="00F07F43">
      <w:pPr>
        <w:pBdr>
          <w:top w:val="thinThickThinSmallGap" w:sz="12" w:space="1" w:color="auto"/>
          <w:left w:val="thinThickThinSmallGap" w:sz="12" w:space="0" w:color="auto"/>
          <w:bottom w:val="thinThickThinSmallGap" w:sz="12" w:space="23" w:color="auto"/>
          <w:right w:val="thinThickThinSmallGap" w:sz="12" w:space="4" w:color="auto"/>
        </w:pBdr>
        <w:spacing w:after="120"/>
        <w:ind w:left="-851"/>
        <w:rPr>
          <w:b/>
        </w:rPr>
      </w:pPr>
      <w:r w:rsidRPr="00860A34">
        <w:t xml:space="preserve">The purpose of this </w:t>
      </w:r>
      <w:r w:rsidR="00E85211">
        <w:t xml:space="preserve">legislative </w:t>
      </w:r>
      <w:r w:rsidRPr="00860A34">
        <w:t>in</w:t>
      </w:r>
      <w:r w:rsidR="008046C1">
        <w:t>strument, made under subsection </w:t>
      </w:r>
      <w:r w:rsidRPr="00860A34">
        <w:t xml:space="preserve">99AAC(2) of the </w:t>
      </w:r>
      <w:r w:rsidR="008046C1">
        <w:rPr>
          <w:i/>
        </w:rPr>
        <w:t>National Health Act </w:t>
      </w:r>
      <w:r w:rsidRPr="00860A34">
        <w:rPr>
          <w:i/>
        </w:rPr>
        <w:t>1953</w:t>
      </w:r>
      <w:r w:rsidRPr="00860A34">
        <w:t xml:space="preserve"> (the Act), is to repeal and remake the Guidelines. </w:t>
      </w:r>
      <w:r w:rsidR="00F17A3F">
        <w:t xml:space="preserve"> </w:t>
      </w:r>
      <w:r w:rsidRPr="00860A34">
        <w:t xml:space="preserve">This instrument is a consequential amendment to reflect changes to the </w:t>
      </w:r>
      <w:r w:rsidRPr="00860A34">
        <w:rPr>
          <w:i/>
        </w:rPr>
        <w:t>National Health (Pharm</w:t>
      </w:r>
      <w:r w:rsidR="008046C1">
        <w:rPr>
          <w:i/>
        </w:rPr>
        <w:t>aceutical Benefits) Regulations </w:t>
      </w:r>
      <w:r w:rsidRPr="00860A34">
        <w:rPr>
          <w:i/>
        </w:rPr>
        <w:t>1960</w:t>
      </w:r>
      <w:r w:rsidRPr="00860A34">
        <w:t xml:space="preserve"> (the Regulations), made by the </w:t>
      </w:r>
      <w:r w:rsidRPr="00860A34">
        <w:rPr>
          <w:i/>
        </w:rPr>
        <w:t xml:space="preserve">National Health (Pharmaceutical Benefits) Amendment (Medication </w:t>
      </w:r>
      <w:r w:rsidR="008046C1">
        <w:rPr>
          <w:i/>
        </w:rPr>
        <w:t>Chart Prescriptions) Regulation </w:t>
      </w:r>
      <w:r w:rsidRPr="00860A34">
        <w:rPr>
          <w:i/>
        </w:rPr>
        <w:t xml:space="preserve">2015 </w:t>
      </w:r>
      <w:r w:rsidRPr="00860A34">
        <w:t>on 1</w:t>
      </w:r>
      <w:r w:rsidR="008046C1">
        <w:t> April </w:t>
      </w:r>
      <w:r w:rsidRPr="00860A34">
        <w:t xml:space="preserve">2015.  </w:t>
      </w:r>
    </w:p>
    <w:p w:rsidR="00E85211" w:rsidRDefault="008C78CF" w:rsidP="00F07F43">
      <w:pPr>
        <w:pBdr>
          <w:top w:val="thinThickThinSmallGap" w:sz="12" w:space="1" w:color="auto"/>
          <w:left w:val="thinThickThinSmallGap" w:sz="12" w:space="0" w:color="auto"/>
          <w:bottom w:val="thinThickThinSmallGap" w:sz="12" w:space="23" w:color="auto"/>
          <w:right w:val="thinThickThinSmallGap" w:sz="12" w:space="4" w:color="auto"/>
        </w:pBdr>
        <w:spacing w:after="120"/>
        <w:ind w:left="-851"/>
      </w:pPr>
      <w:r w:rsidRPr="00860A34">
        <w:t xml:space="preserve">The Regulations provide for hospital medication chart prescriptions to be used for prescribing, dispensing and claiming for supply of pharmaceutical benefits (medicines), without the need to produce a separate prescription for </w:t>
      </w:r>
      <w:r w:rsidRPr="00185108">
        <w:t xml:space="preserve">Pharmaceutical Benefits Scheme (PBS) </w:t>
      </w:r>
      <w:r w:rsidR="001E2462" w:rsidRPr="00185108">
        <w:t xml:space="preserve">or Repatriation PBS (RPBS) </w:t>
      </w:r>
      <w:r w:rsidRPr="00185108">
        <w:t>purposes.</w:t>
      </w:r>
      <w:r w:rsidRPr="00860A34">
        <w:t xml:space="preserve"> </w:t>
      </w:r>
      <w:r w:rsidR="00F17A3F">
        <w:t xml:space="preserve"> </w:t>
      </w:r>
    </w:p>
    <w:p w:rsidR="008C78CF" w:rsidRPr="00860A34" w:rsidRDefault="008C78CF" w:rsidP="00F07F43">
      <w:pPr>
        <w:pBdr>
          <w:top w:val="thinThickThinSmallGap" w:sz="12" w:space="1" w:color="auto"/>
          <w:left w:val="thinThickThinSmallGap" w:sz="12" w:space="0" w:color="auto"/>
          <w:bottom w:val="thinThickThinSmallGap" w:sz="12" w:space="23" w:color="auto"/>
          <w:right w:val="thinThickThinSmallGap" w:sz="12" w:space="4" w:color="auto"/>
        </w:pBdr>
        <w:spacing w:after="120"/>
        <w:ind w:left="-851"/>
      </w:pPr>
      <w:r>
        <w:t>The Regulations assist</w:t>
      </w:r>
      <w:r w:rsidRPr="00860A34">
        <w:t xml:space="preserve"> with streamlining</w:t>
      </w:r>
      <w:r w:rsidR="001E2462">
        <w:t xml:space="preserve"> the</w:t>
      </w:r>
      <w:r w:rsidRPr="00860A34">
        <w:t xml:space="preserve"> payment of claims submitted electronically by all approved suppliers of </w:t>
      </w:r>
      <w:r w:rsidR="00E85211">
        <w:t>medicines</w:t>
      </w:r>
      <w:r w:rsidRPr="00860A34">
        <w:t xml:space="preserve"> (ie, pharmacist, hospitals, dispensing doctors).</w:t>
      </w:r>
      <w:r w:rsidR="00F17A3F">
        <w:t xml:space="preserve"> </w:t>
      </w:r>
      <w:r w:rsidRPr="00860A34">
        <w:t xml:space="preserve"> Approved suppliers will no longer be required to send in prescriptions as part of their PBS/R</w:t>
      </w:r>
      <w:r w:rsidRPr="00DF4CF2">
        <w:t>PBS</w:t>
      </w:r>
      <w:r w:rsidRPr="00860A34">
        <w:t xml:space="preserve"> claim, instead providing an electronic supply certification and, under the Regulations, keeping prescription documents previously provided to the Commonwealth for 2 years.</w:t>
      </w:r>
    </w:p>
    <w:p w:rsidR="008C78CF" w:rsidRPr="00860A34" w:rsidRDefault="008C78CF" w:rsidP="00F07F43">
      <w:pPr>
        <w:pBdr>
          <w:top w:val="thinThickThinSmallGap" w:sz="12" w:space="1" w:color="auto"/>
          <w:left w:val="thinThickThinSmallGap" w:sz="12" w:space="0" w:color="auto"/>
          <w:bottom w:val="thinThickThinSmallGap" w:sz="12" w:space="23" w:color="auto"/>
          <w:right w:val="thinThickThinSmallGap" w:sz="12" w:space="4" w:color="auto"/>
        </w:pBdr>
        <w:spacing w:after="120"/>
        <w:ind w:left="-851"/>
      </w:pPr>
      <w:r w:rsidRPr="00860A34">
        <w:t xml:space="preserve">The </w:t>
      </w:r>
      <w:r w:rsidR="005D2075">
        <w:t xml:space="preserve">Chief Executive Medicare, as delegate of the </w:t>
      </w:r>
      <w:r w:rsidRPr="00860A34">
        <w:t>Secretary</w:t>
      </w:r>
      <w:r w:rsidR="005D2075">
        <w:t>,</w:t>
      </w:r>
      <w:r w:rsidRPr="00860A34">
        <w:t xml:space="preserve"> may declare an approved supplier exempt from making a PBS/RPBS claim</w:t>
      </w:r>
      <w:r w:rsidR="001E2462">
        <w:t>,</w:t>
      </w:r>
      <w:r w:rsidRPr="00860A34">
        <w:t xml:space="preserve"> using the Claims Transmission System, in accordance with th</w:t>
      </w:r>
      <w:r w:rsidR="00DF4CF2">
        <w:t>is instrument</w:t>
      </w:r>
      <w:r>
        <w:t xml:space="preserve">. </w:t>
      </w:r>
      <w:r w:rsidR="00F17A3F">
        <w:t xml:space="preserve"> </w:t>
      </w:r>
      <w:r>
        <w:t>The approved supplier may the</w:t>
      </w:r>
      <w:r w:rsidRPr="00860A34">
        <w:t>n make a manual system claim, which involves sending prescriptions to the Chief Executive Medicare</w:t>
      </w:r>
      <w:r w:rsidR="001E2462">
        <w:t>,</w:t>
      </w:r>
      <w:r w:rsidRPr="00860A34">
        <w:t xml:space="preserve"> in accordance w</w:t>
      </w:r>
      <w:r w:rsidR="008046C1">
        <w:t>ith rules made under subsection </w:t>
      </w:r>
      <w:r w:rsidRPr="00860A34">
        <w:t xml:space="preserve">99AAA(8) of the Act. </w:t>
      </w:r>
      <w:r w:rsidR="00F17A3F">
        <w:t xml:space="preserve"> </w:t>
      </w:r>
      <w:r w:rsidRPr="00860A34">
        <w:t xml:space="preserve">This instrument </w:t>
      </w:r>
      <w:r>
        <w:t>has</w:t>
      </w:r>
      <w:r w:rsidRPr="00860A34">
        <w:t xml:space="preserve"> an emergency or accessibility exemption ground (which is simpler than the previous electricity supply grounds) and a ground based on prior usage of the ‘CTS non-online claims’ (commonly called diskett</w:t>
      </w:r>
      <w:r w:rsidR="008046C1">
        <w:t>e claims) method</w:t>
      </w:r>
      <w:r w:rsidRPr="00860A34">
        <w:t xml:space="preserve">. </w:t>
      </w:r>
      <w:r w:rsidR="00F17A3F">
        <w:t xml:space="preserve"> </w:t>
      </w:r>
      <w:r w:rsidRPr="00860A34">
        <w:t>T</w:t>
      </w:r>
      <w:r w:rsidR="00DF4CF2">
        <w:t>he instrument ensures</w:t>
      </w:r>
      <w:r w:rsidRPr="00860A34">
        <w:t xml:space="preserve"> that if any approved supplier does not use the Claims Transmission System </w:t>
      </w:r>
      <w:r w:rsidR="008046C1" w:rsidRPr="00B63DC3">
        <w:t>on and from</w:t>
      </w:r>
      <w:r w:rsidR="008046C1">
        <w:t xml:space="preserve"> 1 </w:t>
      </w:r>
      <w:r w:rsidRPr="00860A34">
        <w:t>Ap</w:t>
      </w:r>
      <w:r w:rsidR="008046C1">
        <w:t>ril </w:t>
      </w:r>
      <w:r w:rsidRPr="00860A34">
        <w:t xml:space="preserve">2015, they can apply to use the manual system instead. </w:t>
      </w:r>
      <w:r w:rsidR="00F17A3F">
        <w:t xml:space="preserve"> </w:t>
      </w:r>
      <w:r w:rsidRPr="00860A34">
        <w:t xml:space="preserve">An approved medical practitioner does not require </w:t>
      </w:r>
      <w:r w:rsidR="00DF4CF2">
        <w:t>an exemption</w:t>
      </w:r>
      <w:r w:rsidR="007635D5">
        <w:t>,</w:t>
      </w:r>
      <w:r w:rsidRPr="00860A34">
        <w:t xml:space="preserve"> as they may choose to manual system claim as of right under</w:t>
      </w:r>
      <w:r w:rsidR="008046C1">
        <w:t xml:space="preserve"> paragraph </w:t>
      </w:r>
      <w:r w:rsidRPr="00860A34">
        <w:t xml:space="preserve">99AAB(2)(a) of the Act. </w:t>
      </w:r>
    </w:p>
    <w:p w:rsidR="008C78CF" w:rsidRPr="00860A34" w:rsidRDefault="008C78CF" w:rsidP="00F07F43">
      <w:pPr>
        <w:pBdr>
          <w:top w:val="thinThickThinSmallGap" w:sz="12" w:space="1" w:color="auto"/>
          <w:left w:val="thinThickThinSmallGap" w:sz="12" w:space="0" w:color="auto"/>
          <w:bottom w:val="thinThickThinSmallGap" w:sz="12" w:space="23" w:color="auto"/>
          <w:right w:val="thinThickThinSmallGap" w:sz="12" w:space="4" w:color="auto"/>
        </w:pBdr>
        <w:ind w:left="-851"/>
        <w:rPr>
          <w:b/>
        </w:rPr>
      </w:pPr>
      <w:r w:rsidRPr="00860A34">
        <w:rPr>
          <w:b/>
        </w:rPr>
        <w:t>Human rights implications</w:t>
      </w:r>
    </w:p>
    <w:p w:rsidR="008C78CF" w:rsidRPr="00860A34" w:rsidRDefault="008C78CF" w:rsidP="00F07F43">
      <w:pPr>
        <w:pBdr>
          <w:top w:val="thinThickThinSmallGap" w:sz="12" w:space="1" w:color="auto"/>
          <w:left w:val="thinThickThinSmallGap" w:sz="12" w:space="0" w:color="auto"/>
          <w:bottom w:val="thinThickThinSmallGap" w:sz="12" w:space="23" w:color="auto"/>
          <w:right w:val="thinThickThinSmallGap" w:sz="12" w:space="4" w:color="auto"/>
        </w:pBdr>
        <w:spacing w:after="120"/>
        <w:ind w:left="-851"/>
      </w:pPr>
      <w:r w:rsidRPr="00860A34">
        <w:t xml:space="preserve">This </w:t>
      </w:r>
      <w:r w:rsidR="00DF4CF2">
        <w:t>i</w:t>
      </w:r>
      <w:r w:rsidRPr="00860A34">
        <w:t>nstrument engages</w:t>
      </w:r>
      <w:r w:rsidR="008046C1">
        <w:t xml:space="preserve"> Articles 2 and </w:t>
      </w:r>
      <w:r w:rsidRPr="00860A34">
        <w:t>12 of the International Covenant on Economic, Social and Cultural Rights by assisting with the progressive realisation</w:t>
      </w:r>
      <w:r w:rsidR="00F17A3F">
        <w:t>,</w:t>
      </w:r>
      <w:r w:rsidRPr="00860A34">
        <w:t xml:space="preserve"> by all appropriate means</w:t>
      </w:r>
      <w:r w:rsidR="00F17A3F">
        <w:t>,</w:t>
      </w:r>
      <w:r w:rsidRPr="00860A34">
        <w:t xml:space="preserve"> of the right of everyone to the enjoyment of the highest attainable standard of physical and mental health.</w:t>
      </w:r>
    </w:p>
    <w:p w:rsidR="008C78CF" w:rsidRPr="00860A34" w:rsidRDefault="008C78CF" w:rsidP="00F07F43">
      <w:pPr>
        <w:keepNext/>
        <w:pBdr>
          <w:top w:val="thinThickThinSmallGap" w:sz="12" w:space="1" w:color="auto"/>
          <w:left w:val="thinThickThinSmallGap" w:sz="12" w:space="0" w:color="auto"/>
          <w:bottom w:val="thinThickThinSmallGap" w:sz="12" w:space="23" w:color="auto"/>
          <w:right w:val="thinThickThinSmallGap" w:sz="12" w:space="4" w:color="auto"/>
        </w:pBdr>
        <w:spacing w:after="120"/>
        <w:ind w:left="-851"/>
      </w:pPr>
      <w:r w:rsidRPr="00860A34">
        <w:t>The PBS assists with advancement of these human rights by providing for subsidised access to medicin</w:t>
      </w:r>
      <w:r>
        <w:t>es. The amendments made by the R</w:t>
      </w:r>
      <w:r w:rsidRPr="00860A34">
        <w:t>egulations</w:t>
      </w:r>
      <w:r w:rsidR="00DF4CF2">
        <w:t>,</w:t>
      </w:r>
      <w:r w:rsidRPr="00860A34">
        <w:t xml:space="preserve"> and provided for in this instrument</w:t>
      </w:r>
      <w:r w:rsidR="00DF4CF2">
        <w:t>,</w:t>
      </w:r>
      <w:r w:rsidRPr="00860A34">
        <w:t xml:space="preserve"> are a positive step towards attaining the highest standard of health for all Australians. </w:t>
      </w:r>
      <w:r w:rsidR="00DA1AD8">
        <w:t xml:space="preserve"> </w:t>
      </w:r>
      <w:r w:rsidRPr="00860A34">
        <w:t>This instrument provides exemption grounds to allow approved suppliers to access manual claiming, where appropriate.</w:t>
      </w:r>
    </w:p>
    <w:p w:rsidR="008C78CF" w:rsidRPr="00860A34" w:rsidRDefault="008C78CF" w:rsidP="00F07F43">
      <w:pPr>
        <w:pBdr>
          <w:top w:val="thinThickThinSmallGap" w:sz="12" w:space="1" w:color="auto"/>
          <w:left w:val="thinThickThinSmallGap" w:sz="12" w:space="0" w:color="auto"/>
          <w:bottom w:val="thinThickThinSmallGap" w:sz="12" w:space="23" w:color="auto"/>
          <w:right w:val="thinThickThinSmallGap" w:sz="12" w:space="4" w:color="auto"/>
        </w:pBdr>
        <w:ind w:left="-851"/>
        <w:rPr>
          <w:b/>
        </w:rPr>
      </w:pPr>
      <w:r w:rsidRPr="00860A34">
        <w:rPr>
          <w:b/>
        </w:rPr>
        <w:t xml:space="preserve">Conclusion </w:t>
      </w:r>
    </w:p>
    <w:p w:rsidR="008C78CF" w:rsidRPr="00860A34" w:rsidRDefault="008C78CF" w:rsidP="00F07F43">
      <w:pPr>
        <w:pBdr>
          <w:top w:val="thinThickThinSmallGap" w:sz="12" w:space="1" w:color="auto"/>
          <w:left w:val="thinThickThinSmallGap" w:sz="12" w:space="0" w:color="auto"/>
          <w:bottom w:val="thinThickThinSmallGap" w:sz="12" w:space="23" w:color="auto"/>
          <w:right w:val="thinThickThinSmallGap" w:sz="12" w:space="4" w:color="auto"/>
        </w:pBdr>
        <w:ind w:left="-851"/>
      </w:pPr>
      <w:r w:rsidRPr="00860A34">
        <w:t xml:space="preserve">This </w:t>
      </w:r>
      <w:r w:rsidR="007635D5">
        <w:t>i</w:t>
      </w:r>
      <w:r w:rsidRPr="00860A34">
        <w:t>nstrument is compatible with human rights because it advances the protection of human rights.</w:t>
      </w:r>
    </w:p>
    <w:p w:rsidR="008C78CF" w:rsidRPr="00860A34" w:rsidRDefault="008C78CF" w:rsidP="00F07F43">
      <w:pPr>
        <w:pBdr>
          <w:top w:val="thinThickThinSmallGap" w:sz="12" w:space="1" w:color="auto"/>
          <w:left w:val="thinThickThinSmallGap" w:sz="12" w:space="0" w:color="auto"/>
          <w:bottom w:val="thinThickThinSmallGap" w:sz="12" w:space="23" w:color="auto"/>
          <w:right w:val="thinThickThinSmallGap" w:sz="12" w:space="4" w:color="auto"/>
        </w:pBdr>
        <w:ind w:left="-851"/>
      </w:pPr>
    </w:p>
    <w:p w:rsidR="008C78CF" w:rsidRPr="00860A34" w:rsidRDefault="008C78CF" w:rsidP="00F07F43">
      <w:pPr>
        <w:pBdr>
          <w:top w:val="thinThickThinSmallGap" w:sz="12" w:space="1" w:color="auto"/>
          <w:left w:val="thinThickThinSmallGap" w:sz="12" w:space="0" w:color="auto"/>
          <w:bottom w:val="thinThickThinSmallGap" w:sz="12" w:space="23" w:color="auto"/>
          <w:right w:val="thinThickThinSmallGap" w:sz="12" w:space="4" w:color="auto"/>
        </w:pBdr>
        <w:ind w:left="-851"/>
        <w:jc w:val="center"/>
      </w:pPr>
      <w:r w:rsidRPr="00860A34">
        <w:t>Kim Bessell</w:t>
      </w:r>
    </w:p>
    <w:p w:rsidR="008C78CF" w:rsidRPr="00860A34" w:rsidRDefault="008C78CF" w:rsidP="00F07F43">
      <w:pPr>
        <w:pBdr>
          <w:top w:val="thinThickThinSmallGap" w:sz="12" w:space="1" w:color="auto"/>
          <w:left w:val="thinThickThinSmallGap" w:sz="12" w:space="0" w:color="auto"/>
          <w:bottom w:val="thinThickThinSmallGap" w:sz="12" w:space="23" w:color="auto"/>
          <w:right w:val="thinThickThinSmallGap" w:sz="12" w:space="4" w:color="auto"/>
        </w:pBdr>
        <w:ind w:left="-851"/>
        <w:jc w:val="center"/>
      </w:pPr>
      <w:r w:rsidRPr="00860A34">
        <w:t>Assistant Secretary</w:t>
      </w:r>
    </w:p>
    <w:p w:rsidR="008C78CF" w:rsidRDefault="008C78CF" w:rsidP="00F07F43">
      <w:pPr>
        <w:pBdr>
          <w:top w:val="thinThickThinSmallGap" w:sz="12" w:space="1" w:color="auto"/>
          <w:left w:val="thinThickThinSmallGap" w:sz="12" w:space="0" w:color="auto"/>
          <w:bottom w:val="thinThickThinSmallGap" w:sz="12" w:space="23" w:color="auto"/>
          <w:right w:val="thinThickThinSmallGap" w:sz="12" w:space="4" w:color="auto"/>
        </w:pBdr>
        <w:ind w:left="-851"/>
        <w:jc w:val="center"/>
      </w:pPr>
      <w:r w:rsidRPr="00860A34">
        <w:t>Pharmaceutical Access Branch</w:t>
      </w:r>
    </w:p>
    <w:p w:rsidR="008C78CF" w:rsidRPr="00860A34" w:rsidRDefault="008C78CF" w:rsidP="00F07F43">
      <w:pPr>
        <w:pBdr>
          <w:top w:val="thinThickThinSmallGap" w:sz="12" w:space="1" w:color="auto"/>
          <w:left w:val="thinThickThinSmallGap" w:sz="12" w:space="0" w:color="auto"/>
          <w:bottom w:val="thinThickThinSmallGap" w:sz="12" w:space="23" w:color="auto"/>
          <w:right w:val="thinThickThinSmallGap" w:sz="12" w:space="4" w:color="auto"/>
        </w:pBdr>
        <w:ind w:left="-851"/>
        <w:jc w:val="center"/>
      </w:pPr>
      <w:r>
        <w:t>Pharmaceutical Benefits Division</w:t>
      </w:r>
    </w:p>
    <w:p w:rsidR="00003743" w:rsidRPr="00003743" w:rsidRDefault="008C78CF" w:rsidP="00F07F43">
      <w:pPr>
        <w:pBdr>
          <w:top w:val="thinThickThinSmallGap" w:sz="12" w:space="1" w:color="auto"/>
          <w:left w:val="thinThickThinSmallGap" w:sz="12" w:space="0" w:color="auto"/>
          <w:bottom w:val="thinThickThinSmallGap" w:sz="12" w:space="23" w:color="auto"/>
          <w:right w:val="thinThickThinSmallGap" w:sz="12" w:space="4" w:color="auto"/>
        </w:pBdr>
        <w:ind w:left="-851"/>
        <w:jc w:val="center"/>
        <w:rPr>
          <w:rStyle w:val="IntenseReference"/>
          <w:b w:val="0"/>
          <w:bCs w:val="0"/>
          <w:i w:val="0"/>
          <w:smallCaps w:val="0"/>
          <w:color w:val="auto"/>
          <w:spacing w:val="0"/>
        </w:rPr>
      </w:pPr>
      <w:r w:rsidRPr="00860A34">
        <w:t>Department of Health</w:t>
      </w:r>
    </w:p>
    <w:sectPr w:rsidR="00003743" w:rsidRPr="00003743" w:rsidSect="00B63DC3">
      <w:footerReference w:type="first" r:id="rId15"/>
      <w:pgSz w:w="11906" w:h="16838"/>
      <w:pgMar w:top="284" w:right="720" w:bottom="567" w:left="1843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B61" w:rsidRDefault="00396B61">
      <w:r>
        <w:separator/>
      </w:r>
    </w:p>
  </w:endnote>
  <w:endnote w:type="continuationSeparator" w:id="0">
    <w:p w:rsidR="00396B61" w:rsidRDefault="0039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C2" w:rsidRDefault="00A821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66828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7F43" w:rsidRDefault="00F07F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21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bookmarkStart w:id="0" w:name="_GoBack" w:displacedByCustomXml="prev"/>
  <w:bookmarkEnd w:id="0" w:displacedByCustomXml="prev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F43" w:rsidRDefault="00F07F43">
    <w:pPr>
      <w:pStyle w:val="Footer"/>
      <w:jc w:val="center"/>
    </w:pPr>
  </w:p>
  <w:p w:rsidR="00F07F43" w:rsidRDefault="00F07F4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56978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7F43" w:rsidRDefault="00F07F43">
        <w:pPr>
          <w:pStyle w:val="Footer"/>
          <w:jc w:val="center"/>
        </w:pPr>
        <w:r>
          <w:t>5</w:t>
        </w:r>
      </w:p>
    </w:sdtContent>
  </w:sdt>
  <w:p w:rsidR="00F07F43" w:rsidRDefault="00F07F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B61" w:rsidRDefault="00396B61">
      <w:r>
        <w:separator/>
      </w:r>
    </w:p>
  </w:footnote>
  <w:footnote w:type="continuationSeparator" w:id="0">
    <w:p w:rsidR="00396B61" w:rsidRDefault="00396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C2" w:rsidRDefault="00A821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C2" w:rsidRDefault="00A821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C2" w:rsidRDefault="00A821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70EC7"/>
    <w:multiLevelType w:val="hybridMultilevel"/>
    <w:tmpl w:val="3BD60066"/>
    <w:lvl w:ilvl="0" w:tplc="0C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CF"/>
    <w:rsid w:val="00003743"/>
    <w:rsid w:val="00022E11"/>
    <w:rsid w:val="0003371B"/>
    <w:rsid w:val="00067456"/>
    <w:rsid w:val="000E46F9"/>
    <w:rsid w:val="00185108"/>
    <w:rsid w:val="001B3443"/>
    <w:rsid w:val="001E2462"/>
    <w:rsid w:val="002251DB"/>
    <w:rsid w:val="00233BD6"/>
    <w:rsid w:val="00266467"/>
    <w:rsid w:val="00274876"/>
    <w:rsid w:val="00285C52"/>
    <w:rsid w:val="002C18D2"/>
    <w:rsid w:val="002C6319"/>
    <w:rsid w:val="002D1FF9"/>
    <w:rsid w:val="0030786C"/>
    <w:rsid w:val="003204E3"/>
    <w:rsid w:val="00381303"/>
    <w:rsid w:val="00396B61"/>
    <w:rsid w:val="003D17F9"/>
    <w:rsid w:val="003D40CB"/>
    <w:rsid w:val="00430D20"/>
    <w:rsid w:val="004867E2"/>
    <w:rsid w:val="0059799F"/>
    <w:rsid w:val="005B5BD2"/>
    <w:rsid w:val="005D2075"/>
    <w:rsid w:val="00680F4B"/>
    <w:rsid w:val="0071739A"/>
    <w:rsid w:val="007635D5"/>
    <w:rsid w:val="008046C1"/>
    <w:rsid w:val="008264EB"/>
    <w:rsid w:val="00835B09"/>
    <w:rsid w:val="008C78CF"/>
    <w:rsid w:val="008E5664"/>
    <w:rsid w:val="009D0D8A"/>
    <w:rsid w:val="009F775B"/>
    <w:rsid w:val="00A4512D"/>
    <w:rsid w:val="00A705AF"/>
    <w:rsid w:val="00A821C2"/>
    <w:rsid w:val="00B42851"/>
    <w:rsid w:val="00B45980"/>
    <w:rsid w:val="00B63DC3"/>
    <w:rsid w:val="00BA19E3"/>
    <w:rsid w:val="00BD081E"/>
    <w:rsid w:val="00CB5B1A"/>
    <w:rsid w:val="00D01F63"/>
    <w:rsid w:val="00D33124"/>
    <w:rsid w:val="00DA1AD8"/>
    <w:rsid w:val="00DB5709"/>
    <w:rsid w:val="00DF4CF2"/>
    <w:rsid w:val="00E85211"/>
    <w:rsid w:val="00F07F43"/>
    <w:rsid w:val="00F17A3F"/>
    <w:rsid w:val="00FC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78CF"/>
    <w:rPr>
      <w:sz w:val="24"/>
      <w:szCs w:val="24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8C78C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8CF"/>
    <w:rPr>
      <w:sz w:val="24"/>
      <w:szCs w:val="24"/>
    </w:rPr>
  </w:style>
  <w:style w:type="paragraph" w:styleId="Header">
    <w:name w:val="header"/>
    <w:basedOn w:val="Normal"/>
    <w:link w:val="HeaderChar"/>
    <w:rsid w:val="008C78C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C78CF"/>
    <w:rPr>
      <w:sz w:val="24"/>
      <w:szCs w:val="24"/>
    </w:rPr>
  </w:style>
  <w:style w:type="paragraph" w:styleId="BalloonText">
    <w:name w:val="Balloon Text"/>
    <w:basedOn w:val="Normal"/>
    <w:link w:val="BalloonTextChar"/>
    <w:rsid w:val="001E2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24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78CF"/>
    <w:rPr>
      <w:sz w:val="24"/>
      <w:szCs w:val="24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8C78C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8CF"/>
    <w:rPr>
      <w:sz w:val="24"/>
      <w:szCs w:val="24"/>
    </w:rPr>
  </w:style>
  <w:style w:type="paragraph" w:styleId="Header">
    <w:name w:val="header"/>
    <w:basedOn w:val="Normal"/>
    <w:link w:val="HeaderChar"/>
    <w:rsid w:val="008C78C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C78CF"/>
    <w:rPr>
      <w:sz w:val="24"/>
      <w:szCs w:val="24"/>
    </w:rPr>
  </w:style>
  <w:style w:type="paragraph" w:styleId="BalloonText">
    <w:name w:val="Balloon Text"/>
    <w:basedOn w:val="Normal"/>
    <w:link w:val="BalloonTextChar"/>
    <w:rsid w:val="001E2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24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94B70-9949-47E8-B579-E80F41EDB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1441</Words>
  <Characters>8346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9768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Maslaris Nicole</dc:creator>
  <cp:lastModifiedBy>Alabaster, John</cp:lastModifiedBy>
  <cp:revision>2</cp:revision>
  <cp:lastPrinted>2015-03-12T04:11:00Z</cp:lastPrinted>
  <dcterms:created xsi:type="dcterms:W3CDTF">2015-03-31T21:55:00Z</dcterms:created>
  <dcterms:modified xsi:type="dcterms:W3CDTF">2015-03-31T21:55:00Z</dcterms:modified>
</cp:coreProperties>
</file>