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EB" w:rsidRPr="00A80C1E" w:rsidRDefault="005E70EB" w:rsidP="005E70EB">
      <w:bookmarkStart w:id="0" w:name="_GoBack"/>
      <w:bookmarkEnd w:id="0"/>
      <w:r>
        <w:rPr>
          <w:noProof/>
        </w:rPr>
        <w:drawing>
          <wp:inline distT="0" distB="0" distL="0" distR="0">
            <wp:extent cx="1416050"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0" cy="1104265"/>
                    </a:xfrm>
                    <a:prstGeom prst="rect">
                      <a:avLst/>
                    </a:prstGeom>
                    <a:noFill/>
                    <a:ln>
                      <a:noFill/>
                    </a:ln>
                  </pic:spPr>
                </pic:pic>
              </a:graphicData>
            </a:graphic>
          </wp:inline>
        </w:drawing>
      </w:r>
    </w:p>
    <w:p w:rsidR="005E70EB" w:rsidRPr="00A80C1E" w:rsidRDefault="005E70EB" w:rsidP="005E70EB"/>
    <w:p w:rsidR="005E70EB" w:rsidRDefault="005E70EB" w:rsidP="005E70EB">
      <w:pPr>
        <w:rPr>
          <w:rFonts w:ascii="Arial" w:hAnsi="Arial" w:cs="Arial"/>
          <w:b/>
          <w:sz w:val="32"/>
          <w:szCs w:val="32"/>
        </w:rPr>
      </w:pPr>
    </w:p>
    <w:p w:rsidR="005E70EB" w:rsidRPr="00B56385" w:rsidRDefault="005E70EB" w:rsidP="005E70EB">
      <w:pPr>
        <w:rPr>
          <w:rFonts w:ascii="Arial" w:hAnsi="Arial" w:cs="Arial"/>
          <w:b/>
          <w:sz w:val="32"/>
          <w:szCs w:val="32"/>
        </w:rPr>
      </w:pPr>
      <w:r w:rsidRPr="00B56385">
        <w:rPr>
          <w:rFonts w:ascii="Arial" w:hAnsi="Arial" w:cs="Arial"/>
          <w:b/>
          <w:sz w:val="32"/>
          <w:szCs w:val="32"/>
        </w:rPr>
        <w:t>PB </w:t>
      </w:r>
      <w:r w:rsidR="00B56385">
        <w:rPr>
          <w:rFonts w:ascii="Arial" w:hAnsi="Arial" w:cs="Arial"/>
          <w:b/>
          <w:sz w:val="32"/>
          <w:szCs w:val="32"/>
        </w:rPr>
        <w:t>38</w:t>
      </w:r>
      <w:r w:rsidRPr="00B56385">
        <w:rPr>
          <w:rFonts w:ascii="Arial" w:hAnsi="Arial" w:cs="Arial"/>
          <w:b/>
          <w:sz w:val="32"/>
          <w:szCs w:val="32"/>
        </w:rPr>
        <w:t> of 2015</w:t>
      </w:r>
    </w:p>
    <w:p w:rsidR="008D1B86" w:rsidRDefault="008D1B86" w:rsidP="008D1B86">
      <w:pPr>
        <w:pStyle w:val="Title"/>
        <w:pBdr>
          <w:bottom w:val="single" w:sz="4" w:space="3" w:color="auto"/>
        </w:pBdr>
        <w:jc w:val="left"/>
      </w:pPr>
      <w:bookmarkStart w:id="1" w:name="Citation"/>
    </w:p>
    <w:p w:rsidR="005E70EB" w:rsidRPr="00A80C1E" w:rsidRDefault="005E70EB" w:rsidP="008D1B86">
      <w:pPr>
        <w:pStyle w:val="Title"/>
        <w:pBdr>
          <w:bottom w:val="single" w:sz="4" w:space="3" w:color="auto"/>
        </w:pBdr>
        <w:jc w:val="left"/>
      </w:pPr>
      <w:r w:rsidRPr="00A80C1E">
        <w:t>National Hea</w:t>
      </w:r>
      <w:r>
        <w:t>lth (Claims Transmission System Exemption) Guidelines</w:t>
      </w:r>
      <w:bookmarkEnd w:id="1"/>
      <w:r>
        <w:t> 2015</w:t>
      </w:r>
      <w:r w:rsidRPr="00A80C1E">
        <w:rPr>
          <w:b w:val="0"/>
          <w:position w:val="6"/>
          <w:sz w:val="24"/>
          <w:vertAlign w:val="superscript"/>
        </w:rPr>
        <w:t>1</w:t>
      </w:r>
    </w:p>
    <w:p w:rsidR="005E70EB" w:rsidRPr="00A80C1E" w:rsidRDefault="005E70EB" w:rsidP="005E70EB">
      <w:pPr>
        <w:pBdr>
          <w:bottom w:val="single" w:sz="4" w:space="3" w:color="auto"/>
        </w:pBdr>
        <w:spacing w:before="480"/>
        <w:rPr>
          <w:rFonts w:ascii="Arial" w:hAnsi="Arial" w:cs="Arial"/>
          <w:i/>
          <w:sz w:val="28"/>
          <w:szCs w:val="28"/>
          <w:lang w:val="en-US"/>
        </w:rPr>
      </w:pPr>
      <w:r>
        <w:rPr>
          <w:rFonts w:ascii="Arial" w:hAnsi="Arial" w:cs="Arial"/>
          <w:i/>
          <w:sz w:val="28"/>
          <w:szCs w:val="28"/>
          <w:lang w:val="en-US"/>
        </w:rPr>
        <w:t>National Health Act </w:t>
      </w:r>
      <w:r w:rsidRPr="00A80C1E">
        <w:rPr>
          <w:rFonts w:ascii="Arial" w:hAnsi="Arial" w:cs="Arial"/>
          <w:i/>
          <w:sz w:val="28"/>
          <w:szCs w:val="28"/>
          <w:lang w:val="en-US"/>
        </w:rPr>
        <w:t>1953</w:t>
      </w:r>
    </w:p>
    <w:p w:rsidR="005E70EB" w:rsidRPr="00A80C1E" w:rsidRDefault="005E70EB" w:rsidP="005E70EB">
      <w:pPr>
        <w:spacing w:before="360"/>
        <w:jc w:val="both"/>
      </w:pPr>
      <w:r>
        <w:t xml:space="preserve">I, </w:t>
      </w:r>
      <w:r w:rsidR="006D2F9B">
        <w:t>KIM BESSELL</w:t>
      </w:r>
      <w:r w:rsidR="00CA26F2">
        <w:t xml:space="preserve"> </w:t>
      </w:r>
      <w:r w:rsidRPr="00A80C1E">
        <w:t xml:space="preserve">Assistant Secretary, </w:t>
      </w:r>
      <w:r>
        <w:t>Pharmaceutical Access Branch, Pharmaceutical Benefits Division</w:t>
      </w:r>
      <w:r w:rsidRPr="00A80C1E">
        <w:t xml:space="preserve">, Department of Health, delegate of the Minister for Health, make </w:t>
      </w:r>
      <w:r>
        <w:t>this</w:t>
      </w:r>
      <w:r w:rsidRPr="00A80C1E">
        <w:t xml:space="preserve"> </w:t>
      </w:r>
      <w:r>
        <w:t>instrument</w:t>
      </w:r>
      <w:r w:rsidRPr="00A80C1E">
        <w:t xml:space="preserve"> under </w:t>
      </w:r>
      <w:r>
        <w:t>subsection</w:t>
      </w:r>
      <w:r w:rsidR="00DE24CD">
        <w:t> </w:t>
      </w:r>
      <w:r>
        <w:t>99AAC(2)</w:t>
      </w:r>
      <w:r w:rsidRPr="00A80C1E">
        <w:t xml:space="preserve"> of the </w:t>
      </w:r>
      <w:r>
        <w:rPr>
          <w:i/>
        </w:rPr>
        <w:t>National Health Act </w:t>
      </w:r>
      <w:r w:rsidRPr="00A80C1E">
        <w:rPr>
          <w:i/>
        </w:rPr>
        <w:t>1953</w:t>
      </w:r>
      <w:r w:rsidRPr="00A80C1E">
        <w:t>.</w:t>
      </w:r>
    </w:p>
    <w:p w:rsidR="005E70EB" w:rsidRPr="00A80C1E" w:rsidRDefault="005E70EB" w:rsidP="005E70EB">
      <w:pPr>
        <w:tabs>
          <w:tab w:val="left" w:pos="3119"/>
        </w:tabs>
        <w:spacing w:before="300" w:after="600" w:line="300" w:lineRule="atLeast"/>
      </w:pPr>
      <w:r>
        <w:t xml:space="preserve">Dated </w:t>
      </w:r>
      <w:r w:rsidR="009A05B8">
        <w:t>27 March 2015</w:t>
      </w:r>
      <w:r>
        <w:t xml:space="preserve"> </w:t>
      </w:r>
      <w:r w:rsidRPr="00A80C1E">
        <w:t xml:space="preserve"> </w:t>
      </w:r>
    </w:p>
    <w:p w:rsidR="005E70EB" w:rsidRPr="00A80C1E" w:rsidRDefault="005E70EB" w:rsidP="005E70EB">
      <w:pPr>
        <w:tabs>
          <w:tab w:val="left" w:pos="3119"/>
        </w:tabs>
        <w:spacing w:before="600" w:line="300" w:lineRule="atLeast"/>
      </w:pPr>
    </w:p>
    <w:p w:rsidR="005E70EB" w:rsidRDefault="005E70EB" w:rsidP="005E70EB">
      <w:pPr>
        <w:tabs>
          <w:tab w:val="left" w:pos="3969"/>
        </w:tabs>
        <w:spacing w:line="300" w:lineRule="atLeast"/>
      </w:pPr>
      <w:bookmarkStart w:id="2" w:name="Ministe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5E70EB" w:rsidP="005E70EB">
      <w:pPr>
        <w:tabs>
          <w:tab w:val="left" w:pos="3969"/>
        </w:tabs>
        <w:spacing w:line="300" w:lineRule="atLeast"/>
      </w:pPr>
    </w:p>
    <w:p w:rsidR="005E70EB" w:rsidRDefault="006D2F9B" w:rsidP="005E70EB">
      <w:pPr>
        <w:tabs>
          <w:tab w:val="left" w:pos="3969"/>
        </w:tabs>
        <w:spacing w:line="300" w:lineRule="atLeast"/>
      </w:pPr>
      <w:r>
        <w:t>KIM BESSELL</w:t>
      </w:r>
    </w:p>
    <w:p w:rsidR="005E70EB" w:rsidRDefault="005E70EB" w:rsidP="006D2F9B">
      <w:pPr>
        <w:pBdr>
          <w:bottom w:val="single" w:sz="4" w:space="1" w:color="auto"/>
        </w:pBdr>
        <w:tabs>
          <w:tab w:val="left" w:pos="3969"/>
        </w:tabs>
        <w:spacing w:line="300" w:lineRule="atLeast"/>
      </w:pPr>
      <w:r>
        <w:t>Assistant Secretary</w:t>
      </w:r>
    </w:p>
    <w:p w:rsidR="005E70EB" w:rsidRDefault="005E70EB" w:rsidP="006D2F9B">
      <w:pPr>
        <w:pBdr>
          <w:bottom w:val="single" w:sz="4" w:space="1" w:color="auto"/>
        </w:pBdr>
        <w:tabs>
          <w:tab w:val="left" w:pos="3969"/>
        </w:tabs>
        <w:spacing w:line="300" w:lineRule="atLeast"/>
      </w:pPr>
      <w:r>
        <w:t>Pharmaceutical Access Branch</w:t>
      </w:r>
    </w:p>
    <w:p w:rsidR="005E70EB" w:rsidRPr="00A80C1E" w:rsidRDefault="005E70EB" w:rsidP="006D2F9B">
      <w:pPr>
        <w:pBdr>
          <w:bottom w:val="single" w:sz="4" w:space="1" w:color="auto"/>
        </w:pBdr>
        <w:tabs>
          <w:tab w:val="left" w:pos="3969"/>
        </w:tabs>
        <w:spacing w:line="300" w:lineRule="atLeast"/>
        <w:rPr>
          <w:i/>
        </w:rPr>
      </w:pPr>
      <w:r>
        <w:t>Pharmaceutical Benefits Division</w:t>
      </w:r>
      <w:r w:rsidRPr="00A80C1E">
        <w:t xml:space="preserve"> </w:t>
      </w:r>
      <w:r w:rsidRPr="00A80C1E">
        <w:br/>
        <w:t>Department of Health</w:t>
      </w:r>
      <w:bookmarkEnd w:id="2"/>
    </w:p>
    <w:p w:rsidR="006D2F9B" w:rsidRDefault="006D2F9B" w:rsidP="008D1B86">
      <w:pPr>
        <w:pStyle w:val="HR"/>
        <w:keepLines w:val="0"/>
        <w:rPr>
          <w:rStyle w:val="CharSectno"/>
        </w:rPr>
      </w:pPr>
      <w:bookmarkStart w:id="3" w:name="_Toc397335378"/>
    </w:p>
    <w:p w:rsidR="005E70EB" w:rsidRPr="00A80C1E" w:rsidRDefault="005E70EB" w:rsidP="009E0A2D">
      <w:pPr>
        <w:pStyle w:val="HR"/>
        <w:keepLines w:val="0"/>
        <w:spacing w:before="240"/>
      </w:pPr>
      <w:r w:rsidRPr="00A80C1E">
        <w:rPr>
          <w:rStyle w:val="CharSectno"/>
        </w:rPr>
        <w:t>1</w:t>
      </w:r>
      <w:r w:rsidRPr="00A80C1E">
        <w:tab/>
        <w:t>Name of Instrument</w:t>
      </w:r>
      <w:bookmarkEnd w:id="3"/>
    </w:p>
    <w:p w:rsidR="005E70EB" w:rsidRPr="00A80C1E" w:rsidRDefault="005E70EB" w:rsidP="009E0A2D">
      <w:pPr>
        <w:pStyle w:val="R1"/>
        <w:jc w:val="left"/>
      </w:pPr>
      <w:r w:rsidRPr="00A80C1E">
        <w:tab/>
        <w:t>(1)</w:t>
      </w:r>
      <w:r w:rsidRPr="00A80C1E">
        <w:tab/>
        <w:t>Th</w:t>
      </w:r>
      <w:r>
        <w:t>is i</w:t>
      </w:r>
      <w:r w:rsidRPr="00A80C1E">
        <w:t xml:space="preserve">nstrument is the </w:t>
      </w:r>
      <w:r>
        <w:rPr>
          <w:i/>
        </w:rPr>
        <w:t>National Health (Claims Transmission System Exemption) Guidelines 2015</w:t>
      </w:r>
      <w:r w:rsidRPr="00A80C1E">
        <w:t>.</w:t>
      </w:r>
    </w:p>
    <w:p w:rsidR="005E70EB" w:rsidRPr="00A80C1E" w:rsidRDefault="005E70EB" w:rsidP="009E0A2D">
      <w:pPr>
        <w:pStyle w:val="R2"/>
        <w:jc w:val="left"/>
      </w:pPr>
      <w:r w:rsidRPr="00A80C1E">
        <w:tab/>
        <w:t>(2)</w:t>
      </w:r>
      <w:r w:rsidRPr="00A80C1E">
        <w:tab/>
        <w:t>Th</w:t>
      </w:r>
      <w:r>
        <w:t>is i</w:t>
      </w:r>
      <w:r w:rsidRPr="00A80C1E">
        <w:t>nstrument may also</w:t>
      </w:r>
      <w:r>
        <w:t xml:space="preserve"> be cited as </w:t>
      </w:r>
      <w:r w:rsidRPr="00B56385">
        <w:t>PB </w:t>
      </w:r>
      <w:r w:rsidR="00B56385" w:rsidRPr="00B56385">
        <w:t>38 </w:t>
      </w:r>
      <w:r w:rsidRPr="00B56385">
        <w:t>of </w:t>
      </w:r>
      <w:r>
        <w:t>2015</w:t>
      </w:r>
      <w:r w:rsidRPr="00A80C1E">
        <w:t>.</w:t>
      </w:r>
    </w:p>
    <w:p w:rsidR="005E70EB" w:rsidRPr="00A80C1E" w:rsidRDefault="005E70EB" w:rsidP="009E0A2D">
      <w:pPr>
        <w:pStyle w:val="HR"/>
      </w:pPr>
      <w:bookmarkStart w:id="4" w:name="_Toc264619553"/>
      <w:bookmarkStart w:id="5" w:name="_Toc397335379"/>
      <w:r w:rsidRPr="00A80C1E">
        <w:rPr>
          <w:rStyle w:val="CharSectno"/>
        </w:rPr>
        <w:t>2</w:t>
      </w:r>
      <w:r w:rsidRPr="00A80C1E">
        <w:tab/>
        <w:t>Commencement</w:t>
      </w:r>
      <w:bookmarkEnd w:id="4"/>
      <w:bookmarkEnd w:id="5"/>
    </w:p>
    <w:p w:rsidR="005E70EB" w:rsidRDefault="005E70EB">
      <w:pPr>
        <w:pStyle w:val="R1"/>
        <w:jc w:val="left"/>
      </w:pPr>
      <w:r w:rsidRPr="00A80C1E">
        <w:tab/>
      </w:r>
      <w:r w:rsidRPr="00A80C1E">
        <w:tab/>
        <w:t xml:space="preserve">This </w:t>
      </w:r>
      <w:r w:rsidR="008D1B86">
        <w:t>i</w:t>
      </w:r>
      <w:r w:rsidRPr="00A80C1E">
        <w:t>nstrument commences on</w:t>
      </w:r>
      <w:r>
        <w:t xml:space="preserve"> 1 April 2015</w:t>
      </w:r>
      <w:r w:rsidRPr="00A80C1E">
        <w:t>.</w:t>
      </w:r>
    </w:p>
    <w:p w:rsidR="005E70EB" w:rsidRPr="00A80C1E" w:rsidRDefault="005E70EB">
      <w:pPr>
        <w:pStyle w:val="HR"/>
      </w:pPr>
      <w:bookmarkStart w:id="6" w:name="_Toc397335380"/>
      <w:r>
        <w:rPr>
          <w:rStyle w:val="CharSectno"/>
        </w:rPr>
        <w:t>3</w:t>
      </w:r>
      <w:r w:rsidRPr="00A80C1E">
        <w:tab/>
      </w:r>
      <w:bookmarkEnd w:id="6"/>
      <w:r>
        <w:t>Repeal</w:t>
      </w:r>
    </w:p>
    <w:p w:rsidR="005E70EB" w:rsidRPr="00B24115" w:rsidRDefault="005E70EB">
      <w:pPr>
        <w:pStyle w:val="R2"/>
        <w:jc w:val="left"/>
      </w:pPr>
      <w:r>
        <w:tab/>
      </w:r>
      <w:r>
        <w:tab/>
        <w:t>The determination PB 9 of 2000 under subsection </w:t>
      </w:r>
      <w:proofErr w:type="gramStart"/>
      <w:r>
        <w:t>99AAC(</w:t>
      </w:r>
      <w:proofErr w:type="gramEnd"/>
      <w:r>
        <w:t>2)</w:t>
      </w:r>
      <w:r w:rsidR="006D2F9B">
        <w:t xml:space="preserve"> of the Act,</w:t>
      </w:r>
      <w:r>
        <w:t xml:space="preserve"> which commenced on 1 July 2000</w:t>
      </w:r>
      <w:r w:rsidR="006D2F9B">
        <w:t>,</w:t>
      </w:r>
      <w:r>
        <w:t xml:space="preserve">  is repealed.</w:t>
      </w:r>
    </w:p>
    <w:p w:rsidR="005E70EB" w:rsidRPr="00A80C1E" w:rsidRDefault="005E70EB">
      <w:pPr>
        <w:pStyle w:val="HR"/>
      </w:pPr>
      <w:bookmarkStart w:id="7" w:name="_Toc397335381"/>
      <w:r>
        <w:rPr>
          <w:rStyle w:val="CharSectno"/>
        </w:rPr>
        <w:t>4</w:t>
      </w:r>
      <w:r w:rsidRPr="00A80C1E">
        <w:tab/>
        <w:t>Definitions</w:t>
      </w:r>
      <w:bookmarkEnd w:id="7"/>
    </w:p>
    <w:p w:rsidR="005E70EB" w:rsidRDefault="005E70EB">
      <w:pPr>
        <w:pStyle w:val="ZR1"/>
        <w:jc w:val="left"/>
      </w:pPr>
      <w:r w:rsidRPr="00A80C1E">
        <w:tab/>
      </w:r>
      <w:r w:rsidRPr="00A80C1E">
        <w:tab/>
        <w:t xml:space="preserve">In this </w:t>
      </w:r>
      <w:r w:rsidR="006D2F9B">
        <w:t>i</w:t>
      </w:r>
      <w:r w:rsidRPr="00A80C1E">
        <w:t>nstrument:</w:t>
      </w:r>
    </w:p>
    <w:p w:rsidR="005E70EB" w:rsidRPr="00A80C1E" w:rsidRDefault="005E70EB">
      <w:pPr>
        <w:pStyle w:val="ZR1"/>
        <w:jc w:val="left"/>
      </w:pPr>
      <w:r>
        <w:tab/>
      </w:r>
      <w:r>
        <w:tab/>
      </w:r>
      <w:r w:rsidRPr="002F7DB6">
        <w:rPr>
          <w:b/>
          <w:i/>
        </w:rPr>
        <w:t>Act</w:t>
      </w:r>
      <w:r>
        <w:t xml:space="preserve"> means the </w:t>
      </w:r>
      <w:r w:rsidRPr="002F7DB6">
        <w:rPr>
          <w:i/>
        </w:rPr>
        <w:t>National Health Act</w:t>
      </w:r>
      <w:r>
        <w:rPr>
          <w:i/>
        </w:rPr>
        <w:t> </w:t>
      </w:r>
      <w:r w:rsidRPr="002F7DB6">
        <w:rPr>
          <w:i/>
        </w:rPr>
        <w:t>1953</w:t>
      </w:r>
      <w:r w:rsidR="006D2F9B" w:rsidRPr="00DE24CD">
        <w:t>.</w:t>
      </w:r>
    </w:p>
    <w:p w:rsidR="005E70EB" w:rsidRDefault="005E70EB">
      <w:pPr>
        <w:pStyle w:val="Zdefinition"/>
        <w:jc w:val="left"/>
      </w:pPr>
      <w:r>
        <w:rPr>
          <w:b/>
          <w:i/>
        </w:rPr>
        <w:t xml:space="preserve">Claims Transmission System </w:t>
      </w:r>
      <w:r>
        <w:t>has the same meaning as in section 99AAA of the Act</w:t>
      </w:r>
      <w:r w:rsidR="006D2F9B">
        <w:t>.</w:t>
      </w:r>
    </w:p>
    <w:p w:rsidR="005E70EB" w:rsidRDefault="005E70EB">
      <w:pPr>
        <w:pStyle w:val="Zdefinition"/>
        <w:jc w:val="left"/>
      </w:pPr>
      <w:r>
        <w:rPr>
          <w:b/>
          <w:i/>
        </w:rPr>
        <w:t xml:space="preserve">CTS non-online claim </w:t>
      </w:r>
      <w:r>
        <w:t>has the same meaning as in the rules made under subsection</w:t>
      </w:r>
      <w:r w:rsidR="006D2F9B">
        <w:t>s</w:t>
      </w:r>
      <w:r>
        <w:t> </w:t>
      </w:r>
      <w:proofErr w:type="gramStart"/>
      <w:r>
        <w:t>98AC(</w:t>
      </w:r>
      <w:proofErr w:type="gramEnd"/>
      <w:r>
        <w:t xml:space="preserve">4) and 99AAA(8) of the Act, as in force </w:t>
      </w:r>
      <w:r w:rsidRPr="00AA7356">
        <w:t>immediately</w:t>
      </w:r>
      <w:r>
        <w:t xml:space="preserve"> </w:t>
      </w:r>
      <w:r w:rsidR="006D2F9B">
        <w:t>before</w:t>
      </w:r>
      <w:r>
        <w:t> </w:t>
      </w:r>
      <w:r w:rsidR="00AA7356">
        <w:t xml:space="preserve">1 </w:t>
      </w:r>
      <w:r>
        <w:t>April 2015.</w:t>
      </w:r>
    </w:p>
    <w:p w:rsidR="005E70EB" w:rsidRPr="00522D9A" w:rsidRDefault="005E70EB">
      <w:pPr>
        <w:pStyle w:val="HR"/>
      </w:pPr>
      <w:r>
        <w:rPr>
          <w:rStyle w:val="CharSectno"/>
        </w:rPr>
        <w:t>5</w:t>
      </w:r>
      <w:r w:rsidRPr="00AB4057">
        <w:rPr>
          <w:color w:val="FF0000"/>
        </w:rPr>
        <w:tab/>
      </w:r>
      <w:r w:rsidRPr="00522D9A">
        <w:t>Emergency or accessibility exemption</w:t>
      </w:r>
    </w:p>
    <w:p w:rsidR="005E70EB" w:rsidRPr="00522D9A" w:rsidRDefault="005E70EB">
      <w:pPr>
        <w:pStyle w:val="R2"/>
        <w:jc w:val="left"/>
      </w:pPr>
      <w:r w:rsidRPr="00522D9A">
        <w:tab/>
      </w:r>
      <w:r w:rsidRPr="00522D9A">
        <w:tab/>
        <w:t>The Secretary may decl</w:t>
      </w:r>
      <w:r>
        <w:t>are in writing under subsection </w:t>
      </w:r>
      <w:proofErr w:type="gramStart"/>
      <w:r w:rsidRPr="00522D9A">
        <w:t>99AAC(</w:t>
      </w:r>
      <w:proofErr w:type="gramEnd"/>
      <w:r w:rsidRPr="00522D9A">
        <w:t>1) of the Act that an approved supplier is exempted f</w:t>
      </w:r>
      <w:r>
        <w:t>rom the operation of subsection </w:t>
      </w:r>
      <w:r w:rsidRPr="00522D9A">
        <w:t>99AAA(4) of the Act (being the subsection that requires an approved supplier to use the Claims Transmission System to give information to the Secretary in relation to the supply of pharmaceutical benefits) in respect of the supply of pharmaceutical benefits</w:t>
      </w:r>
      <w:r w:rsidR="00245F76">
        <w:t>,</w:t>
      </w:r>
      <w:r w:rsidRPr="00522D9A">
        <w:t xml:space="preserve"> at or from particular premises</w:t>
      </w:r>
      <w:r w:rsidR="00245F76">
        <w:t>,</w:t>
      </w:r>
      <w:r w:rsidRPr="00522D9A">
        <w:t xml:space="preserve"> if:</w:t>
      </w:r>
    </w:p>
    <w:p w:rsidR="005E70EB" w:rsidRPr="00522D9A" w:rsidRDefault="005E70EB">
      <w:pPr>
        <w:pStyle w:val="R2"/>
        <w:jc w:val="left"/>
      </w:pPr>
      <w:r w:rsidRPr="00522D9A">
        <w:tab/>
      </w:r>
      <w:r w:rsidRPr="00522D9A">
        <w:tab/>
        <w:t xml:space="preserve">(a) </w:t>
      </w:r>
      <w:proofErr w:type="gramStart"/>
      <w:r w:rsidRPr="00522D9A">
        <w:t>the</w:t>
      </w:r>
      <w:proofErr w:type="gramEnd"/>
      <w:r w:rsidRPr="00522D9A">
        <w:t xml:space="preserve"> approved supplier applies to the Secretary for exemption; and</w:t>
      </w:r>
    </w:p>
    <w:p w:rsidR="005E70EB" w:rsidRPr="00522D9A" w:rsidRDefault="005E70EB">
      <w:pPr>
        <w:pStyle w:val="R2"/>
        <w:jc w:val="left"/>
      </w:pPr>
      <w:r w:rsidRPr="00522D9A">
        <w:tab/>
      </w:r>
      <w:r w:rsidRPr="00522D9A">
        <w:tab/>
        <w:t xml:space="preserve">(b) </w:t>
      </w:r>
      <w:proofErr w:type="gramStart"/>
      <w:r w:rsidRPr="00522D9A">
        <w:t>the</w:t>
      </w:r>
      <w:proofErr w:type="gramEnd"/>
      <w:r w:rsidRPr="00522D9A">
        <w:t xml:space="preserve"> Secretary is satisfied that it is appropriate to make the declaration due to emergency or otherwise in the interests of accessibility. </w:t>
      </w:r>
    </w:p>
    <w:p w:rsidR="009B013E" w:rsidRDefault="009B013E" w:rsidP="009B013E">
      <w:pPr>
        <w:pStyle w:val="HR"/>
        <w:keepLines w:val="0"/>
        <w:rPr>
          <w:rStyle w:val="CharSectno"/>
        </w:rPr>
      </w:pPr>
    </w:p>
    <w:p w:rsidR="005E70EB" w:rsidRPr="00522D9A" w:rsidRDefault="005E70EB" w:rsidP="00DE24CD">
      <w:pPr>
        <w:pStyle w:val="HR"/>
        <w:spacing w:before="100" w:beforeAutospacing="1"/>
      </w:pPr>
      <w:r>
        <w:rPr>
          <w:rStyle w:val="CharSectno"/>
        </w:rPr>
        <w:t>6</w:t>
      </w:r>
      <w:r w:rsidRPr="00522D9A">
        <w:tab/>
        <w:t>CTS non-online claim exemption</w:t>
      </w:r>
    </w:p>
    <w:p w:rsidR="005E70EB" w:rsidRPr="00522D9A" w:rsidRDefault="005E70EB" w:rsidP="008D1B86">
      <w:pPr>
        <w:pStyle w:val="R2"/>
        <w:jc w:val="left"/>
      </w:pPr>
      <w:r w:rsidRPr="00522D9A">
        <w:tab/>
      </w:r>
      <w:r w:rsidRPr="00522D9A">
        <w:tab/>
        <w:t>The Secretary may decl</w:t>
      </w:r>
      <w:r>
        <w:t>are in writing under subsection </w:t>
      </w:r>
      <w:proofErr w:type="gramStart"/>
      <w:r w:rsidRPr="00522D9A">
        <w:t>99AAC(</w:t>
      </w:r>
      <w:proofErr w:type="gramEnd"/>
      <w:r w:rsidRPr="00522D9A">
        <w:t>1) of the Act that an approved supplier is exempted f</w:t>
      </w:r>
      <w:r>
        <w:t>rom the operation of subsection </w:t>
      </w:r>
      <w:r w:rsidRPr="00522D9A">
        <w:t>99AAA(4) of the Act (being the subsection that requires an approved supplier to use the Claims Transmission System to give information to the Secretary in relation to the supply of pharmaceutical benefits) in respect of the supply of pharmaceutical benefits at or from particular premises if:</w:t>
      </w:r>
    </w:p>
    <w:p w:rsidR="005E70EB" w:rsidRPr="00522D9A" w:rsidRDefault="005E70EB" w:rsidP="008D1B86">
      <w:pPr>
        <w:pStyle w:val="R2"/>
        <w:jc w:val="left"/>
      </w:pPr>
      <w:r w:rsidRPr="00522D9A">
        <w:tab/>
      </w:r>
      <w:r w:rsidRPr="00522D9A">
        <w:tab/>
        <w:t xml:space="preserve">(a) </w:t>
      </w:r>
      <w:proofErr w:type="gramStart"/>
      <w:r w:rsidRPr="00522D9A">
        <w:t>the</w:t>
      </w:r>
      <w:proofErr w:type="gramEnd"/>
      <w:r w:rsidRPr="00522D9A">
        <w:t xml:space="preserve"> approved supplier applies to the Secretary for exemption; and</w:t>
      </w:r>
    </w:p>
    <w:p w:rsidR="005E70EB" w:rsidRPr="00522D9A" w:rsidRDefault="005E70EB" w:rsidP="008D1B86">
      <w:pPr>
        <w:pStyle w:val="R2"/>
        <w:jc w:val="left"/>
      </w:pPr>
      <w:r w:rsidRPr="00522D9A">
        <w:tab/>
      </w:r>
      <w:r w:rsidRPr="00522D9A">
        <w:tab/>
        <w:t xml:space="preserve">(b) the </w:t>
      </w:r>
      <w:r w:rsidR="008807B6">
        <w:t xml:space="preserve">Secretary is satisfied that the </w:t>
      </w:r>
      <w:r w:rsidRPr="00522D9A">
        <w:t>approved supplier was, before 1 April 2015, giving information to the Secretary using the Claims Transmission System procedure called CTS non-online claim.</w:t>
      </w:r>
    </w:p>
    <w:p w:rsidR="005E70EB" w:rsidRPr="00522D9A" w:rsidRDefault="005E70EB" w:rsidP="008D1B86">
      <w:pPr>
        <w:pStyle w:val="HR"/>
      </w:pPr>
      <w:r>
        <w:rPr>
          <w:rFonts w:cs="Arial"/>
        </w:rPr>
        <w:t>7</w:t>
      </w:r>
      <w:r w:rsidRPr="00522D9A">
        <w:rPr>
          <w:rFonts w:cs="Arial"/>
        </w:rPr>
        <w:tab/>
      </w:r>
      <w:r>
        <w:t>Section 5 or 6</w:t>
      </w:r>
      <w:r w:rsidRPr="00522D9A">
        <w:t xml:space="preserve"> exemption – period of exemption</w:t>
      </w:r>
    </w:p>
    <w:p w:rsidR="005E70EB" w:rsidRPr="00522D9A" w:rsidRDefault="005E70EB" w:rsidP="008D1B86">
      <w:pPr>
        <w:pStyle w:val="R1"/>
        <w:jc w:val="left"/>
      </w:pPr>
      <w:r w:rsidRPr="00522D9A">
        <w:tab/>
      </w:r>
      <w:r w:rsidRPr="00522D9A">
        <w:tab/>
        <w:t>In making a declarati</w:t>
      </w:r>
      <w:r>
        <w:t>on in accordance with section 5</w:t>
      </w:r>
      <w:r w:rsidRPr="00522D9A">
        <w:t xml:space="preserve"> </w:t>
      </w:r>
      <w:r>
        <w:t>or 6</w:t>
      </w:r>
      <w:r w:rsidRPr="00522D9A">
        <w:t>, the Secretary may specify a period for which the exemption is to be effective.</w:t>
      </w:r>
    </w:p>
    <w:p w:rsidR="005E70EB" w:rsidRPr="00522D9A" w:rsidRDefault="005E70EB" w:rsidP="008D1B86">
      <w:pPr>
        <w:pStyle w:val="HR"/>
      </w:pPr>
      <w:r>
        <w:rPr>
          <w:rFonts w:cs="Arial"/>
        </w:rPr>
        <w:t>8</w:t>
      </w:r>
      <w:r w:rsidRPr="00522D9A">
        <w:rPr>
          <w:rFonts w:cs="Arial"/>
        </w:rPr>
        <w:tab/>
      </w:r>
      <w:r w:rsidRPr="00522D9A">
        <w:t>Transitional</w:t>
      </w:r>
    </w:p>
    <w:p w:rsidR="005E70EB" w:rsidRDefault="005E70EB" w:rsidP="008D1B86">
      <w:pPr>
        <w:pStyle w:val="R2"/>
        <w:jc w:val="left"/>
      </w:pPr>
      <w:r w:rsidRPr="00522D9A">
        <w:tab/>
      </w:r>
      <w:r w:rsidRPr="00522D9A">
        <w:tab/>
        <w:t>A declaration made by the Secretary</w:t>
      </w:r>
      <w:r>
        <w:t xml:space="preserve"> under subsection </w:t>
      </w:r>
      <w:proofErr w:type="gramStart"/>
      <w:r w:rsidRPr="00522D9A">
        <w:t>99AAC(</w:t>
      </w:r>
      <w:proofErr w:type="gramEnd"/>
      <w:r w:rsidRPr="00522D9A">
        <w:t xml:space="preserve">1) of the Act </w:t>
      </w:r>
      <w:r>
        <w:t>in accordance with determination PB 9 </w:t>
      </w:r>
      <w:r w:rsidR="008D1B86">
        <w:t>of </w:t>
      </w:r>
      <w:r w:rsidRPr="00522D9A">
        <w:t xml:space="preserve">2000 continues in force, with the same period </w:t>
      </w:r>
      <w:r w:rsidR="008807B6" w:rsidRPr="00AA7356">
        <w:t>of exemption</w:t>
      </w:r>
      <w:r w:rsidR="00171F59" w:rsidRPr="00AA7356">
        <w:t xml:space="preserve"> (if any)</w:t>
      </w:r>
      <w:r w:rsidR="008807B6" w:rsidRPr="00AA7356">
        <w:t>.</w:t>
      </w: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Default="008E4EA0" w:rsidP="008D1B86">
      <w:pPr>
        <w:pStyle w:val="R2"/>
        <w:jc w:val="left"/>
      </w:pPr>
    </w:p>
    <w:p w:rsidR="008E4EA0" w:rsidRPr="00522D9A" w:rsidRDefault="008E4EA0" w:rsidP="008D1B86">
      <w:pPr>
        <w:pStyle w:val="R2"/>
        <w:jc w:val="left"/>
      </w:pPr>
    </w:p>
    <w:p w:rsidR="005E70EB" w:rsidRPr="008E4EA0" w:rsidRDefault="005E70EB" w:rsidP="008D1B86">
      <w:pPr>
        <w:pStyle w:val="NoteEnd"/>
        <w:keepNext/>
        <w:pBdr>
          <w:top w:val="single" w:sz="4" w:space="3" w:color="auto"/>
        </w:pBdr>
        <w:spacing w:before="480"/>
        <w:jc w:val="left"/>
        <w:rPr>
          <w:b/>
          <w:sz w:val="24"/>
        </w:rPr>
      </w:pPr>
      <w:r w:rsidRPr="008E4EA0">
        <w:rPr>
          <w:b/>
          <w:sz w:val="24"/>
        </w:rPr>
        <w:t>Note</w:t>
      </w:r>
    </w:p>
    <w:p w:rsidR="005E70EB" w:rsidRPr="008E4EA0" w:rsidRDefault="005E70EB" w:rsidP="008D1B86">
      <w:pPr>
        <w:pStyle w:val="NoteEnd"/>
        <w:jc w:val="left"/>
        <w:rPr>
          <w:sz w:val="24"/>
        </w:rPr>
      </w:pPr>
      <w:r w:rsidRPr="008E4EA0">
        <w:rPr>
          <w:sz w:val="24"/>
        </w:rPr>
        <w:t>1.</w:t>
      </w:r>
      <w:r w:rsidRPr="008E4EA0">
        <w:rPr>
          <w:sz w:val="24"/>
        </w:rPr>
        <w:tab/>
        <w:t xml:space="preserve">All legislative instruments and compilations are registered on the Federal Register of Legislative Instruments kept under the </w:t>
      </w:r>
      <w:r w:rsidRPr="008E4EA0">
        <w:rPr>
          <w:i/>
          <w:sz w:val="24"/>
        </w:rPr>
        <w:t xml:space="preserve">Legislative Instruments Act 2003. </w:t>
      </w:r>
      <w:r w:rsidR="00171F59" w:rsidRPr="008E4EA0">
        <w:rPr>
          <w:i/>
          <w:sz w:val="24"/>
        </w:rPr>
        <w:t xml:space="preserve"> </w:t>
      </w:r>
      <w:r w:rsidRPr="008E4EA0">
        <w:rPr>
          <w:sz w:val="24"/>
        </w:rPr>
        <w:t xml:space="preserve">See </w:t>
      </w:r>
      <w:r w:rsidRPr="008E4EA0">
        <w:rPr>
          <w:sz w:val="24"/>
          <w:u w:val="single"/>
        </w:rPr>
        <w:t>http://www.frli.gov.au</w:t>
      </w:r>
      <w:r w:rsidRPr="008E4EA0">
        <w:rPr>
          <w:sz w:val="24"/>
        </w:rPr>
        <w:t>.</w:t>
      </w:r>
    </w:p>
    <w:p w:rsidR="00003743" w:rsidRPr="00003743" w:rsidRDefault="00003743" w:rsidP="008D1B86">
      <w:pPr>
        <w:rPr>
          <w:rStyle w:val="IntenseReference"/>
          <w:b w:val="0"/>
          <w:bCs w:val="0"/>
          <w:i w:val="0"/>
          <w:smallCaps w:val="0"/>
          <w:color w:val="auto"/>
          <w:spacing w:val="0"/>
        </w:rPr>
      </w:pPr>
    </w:p>
    <w:sectPr w:rsidR="00003743" w:rsidRPr="00003743" w:rsidSect="006D2F9B">
      <w:headerReference w:type="even" r:id="rId9"/>
      <w:headerReference w:type="default" r:id="rId10"/>
      <w:footerReference w:type="even" r:id="rId11"/>
      <w:footerReference w:type="default" r:id="rId12"/>
      <w:footerReference w:type="first" r:id="rId13"/>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FF" w:rsidRDefault="007708FF">
      <w:r>
        <w:separator/>
      </w:r>
    </w:p>
  </w:endnote>
  <w:endnote w:type="continuationSeparator" w:id="0">
    <w:p w:rsidR="007708FF" w:rsidRDefault="0077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8" w:type="dxa"/>
      <w:tblBorders>
        <w:top w:val="single" w:sz="4" w:space="0" w:color="auto"/>
      </w:tblBorders>
      <w:tblLayout w:type="fixed"/>
      <w:tblLook w:val="01E0" w:firstRow="1" w:lastRow="1" w:firstColumn="1" w:lastColumn="1" w:noHBand="0" w:noVBand="0"/>
    </w:tblPr>
    <w:tblGrid>
      <w:gridCol w:w="1159"/>
      <w:gridCol w:w="6551"/>
      <w:gridCol w:w="1158"/>
    </w:tblGrid>
    <w:tr w:rsidR="00650ADF" w:rsidRPr="00FE1BEE" w:rsidTr="005E011B">
      <w:tc>
        <w:tcPr>
          <w:tcW w:w="1134" w:type="dxa"/>
          <w:shd w:val="clear" w:color="auto" w:fill="auto"/>
        </w:tcPr>
        <w:p w:rsidR="00650ADF" w:rsidRDefault="00D606FC" w:rsidP="005E011B">
          <w:pPr>
            <w:spacing w:line="240" w:lineRule="exact"/>
          </w:pPr>
        </w:p>
      </w:tc>
      <w:tc>
        <w:tcPr>
          <w:tcW w:w="6414" w:type="dxa"/>
          <w:shd w:val="clear" w:color="auto" w:fill="auto"/>
        </w:tcPr>
        <w:p w:rsidR="00650ADF" w:rsidRPr="004F5D6D" w:rsidRDefault="00D736FE" w:rsidP="005E011B">
          <w:pPr>
            <w:pStyle w:val="FooterCitation"/>
          </w:pPr>
          <w:r>
            <w:rPr>
              <w:szCs w:val="18"/>
            </w:rPr>
            <w:t>National Health (Claims Transaction System Exemption) Guidelines</w:t>
          </w:r>
          <w:r>
            <w:t> </w:t>
          </w:r>
          <w:r>
            <w:rPr>
              <w:szCs w:val="18"/>
            </w:rPr>
            <w:t>2015 (PB</w:t>
          </w:r>
          <w:r>
            <w:t> ?? of 2015)</w:t>
          </w:r>
        </w:p>
      </w:tc>
      <w:tc>
        <w:tcPr>
          <w:tcW w:w="1134" w:type="dxa"/>
          <w:shd w:val="clear" w:color="auto" w:fill="auto"/>
        </w:tcPr>
        <w:p w:rsidR="00650ADF" w:rsidRPr="00DA275B" w:rsidRDefault="00D606FC" w:rsidP="005E011B"/>
        <w:p w:rsidR="00650ADF" w:rsidRPr="00FE1BEE" w:rsidRDefault="00D736FE" w:rsidP="005E011B">
          <w:pPr>
            <w:rPr>
              <w:rFonts w:ascii="Arial" w:hAnsi="Arial" w:cs="Arial"/>
              <w:sz w:val="18"/>
              <w:szCs w:val="18"/>
            </w:rPr>
          </w:pPr>
          <w:r w:rsidRPr="00FE1BEE">
            <w:rPr>
              <w:rFonts w:ascii="Arial" w:hAnsi="Arial" w:cs="Arial"/>
              <w:sz w:val="18"/>
              <w:szCs w:val="18"/>
            </w:rPr>
            <w:fldChar w:fldCharType="begin"/>
          </w:r>
          <w:r w:rsidRPr="00FE1BEE">
            <w:rPr>
              <w:rFonts w:ascii="Arial" w:hAnsi="Arial" w:cs="Arial"/>
              <w:sz w:val="18"/>
              <w:szCs w:val="18"/>
            </w:rPr>
            <w:instrText xml:space="preserve"> PAGE   \* MERGEFORMAT </w:instrText>
          </w:r>
          <w:r w:rsidRPr="00FE1BEE">
            <w:rPr>
              <w:rFonts w:ascii="Arial" w:hAnsi="Arial" w:cs="Arial"/>
              <w:sz w:val="18"/>
              <w:szCs w:val="18"/>
            </w:rPr>
            <w:fldChar w:fldCharType="separate"/>
          </w:r>
          <w:r w:rsidR="00327E26">
            <w:rPr>
              <w:rFonts w:ascii="Arial" w:hAnsi="Arial" w:cs="Arial"/>
              <w:noProof/>
              <w:sz w:val="18"/>
              <w:szCs w:val="18"/>
            </w:rPr>
            <w:t>3</w:t>
          </w:r>
          <w:r w:rsidRPr="00FE1BEE">
            <w:rPr>
              <w:rFonts w:ascii="Arial" w:hAnsi="Arial" w:cs="Arial"/>
              <w:noProof/>
              <w:sz w:val="18"/>
              <w:szCs w:val="18"/>
            </w:rPr>
            <w:fldChar w:fldCharType="end"/>
          </w:r>
        </w:p>
      </w:tc>
    </w:tr>
  </w:tbl>
  <w:p w:rsidR="006674BD" w:rsidRDefault="00D606FC" w:rsidP="00BD545A">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8" w:type="dxa"/>
      <w:tblBorders>
        <w:top w:val="single" w:sz="4" w:space="0" w:color="auto"/>
      </w:tblBorders>
      <w:tblLayout w:type="fixed"/>
      <w:tblLook w:val="01E0" w:firstRow="1" w:lastRow="1" w:firstColumn="1" w:lastColumn="1" w:noHBand="0" w:noVBand="0"/>
    </w:tblPr>
    <w:tblGrid>
      <w:gridCol w:w="1159"/>
      <w:gridCol w:w="6551"/>
      <w:gridCol w:w="1158"/>
    </w:tblGrid>
    <w:tr w:rsidR="00650ADF" w:rsidRPr="00FE1BEE" w:rsidTr="005E011B">
      <w:tc>
        <w:tcPr>
          <w:tcW w:w="1134" w:type="dxa"/>
          <w:shd w:val="clear" w:color="auto" w:fill="auto"/>
        </w:tcPr>
        <w:p w:rsidR="00650ADF" w:rsidRDefault="00D606FC" w:rsidP="005E011B">
          <w:pPr>
            <w:spacing w:line="240" w:lineRule="exact"/>
          </w:pPr>
        </w:p>
      </w:tc>
      <w:tc>
        <w:tcPr>
          <w:tcW w:w="6414" w:type="dxa"/>
          <w:shd w:val="clear" w:color="auto" w:fill="auto"/>
        </w:tcPr>
        <w:p w:rsidR="00650ADF" w:rsidRPr="004F5D6D" w:rsidRDefault="00D736FE" w:rsidP="005E011B">
          <w:pPr>
            <w:pStyle w:val="FooterCitation"/>
          </w:pPr>
          <w:r>
            <w:rPr>
              <w:szCs w:val="18"/>
            </w:rPr>
            <w:t>National Health (Claims Transaction System Exemption) Guidelines</w:t>
          </w:r>
          <w:r>
            <w:t> </w:t>
          </w:r>
          <w:r>
            <w:rPr>
              <w:szCs w:val="18"/>
            </w:rPr>
            <w:t>2015 (PB</w:t>
          </w:r>
          <w:r w:rsidR="00B56385">
            <w:t> 38</w:t>
          </w:r>
          <w:r>
            <w:t> of 2015)</w:t>
          </w:r>
        </w:p>
      </w:tc>
      <w:tc>
        <w:tcPr>
          <w:tcW w:w="1134" w:type="dxa"/>
          <w:shd w:val="clear" w:color="auto" w:fill="auto"/>
        </w:tcPr>
        <w:p w:rsidR="00650ADF" w:rsidRPr="00DA275B" w:rsidRDefault="00D606FC" w:rsidP="005E011B"/>
        <w:p w:rsidR="00650ADF" w:rsidRPr="00FE1BEE" w:rsidRDefault="00D736FE" w:rsidP="005E011B">
          <w:pPr>
            <w:rPr>
              <w:rFonts w:ascii="Arial" w:hAnsi="Arial" w:cs="Arial"/>
              <w:sz w:val="18"/>
              <w:szCs w:val="18"/>
            </w:rPr>
          </w:pPr>
          <w:r w:rsidRPr="00FE1BEE">
            <w:rPr>
              <w:rFonts w:ascii="Arial" w:hAnsi="Arial" w:cs="Arial"/>
              <w:sz w:val="18"/>
              <w:szCs w:val="18"/>
            </w:rPr>
            <w:fldChar w:fldCharType="begin"/>
          </w:r>
          <w:r w:rsidRPr="00FE1BEE">
            <w:rPr>
              <w:rFonts w:ascii="Arial" w:hAnsi="Arial" w:cs="Arial"/>
              <w:sz w:val="18"/>
              <w:szCs w:val="18"/>
            </w:rPr>
            <w:instrText xml:space="preserve"> PAGE   \* MERGEFORMAT </w:instrText>
          </w:r>
          <w:r w:rsidRPr="00FE1BEE">
            <w:rPr>
              <w:rFonts w:ascii="Arial" w:hAnsi="Arial" w:cs="Arial"/>
              <w:sz w:val="18"/>
              <w:szCs w:val="18"/>
            </w:rPr>
            <w:fldChar w:fldCharType="separate"/>
          </w:r>
          <w:r w:rsidR="00D606FC">
            <w:rPr>
              <w:rFonts w:ascii="Arial" w:hAnsi="Arial" w:cs="Arial"/>
              <w:noProof/>
              <w:sz w:val="18"/>
              <w:szCs w:val="18"/>
            </w:rPr>
            <w:t>3</w:t>
          </w:r>
          <w:r w:rsidRPr="00FE1BEE">
            <w:rPr>
              <w:rFonts w:ascii="Arial" w:hAnsi="Arial" w:cs="Arial"/>
              <w:noProof/>
              <w:sz w:val="18"/>
              <w:szCs w:val="18"/>
            </w:rPr>
            <w:fldChar w:fldCharType="end"/>
          </w:r>
        </w:p>
      </w:tc>
    </w:tr>
  </w:tbl>
  <w:p w:rsidR="006674BD" w:rsidRPr="00650ADF" w:rsidRDefault="00D606FC" w:rsidP="00650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BD" w:rsidRPr="00AA7356" w:rsidRDefault="00D736FE" w:rsidP="00AA7356">
    <w:pPr>
      <w:pStyle w:val="Footer"/>
    </w:pPr>
    <w:r w:rsidRPr="00AA735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FF" w:rsidRDefault="007708FF">
      <w:r>
        <w:separator/>
      </w:r>
    </w:p>
  </w:footnote>
  <w:footnote w:type="continuationSeparator" w:id="0">
    <w:p w:rsidR="007708FF" w:rsidRDefault="00770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6674BD">
      <w:tc>
        <w:tcPr>
          <w:tcW w:w="1494" w:type="dxa"/>
        </w:tcPr>
        <w:p w:rsidR="006674BD" w:rsidRDefault="00D606FC" w:rsidP="00BD545A">
          <w:pPr>
            <w:pStyle w:val="HeaderLiteEven"/>
          </w:pPr>
        </w:p>
      </w:tc>
      <w:tc>
        <w:tcPr>
          <w:tcW w:w="6891" w:type="dxa"/>
        </w:tcPr>
        <w:p w:rsidR="006674BD" w:rsidRDefault="00D606FC" w:rsidP="00BD545A">
          <w:pPr>
            <w:pStyle w:val="HeaderLiteEven"/>
          </w:pPr>
        </w:p>
      </w:tc>
    </w:tr>
    <w:tr w:rsidR="006674BD">
      <w:tc>
        <w:tcPr>
          <w:tcW w:w="1494" w:type="dxa"/>
        </w:tcPr>
        <w:p w:rsidR="006674BD" w:rsidRDefault="00D606FC" w:rsidP="00BD545A">
          <w:pPr>
            <w:pStyle w:val="HeaderLiteEven"/>
          </w:pPr>
        </w:p>
      </w:tc>
      <w:tc>
        <w:tcPr>
          <w:tcW w:w="6891" w:type="dxa"/>
        </w:tcPr>
        <w:p w:rsidR="006674BD" w:rsidRDefault="00D606FC" w:rsidP="00BD545A">
          <w:pPr>
            <w:pStyle w:val="HeaderLiteEven"/>
          </w:pPr>
        </w:p>
      </w:tc>
    </w:tr>
    <w:tr w:rsidR="006674BD">
      <w:tc>
        <w:tcPr>
          <w:tcW w:w="8385" w:type="dxa"/>
          <w:gridSpan w:val="2"/>
          <w:tcBorders>
            <w:bottom w:val="single" w:sz="4" w:space="0" w:color="auto"/>
          </w:tcBorders>
        </w:tcPr>
        <w:p w:rsidR="006674BD" w:rsidRDefault="00D606FC" w:rsidP="00BD545A">
          <w:pPr>
            <w:pStyle w:val="HeaderBoldEven"/>
          </w:pPr>
        </w:p>
      </w:tc>
    </w:tr>
  </w:tbl>
  <w:p w:rsidR="006674BD" w:rsidRDefault="00D606FC"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6674BD">
      <w:tc>
        <w:tcPr>
          <w:tcW w:w="6914" w:type="dxa"/>
        </w:tcPr>
        <w:p w:rsidR="006674BD" w:rsidRDefault="00D606FC" w:rsidP="00BD545A">
          <w:pPr>
            <w:pStyle w:val="HeaderLiteOdd"/>
          </w:pPr>
        </w:p>
      </w:tc>
      <w:tc>
        <w:tcPr>
          <w:tcW w:w="1471" w:type="dxa"/>
        </w:tcPr>
        <w:p w:rsidR="006674BD" w:rsidRDefault="00D606FC" w:rsidP="00BD545A">
          <w:pPr>
            <w:pStyle w:val="HeaderLiteOdd"/>
          </w:pPr>
        </w:p>
      </w:tc>
    </w:tr>
    <w:tr w:rsidR="006674BD" w:rsidTr="009E0A2D">
      <w:tc>
        <w:tcPr>
          <w:tcW w:w="6914" w:type="dxa"/>
        </w:tcPr>
        <w:p w:rsidR="006674BD" w:rsidRDefault="00D606FC" w:rsidP="00BD545A">
          <w:pPr>
            <w:pStyle w:val="HeaderLiteOdd"/>
          </w:pPr>
        </w:p>
      </w:tc>
      <w:tc>
        <w:tcPr>
          <w:tcW w:w="1471" w:type="dxa"/>
        </w:tcPr>
        <w:p w:rsidR="006674BD" w:rsidRDefault="00D606FC" w:rsidP="00BD545A">
          <w:pPr>
            <w:pStyle w:val="HeaderLiteOdd"/>
          </w:pPr>
        </w:p>
      </w:tc>
    </w:tr>
    <w:tr w:rsidR="006674BD" w:rsidTr="009E0A2D">
      <w:tc>
        <w:tcPr>
          <w:tcW w:w="8385" w:type="dxa"/>
          <w:gridSpan w:val="2"/>
          <w:tcBorders>
            <w:bottom w:val="single" w:sz="4" w:space="0" w:color="auto"/>
          </w:tcBorders>
        </w:tcPr>
        <w:p w:rsidR="006674BD" w:rsidRDefault="00D606FC" w:rsidP="00BD545A">
          <w:pPr>
            <w:pStyle w:val="HeaderBoldOdd"/>
          </w:pPr>
        </w:p>
      </w:tc>
    </w:tr>
  </w:tbl>
  <w:p w:rsidR="006674BD" w:rsidRDefault="00D606FC" w:rsidP="009B01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EB"/>
    <w:rsid w:val="00003743"/>
    <w:rsid w:val="000062AF"/>
    <w:rsid w:val="000104D6"/>
    <w:rsid w:val="00067456"/>
    <w:rsid w:val="00171F59"/>
    <w:rsid w:val="001A519B"/>
    <w:rsid w:val="001B3443"/>
    <w:rsid w:val="00245F76"/>
    <w:rsid w:val="0030786C"/>
    <w:rsid w:val="00327E26"/>
    <w:rsid w:val="003911AA"/>
    <w:rsid w:val="003D17F9"/>
    <w:rsid w:val="003E2DCE"/>
    <w:rsid w:val="004867E2"/>
    <w:rsid w:val="0058497A"/>
    <w:rsid w:val="005E70EB"/>
    <w:rsid w:val="006D2F9B"/>
    <w:rsid w:val="007708FF"/>
    <w:rsid w:val="007A0630"/>
    <w:rsid w:val="007B351A"/>
    <w:rsid w:val="008264EB"/>
    <w:rsid w:val="00835B09"/>
    <w:rsid w:val="008807B6"/>
    <w:rsid w:val="008D1B86"/>
    <w:rsid w:val="008D2556"/>
    <w:rsid w:val="008E4EA0"/>
    <w:rsid w:val="00955DE8"/>
    <w:rsid w:val="009674CE"/>
    <w:rsid w:val="009A05B8"/>
    <w:rsid w:val="009B013E"/>
    <w:rsid w:val="009E0A2D"/>
    <w:rsid w:val="00A4512D"/>
    <w:rsid w:val="00A705AF"/>
    <w:rsid w:val="00AA7356"/>
    <w:rsid w:val="00AC7E79"/>
    <w:rsid w:val="00B42851"/>
    <w:rsid w:val="00B56385"/>
    <w:rsid w:val="00C30A41"/>
    <w:rsid w:val="00CA26F2"/>
    <w:rsid w:val="00CB5B1A"/>
    <w:rsid w:val="00CC05D5"/>
    <w:rsid w:val="00D606FC"/>
    <w:rsid w:val="00D736FE"/>
    <w:rsid w:val="00DE2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0E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lang w:eastAsia="en-US"/>
    </w:rPr>
  </w:style>
  <w:style w:type="paragraph" w:customStyle="1" w:styleId="HeaderBoldEven">
    <w:name w:val="HeaderBoldEven"/>
    <w:basedOn w:val="Normal"/>
    <w:rsid w:val="005E70EB"/>
    <w:pPr>
      <w:spacing w:before="120" w:after="60"/>
    </w:pPr>
    <w:rPr>
      <w:rFonts w:ascii="Arial" w:hAnsi="Arial"/>
      <w:b/>
      <w:sz w:val="20"/>
    </w:rPr>
  </w:style>
  <w:style w:type="paragraph" w:customStyle="1" w:styleId="HeaderBoldOdd">
    <w:name w:val="HeaderBoldOdd"/>
    <w:basedOn w:val="Normal"/>
    <w:rsid w:val="005E70EB"/>
    <w:pPr>
      <w:spacing w:before="120" w:after="60"/>
      <w:jc w:val="right"/>
    </w:pPr>
    <w:rPr>
      <w:rFonts w:ascii="Arial" w:hAnsi="Arial"/>
      <w:b/>
      <w:sz w:val="20"/>
    </w:rPr>
  </w:style>
  <w:style w:type="paragraph" w:customStyle="1" w:styleId="HeaderLiteEven">
    <w:name w:val="HeaderLiteEven"/>
    <w:basedOn w:val="Normal"/>
    <w:rsid w:val="005E70EB"/>
    <w:pPr>
      <w:tabs>
        <w:tab w:val="center" w:pos="3969"/>
        <w:tab w:val="right" w:pos="8505"/>
      </w:tabs>
      <w:spacing w:before="60"/>
    </w:pPr>
    <w:rPr>
      <w:rFonts w:ascii="Arial" w:hAnsi="Arial"/>
      <w:sz w:val="18"/>
    </w:rPr>
  </w:style>
  <w:style w:type="paragraph" w:customStyle="1" w:styleId="HeaderLiteOdd">
    <w:name w:val="HeaderLiteOdd"/>
    <w:basedOn w:val="Normal"/>
    <w:rsid w:val="005E70EB"/>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5E70E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5E70EB"/>
    <w:rPr>
      <w:rFonts w:ascii="Arial" w:hAnsi="Arial"/>
      <w:i/>
      <w:sz w:val="18"/>
      <w:szCs w:val="18"/>
    </w:rPr>
  </w:style>
  <w:style w:type="paragraph" w:customStyle="1" w:styleId="FooterDraft">
    <w:name w:val="FooterDraft"/>
    <w:basedOn w:val="Normal"/>
    <w:rsid w:val="005E70EB"/>
    <w:pPr>
      <w:jc w:val="center"/>
    </w:pPr>
    <w:rPr>
      <w:rFonts w:ascii="Arial" w:hAnsi="Arial"/>
      <w:b/>
      <w:sz w:val="40"/>
    </w:rPr>
  </w:style>
  <w:style w:type="paragraph" w:customStyle="1" w:styleId="FooterInfo">
    <w:name w:val="FooterInfo"/>
    <w:basedOn w:val="Normal"/>
    <w:rsid w:val="005E70EB"/>
    <w:rPr>
      <w:rFonts w:ascii="Arial" w:hAnsi="Arial"/>
      <w:sz w:val="12"/>
    </w:rPr>
  </w:style>
  <w:style w:type="character" w:customStyle="1" w:styleId="CharSectno">
    <w:name w:val="CharSectno"/>
    <w:basedOn w:val="DefaultParagraphFont"/>
    <w:rsid w:val="005E70EB"/>
  </w:style>
  <w:style w:type="paragraph" w:customStyle="1" w:styleId="HR">
    <w:name w:val="HR"/>
    <w:aliases w:val="Regulation Heading"/>
    <w:basedOn w:val="Normal"/>
    <w:next w:val="R1"/>
    <w:rsid w:val="005E70EB"/>
    <w:pPr>
      <w:keepNext/>
      <w:keepLines/>
      <w:spacing w:before="360"/>
      <w:ind w:left="964" w:hanging="964"/>
    </w:pPr>
    <w:rPr>
      <w:rFonts w:ascii="Arial" w:hAnsi="Arial"/>
      <w:b/>
    </w:rPr>
  </w:style>
  <w:style w:type="paragraph" w:customStyle="1" w:styleId="NoteEnd">
    <w:name w:val="Note End"/>
    <w:basedOn w:val="Normal"/>
    <w:rsid w:val="005E70EB"/>
    <w:pPr>
      <w:keepLines/>
      <w:spacing w:before="120" w:line="240" w:lineRule="exact"/>
      <w:ind w:left="567" w:hanging="567"/>
      <w:jc w:val="both"/>
    </w:pPr>
    <w:rPr>
      <w:sz w:val="22"/>
    </w:rPr>
  </w:style>
  <w:style w:type="paragraph" w:customStyle="1" w:styleId="R1">
    <w:name w:val="R1"/>
    <w:aliases w:val="1. or 1.(1)"/>
    <w:basedOn w:val="Normal"/>
    <w:next w:val="R2"/>
    <w:rsid w:val="005E70EB"/>
    <w:pPr>
      <w:keepLines/>
      <w:tabs>
        <w:tab w:val="right" w:pos="794"/>
      </w:tabs>
      <w:spacing w:before="120" w:line="260" w:lineRule="exact"/>
      <w:ind w:left="964" w:hanging="964"/>
      <w:jc w:val="both"/>
    </w:pPr>
  </w:style>
  <w:style w:type="paragraph" w:customStyle="1" w:styleId="R2">
    <w:name w:val="R2"/>
    <w:aliases w:val="(2)"/>
    <w:basedOn w:val="Normal"/>
    <w:rsid w:val="005E70EB"/>
    <w:pPr>
      <w:keepLines/>
      <w:tabs>
        <w:tab w:val="right" w:pos="794"/>
      </w:tabs>
      <w:spacing w:before="180" w:line="260" w:lineRule="exact"/>
      <w:ind w:left="964" w:hanging="964"/>
      <w:jc w:val="both"/>
    </w:pPr>
  </w:style>
  <w:style w:type="paragraph" w:customStyle="1" w:styleId="FooterCitation">
    <w:name w:val="FooterCitation"/>
    <w:basedOn w:val="Footer"/>
    <w:rsid w:val="005E70EB"/>
    <w:pPr>
      <w:tabs>
        <w:tab w:val="clear" w:pos="3600"/>
        <w:tab w:val="clear" w:pos="7201"/>
        <w:tab w:val="center" w:pos="4153"/>
        <w:tab w:val="right" w:pos="8306"/>
      </w:tabs>
      <w:spacing w:before="20" w:line="240" w:lineRule="exact"/>
    </w:pPr>
    <w:rPr>
      <w:szCs w:val="24"/>
    </w:rPr>
  </w:style>
  <w:style w:type="paragraph" w:customStyle="1" w:styleId="Zdefinition">
    <w:name w:val="Zdefinition"/>
    <w:basedOn w:val="Normal"/>
    <w:rsid w:val="005E70EB"/>
    <w:pPr>
      <w:keepNext/>
      <w:spacing w:before="80" w:line="260" w:lineRule="exact"/>
      <w:ind w:left="964"/>
      <w:jc w:val="both"/>
    </w:pPr>
  </w:style>
  <w:style w:type="paragraph" w:customStyle="1" w:styleId="ZR1">
    <w:name w:val="ZR1"/>
    <w:basedOn w:val="R1"/>
    <w:rsid w:val="005E70EB"/>
    <w:pPr>
      <w:keepNext/>
    </w:pPr>
  </w:style>
  <w:style w:type="paragraph" w:styleId="BalloonText">
    <w:name w:val="Balloon Text"/>
    <w:basedOn w:val="Normal"/>
    <w:link w:val="BalloonTextChar"/>
    <w:rsid w:val="005E70EB"/>
    <w:rPr>
      <w:rFonts w:ascii="Tahoma" w:hAnsi="Tahoma" w:cs="Tahoma"/>
      <w:sz w:val="16"/>
      <w:szCs w:val="16"/>
    </w:rPr>
  </w:style>
  <w:style w:type="character" w:customStyle="1" w:styleId="BalloonTextChar">
    <w:name w:val="Balloon Text Char"/>
    <w:basedOn w:val="DefaultParagraphFont"/>
    <w:link w:val="BalloonText"/>
    <w:rsid w:val="005E70EB"/>
    <w:rPr>
      <w:rFonts w:ascii="Tahoma" w:hAnsi="Tahoma" w:cs="Tahoma"/>
      <w:sz w:val="16"/>
      <w:szCs w:val="16"/>
    </w:rPr>
  </w:style>
  <w:style w:type="paragraph" w:styleId="Header">
    <w:name w:val="header"/>
    <w:basedOn w:val="Normal"/>
    <w:link w:val="HeaderChar"/>
    <w:rsid w:val="006D2F9B"/>
    <w:pPr>
      <w:tabs>
        <w:tab w:val="center" w:pos="4513"/>
        <w:tab w:val="right" w:pos="9026"/>
      </w:tabs>
    </w:pPr>
  </w:style>
  <w:style w:type="character" w:customStyle="1" w:styleId="HeaderChar">
    <w:name w:val="Header Char"/>
    <w:basedOn w:val="DefaultParagraphFont"/>
    <w:link w:val="Header"/>
    <w:rsid w:val="006D2F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0E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lang w:eastAsia="en-US"/>
    </w:rPr>
  </w:style>
  <w:style w:type="paragraph" w:customStyle="1" w:styleId="HeaderBoldEven">
    <w:name w:val="HeaderBoldEven"/>
    <w:basedOn w:val="Normal"/>
    <w:rsid w:val="005E70EB"/>
    <w:pPr>
      <w:spacing w:before="120" w:after="60"/>
    </w:pPr>
    <w:rPr>
      <w:rFonts w:ascii="Arial" w:hAnsi="Arial"/>
      <w:b/>
      <w:sz w:val="20"/>
    </w:rPr>
  </w:style>
  <w:style w:type="paragraph" w:customStyle="1" w:styleId="HeaderBoldOdd">
    <w:name w:val="HeaderBoldOdd"/>
    <w:basedOn w:val="Normal"/>
    <w:rsid w:val="005E70EB"/>
    <w:pPr>
      <w:spacing w:before="120" w:after="60"/>
      <w:jc w:val="right"/>
    </w:pPr>
    <w:rPr>
      <w:rFonts w:ascii="Arial" w:hAnsi="Arial"/>
      <w:b/>
      <w:sz w:val="20"/>
    </w:rPr>
  </w:style>
  <w:style w:type="paragraph" w:customStyle="1" w:styleId="HeaderLiteEven">
    <w:name w:val="HeaderLiteEven"/>
    <w:basedOn w:val="Normal"/>
    <w:rsid w:val="005E70EB"/>
    <w:pPr>
      <w:tabs>
        <w:tab w:val="center" w:pos="3969"/>
        <w:tab w:val="right" w:pos="8505"/>
      </w:tabs>
      <w:spacing w:before="60"/>
    </w:pPr>
    <w:rPr>
      <w:rFonts w:ascii="Arial" w:hAnsi="Arial"/>
      <w:sz w:val="18"/>
    </w:rPr>
  </w:style>
  <w:style w:type="paragraph" w:customStyle="1" w:styleId="HeaderLiteOdd">
    <w:name w:val="HeaderLiteOdd"/>
    <w:basedOn w:val="Normal"/>
    <w:rsid w:val="005E70EB"/>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5E70E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5E70EB"/>
    <w:rPr>
      <w:rFonts w:ascii="Arial" w:hAnsi="Arial"/>
      <w:i/>
      <w:sz w:val="18"/>
      <w:szCs w:val="18"/>
    </w:rPr>
  </w:style>
  <w:style w:type="paragraph" w:customStyle="1" w:styleId="FooterDraft">
    <w:name w:val="FooterDraft"/>
    <w:basedOn w:val="Normal"/>
    <w:rsid w:val="005E70EB"/>
    <w:pPr>
      <w:jc w:val="center"/>
    </w:pPr>
    <w:rPr>
      <w:rFonts w:ascii="Arial" w:hAnsi="Arial"/>
      <w:b/>
      <w:sz w:val="40"/>
    </w:rPr>
  </w:style>
  <w:style w:type="paragraph" w:customStyle="1" w:styleId="FooterInfo">
    <w:name w:val="FooterInfo"/>
    <w:basedOn w:val="Normal"/>
    <w:rsid w:val="005E70EB"/>
    <w:rPr>
      <w:rFonts w:ascii="Arial" w:hAnsi="Arial"/>
      <w:sz w:val="12"/>
    </w:rPr>
  </w:style>
  <w:style w:type="character" w:customStyle="1" w:styleId="CharSectno">
    <w:name w:val="CharSectno"/>
    <w:basedOn w:val="DefaultParagraphFont"/>
    <w:rsid w:val="005E70EB"/>
  </w:style>
  <w:style w:type="paragraph" w:customStyle="1" w:styleId="HR">
    <w:name w:val="HR"/>
    <w:aliases w:val="Regulation Heading"/>
    <w:basedOn w:val="Normal"/>
    <w:next w:val="R1"/>
    <w:rsid w:val="005E70EB"/>
    <w:pPr>
      <w:keepNext/>
      <w:keepLines/>
      <w:spacing w:before="360"/>
      <w:ind w:left="964" w:hanging="964"/>
    </w:pPr>
    <w:rPr>
      <w:rFonts w:ascii="Arial" w:hAnsi="Arial"/>
      <w:b/>
    </w:rPr>
  </w:style>
  <w:style w:type="paragraph" w:customStyle="1" w:styleId="NoteEnd">
    <w:name w:val="Note End"/>
    <w:basedOn w:val="Normal"/>
    <w:rsid w:val="005E70EB"/>
    <w:pPr>
      <w:keepLines/>
      <w:spacing w:before="120" w:line="240" w:lineRule="exact"/>
      <w:ind w:left="567" w:hanging="567"/>
      <w:jc w:val="both"/>
    </w:pPr>
    <w:rPr>
      <w:sz w:val="22"/>
    </w:rPr>
  </w:style>
  <w:style w:type="paragraph" w:customStyle="1" w:styleId="R1">
    <w:name w:val="R1"/>
    <w:aliases w:val="1. or 1.(1)"/>
    <w:basedOn w:val="Normal"/>
    <w:next w:val="R2"/>
    <w:rsid w:val="005E70EB"/>
    <w:pPr>
      <w:keepLines/>
      <w:tabs>
        <w:tab w:val="right" w:pos="794"/>
      </w:tabs>
      <w:spacing w:before="120" w:line="260" w:lineRule="exact"/>
      <w:ind w:left="964" w:hanging="964"/>
      <w:jc w:val="both"/>
    </w:pPr>
  </w:style>
  <w:style w:type="paragraph" w:customStyle="1" w:styleId="R2">
    <w:name w:val="R2"/>
    <w:aliases w:val="(2)"/>
    <w:basedOn w:val="Normal"/>
    <w:rsid w:val="005E70EB"/>
    <w:pPr>
      <w:keepLines/>
      <w:tabs>
        <w:tab w:val="right" w:pos="794"/>
      </w:tabs>
      <w:spacing w:before="180" w:line="260" w:lineRule="exact"/>
      <w:ind w:left="964" w:hanging="964"/>
      <w:jc w:val="both"/>
    </w:pPr>
  </w:style>
  <w:style w:type="paragraph" w:customStyle="1" w:styleId="FooterCitation">
    <w:name w:val="FooterCitation"/>
    <w:basedOn w:val="Footer"/>
    <w:rsid w:val="005E70EB"/>
    <w:pPr>
      <w:tabs>
        <w:tab w:val="clear" w:pos="3600"/>
        <w:tab w:val="clear" w:pos="7201"/>
        <w:tab w:val="center" w:pos="4153"/>
        <w:tab w:val="right" w:pos="8306"/>
      </w:tabs>
      <w:spacing w:before="20" w:line="240" w:lineRule="exact"/>
    </w:pPr>
    <w:rPr>
      <w:szCs w:val="24"/>
    </w:rPr>
  </w:style>
  <w:style w:type="paragraph" w:customStyle="1" w:styleId="Zdefinition">
    <w:name w:val="Zdefinition"/>
    <w:basedOn w:val="Normal"/>
    <w:rsid w:val="005E70EB"/>
    <w:pPr>
      <w:keepNext/>
      <w:spacing w:before="80" w:line="260" w:lineRule="exact"/>
      <w:ind w:left="964"/>
      <w:jc w:val="both"/>
    </w:pPr>
  </w:style>
  <w:style w:type="paragraph" w:customStyle="1" w:styleId="ZR1">
    <w:name w:val="ZR1"/>
    <w:basedOn w:val="R1"/>
    <w:rsid w:val="005E70EB"/>
    <w:pPr>
      <w:keepNext/>
    </w:pPr>
  </w:style>
  <w:style w:type="paragraph" w:styleId="BalloonText">
    <w:name w:val="Balloon Text"/>
    <w:basedOn w:val="Normal"/>
    <w:link w:val="BalloonTextChar"/>
    <w:rsid w:val="005E70EB"/>
    <w:rPr>
      <w:rFonts w:ascii="Tahoma" w:hAnsi="Tahoma" w:cs="Tahoma"/>
      <w:sz w:val="16"/>
      <w:szCs w:val="16"/>
    </w:rPr>
  </w:style>
  <w:style w:type="character" w:customStyle="1" w:styleId="BalloonTextChar">
    <w:name w:val="Balloon Text Char"/>
    <w:basedOn w:val="DefaultParagraphFont"/>
    <w:link w:val="BalloonText"/>
    <w:rsid w:val="005E70EB"/>
    <w:rPr>
      <w:rFonts w:ascii="Tahoma" w:hAnsi="Tahoma" w:cs="Tahoma"/>
      <w:sz w:val="16"/>
      <w:szCs w:val="16"/>
    </w:rPr>
  </w:style>
  <w:style w:type="paragraph" w:styleId="Header">
    <w:name w:val="header"/>
    <w:basedOn w:val="Normal"/>
    <w:link w:val="HeaderChar"/>
    <w:rsid w:val="006D2F9B"/>
    <w:pPr>
      <w:tabs>
        <w:tab w:val="center" w:pos="4513"/>
        <w:tab w:val="right" w:pos="9026"/>
      </w:tabs>
    </w:pPr>
  </w:style>
  <w:style w:type="character" w:customStyle="1" w:styleId="HeaderChar">
    <w:name w:val="Header Char"/>
    <w:basedOn w:val="DefaultParagraphFont"/>
    <w:link w:val="Header"/>
    <w:rsid w:val="006D2F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6DB1-B42D-4A88-9289-CF1A6514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Maslaris Nicole</dc:creator>
  <cp:lastModifiedBy>Lewis Eleanor</cp:lastModifiedBy>
  <cp:revision>2</cp:revision>
  <cp:lastPrinted>2015-03-12T01:25:00Z</cp:lastPrinted>
  <dcterms:created xsi:type="dcterms:W3CDTF">2015-03-30T23:06:00Z</dcterms:created>
  <dcterms:modified xsi:type="dcterms:W3CDTF">2015-03-30T23:06:00Z</dcterms:modified>
</cp:coreProperties>
</file>