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F8" w:rsidRPr="00C0014E" w:rsidRDefault="00F903F8" w:rsidP="00F903F8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8AA66FC" wp14:editId="3C3DCFBA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F8" w:rsidRPr="006153A1" w:rsidRDefault="00F903F8" w:rsidP="00F903F8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F903F8" w:rsidRPr="002A7834" w:rsidRDefault="00F903F8" w:rsidP="00F903F8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F903F8" w:rsidRPr="00C0014E" w:rsidRDefault="00F903F8" w:rsidP="00F903F8">
      <w:pPr>
        <w:pBdr>
          <w:bottom w:val="single" w:sz="4" w:space="1" w:color="auto"/>
        </w:pBdr>
        <w:rPr>
          <w:b/>
        </w:rPr>
      </w:pPr>
    </w:p>
    <w:p w:rsidR="00F903F8" w:rsidRPr="008F2616" w:rsidRDefault="00F903F8" w:rsidP="00F903F8"/>
    <w:p w:rsidR="00F903F8" w:rsidRPr="00F85758" w:rsidRDefault="00F903F8" w:rsidP="00F903F8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F903F8" w:rsidRPr="008F2616" w:rsidRDefault="00F903F8" w:rsidP="00F903F8"/>
    <w:p w:rsidR="00F903F8" w:rsidRPr="007B2098" w:rsidRDefault="00F903F8" w:rsidP="00F903F8">
      <w:r w:rsidRPr="007B2098">
        <w:t xml:space="preserve">Dated </w:t>
      </w:r>
      <w:r>
        <w:t>25</w:t>
      </w:r>
      <w:r w:rsidRPr="007B2098">
        <w:t xml:space="preserve"> March 2015</w:t>
      </w:r>
    </w:p>
    <w:p w:rsidR="00F903F8" w:rsidRPr="008F2616" w:rsidRDefault="00F903F8" w:rsidP="00F903F8">
      <w:r>
        <w:rPr>
          <w:noProof/>
          <w:lang w:val="en-AU"/>
        </w:rPr>
        <w:drawing>
          <wp:inline distT="0" distB="0" distL="0" distR="0" wp14:anchorId="5C89DFB5" wp14:editId="30581638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F8" w:rsidRPr="008F2616" w:rsidRDefault="00F903F8" w:rsidP="00F903F8">
      <w:r w:rsidRPr="008F2616">
        <w:t>Standards Management Officer</w:t>
      </w:r>
    </w:p>
    <w:p w:rsidR="00F903F8" w:rsidRPr="008F2616" w:rsidRDefault="00F903F8" w:rsidP="00F903F8">
      <w:r w:rsidRPr="008F2616">
        <w:t>Delegate of the Board of Food Standards Australia New Zealand</w:t>
      </w:r>
    </w:p>
    <w:p w:rsidR="00F903F8" w:rsidRDefault="00F903F8" w:rsidP="00F903F8"/>
    <w:p w:rsidR="00F903F8" w:rsidRDefault="00F903F8" w:rsidP="00F903F8"/>
    <w:p w:rsidR="00F903F8" w:rsidRDefault="00F903F8" w:rsidP="00F903F8"/>
    <w:p w:rsidR="00F903F8" w:rsidRDefault="00F903F8" w:rsidP="00F903F8"/>
    <w:p w:rsidR="00F903F8" w:rsidRDefault="00F903F8" w:rsidP="00F903F8"/>
    <w:p w:rsidR="00F903F8" w:rsidRPr="00574DE1" w:rsidRDefault="00F903F8" w:rsidP="00F903F8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F903F8" w:rsidRPr="00574DE1" w:rsidRDefault="00F903F8" w:rsidP="00F903F8">
      <w:pPr>
        <w:pStyle w:val="EditorialNotetext"/>
        <w:rPr>
          <w:lang w:val="en-AU"/>
        </w:rPr>
      </w:pPr>
    </w:p>
    <w:p w:rsidR="00F903F8" w:rsidRPr="007B2098" w:rsidRDefault="00F903F8" w:rsidP="00F903F8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F903F8" w:rsidRDefault="00F903F8" w:rsidP="00F903F8"/>
    <w:p w:rsidR="00F903F8" w:rsidRDefault="00F903F8" w:rsidP="00F903F8">
      <w:pPr>
        <w:sectPr w:rsidR="00F903F8" w:rsidSect="00F903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D60288" w:rsidRPr="001D1563" w:rsidRDefault="00D60288" w:rsidP="00D60288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2.6.4</w:t>
      </w:r>
      <w:r w:rsidRPr="001D1563">
        <w:rPr>
          <w:lang w:val="en-GB"/>
        </w:rPr>
        <w:tab/>
        <w:t>Formulated caffeinated beverages</w:t>
      </w:r>
    </w:p>
    <w:p w:rsidR="00D60288" w:rsidRPr="001D1563" w:rsidRDefault="00D60288" w:rsidP="00D60288">
      <w:pPr>
        <w:pStyle w:val="FSCnatHeading"/>
        <w:rPr>
          <w:lang w:val="en-GB"/>
        </w:rPr>
      </w:pPr>
      <w:bookmarkStart w:id="1" w:name="_Ref336441494"/>
      <w:r w:rsidRPr="00D60288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E57D1D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D60288" w:rsidRPr="001D1563" w:rsidRDefault="00D60288" w:rsidP="00D60288">
      <w:pPr>
        <w:pStyle w:val="FSCnatHeading"/>
        <w:rPr>
          <w:lang w:val="en-GB"/>
        </w:rPr>
      </w:pPr>
      <w:r w:rsidRPr="00D60288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D60288" w:rsidRPr="001D1563" w:rsidRDefault="00D60288" w:rsidP="00D60288">
      <w:pPr>
        <w:pStyle w:val="FSCh5Section"/>
        <w:rPr>
          <w:lang w:val="en-GB"/>
        </w:rPr>
      </w:pPr>
      <w:bookmarkStart w:id="2" w:name="_Toc400032219"/>
      <w:r w:rsidRPr="001D1563">
        <w:rPr>
          <w:lang w:val="en-GB"/>
        </w:rPr>
        <w:t>2.6.4—1</w:t>
      </w:r>
      <w:r w:rsidRPr="001D1563">
        <w:rPr>
          <w:lang w:val="en-GB"/>
        </w:rPr>
        <w:tab/>
        <w:t>Name</w:t>
      </w:r>
      <w:bookmarkEnd w:id="2"/>
    </w:p>
    <w:p w:rsidR="00D60288" w:rsidRPr="00E57D1D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E57D1D" w:rsidRPr="00E57D1D">
        <w:rPr>
          <w:lang w:val="en-GB"/>
        </w:rPr>
        <w:t>–</w:t>
      </w:r>
      <w:r w:rsidRPr="00E57D1D">
        <w:rPr>
          <w:lang w:val="en-GB"/>
        </w:rPr>
        <w:t xml:space="preserve"> Standard 2.6.4 </w:t>
      </w:r>
      <w:r w:rsidR="00E57D1D" w:rsidRPr="00E57D1D">
        <w:rPr>
          <w:lang w:val="en-GB"/>
        </w:rPr>
        <w:t>–</w:t>
      </w:r>
      <w:r w:rsidRPr="00E57D1D">
        <w:rPr>
          <w:lang w:val="en-GB"/>
        </w:rPr>
        <w:t xml:space="preserve"> Formulated caffeinated beverages.</w:t>
      </w:r>
    </w:p>
    <w:p w:rsidR="00D60288" w:rsidRPr="001D1563" w:rsidRDefault="00D60288" w:rsidP="00D6028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D60288" w:rsidRPr="001D1563" w:rsidRDefault="00D60288" w:rsidP="00D60288">
      <w:pPr>
        <w:pStyle w:val="FSCh5Section"/>
        <w:rPr>
          <w:lang w:val="en-GB"/>
        </w:rPr>
      </w:pPr>
      <w:bookmarkStart w:id="3" w:name="_Toc371505601"/>
      <w:bookmarkStart w:id="4" w:name="_Toc400032220"/>
      <w:r w:rsidRPr="001D1563">
        <w:rPr>
          <w:lang w:val="en-GB"/>
        </w:rPr>
        <w:t>2.6.4—2</w:t>
      </w:r>
      <w:r w:rsidRPr="001D1563">
        <w:rPr>
          <w:lang w:val="en-GB"/>
        </w:rPr>
        <w:tab/>
      </w:r>
      <w:bookmarkEnd w:id="1"/>
      <w:bookmarkEnd w:id="3"/>
      <w:r w:rsidRPr="001D1563">
        <w:rPr>
          <w:lang w:val="en-GB"/>
        </w:rPr>
        <w:t>Definitions</w:t>
      </w:r>
      <w:bookmarkEnd w:id="4"/>
    </w:p>
    <w:p w:rsidR="00D60288" w:rsidRPr="001D1563" w:rsidRDefault="00D60288" w:rsidP="00D60288">
      <w:pPr>
        <w:pStyle w:val="FSCnatHeading"/>
        <w:rPr>
          <w:lang w:val="en-GB"/>
        </w:rPr>
      </w:pPr>
      <w:r w:rsidRPr="00D60288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sections 1.1.2—3 and 1.1.2—6</w:t>
      </w:r>
      <w:r w:rsidR="00621B5A">
        <w:rPr>
          <w:lang w:val="en-GB"/>
        </w:rPr>
        <w:t>)</w:t>
      </w:r>
      <w:r w:rsidRPr="001D1563">
        <w:rPr>
          <w:lang w:val="en-GB"/>
        </w:rPr>
        <w:t>:</w:t>
      </w:r>
    </w:p>
    <w:p w:rsidR="00D60288" w:rsidRPr="001D1563" w:rsidRDefault="00D60288" w:rsidP="00D6028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non-alcoholic beverage</w:t>
      </w:r>
      <w:r w:rsidRPr="001D1563">
        <w:rPr>
          <w:lang w:val="en-GB"/>
        </w:rPr>
        <w:t>:</w:t>
      </w:r>
    </w:p>
    <w:p w:rsidR="00D60288" w:rsidRPr="001D1563" w:rsidRDefault="00D60288" w:rsidP="00D60288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means:</w:t>
      </w:r>
    </w:p>
    <w:p w:rsidR="00D60288" w:rsidRPr="001D1563" w:rsidRDefault="00D60288" w:rsidP="00D60288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packaged water; or</w:t>
      </w:r>
    </w:p>
    <w:p w:rsidR="00D60288" w:rsidRPr="001D1563" w:rsidRDefault="00D60288" w:rsidP="00D60288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a water-based beverage, or a water-based beverage that contains other foods (other than alcoholic beverages); or</w:t>
      </w:r>
    </w:p>
    <w:p w:rsidR="00D60288" w:rsidRPr="001D1563" w:rsidRDefault="00D60288" w:rsidP="00D60288">
      <w:pPr>
        <w:pStyle w:val="FSCn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an electrolyte drink; and</w:t>
      </w:r>
    </w:p>
    <w:p w:rsidR="00D60288" w:rsidRPr="001D1563" w:rsidRDefault="00D60288" w:rsidP="00D60288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does not include a brewed soft drink.</w:t>
      </w:r>
    </w:p>
    <w:p w:rsidR="00D60288" w:rsidRPr="001D1563" w:rsidRDefault="00D60288" w:rsidP="00E57D1D">
      <w:pPr>
        <w:pStyle w:val="FSCnMain"/>
        <w:ind w:left="1701"/>
        <w:rPr>
          <w:lang w:val="en-GB"/>
        </w:rPr>
      </w:pPr>
      <w:r w:rsidRPr="001D1563">
        <w:rPr>
          <w:b/>
          <w:i/>
          <w:lang w:val="en-GB"/>
        </w:rPr>
        <w:tab/>
        <w:t>formulated caffeinated beverage</w:t>
      </w:r>
      <w:r w:rsidRPr="001D1563">
        <w:rPr>
          <w:lang w:val="en-GB"/>
        </w:rPr>
        <w:t xml:space="preserve"> means a flavoured, non-alcoholic beverage, or a flavoured, non-alcoholic beverage to which other substances (for example, carbohydrates, amino acids, vitamins) have been added, that:</w:t>
      </w:r>
    </w:p>
    <w:p w:rsidR="00D60288" w:rsidRPr="001D1563" w:rsidRDefault="00D60288" w:rsidP="00D60288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contains caffeine; and</w:t>
      </w:r>
    </w:p>
    <w:p w:rsidR="00D60288" w:rsidRPr="001D1563" w:rsidRDefault="00D60288" w:rsidP="00D60288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has the purpose of enhancing mental performance.</w:t>
      </w:r>
    </w:p>
    <w:p w:rsidR="00D60288" w:rsidRPr="001D1563" w:rsidRDefault="00D60288" w:rsidP="00E57D1D">
      <w:pPr>
        <w:pStyle w:val="FSCnMain"/>
        <w:ind w:left="1701"/>
        <w:rPr>
          <w:lang w:val="en-GB"/>
        </w:rPr>
      </w:pPr>
      <w:r w:rsidRPr="001D1563">
        <w:rPr>
          <w:lang w:val="en-GB"/>
        </w:rPr>
        <w:tab/>
        <w:t>To avoid doubt, a formulated caffeinated beverage is a water based flavoured drink for the purposes of item 14.1.3 of section S15—5, and section S18—10.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In this Standard: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</w:r>
      <w:r w:rsidRPr="001D1563">
        <w:rPr>
          <w:b/>
          <w:i/>
          <w:lang w:val="en-GB"/>
        </w:rPr>
        <w:t xml:space="preserve">listed substance </w:t>
      </w:r>
      <w:r w:rsidRPr="001D1563">
        <w:rPr>
          <w:lang w:val="en-GB"/>
        </w:rPr>
        <w:t>means a substance listed in Column 1 of the table in section S28—2.</w:t>
      </w:r>
    </w:p>
    <w:p w:rsidR="00D60288" w:rsidRPr="001D1563" w:rsidRDefault="00D60288" w:rsidP="00D60288">
      <w:pPr>
        <w:pStyle w:val="FSCh5Section"/>
        <w:rPr>
          <w:lang w:val="en-GB"/>
        </w:rPr>
      </w:pPr>
      <w:bookmarkStart w:id="5" w:name="_Ref336269048"/>
      <w:bookmarkStart w:id="6" w:name="_Toc371505603"/>
      <w:bookmarkStart w:id="7" w:name="_Toc400032221"/>
      <w:r w:rsidRPr="001D1563">
        <w:rPr>
          <w:lang w:val="en-GB"/>
        </w:rPr>
        <w:t>2.6.4—3</w:t>
      </w:r>
      <w:r w:rsidRPr="001D1563">
        <w:rPr>
          <w:lang w:val="en-GB"/>
        </w:rPr>
        <w:tab/>
        <w:t>Composition—formulated caffeinated beverage</w:t>
      </w:r>
      <w:bookmarkEnd w:id="5"/>
      <w:bookmarkEnd w:id="6"/>
      <w:r w:rsidRPr="001D1563">
        <w:rPr>
          <w:lang w:val="en-GB"/>
        </w:rPr>
        <w:t>s</w:t>
      </w:r>
      <w:bookmarkEnd w:id="7"/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formulated caffeinated beverage: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must contain no less than 145 mg/L and no more than 320 mg/L of caffeine in total, from any source; and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may contain a listed substance.</w:t>
      </w:r>
    </w:p>
    <w:p w:rsidR="00D60288" w:rsidRPr="001D1563" w:rsidRDefault="00D60288" w:rsidP="00D60288">
      <w:pPr>
        <w:pStyle w:val="FSCh5Section"/>
        <w:rPr>
          <w:lang w:val="en-GB"/>
        </w:rPr>
      </w:pPr>
      <w:bookmarkStart w:id="8" w:name="_Toc400032222"/>
      <w:r w:rsidRPr="001D1563">
        <w:rPr>
          <w:lang w:val="en-GB"/>
        </w:rPr>
        <w:t>2.6.4—4</w:t>
      </w:r>
      <w:r w:rsidRPr="001D1563">
        <w:rPr>
          <w:lang w:val="en-GB"/>
        </w:rPr>
        <w:tab/>
        <w:t>Prohibition on mixing formulated caffeinated beverages</w:t>
      </w:r>
      <w:bookmarkEnd w:id="8"/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for sale (other than a formulated caffeinated beverage) must not be a mixture of a non-alcoholic beverage and a formulated caffeinated beverage.</w:t>
      </w:r>
    </w:p>
    <w:p w:rsidR="00D60288" w:rsidRPr="001D1563" w:rsidRDefault="00D60288" w:rsidP="00D60288">
      <w:pPr>
        <w:pStyle w:val="FSCh5Section"/>
        <w:rPr>
          <w:lang w:val="en-GB"/>
        </w:rPr>
      </w:pPr>
      <w:bookmarkStart w:id="9" w:name="_Ref332979020"/>
      <w:bookmarkStart w:id="10" w:name="_Toc371505604"/>
      <w:bookmarkStart w:id="11" w:name="_Toc400032223"/>
      <w:r w:rsidRPr="001D1563">
        <w:rPr>
          <w:lang w:val="en-GB"/>
        </w:rPr>
        <w:t>2.6.4—5</w:t>
      </w:r>
      <w:r w:rsidRPr="001D1563">
        <w:rPr>
          <w:lang w:val="en-GB"/>
        </w:rPr>
        <w:tab/>
        <w:t>Labelling requirements—formulated caffeinated beverage</w:t>
      </w:r>
      <w:bookmarkEnd w:id="9"/>
      <w:bookmarkEnd w:id="10"/>
      <w:bookmarkEnd w:id="11"/>
    </w:p>
    <w:p w:rsidR="00D60288" w:rsidRPr="001D1563" w:rsidRDefault="00D60288" w:rsidP="00D60288">
      <w:pPr>
        <w:pStyle w:val="FSCh6Subsec"/>
        <w:rPr>
          <w:lang w:val="en-GB"/>
        </w:rPr>
      </w:pPr>
      <w:r w:rsidRPr="001D1563">
        <w:rPr>
          <w:lang w:val="en-GB"/>
        </w:rPr>
        <w:t>Required declarations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For the labelling provisions, the required declarations of average quantities are a declaration of the *average quantity, per serving size and per 100 mL, of: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caffeine, expressed in milligrams; and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each listed substance (if any) that the beverage contains, expressed in the units in Column 2 of the table to section S28—2.</w:t>
      </w:r>
    </w:p>
    <w:p w:rsidR="00E57D1D" w:rsidRDefault="00D60288" w:rsidP="00D6028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lang w:val="en-GB"/>
        </w:rPr>
        <w:tab/>
        <w:t>The labelling provisions are set out in Standard 1.2.1.</w:t>
      </w:r>
      <w:r w:rsidR="00E57D1D">
        <w:rPr>
          <w:lang w:val="en-GB"/>
        </w:rPr>
        <w:br w:type="page"/>
      </w:r>
    </w:p>
    <w:p w:rsidR="00D60288" w:rsidRPr="001D1563" w:rsidRDefault="00D60288" w:rsidP="00D60288">
      <w:pPr>
        <w:pStyle w:val="FSCtMain"/>
        <w:rPr>
          <w:lang w:val="en-GB"/>
        </w:rPr>
      </w:pPr>
      <w:bookmarkStart w:id="12" w:name="_Ref342048782"/>
      <w:r w:rsidRPr="001D1563">
        <w:rPr>
          <w:lang w:val="en-GB"/>
        </w:rPr>
        <w:lastRenderedPageBreak/>
        <w:tab/>
        <w:t>(2)</w:t>
      </w:r>
      <w:r w:rsidRPr="001D1563">
        <w:rPr>
          <w:lang w:val="en-GB"/>
        </w:rPr>
        <w:tab/>
        <w:t>The declarations under subsection (1):</w:t>
      </w:r>
      <w:bookmarkEnd w:id="12"/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may be adjacent to or follow a nutrition information panel on the label; and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may be set out in the format in section S12—5; and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may not be set out in the nutrition information panel.</w:t>
      </w:r>
    </w:p>
    <w:p w:rsidR="00D60288" w:rsidRPr="001D1563" w:rsidRDefault="00D60288" w:rsidP="00D60288">
      <w:pPr>
        <w:pStyle w:val="FSCh6Subsec"/>
        <w:rPr>
          <w:lang w:val="en-GB"/>
        </w:rPr>
      </w:pPr>
      <w:r w:rsidRPr="001D1563">
        <w:rPr>
          <w:lang w:val="en-GB"/>
        </w:rPr>
        <w:t>Required advisory statements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  <w:t>(3)</w:t>
      </w:r>
      <w:r w:rsidRPr="001D1563">
        <w:rPr>
          <w:lang w:val="en-GB"/>
        </w:rPr>
        <w:tab/>
        <w:t>For the labelling provisions, the required advisory statements are statements to the effect that: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food contains caffeine; and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the food is not recommended for:</w:t>
      </w:r>
    </w:p>
    <w:p w:rsidR="00D60288" w:rsidRPr="001D1563" w:rsidRDefault="00D60288" w:rsidP="00D60288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children; or</w:t>
      </w:r>
    </w:p>
    <w:p w:rsidR="00D60288" w:rsidRPr="001D1563" w:rsidRDefault="00D60288" w:rsidP="00D60288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pregnant or lactating women; or</w:t>
      </w:r>
    </w:p>
    <w:p w:rsidR="00D60288" w:rsidRPr="001D1563" w:rsidRDefault="00D60288" w:rsidP="00D60288">
      <w:pPr>
        <w:pStyle w:val="FSCt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individuals sensitive to caffeine; and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if the food contains a listed substance</w:t>
      </w:r>
      <w:r w:rsidRPr="001D1563">
        <w:rPr>
          <w:rFonts w:cs="Times New Roman"/>
          <w:lang w:val="en-GB"/>
        </w:rPr>
        <w:t>—</w:t>
      </w:r>
      <w:r w:rsidRPr="001D1563">
        <w:rPr>
          <w:lang w:val="en-GB"/>
        </w:rPr>
        <w:t>no more than a one-day quantity should be consumed per day.</w:t>
      </w:r>
    </w:p>
    <w:p w:rsidR="00D60288" w:rsidRPr="001D1563" w:rsidRDefault="00D60288" w:rsidP="00D6028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1</w:t>
      </w:r>
      <w:r w:rsidRPr="001D1563">
        <w:rPr>
          <w:lang w:val="en-GB"/>
        </w:rPr>
        <w:tab/>
        <w:t>The labelling provisions are set out in Standard 1.2.1.</w:t>
      </w:r>
    </w:p>
    <w:p w:rsidR="00D60288" w:rsidRPr="001D1563" w:rsidRDefault="00D60288" w:rsidP="00D6028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 2</w:t>
      </w:r>
      <w:r w:rsidRPr="001D1563">
        <w:rPr>
          <w:lang w:val="en-GB"/>
        </w:rPr>
        <w:tab/>
        <w:t>Subsection 1.2.1—9(7) and paragraph 1.2.1—9(8)(g) each contain a labelling requirement for formulated caffeinated beverages that are not required to bear a label.</w:t>
      </w:r>
    </w:p>
    <w:p w:rsidR="00D60288" w:rsidRPr="001D1563" w:rsidRDefault="00D60288" w:rsidP="00E57D1D">
      <w:pPr>
        <w:pStyle w:val="FSCnMain"/>
        <w:ind w:right="-144"/>
        <w:rPr>
          <w:lang w:val="en-GB"/>
        </w:rPr>
      </w:pPr>
      <w:r w:rsidRPr="001D1563">
        <w:rPr>
          <w:b/>
          <w:i/>
          <w:lang w:val="en-GB"/>
        </w:rPr>
        <w:tab/>
        <w:t>Note 3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 xml:space="preserve">For a formulated caffeinated beverage, the </w:t>
      </w:r>
      <w:r w:rsidRPr="001D1563">
        <w:rPr>
          <w:b/>
          <w:i/>
          <w:lang w:val="en-GB"/>
        </w:rPr>
        <w:t>one-day quantity</w:t>
      </w:r>
      <w:r w:rsidRPr="001D1563">
        <w:rPr>
          <w:i/>
          <w:lang w:val="en-GB"/>
        </w:rPr>
        <w:t xml:space="preserve"> </w:t>
      </w:r>
      <w:r w:rsidRPr="001D1563">
        <w:rPr>
          <w:lang w:val="en-GB"/>
        </w:rPr>
        <w:t>is the maximum amount that should be consumed in a day. For each listed substance that the beverage contains, a one-day quantity will not contain more than the amount in the corresponding row of the table to section S28—2.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  <w:t>(4)</w:t>
      </w:r>
      <w:r w:rsidRPr="001D1563">
        <w:rPr>
          <w:lang w:val="en-GB"/>
        </w:rPr>
        <w:tab/>
        <w:t>For the advisory statement required by paragraph (3)(c), the one-day quantity may be expressed as mL, or as cans or bottles, as appropriate.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  <w:t>(5)</w:t>
      </w:r>
      <w:r w:rsidRPr="001D1563">
        <w:rPr>
          <w:lang w:val="en-GB"/>
        </w:rPr>
        <w:tab/>
        <w:t xml:space="preserve">For paragraph (3)(c), to determine the </w:t>
      </w:r>
      <w:r w:rsidRPr="001D1563">
        <w:rPr>
          <w:b/>
          <w:i/>
          <w:lang w:val="en-GB"/>
        </w:rPr>
        <w:t>one-day quantity</w:t>
      </w:r>
      <w:r w:rsidRPr="001D1563">
        <w:rPr>
          <w:lang w:val="en-GB"/>
        </w:rPr>
        <w:t>: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for each listed substance that the food contains, calculate the equivalent amount in accordance with the equation in subsection (6); and</w:t>
      </w:r>
    </w:p>
    <w:p w:rsidR="00D60288" w:rsidRPr="001D1563" w:rsidRDefault="00D60288" w:rsidP="00D60288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 xml:space="preserve">select, as the </w:t>
      </w:r>
      <w:r w:rsidRPr="001D1563">
        <w:rPr>
          <w:b/>
          <w:i/>
          <w:lang w:val="en-GB"/>
        </w:rPr>
        <w:t>one-day quantity</w:t>
      </w:r>
      <w:r w:rsidRPr="001D1563">
        <w:rPr>
          <w:lang w:val="en-GB"/>
        </w:rPr>
        <w:t>, the lowest of the equivalent amounts as so calculated.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  <w:t>(6)</w:t>
      </w:r>
      <w:r w:rsidRPr="001D1563">
        <w:rPr>
          <w:lang w:val="en-GB"/>
        </w:rPr>
        <w:tab/>
        <w:t>For subsection (5), the equation is: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position w:val="-24"/>
          <w:lang w:val="en-GB"/>
        </w:rPr>
        <w:tab/>
      </w:r>
      <w:r w:rsidRPr="001D1563">
        <w:rPr>
          <w:position w:val="-24"/>
          <w:lang w:val="en-GB"/>
        </w:rPr>
        <w:tab/>
      </w:r>
      <w:r w:rsidRPr="001D1563">
        <w:rPr>
          <w:noProof/>
          <w:position w:val="-24"/>
        </w:rPr>
        <w:drawing>
          <wp:inline distT="0" distB="0" distL="0" distR="0" wp14:anchorId="5D28867D" wp14:editId="76BC50CF">
            <wp:extent cx="2950210" cy="396875"/>
            <wp:effectExtent l="0" t="0" r="2540" b="3175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where: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permitted amount</w:t>
      </w:r>
      <w:r w:rsidRPr="001D1563">
        <w:rPr>
          <w:lang w:val="en-GB"/>
        </w:rPr>
        <w:t xml:space="preserve"> is, for a listed substance, the permitted amount identified in the table to section S28—2.</w:t>
      </w:r>
    </w:p>
    <w:p w:rsidR="00D60288" w:rsidRPr="001D1563" w:rsidRDefault="00D60288" w:rsidP="00D6028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concentration</w:t>
      </w:r>
      <w:r w:rsidRPr="001D1563">
        <w:rPr>
          <w:lang w:val="en-GB"/>
        </w:rPr>
        <w:t xml:space="preserve"> is the concentration of the substance in the beverage, in mg/L.</w:t>
      </w:r>
    </w:p>
    <w:p w:rsidR="00D60288" w:rsidRPr="001D1563" w:rsidRDefault="00D60288" w:rsidP="00D60288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sectPr w:rsidR="00E32E5E" w:rsidRPr="000F7093" w:rsidSect="00F903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88" w:rsidRDefault="00D60288">
      <w:r>
        <w:separator/>
      </w:r>
    </w:p>
  </w:endnote>
  <w:endnote w:type="continuationSeparator" w:id="0">
    <w:p w:rsidR="00D60288" w:rsidRDefault="00D6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3" w:rsidRDefault="00941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F903F8" w:rsidRPr="00CF1834" w:rsidRDefault="00F903F8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3" w:rsidRDefault="009419A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9419A3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D60288">
      <w:rPr>
        <w:rFonts w:cs="Arial"/>
        <w:noProof/>
        <w:sz w:val="18"/>
        <w:szCs w:val="18"/>
      </w:rPr>
      <w:t xml:space="preserve">Standard 2.6.4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88" w:rsidRDefault="00D60288">
      <w:r>
        <w:separator/>
      </w:r>
    </w:p>
  </w:footnote>
  <w:footnote w:type="continuationSeparator" w:id="0">
    <w:p w:rsidR="00D60288" w:rsidRDefault="00D6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3" w:rsidRDefault="00941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3" w:rsidRDefault="009419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9A3" w:rsidRDefault="009419A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D60288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1B5A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419A3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0FF9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0288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57D1D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3F8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57D1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57D1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57D1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57D1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57D1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57D1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E57D1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57D1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57D1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57D1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57D1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7D1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57D1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57D1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57D1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E57D1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1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1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7D1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E57D1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E57D1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57D1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E57D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D1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E57D1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E57D1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E57D1D"/>
    <w:pPr>
      <w:ind w:right="1417"/>
    </w:pPr>
  </w:style>
  <w:style w:type="character" w:styleId="FootnoteReference">
    <w:name w:val="footnote reference"/>
    <w:basedOn w:val="DefaultParagraphFont"/>
    <w:semiHidden/>
    <w:rsid w:val="00E57D1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E57D1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57D1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E57D1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57D1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57D1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57D1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57D1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E57D1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57D1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E57D1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E57D1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E57D1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57D1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E57D1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D1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57D1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57D1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57D1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57D1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E57D1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57D1D"/>
  </w:style>
  <w:style w:type="paragraph" w:customStyle="1" w:styleId="FSCsbMainSection">
    <w:name w:val="FSC_sb_Main_Section"/>
    <w:basedOn w:val="FSCsbFirstSection"/>
    <w:qFormat/>
    <w:rsid w:val="00E57D1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57D1D"/>
  </w:style>
  <w:style w:type="paragraph" w:customStyle="1" w:styleId="FSCtDefn">
    <w:name w:val="FSC_t_Defn"/>
    <w:aliases w:val="t1_Defn"/>
    <w:basedOn w:val="FSCtMain"/>
    <w:rsid w:val="00E57D1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57D1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57D1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57D1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E57D1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57D1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57D1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57D1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57D1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57D1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57D1D"/>
    <w:rPr>
      <w:sz w:val="16"/>
    </w:rPr>
  </w:style>
  <w:style w:type="paragraph" w:customStyle="1" w:styleId="FSCoTitleofInstrument">
    <w:name w:val="FSC_o_Title_of_Instrument"/>
    <w:basedOn w:val="Normal"/>
    <w:rsid w:val="00E57D1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57D1D"/>
  </w:style>
  <w:style w:type="paragraph" w:styleId="BalloonText">
    <w:name w:val="Balloon Text"/>
    <w:basedOn w:val="Normal"/>
    <w:link w:val="BalloonTextChar"/>
    <w:uiPriority w:val="99"/>
    <w:semiHidden/>
    <w:unhideWhenUsed/>
    <w:rsid w:val="00E57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1D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E57D1D"/>
    <w:pPr>
      <w:ind w:left="0" w:firstLine="0"/>
      <w:jc w:val="center"/>
    </w:pPr>
  </w:style>
  <w:style w:type="paragraph" w:customStyle="1" w:styleId="FSCbaseheading">
    <w:name w:val="FSC_base_heading"/>
    <w:rsid w:val="00E57D1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57D1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57D1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E57D1D"/>
    <w:pPr>
      <w:jc w:val="center"/>
    </w:pPr>
    <w:rPr>
      <w:iCs w:val="0"/>
    </w:rPr>
  </w:style>
  <w:style w:type="paragraph" w:customStyle="1" w:styleId="FSCfooter">
    <w:name w:val="FSC_footer"/>
    <w:basedOn w:val="Normal"/>
    <w:rsid w:val="00E57D1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57D1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57D1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57D1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57D1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57D1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57D1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57D1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57D1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57D1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57D1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57D1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57D1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57D1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57D1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57D1D"/>
    <w:pPr>
      <w:ind w:left="1701"/>
    </w:pPr>
  </w:style>
  <w:style w:type="paragraph" w:customStyle="1" w:styleId="FSCbasetbl">
    <w:name w:val="FSC_base_tbl"/>
    <w:basedOn w:val="FSCbasepara"/>
    <w:qFormat/>
    <w:rsid w:val="00E57D1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57D1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57D1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57D1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5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D1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D1D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E57D1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E57D1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E57D1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E57D1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57D1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57D1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57D1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57D1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57D1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57D1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57D1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E57D1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F903F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903F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903F8"/>
    <w:rPr>
      <w:b w:val="0"/>
    </w:rPr>
  </w:style>
  <w:style w:type="character" w:customStyle="1" w:styleId="ClauseChar">
    <w:name w:val="Clause Char"/>
    <w:basedOn w:val="DefaultParagraphFont"/>
    <w:link w:val="Clause"/>
    <w:rsid w:val="00F903F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903F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03F8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E57D1D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57D1D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57D1D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57D1D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57D1D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E57D1D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E57D1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57D1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57D1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E57D1D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E57D1D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7D1D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57D1D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57D1D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57D1D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E57D1D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D1D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D1D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7D1D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E57D1D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E57D1D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57D1D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E57D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D1D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E57D1D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E57D1D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E57D1D"/>
    <w:pPr>
      <w:ind w:right="1417"/>
    </w:pPr>
  </w:style>
  <w:style w:type="character" w:styleId="FootnoteReference">
    <w:name w:val="footnote reference"/>
    <w:basedOn w:val="DefaultParagraphFont"/>
    <w:semiHidden/>
    <w:rsid w:val="00E57D1D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E57D1D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57D1D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E57D1D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E57D1D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E57D1D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E57D1D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E57D1D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E57D1D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E57D1D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E57D1D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E57D1D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E57D1D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E57D1D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E57D1D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D1D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E57D1D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E57D1D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E57D1D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E57D1D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E57D1D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E57D1D"/>
  </w:style>
  <w:style w:type="paragraph" w:customStyle="1" w:styleId="FSCsbMainSection">
    <w:name w:val="FSC_sb_Main_Section"/>
    <w:basedOn w:val="FSCsbFirstSection"/>
    <w:qFormat/>
    <w:rsid w:val="00E57D1D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E57D1D"/>
  </w:style>
  <w:style w:type="paragraph" w:customStyle="1" w:styleId="FSCtDefn">
    <w:name w:val="FSC_t_Defn"/>
    <w:aliases w:val="t1_Defn"/>
    <w:basedOn w:val="FSCtMain"/>
    <w:rsid w:val="00E57D1D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E57D1D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E57D1D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E57D1D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E57D1D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E57D1D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E57D1D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E57D1D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E57D1D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E57D1D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E57D1D"/>
    <w:rPr>
      <w:sz w:val="16"/>
    </w:rPr>
  </w:style>
  <w:style w:type="paragraph" w:customStyle="1" w:styleId="FSCoTitleofInstrument">
    <w:name w:val="FSC_o_Title_of_Instrument"/>
    <w:basedOn w:val="Normal"/>
    <w:rsid w:val="00E57D1D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E57D1D"/>
  </w:style>
  <w:style w:type="paragraph" w:styleId="BalloonText">
    <w:name w:val="Balloon Text"/>
    <w:basedOn w:val="Normal"/>
    <w:link w:val="BalloonTextChar"/>
    <w:uiPriority w:val="99"/>
    <w:semiHidden/>
    <w:unhideWhenUsed/>
    <w:rsid w:val="00E57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1D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E57D1D"/>
    <w:pPr>
      <w:ind w:left="0" w:firstLine="0"/>
      <w:jc w:val="center"/>
    </w:pPr>
  </w:style>
  <w:style w:type="paragraph" w:customStyle="1" w:styleId="FSCbaseheading">
    <w:name w:val="FSC_base_heading"/>
    <w:rsid w:val="00E57D1D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E57D1D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E57D1D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E57D1D"/>
    <w:pPr>
      <w:jc w:val="center"/>
    </w:pPr>
    <w:rPr>
      <w:iCs w:val="0"/>
    </w:rPr>
  </w:style>
  <w:style w:type="paragraph" w:customStyle="1" w:styleId="FSCfooter">
    <w:name w:val="FSC_footer"/>
    <w:basedOn w:val="Normal"/>
    <w:rsid w:val="00E57D1D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57D1D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57D1D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E57D1D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E57D1D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E57D1D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E57D1D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E57D1D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E57D1D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E57D1D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E57D1D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E57D1D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E57D1D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E57D1D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E57D1D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E57D1D"/>
    <w:pPr>
      <w:ind w:left="1701"/>
    </w:pPr>
  </w:style>
  <w:style w:type="paragraph" w:customStyle="1" w:styleId="FSCbasetbl">
    <w:name w:val="FSC_base_tbl"/>
    <w:basedOn w:val="FSCbasepara"/>
    <w:qFormat/>
    <w:rsid w:val="00E57D1D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E57D1D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E57D1D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E57D1D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5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D1D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D1D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E57D1D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E57D1D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E57D1D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E57D1D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E57D1D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E57D1D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E57D1D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E57D1D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E57D1D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E57D1D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E57D1D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E57D1D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F903F8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F903F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F903F8"/>
    <w:rPr>
      <w:b w:val="0"/>
    </w:rPr>
  </w:style>
  <w:style w:type="character" w:customStyle="1" w:styleId="ClauseChar">
    <w:name w:val="Clause Char"/>
    <w:basedOn w:val="DefaultParagraphFont"/>
    <w:link w:val="Clause"/>
    <w:rsid w:val="00F903F8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F903F8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03F8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2015-04-01T02:32:00Z</dcterms:created>
  <dcterms:modified xsi:type="dcterms:W3CDTF">2015-04-01T02:32:00Z</dcterms:modified>
</cp:coreProperties>
</file>