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A743D6" w:rsidRPr="00A82A52" w:rsidRDefault="00A743D6" w:rsidP="00A743D6">
      <w:pPr>
        <w:rPr>
          <w:rFonts w:eastAsia="Times New Roman" w:cs="Times New Roman"/>
          <w:b/>
          <w:i/>
          <w:szCs w:val="24"/>
          <w:lang w:bidi="en-US"/>
        </w:rPr>
      </w:pPr>
      <w:bookmarkStart w:id="1" w:name="_Toc392503960"/>
      <w:r w:rsidRPr="00A82A52">
        <w:rPr>
          <w:rFonts w:eastAsia="Times New Roman" w:cs="Times New Roman"/>
          <w:b/>
          <w:i/>
          <w:szCs w:val="24"/>
          <w:lang w:bidi="en-US"/>
        </w:rPr>
        <w:t>Schedule 6</w:t>
      </w:r>
      <w:r w:rsidR="00A82A52" w:rsidRPr="00A82A52">
        <w:rPr>
          <w:rFonts w:eastAsia="Times New Roman" w:cs="Times New Roman"/>
          <w:b/>
          <w:i/>
          <w:szCs w:val="24"/>
          <w:lang w:bidi="en-US"/>
        </w:rPr>
        <w:t xml:space="preserve"> – </w:t>
      </w:r>
      <w:r w:rsidRPr="00A82A52">
        <w:rPr>
          <w:rFonts w:eastAsia="Times New Roman" w:cs="Times New Roman"/>
          <w:b/>
          <w:i/>
          <w:szCs w:val="24"/>
          <w:lang w:bidi="en-US"/>
        </w:rPr>
        <w:t>Required elements of a systematic review</w:t>
      </w:r>
      <w:bookmarkEnd w:id="1"/>
    </w:p>
    <w:p w:rsidR="00A82A52" w:rsidRDefault="00A82A52" w:rsidP="00A82A52">
      <w:pPr>
        <w:rPr>
          <w:lang w:bidi="en-US"/>
        </w:rPr>
      </w:pPr>
    </w:p>
    <w:p w:rsidR="00A82A52" w:rsidRDefault="00A82A52" w:rsidP="00A82A52">
      <w:bookmarkStart w:id="2" w:name="_Toc400032431"/>
      <w:r>
        <w:t xml:space="preserve">Section </w:t>
      </w:r>
      <w:r>
        <w:t>S6</w:t>
      </w:r>
      <w:r w:rsidRPr="00035543">
        <w:t>—1</w:t>
      </w:r>
      <w:r>
        <w:t xml:space="preserve"> </w:t>
      </w:r>
      <w:r w:rsidRPr="00035543">
        <w:t>Name</w:t>
      </w:r>
      <w:bookmarkEnd w:id="2"/>
    </w:p>
    <w:p w:rsidR="00A82A52" w:rsidRPr="00035543" w:rsidRDefault="00A82A52" w:rsidP="00A82A52"/>
    <w:p w:rsidR="00A82A52" w:rsidRPr="00A82A52" w:rsidRDefault="00A82A52" w:rsidP="00A82A52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6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>6</w:t>
      </w:r>
      <w:r w:rsidRPr="00BC0405">
        <w:rPr>
          <w:rFonts w:eastAsia="Times New Roman" w:cs="Times New Roman"/>
          <w:szCs w:val="20"/>
          <w:lang w:bidi="en-US"/>
        </w:rPr>
        <w:t xml:space="preserve"> – </w:t>
      </w:r>
      <w:r w:rsidRPr="00A82A52">
        <w:rPr>
          <w:rFonts w:eastAsia="Times New Roman" w:cs="Times New Roman"/>
          <w:szCs w:val="24"/>
          <w:lang w:bidi="en-US"/>
        </w:rPr>
        <w:t>Required elements of a systematic review</w:t>
      </w:r>
      <w:r w:rsidRPr="00A82A52">
        <w:rPr>
          <w:rFonts w:eastAsia="Times New Roman" w:cs="Times New Roman"/>
          <w:szCs w:val="20"/>
          <w:lang w:bidi="en-US"/>
        </w:rPr>
        <w:t>.</w:t>
      </w:r>
    </w:p>
    <w:p w:rsidR="00A82A52" w:rsidRDefault="00A82A52" w:rsidP="00A82A52">
      <w:pPr>
        <w:rPr>
          <w:lang w:bidi="en-US"/>
        </w:rPr>
      </w:pPr>
      <w:r>
        <w:rPr>
          <w:lang w:bidi="en-US"/>
        </w:rPr>
        <w:br w:type="page"/>
      </w:r>
    </w:p>
    <w:p w:rsidR="00A82A52" w:rsidRPr="00FF1817" w:rsidRDefault="00A82A52" w:rsidP="00A82A52">
      <w:bookmarkStart w:id="3" w:name="_Toc400032440"/>
      <w:r>
        <w:lastRenderedPageBreak/>
        <w:t xml:space="preserve">Section S6—2 </w:t>
      </w:r>
      <w:proofErr w:type="gramStart"/>
      <w:r w:rsidRPr="00FF1817">
        <w:t>Required</w:t>
      </w:r>
      <w:proofErr w:type="gramEnd"/>
      <w:r w:rsidRPr="00FF1817">
        <w:t xml:space="preserve"> elements of a systematic review</w:t>
      </w:r>
      <w:bookmarkEnd w:id="3"/>
    </w:p>
    <w:p w:rsidR="00A82A52" w:rsidRDefault="00A82A52" w:rsidP="00A82A52">
      <w:pPr>
        <w:rPr>
          <w:lang w:bidi="en-US"/>
        </w:rPr>
      </w:pPr>
    </w:p>
    <w:p w:rsidR="00A743D6" w:rsidRPr="00A743D6" w:rsidRDefault="00A82A52" w:rsidP="00A743D6">
      <w:pPr>
        <w:ind w:left="142"/>
        <w:rPr>
          <w:rFonts w:eastAsia="Times New Roman" w:cs="Times New Roman"/>
          <w:szCs w:val="24"/>
          <w:lang w:bidi="en-US"/>
        </w:rPr>
      </w:pPr>
      <w:r>
        <w:t>Section S6—2</w:t>
      </w:r>
      <w:bookmarkStart w:id="4" w:name="_GoBack"/>
      <w:bookmarkEnd w:id="4"/>
      <w:r w:rsidR="00A743D6" w:rsidRPr="00A743D6">
        <w:rPr>
          <w:rFonts w:eastAsia="Times New Roman" w:cs="Times New Roman"/>
          <w:szCs w:val="24"/>
          <w:lang w:bidi="en-US"/>
        </w:rPr>
        <w:t xml:space="preserve"> repeats Schedule 6 of Standard 1.2.7, which sets out the required elements of a systematic review.</w:t>
      </w:r>
    </w:p>
    <w:p w:rsidR="00D5526B" w:rsidRPr="00A743D6" w:rsidRDefault="00D5526B" w:rsidP="00A743D6">
      <w:pPr>
        <w:rPr>
          <w:sz w:val="18"/>
        </w:rPr>
      </w:pPr>
    </w:p>
    <w:sectPr w:rsidR="00D5526B" w:rsidRPr="00A743D6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743D6"/>
    <w:rsid w:val="00A82A5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A82A52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A82A52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1097-C3C0-4C57-A0DF-966BC295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2395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2015-02-13T00:20:00Z</dcterms:modified>
</cp:coreProperties>
</file>