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AE1BAD" w:rsidRPr="00082397" w:rsidRDefault="00082397" w:rsidP="00AE1BAD">
      <w:pPr>
        <w:rPr>
          <w:b/>
          <w:i/>
          <w:lang w:bidi="en-US"/>
        </w:rPr>
      </w:pPr>
      <w:bookmarkStart w:id="1" w:name="_Toc392503965"/>
      <w:r>
        <w:rPr>
          <w:b/>
          <w:i/>
          <w:lang w:bidi="en-US"/>
        </w:rPr>
        <w:t xml:space="preserve">Schedule 11 – </w:t>
      </w:r>
      <w:r w:rsidR="00AE1BAD" w:rsidRPr="00082397">
        <w:rPr>
          <w:b/>
          <w:i/>
          <w:lang w:bidi="en-US"/>
        </w:rPr>
        <w:t>Calculation of values for nutrition information panel</w:t>
      </w:r>
      <w:bookmarkEnd w:id="1"/>
    </w:p>
    <w:p w:rsidR="00082397" w:rsidRDefault="00082397" w:rsidP="00AE1BAD">
      <w:pPr>
        <w:rPr>
          <w:lang w:bidi="en-US"/>
        </w:rPr>
      </w:pPr>
    </w:p>
    <w:p w:rsidR="00082397" w:rsidRDefault="00082397" w:rsidP="00082397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11</w:t>
      </w:r>
      <w:r w:rsidRPr="00BC0405">
        <w:rPr>
          <w:rFonts w:eastAsia="Times New Roman" w:cs="Times New Roman"/>
          <w:szCs w:val="20"/>
          <w:lang w:bidi="en-US"/>
        </w:rPr>
        <w:t>—1</w:t>
      </w:r>
    </w:p>
    <w:p w:rsidR="00082397" w:rsidRPr="00035543" w:rsidRDefault="00082397" w:rsidP="00082397"/>
    <w:p w:rsidR="00082397" w:rsidRPr="00DA315E" w:rsidRDefault="00082397" w:rsidP="00082397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1</w:t>
      </w:r>
      <w:r w:rsidR="00DF612A">
        <w:rPr>
          <w:rFonts w:eastAsia="Times New Roman" w:cs="Times New Roman"/>
          <w:szCs w:val="20"/>
          <w:lang w:bidi="en-US"/>
        </w:rPr>
        <w:t>1</w:t>
      </w:r>
      <w:r w:rsidRPr="00BC040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</w:t>
      </w:r>
      <w:r w:rsidR="00DF612A">
        <w:rPr>
          <w:rFonts w:eastAsia="Times New Roman" w:cs="Times New Roman"/>
          <w:szCs w:val="20"/>
          <w:lang w:bidi="en-US"/>
        </w:rPr>
        <w:t>11</w:t>
      </w:r>
      <w:r>
        <w:rPr>
          <w:rFonts w:eastAsia="Times New Roman" w:cs="Times New Roman"/>
          <w:szCs w:val="20"/>
          <w:lang w:bidi="en-US"/>
        </w:rPr>
        <w:t xml:space="preserve"> </w:t>
      </w:r>
      <w:r w:rsidRPr="00BC0405">
        <w:rPr>
          <w:rFonts w:eastAsia="Times New Roman" w:cs="Times New Roman"/>
          <w:szCs w:val="20"/>
          <w:lang w:bidi="en-US"/>
        </w:rPr>
        <w:t xml:space="preserve">– </w:t>
      </w:r>
      <w:r w:rsidRPr="00082397">
        <w:rPr>
          <w:lang w:bidi="en-US"/>
        </w:rPr>
        <w:t>Calculation of values for nutrition information panel</w:t>
      </w:r>
      <w:r w:rsidRPr="00082397">
        <w:rPr>
          <w:rFonts w:eastAsia="Times New Roman" w:cs="Times New Roman"/>
          <w:szCs w:val="20"/>
          <w:lang w:bidi="en-US"/>
        </w:rPr>
        <w:t>.</w:t>
      </w:r>
    </w:p>
    <w:p w:rsidR="00082397" w:rsidRDefault="00082397" w:rsidP="00AE1BAD">
      <w:pPr>
        <w:rPr>
          <w:lang w:bidi="en-US"/>
        </w:rPr>
      </w:pPr>
    </w:p>
    <w:p w:rsidR="00082397" w:rsidRDefault="00082397" w:rsidP="00082397">
      <w:bookmarkStart w:id="2" w:name="_Toc371505827"/>
      <w:bookmarkStart w:id="3" w:name="_Toc400032455"/>
      <w:r>
        <w:br w:type="page"/>
      </w:r>
    </w:p>
    <w:p w:rsidR="00082397" w:rsidRPr="00FF1817" w:rsidRDefault="00082397" w:rsidP="00082397">
      <w:r>
        <w:lastRenderedPageBreak/>
        <w:t>Section</w:t>
      </w:r>
      <w:r w:rsidR="00EE3C21">
        <w:t>s</w:t>
      </w:r>
      <w:r>
        <w:t xml:space="preserve"> S11—2 </w:t>
      </w:r>
      <w:bookmarkEnd w:id="2"/>
      <w:bookmarkEnd w:id="3"/>
      <w:r w:rsidR="00EE3C21">
        <w:t>to</w:t>
      </w:r>
      <w:bookmarkStart w:id="4" w:name="_Ref333816778"/>
      <w:bookmarkStart w:id="5" w:name="_Toc371505828"/>
      <w:bookmarkStart w:id="6" w:name="_Toc400032456"/>
      <w:r>
        <w:t xml:space="preserve"> S11—</w:t>
      </w:r>
      <w:bookmarkStart w:id="7" w:name="_Ref331150158"/>
      <w:bookmarkStart w:id="8" w:name="_Ref346637522"/>
      <w:bookmarkStart w:id="9" w:name="_Toc371505829"/>
      <w:bookmarkStart w:id="10" w:name="_Toc400032457"/>
      <w:bookmarkEnd w:id="4"/>
      <w:bookmarkEnd w:id="5"/>
      <w:bookmarkEnd w:id="6"/>
      <w:r>
        <w:t xml:space="preserve">4 </w:t>
      </w:r>
      <w:bookmarkEnd w:id="7"/>
      <w:bookmarkEnd w:id="8"/>
      <w:bookmarkEnd w:id="9"/>
      <w:bookmarkEnd w:id="10"/>
    </w:p>
    <w:p w:rsidR="00082397" w:rsidRPr="00FF1817" w:rsidRDefault="00082397" w:rsidP="00082397"/>
    <w:p w:rsidR="00AE1BAD" w:rsidRPr="00AE1BAD" w:rsidRDefault="00082397" w:rsidP="00AE1BAD">
      <w:pPr>
        <w:rPr>
          <w:lang w:bidi="en-US"/>
        </w:rPr>
      </w:pPr>
      <w:r>
        <w:rPr>
          <w:lang w:bidi="en-US"/>
        </w:rPr>
        <w:t>These sections set</w:t>
      </w:r>
      <w:r w:rsidR="00AE1BAD" w:rsidRPr="00AE1BAD">
        <w:rPr>
          <w:lang w:bidi="en-US"/>
        </w:rPr>
        <w:t xml:space="preserve"> out, for sections 1.1.1—6, subsection 1.2.8—7(7) and section S5—6, the methods of calculating average energy content, available carbohydrate, carbohydrate by difference, and dietary fibre and other fibre content.</w:t>
      </w:r>
      <w:bookmarkStart w:id="11" w:name="_GoBack"/>
      <w:bookmarkEnd w:id="11"/>
    </w:p>
    <w:p w:rsidR="00D5526B" w:rsidRPr="00320BBF" w:rsidRDefault="00D5526B" w:rsidP="00AE1BAD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82397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E1BAD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DF612A"/>
    <w:rsid w:val="00E0050C"/>
    <w:rsid w:val="00E2450C"/>
    <w:rsid w:val="00E340B5"/>
    <w:rsid w:val="00E4001E"/>
    <w:rsid w:val="00E53ACA"/>
    <w:rsid w:val="00E9409E"/>
    <w:rsid w:val="00EE3C21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082397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082397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51A8-992A-4AFE-8B24-7DAD85DB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2015-02-20T06:52:00Z</dcterms:modified>
</cp:coreProperties>
</file>