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EB83F" w14:textId="77777777" w:rsidR="00914D5C" w:rsidRPr="005A5476" w:rsidRDefault="00914D5C" w:rsidP="00914D5C">
      <w:pPr>
        <w:spacing w:line="360" w:lineRule="auto"/>
        <w:jc w:val="center"/>
        <w:outlineLvl w:val="0"/>
        <w:rPr>
          <w:rFonts w:ascii="Arial" w:hAnsi="Arial" w:cs="Arial"/>
          <w:b/>
          <w:sz w:val="22"/>
          <w:szCs w:val="22"/>
          <w:lang w:val="en-AU"/>
        </w:rPr>
      </w:pPr>
      <w:bookmarkStart w:id="0" w:name="_GoBack"/>
      <w:bookmarkEnd w:id="0"/>
      <w:r w:rsidRPr="005A5476">
        <w:rPr>
          <w:rFonts w:ascii="Arial" w:hAnsi="Arial" w:cs="Arial"/>
          <w:b/>
          <w:sz w:val="22"/>
          <w:szCs w:val="22"/>
          <w:lang w:val="en-AU"/>
        </w:rPr>
        <w:t>EXPLANATORY STATEMENT</w:t>
      </w:r>
    </w:p>
    <w:p w14:paraId="561EB840" w14:textId="77777777" w:rsidR="00914D5C" w:rsidRPr="005A5476" w:rsidRDefault="00914D5C" w:rsidP="00914D5C">
      <w:pPr>
        <w:spacing w:line="360" w:lineRule="auto"/>
        <w:jc w:val="center"/>
        <w:rPr>
          <w:rFonts w:ascii="Arial" w:hAnsi="Arial" w:cs="Arial"/>
          <w:i/>
          <w:sz w:val="22"/>
          <w:szCs w:val="22"/>
          <w:lang w:val="en-AU"/>
        </w:rPr>
      </w:pPr>
    </w:p>
    <w:p w14:paraId="561EB841" w14:textId="77777777" w:rsidR="00914D5C" w:rsidRPr="005A5476" w:rsidRDefault="00914D5C" w:rsidP="00914D5C">
      <w:pPr>
        <w:spacing w:line="360" w:lineRule="auto"/>
        <w:jc w:val="center"/>
        <w:outlineLvl w:val="0"/>
        <w:rPr>
          <w:rFonts w:ascii="Arial" w:hAnsi="Arial" w:cs="Arial"/>
          <w:sz w:val="22"/>
          <w:szCs w:val="22"/>
          <w:lang w:val="en-AU"/>
        </w:rPr>
      </w:pPr>
      <w:r w:rsidRPr="005A5476">
        <w:rPr>
          <w:rFonts w:ascii="Arial" w:hAnsi="Arial" w:cs="Arial"/>
          <w:sz w:val="22"/>
          <w:szCs w:val="22"/>
          <w:lang w:val="en-AU"/>
        </w:rPr>
        <w:t>Issued by the Australian Communications and Media Authority</w:t>
      </w:r>
    </w:p>
    <w:p w14:paraId="561EB842" w14:textId="77777777" w:rsidR="00914D5C" w:rsidRPr="005A5476" w:rsidRDefault="00914D5C" w:rsidP="00914D5C">
      <w:pPr>
        <w:spacing w:line="360" w:lineRule="auto"/>
        <w:jc w:val="center"/>
        <w:rPr>
          <w:rFonts w:ascii="Arial" w:hAnsi="Arial" w:cs="Arial"/>
          <w:i/>
          <w:sz w:val="22"/>
          <w:szCs w:val="22"/>
          <w:lang w:val="en-AU"/>
        </w:rPr>
      </w:pPr>
    </w:p>
    <w:p w14:paraId="561EB843" w14:textId="320A683E" w:rsidR="00914D5C" w:rsidRPr="005A5476" w:rsidRDefault="00914D5C" w:rsidP="00914D5C">
      <w:pPr>
        <w:spacing w:line="360" w:lineRule="auto"/>
        <w:jc w:val="center"/>
        <w:outlineLvl w:val="0"/>
        <w:rPr>
          <w:rFonts w:ascii="Arial" w:hAnsi="Arial" w:cs="Arial"/>
          <w:sz w:val="22"/>
          <w:szCs w:val="22"/>
          <w:lang w:val="en-AU"/>
        </w:rPr>
      </w:pPr>
      <w:r w:rsidRPr="00B658AE">
        <w:rPr>
          <w:rFonts w:ascii="Arial" w:hAnsi="Arial" w:cs="Arial"/>
          <w:i/>
          <w:sz w:val="22"/>
          <w:szCs w:val="22"/>
          <w:lang w:val="en-AU"/>
        </w:rPr>
        <w:t>Radiocommunications</w:t>
      </w:r>
      <w:r w:rsidR="003B38C5">
        <w:rPr>
          <w:rFonts w:ascii="Arial" w:hAnsi="Arial" w:cs="Arial"/>
          <w:i/>
          <w:sz w:val="22"/>
          <w:szCs w:val="22"/>
          <w:lang w:val="en-AU"/>
        </w:rPr>
        <w:t xml:space="preserve"> Licence Conditions</w:t>
      </w:r>
      <w:r w:rsidRPr="00B658AE">
        <w:rPr>
          <w:rFonts w:ascii="Arial" w:hAnsi="Arial" w:cs="Arial"/>
          <w:i/>
          <w:sz w:val="22"/>
          <w:szCs w:val="22"/>
          <w:lang w:val="en-AU"/>
        </w:rPr>
        <w:t xml:space="preserve"> </w:t>
      </w:r>
      <w:r>
        <w:rPr>
          <w:rFonts w:ascii="Arial" w:hAnsi="Arial" w:cs="Arial"/>
          <w:i/>
          <w:sz w:val="22"/>
          <w:szCs w:val="22"/>
          <w:lang w:val="en-AU"/>
        </w:rPr>
        <w:t>(</w:t>
      </w:r>
      <w:r w:rsidR="003B38C5">
        <w:rPr>
          <w:rFonts w:ascii="Arial" w:hAnsi="Arial" w:cs="Arial"/>
          <w:i/>
          <w:sz w:val="22"/>
          <w:szCs w:val="22"/>
          <w:lang w:val="en-AU"/>
        </w:rPr>
        <w:t>Aeronautical Licence</w:t>
      </w:r>
      <w:r w:rsidR="00FD4AD4">
        <w:rPr>
          <w:rFonts w:ascii="Arial" w:hAnsi="Arial" w:cs="Arial"/>
          <w:i/>
          <w:sz w:val="22"/>
          <w:szCs w:val="22"/>
          <w:lang w:val="en-AU"/>
        </w:rPr>
        <w:t xml:space="preserve">) </w:t>
      </w:r>
      <w:r w:rsidR="003B38C5">
        <w:rPr>
          <w:rFonts w:ascii="Arial" w:hAnsi="Arial" w:cs="Arial"/>
          <w:i/>
          <w:sz w:val="22"/>
          <w:szCs w:val="22"/>
          <w:lang w:val="en-AU"/>
        </w:rPr>
        <w:t xml:space="preserve">Determination </w:t>
      </w:r>
      <w:r w:rsidR="00B6149E">
        <w:rPr>
          <w:rFonts w:ascii="Arial" w:hAnsi="Arial" w:cs="Arial"/>
          <w:i/>
          <w:sz w:val="22"/>
          <w:szCs w:val="22"/>
          <w:lang w:val="en-AU"/>
        </w:rPr>
        <w:t>2015</w:t>
      </w:r>
    </w:p>
    <w:p w14:paraId="561EB844" w14:textId="77777777" w:rsidR="00914D5C" w:rsidRPr="005A5476" w:rsidRDefault="00914D5C" w:rsidP="000055DB">
      <w:pPr>
        <w:spacing w:before="120" w:line="360" w:lineRule="auto"/>
        <w:outlineLvl w:val="0"/>
        <w:rPr>
          <w:rFonts w:ascii="Arial" w:hAnsi="Arial" w:cs="Arial"/>
          <w:b/>
          <w:sz w:val="22"/>
          <w:szCs w:val="22"/>
          <w:lang w:val="en-AU"/>
        </w:rPr>
      </w:pPr>
      <w:r w:rsidRPr="005A5476">
        <w:rPr>
          <w:rFonts w:ascii="Arial" w:hAnsi="Arial" w:cs="Arial"/>
          <w:b/>
          <w:sz w:val="22"/>
          <w:szCs w:val="22"/>
          <w:lang w:val="en-AU"/>
        </w:rPr>
        <w:t>Purpose</w:t>
      </w:r>
    </w:p>
    <w:p w14:paraId="561EB845" w14:textId="0E141C9C" w:rsidR="00FD4AD4" w:rsidRPr="00FD4AD4" w:rsidRDefault="00B6149E" w:rsidP="00422C61">
      <w:pPr>
        <w:spacing w:after="240"/>
        <w:rPr>
          <w:rFonts w:ascii="Arial" w:hAnsi="Arial" w:cs="Arial"/>
          <w:sz w:val="20"/>
        </w:rPr>
      </w:pPr>
      <w:r>
        <w:rPr>
          <w:rFonts w:ascii="Arial" w:hAnsi="Arial" w:cs="Arial"/>
          <w:sz w:val="20"/>
        </w:rPr>
        <w:t xml:space="preserve">The </w:t>
      </w:r>
      <w:r w:rsidR="00914D5C">
        <w:rPr>
          <w:rFonts w:ascii="Arial" w:hAnsi="Arial" w:cs="Arial"/>
          <w:sz w:val="20"/>
        </w:rPr>
        <w:t>Australian Communications and Media Authority (the ACMA)</w:t>
      </w:r>
      <w:r w:rsidR="000A25C1">
        <w:rPr>
          <w:rFonts w:ascii="Arial" w:hAnsi="Arial" w:cs="Arial"/>
          <w:sz w:val="20"/>
        </w:rPr>
        <w:t xml:space="preserve"> has</w:t>
      </w:r>
      <w:r w:rsidR="00914D5C">
        <w:rPr>
          <w:rFonts w:ascii="Arial" w:hAnsi="Arial" w:cs="Arial"/>
          <w:sz w:val="20"/>
        </w:rPr>
        <w:t xml:space="preserve"> made the </w:t>
      </w:r>
      <w:r w:rsidR="003B38C5" w:rsidRPr="003B38C5">
        <w:rPr>
          <w:rFonts w:ascii="Arial" w:hAnsi="Arial" w:cs="Arial"/>
          <w:i/>
          <w:sz w:val="20"/>
        </w:rPr>
        <w:t xml:space="preserve">Radiocommunications Licence Conditions (Aeronautical Licence) Determination </w:t>
      </w:r>
      <w:r w:rsidRPr="003B38C5">
        <w:rPr>
          <w:rFonts w:ascii="Arial" w:hAnsi="Arial" w:cs="Arial"/>
          <w:i/>
          <w:sz w:val="20"/>
        </w:rPr>
        <w:t>201</w:t>
      </w:r>
      <w:r>
        <w:rPr>
          <w:rFonts w:ascii="Arial" w:hAnsi="Arial" w:cs="Arial"/>
          <w:i/>
          <w:sz w:val="20"/>
        </w:rPr>
        <w:t xml:space="preserve">5 </w:t>
      </w:r>
      <w:r w:rsidR="00FD4AD4" w:rsidRPr="00FD4AD4">
        <w:rPr>
          <w:rFonts w:ascii="Arial" w:hAnsi="Arial" w:cs="Arial"/>
          <w:sz w:val="20"/>
        </w:rPr>
        <w:t xml:space="preserve">(the </w:t>
      </w:r>
      <w:r w:rsidR="008851A9">
        <w:rPr>
          <w:rFonts w:ascii="Arial" w:hAnsi="Arial" w:cs="Arial"/>
          <w:sz w:val="20"/>
        </w:rPr>
        <w:t>Determination</w:t>
      </w:r>
      <w:r w:rsidR="00FD4AD4" w:rsidRPr="00FD4AD4">
        <w:rPr>
          <w:rFonts w:ascii="Arial" w:hAnsi="Arial" w:cs="Arial"/>
          <w:sz w:val="20"/>
        </w:rPr>
        <w:t>).</w:t>
      </w:r>
    </w:p>
    <w:p w14:paraId="561EB846" w14:textId="3E637518" w:rsidR="00914D5C" w:rsidRDefault="00914D5C" w:rsidP="00422C61">
      <w:pPr>
        <w:spacing w:after="240"/>
        <w:rPr>
          <w:rFonts w:ascii="Arial" w:hAnsi="Arial" w:cs="Arial"/>
          <w:sz w:val="20"/>
        </w:rPr>
      </w:pPr>
      <w:r>
        <w:rPr>
          <w:rFonts w:ascii="Arial" w:hAnsi="Arial" w:cs="Arial"/>
          <w:sz w:val="20"/>
        </w:rPr>
        <w:t xml:space="preserve">The </w:t>
      </w:r>
      <w:r w:rsidR="008851A9">
        <w:rPr>
          <w:rFonts w:ascii="Arial" w:hAnsi="Arial" w:cs="Arial"/>
          <w:sz w:val="20"/>
        </w:rPr>
        <w:t>Determination</w:t>
      </w:r>
      <w:r w:rsidR="003A7AB2">
        <w:rPr>
          <w:rFonts w:ascii="Arial" w:hAnsi="Arial" w:cs="Arial"/>
          <w:sz w:val="20"/>
        </w:rPr>
        <w:t xml:space="preserve"> </w:t>
      </w:r>
      <w:r>
        <w:rPr>
          <w:rFonts w:ascii="Arial" w:hAnsi="Arial" w:cs="Arial"/>
          <w:sz w:val="20"/>
        </w:rPr>
        <w:t xml:space="preserve">revokes and replaces the </w:t>
      </w:r>
      <w:r w:rsidR="003B38C5" w:rsidRPr="003B38C5">
        <w:rPr>
          <w:rFonts w:ascii="Arial" w:hAnsi="Arial" w:cs="Arial"/>
          <w:i/>
          <w:sz w:val="20"/>
        </w:rPr>
        <w:t>Radiocommunications Licence Conditions (Aeronautical Licence) Determination No. 1 of 1997</w:t>
      </w:r>
      <w:r w:rsidR="003B38C5">
        <w:rPr>
          <w:rFonts w:ascii="Arial" w:hAnsi="Arial" w:cs="Arial"/>
          <w:i/>
          <w:sz w:val="22"/>
          <w:szCs w:val="22"/>
        </w:rPr>
        <w:t xml:space="preserve"> </w:t>
      </w:r>
      <w:r w:rsidR="00FD4AD4">
        <w:rPr>
          <w:rFonts w:ascii="Arial" w:hAnsi="Arial" w:cs="Arial"/>
          <w:sz w:val="20"/>
        </w:rPr>
        <w:t xml:space="preserve">(the </w:t>
      </w:r>
      <w:r w:rsidR="003B38C5">
        <w:rPr>
          <w:rFonts w:ascii="Arial" w:hAnsi="Arial" w:cs="Arial"/>
          <w:sz w:val="20"/>
        </w:rPr>
        <w:t xml:space="preserve">1997 </w:t>
      </w:r>
      <w:r w:rsidR="001625F8">
        <w:rPr>
          <w:rFonts w:ascii="Arial" w:hAnsi="Arial" w:cs="Arial"/>
          <w:sz w:val="20"/>
        </w:rPr>
        <w:t>Determination</w:t>
      </w:r>
      <w:r>
        <w:rPr>
          <w:rFonts w:ascii="Arial" w:hAnsi="Arial" w:cs="Arial"/>
          <w:sz w:val="20"/>
        </w:rPr>
        <w:t>) without making any significant changes to the regulato</w:t>
      </w:r>
      <w:r w:rsidR="00FD4AD4">
        <w:rPr>
          <w:rFonts w:ascii="Arial" w:hAnsi="Arial" w:cs="Arial"/>
          <w:sz w:val="20"/>
        </w:rPr>
        <w:t xml:space="preserve">ry arrangements created by the </w:t>
      </w:r>
      <w:r w:rsidR="003B38C5">
        <w:rPr>
          <w:rFonts w:ascii="Arial" w:hAnsi="Arial" w:cs="Arial"/>
          <w:sz w:val="20"/>
        </w:rPr>
        <w:t xml:space="preserve">1997 </w:t>
      </w:r>
      <w:r w:rsidR="001625F8">
        <w:rPr>
          <w:rFonts w:ascii="Arial" w:hAnsi="Arial" w:cs="Arial"/>
          <w:sz w:val="20"/>
        </w:rPr>
        <w:t>Determination</w:t>
      </w:r>
      <w:r>
        <w:rPr>
          <w:rFonts w:ascii="Arial" w:hAnsi="Arial" w:cs="Arial"/>
          <w:sz w:val="20"/>
        </w:rPr>
        <w:t>.</w:t>
      </w:r>
    </w:p>
    <w:p w14:paraId="561EB847" w14:textId="74844BD1" w:rsidR="00914D5C" w:rsidRDefault="00914D5C" w:rsidP="00422C61">
      <w:pPr>
        <w:spacing w:after="240"/>
        <w:rPr>
          <w:rFonts w:ascii="Arial" w:hAnsi="Arial" w:cs="Arial"/>
          <w:sz w:val="20"/>
        </w:rPr>
      </w:pPr>
      <w:r>
        <w:rPr>
          <w:rFonts w:ascii="Arial" w:hAnsi="Arial" w:cs="Arial"/>
          <w:sz w:val="20"/>
        </w:rPr>
        <w:t xml:space="preserve">The ACMA has made the </w:t>
      </w:r>
      <w:r w:rsidR="008851A9">
        <w:rPr>
          <w:rFonts w:ascii="Arial" w:hAnsi="Arial" w:cs="Arial"/>
          <w:sz w:val="20"/>
        </w:rPr>
        <w:t>Determination</w:t>
      </w:r>
      <w:r w:rsidR="003A7AB2">
        <w:rPr>
          <w:rFonts w:ascii="Arial" w:hAnsi="Arial" w:cs="Arial"/>
          <w:sz w:val="20"/>
        </w:rPr>
        <w:t xml:space="preserve"> </w:t>
      </w:r>
      <w:r>
        <w:rPr>
          <w:rFonts w:ascii="Arial" w:hAnsi="Arial" w:cs="Arial"/>
          <w:sz w:val="20"/>
        </w:rPr>
        <w:t xml:space="preserve">because the </w:t>
      </w:r>
      <w:r w:rsidR="003B38C5">
        <w:rPr>
          <w:rFonts w:ascii="Arial" w:hAnsi="Arial" w:cs="Arial"/>
          <w:sz w:val="20"/>
        </w:rPr>
        <w:t>1997</w:t>
      </w:r>
      <w:r>
        <w:rPr>
          <w:rFonts w:ascii="Arial" w:hAnsi="Arial" w:cs="Arial"/>
          <w:sz w:val="20"/>
        </w:rPr>
        <w:t xml:space="preserve"> </w:t>
      </w:r>
      <w:r w:rsidR="001625F8">
        <w:rPr>
          <w:rFonts w:ascii="Arial" w:hAnsi="Arial" w:cs="Arial"/>
          <w:sz w:val="20"/>
        </w:rPr>
        <w:t xml:space="preserve">Determination </w:t>
      </w:r>
      <w:r>
        <w:rPr>
          <w:rFonts w:ascii="Arial" w:hAnsi="Arial" w:cs="Arial"/>
          <w:sz w:val="20"/>
        </w:rPr>
        <w:t xml:space="preserve">was due to ‘sunset’ (i.e. be automatically repealed) on 1 </w:t>
      </w:r>
      <w:r w:rsidR="003A7AB2">
        <w:rPr>
          <w:rFonts w:ascii="Arial" w:hAnsi="Arial" w:cs="Arial"/>
          <w:sz w:val="20"/>
        </w:rPr>
        <w:t xml:space="preserve">October </w:t>
      </w:r>
      <w:r>
        <w:rPr>
          <w:rFonts w:ascii="Arial" w:hAnsi="Arial" w:cs="Arial"/>
          <w:sz w:val="20"/>
        </w:rPr>
        <w:t xml:space="preserve">2015, by operation of Part 6 of the </w:t>
      </w:r>
      <w:r w:rsidRPr="00BD05EE">
        <w:rPr>
          <w:rFonts w:ascii="Arial" w:hAnsi="Arial" w:cs="Arial"/>
          <w:i/>
          <w:sz w:val="20"/>
        </w:rPr>
        <w:t>Legislative Instruments Act 2003</w:t>
      </w:r>
      <w:r>
        <w:rPr>
          <w:rFonts w:ascii="Arial" w:hAnsi="Arial" w:cs="Arial"/>
          <w:i/>
          <w:sz w:val="20"/>
        </w:rPr>
        <w:t xml:space="preserve"> </w:t>
      </w:r>
      <w:r w:rsidRPr="0005604B">
        <w:rPr>
          <w:rFonts w:ascii="Arial" w:hAnsi="Arial" w:cs="Arial"/>
          <w:sz w:val="20"/>
        </w:rPr>
        <w:t>(</w:t>
      </w:r>
      <w:r>
        <w:rPr>
          <w:rFonts w:ascii="Arial" w:hAnsi="Arial" w:cs="Arial"/>
          <w:sz w:val="20"/>
        </w:rPr>
        <w:t xml:space="preserve">the </w:t>
      </w:r>
      <w:r w:rsidRPr="0005604B">
        <w:rPr>
          <w:rFonts w:ascii="Arial" w:hAnsi="Arial" w:cs="Arial"/>
          <w:sz w:val="20"/>
        </w:rPr>
        <w:t>LIA</w:t>
      </w:r>
      <w:r>
        <w:rPr>
          <w:rFonts w:ascii="Arial" w:hAnsi="Arial" w:cs="Arial"/>
          <w:sz w:val="20"/>
        </w:rPr>
        <w:t>).</w:t>
      </w:r>
    </w:p>
    <w:p w14:paraId="561EB848" w14:textId="5883142B" w:rsidR="00914D5C" w:rsidRDefault="00914D5C" w:rsidP="00422C61">
      <w:pPr>
        <w:spacing w:after="240"/>
        <w:rPr>
          <w:rFonts w:ascii="Arial" w:hAnsi="Arial" w:cs="Arial"/>
          <w:sz w:val="20"/>
        </w:rPr>
      </w:pPr>
      <w:r w:rsidRPr="00C117CF">
        <w:rPr>
          <w:rFonts w:ascii="Arial" w:hAnsi="Arial" w:cs="Arial"/>
          <w:sz w:val="20"/>
        </w:rPr>
        <w:t>Following</w:t>
      </w:r>
      <w:r>
        <w:rPr>
          <w:rFonts w:ascii="Arial" w:hAnsi="Arial" w:cs="Arial"/>
          <w:sz w:val="20"/>
        </w:rPr>
        <w:t xml:space="preserve"> </w:t>
      </w:r>
      <w:r w:rsidRPr="00C117CF">
        <w:rPr>
          <w:rFonts w:ascii="Arial" w:hAnsi="Arial" w:cs="Arial"/>
          <w:sz w:val="20"/>
        </w:rPr>
        <w:t xml:space="preserve">review, and consultation as described below, the ACMA formed the view that the </w:t>
      </w:r>
      <w:r w:rsidR="003B38C5">
        <w:rPr>
          <w:rFonts w:ascii="Arial" w:hAnsi="Arial" w:cs="Arial"/>
          <w:sz w:val="20"/>
        </w:rPr>
        <w:t>1997</w:t>
      </w:r>
      <w:r w:rsidR="003A7AB2">
        <w:rPr>
          <w:rFonts w:ascii="Arial" w:hAnsi="Arial" w:cs="Arial"/>
          <w:sz w:val="20"/>
        </w:rPr>
        <w:t xml:space="preserve"> </w:t>
      </w:r>
      <w:r w:rsidR="001625F8">
        <w:rPr>
          <w:rFonts w:ascii="Arial" w:hAnsi="Arial" w:cs="Arial"/>
          <w:sz w:val="20"/>
        </w:rPr>
        <w:t xml:space="preserve">Determination </w:t>
      </w:r>
      <w:r w:rsidRPr="00C117CF">
        <w:rPr>
          <w:rFonts w:ascii="Arial" w:hAnsi="Arial" w:cs="Arial"/>
          <w:sz w:val="20"/>
        </w:rPr>
        <w:t>was operating effectively and efficiently</w:t>
      </w:r>
      <w:r>
        <w:rPr>
          <w:rFonts w:ascii="Arial" w:hAnsi="Arial" w:cs="Arial"/>
          <w:sz w:val="20"/>
        </w:rPr>
        <w:t>,</w:t>
      </w:r>
      <w:r w:rsidRPr="00C117CF">
        <w:rPr>
          <w:rFonts w:ascii="Arial" w:hAnsi="Arial" w:cs="Arial"/>
          <w:sz w:val="20"/>
        </w:rPr>
        <w:t xml:space="preserve"> and continued to form a necessary and useful part of the legislative framework</w:t>
      </w:r>
      <w:r>
        <w:rPr>
          <w:rFonts w:ascii="Arial" w:hAnsi="Arial" w:cs="Arial"/>
          <w:sz w:val="20"/>
        </w:rPr>
        <w:t xml:space="preserve">. To preserve the effect of the </w:t>
      </w:r>
      <w:r w:rsidR="003B38C5">
        <w:rPr>
          <w:rFonts w:ascii="Arial" w:hAnsi="Arial" w:cs="Arial"/>
          <w:sz w:val="20"/>
        </w:rPr>
        <w:t>1997</w:t>
      </w:r>
      <w:r w:rsidR="003A7AB2">
        <w:rPr>
          <w:rFonts w:ascii="Arial" w:hAnsi="Arial" w:cs="Arial"/>
          <w:sz w:val="20"/>
        </w:rPr>
        <w:t xml:space="preserve"> </w:t>
      </w:r>
      <w:r w:rsidR="001625F8">
        <w:rPr>
          <w:rFonts w:ascii="Arial" w:hAnsi="Arial" w:cs="Arial"/>
          <w:sz w:val="20"/>
        </w:rPr>
        <w:t>Determination</w:t>
      </w:r>
      <w:r>
        <w:rPr>
          <w:rFonts w:ascii="Arial" w:hAnsi="Arial" w:cs="Arial"/>
          <w:sz w:val="20"/>
        </w:rPr>
        <w:t xml:space="preserve">, the ACMA has therefore revoked the </w:t>
      </w:r>
      <w:r w:rsidR="003B38C5">
        <w:rPr>
          <w:rFonts w:ascii="Arial" w:hAnsi="Arial" w:cs="Arial"/>
          <w:sz w:val="20"/>
        </w:rPr>
        <w:t>1997</w:t>
      </w:r>
      <w:r w:rsidR="003A7AB2">
        <w:rPr>
          <w:rFonts w:ascii="Arial" w:hAnsi="Arial" w:cs="Arial"/>
          <w:sz w:val="20"/>
        </w:rPr>
        <w:t xml:space="preserve"> </w:t>
      </w:r>
      <w:r w:rsidR="001625F8">
        <w:rPr>
          <w:rFonts w:ascii="Arial" w:hAnsi="Arial" w:cs="Arial"/>
          <w:sz w:val="20"/>
        </w:rPr>
        <w:t xml:space="preserve">Determination </w:t>
      </w:r>
      <w:r>
        <w:rPr>
          <w:rFonts w:ascii="Arial" w:hAnsi="Arial" w:cs="Arial"/>
          <w:sz w:val="20"/>
        </w:rPr>
        <w:t xml:space="preserve">before its sunset date and remade it with minor changes as the </w:t>
      </w:r>
      <w:r w:rsidR="008851A9">
        <w:rPr>
          <w:rFonts w:ascii="Arial" w:hAnsi="Arial" w:cs="Arial"/>
          <w:sz w:val="20"/>
        </w:rPr>
        <w:t>Determination</w:t>
      </w:r>
      <w:r>
        <w:rPr>
          <w:rFonts w:ascii="Arial" w:hAnsi="Arial" w:cs="Arial"/>
          <w:sz w:val="20"/>
        </w:rPr>
        <w:t>.</w:t>
      </w:r>
    </w:p>
    <w:p w14:paraId="561EB849" w14:textId="77777777" w:rsidR="00914D5C" w:rsidRDefault="00914D5C" w:rsidP="00914D5C">
      <w:pPr>
        <w:spacing w:line="360" w:lineRule="auto"/>
        <w:outlineLvl w:val="0"/>
        <w:rPr>
          <w:rFonts w:ascii="Arial" w:hAnsi="Arial" w:cs="Arial"/>
          <w:b/>
          <w:sz w:val="22"/>
          <w:szCs w:val="22"/>
          <w:lang w:val="en-AU"/>
        </w:rPr>
      </w:pPr>
      <w:r w:rsidRPr="005A5476">
        <w:rPr>
          <w:rFonts w:ascii="Arial" w:hAnsi="Arial" w:cs="Arial"/>
          <w:b/>
          <w:sz w:val="22"/>
          <w:szCs w:val="22"/>
          <w:lang w:val="en-AU"/>
        </w:rPr>
        <w:t>Legislative Provisions</w:t>
      </w:r>
    </w:p>
    <w:p w14:paraId="1CBDEFEB" w14:textId="77777777" w:rsidR="00143C9C" w:rsidRDefault="00143C9C" w:rsidP="00143C9C">
      <w:pPr>
        <w:outlineLvl w:val="0"/>
        <w:rPr>
          <w:rFonts w:ascii="Arial" w:hAnsi="Arial" w:cs="Arial"/>
          <w:sz w:val="20"/>
        </w:rPr>
      </w:pPr>
      <w:bookmarkStart w:id="1" w:name="_Toc488571218"/>
      <w:r w:rsidRPr="00AC59E2">
        <w:rPr>
          <w:rFonts w:ascii="Arial" w:hAnsi="Arial" w:cs="Arial"/>
          <w:sz w:val="20"/>
        </w:rPr>
        <w:t xml:space="preserve">Paragraph 107(1)(f) of the </w:t>
      </w:r>
      <w:r w:rsidRPr="00AC59E2">
        <w:rPr>
          <w:rFonts w:ascii="Arial" w:hAnsi="Arial" w:cs="Arial"/>
          <w:i/>
          <w:sz w:val="20"/>
        </w:rPr>
        <w:t>Radiocommunications Act 1992</w:t>
      </w:r>
      <w:r w:rsidRPr="00AC59E2">
        <w:rPr>
          <w:rFonts w:ascii="Arial" w:hAnsi="Arial" w:cs="Arial"/>
          <w:sz w:val="20"/>
        </w:rPr>
        <w:t xml:space="preserve"> (the Act)</w:t>
      </w:r>
      <w:r>
        <w:rPr>
          <w:rFonts w:ascii="Arial" w:hAnsi="Arial" w:cs="Arial"/>
          <w:sz w:val="20"/>
        </w:rPr>
        <w:t xml:space="preserve"> provides that the ACMA may, by legislative instrument, determine conditions applicable to particular types of apparatus licences.</w:t>
      </w:r>
    </w:p>
    <w:p w14:paraId="107D1A21" w14:textId="77777777" w:rsidR="00FD5106" w:rsidRDefault="00FD5106" w:rsidP="00143C9C">
      <w:pPr>
        <w:outlineLvl w:val="0"/>
        <w:rPr>
          <w:rFonts w:ascii="Arial" w:hAnsi="Arial" w:cs="Arial"/>
          <w:sz w:val="20"/>
        </w:rPr>
      </w:pPr>
    </w:p>
    <w:p w14:paraId="2A601538" w14:textId="448642D7" w:rsidR="00FD5106" w:rsidRPr="00FD5106" w:rsidRDefault="00FD5106" w:rsidP="00143C9C">
      <w:pPr>
        <w:outlineLvl w:val="0"/>
        <w:rPr>
          <w:rFonts w:ascii="Arial" w:hAnsi="Arial" w:cs="Arial"/>
          <w:sz w:val="20"/>
        </w:rPr>
      </w:pPr>
      <w:r>
        <w:rPr>
          <w:rFonts w:ascii="Arial" w:hAnsi="Arial" w:cs="Arial"/>
          <w:sz w:val="20"/>
        </w:rPr>
        <w:t xml:space="preserve">Under subsection 33(3) of the </w:t>
      </w:r>
      <w:r>
        <w:rPr>
          <w:rFonts w:ascii="Arial" w:hAnsi="Arial" w:cs="Arial"/>
          <w:i/>
          <w:sz w:val="20"/>
        </w:rPr>
        <w:t>Acts Interpretation Act 1901</w:t>
      </w:r>
      <w:r>
        <w:rPr>
          <w:rFonts w:ascii="Arial" w:hAnsi="Arial" w:cs="Arial"/>
          <w:sz w:val="20"/>
        </w:rPr>
        <w:t>, the power to make an instrument includes the power to revoke or repeal the instrument.</w:t>
      </w:r>
    </w:p>
    <w:p w14:paraId="3DA9C39E" w14:textId="77777777" w:rsidR="00143C9C" w:rsidRDefault="00143C9C" w:rsidP="00143C9C">
      <w:pPr>
        <w:rPr>
          <w:rFonts w:ascii="Arial" w:hAnsi="Arial" w:cs="Arial"/>
          <w:sz w:val="20"/>
          <w:lang w:val="en-US" w:eastAsia="en-US"/>
        </w:rPr>
      </w:pPr>
    </w:p>
    <w:p w14:paraId="34C2558C" w14:textId="77777777" w:rsidR="00143C9C" w:rsidRPr="00433E6B" w:rsidRDefault="00143C9C" w:rsidP="00143C9C">
      <w:pPr>
        <w:rPr>
          <w:rFonts w:ascii="Arial" w:hAnsi="Arial" w:cs="Arial"/>
          <w:sz w:val="20"/>
          <w:lang w:val="en-US" w:eastAsia="en-US"/>
        </w:rPr>
      </w:pPr>
      <w:r w:rsidRPr="00433E6B">
        <w:rPr>
          <w:rFonts w:ascii="Arial" w:hAnsi="Arial" w:cs="Arial"/>
          <w:sz w:val="20"/>
          <w:lang w:val="en-US" w:eastAsia="en-US"/>
        </w:rPr>
        <w:t xml:space="preserve">A </w:t>
      </w:r>
      <w:r>
        <w:rPr>
          <w:rFonts w:ascii="Arial" w:hAnsi="Arial" w:cs="Arial"/>
          <w:sz w:val="20"/>
          <w:lang w:val="en-US" w:eastAsia="en-US"/>
        </w:rPr>
        <w:t>determination</w:t>
      </w:r>
      <w:r w:rsidRPr="00433E6B">
        <w:rPr>
          <w:rFonts w:ascii="Arial" w:hAnsi="Arial" w:cs="Arial"/>
          <w:sz w:val="20"/>
          <w:lang w:val="en-US" w:eastAsia="en-US"/>
        </w:rPr>
        <w:t xml:space="preserve"> made under </w:t>
      </w:r>
      <w:r>
        <w:rPr>
          <w:rFonts w:ascii="Arial" w:hAnsi="Arial" w:cs="Arial"/>
          <w:sz w:val="20"/>
          <w:lang w:val="en-US" w:eastAsia="en-US"/>
        </w:rPr>
        <w:t>paragraph 107(1)(f)</w:t>
      </w:r>
      <w:r w:rsidRPr="00433E6B">
        <w:rPr>
          <w:rFonts w:ascii="Arial" w:hAnsi="Arial" w:cs="Arial"/>
          <w:sz w:val="20"/>
          <w:lang w:val="en-US" w:eastAsia="en-US"/>
        </w:rPr>
        <w:t xml:space="preserve"> is a </w:t>
      </w:r>
      <w:r>
        <w:rPr>
          <w:rFonts w:ascii="Arial" w:hAnsi="Arial" w:cs="Arial"/>
          <w:sz w:val="20"/>
          <w:lang w:val="en-US" w:eastAsia="en-US"/>
        </w:rPr>
        <w:t>legislative instrument and may be subject to disallowance in accordance with section 42 of the LIA.</w:t>
      </w:r>
    </w:p>
    <w:bookmarkEnd w:id="1"/>
    <w:p w14:paraId="117DA334" w14:textId="77777777" w:rsidR="00143C9C" w:rsidRDefault="00143C9C" w:rsidP="00914D5C">
      <w:pPr>
        <w:keepNext/>
        <w:spacing w:line="360" w:lineRule="auto"/>
        <w:outlineLvl w:val="0"/>
        <w:rPr>
          <w:rFonts w:ascii="Arial" w:hAnsi="Arial" w:cs="Arial"/>
          <w:b/>
          <w:sz w:val="22"/>
          <w:szCs w:val="22"/>
          <w:lang w:val="en-AU"/>
        </w:rPr>
      </w:pPr>
    </w:p>
    <w:p w14:paraId="561EB84D" w14:textId="6FD097BB" w:rsidR="00914D5C" w:rsidRPr="00F63F09" w:rsidRDefault="00914D5C" w:rsidP="00914D5C">
      <w:pPr>
        <w:keepNext/>
        <w:spacing w:line="360" w:lineRule="auto"/>
        <w:outlineLvl w:val="0"/>
        <w:rPr>
          <w:rFonts w:ascii="Arial" w:hAnsi="Arial" w:cs="Arial"/>
          <w:b/>
          <w:sz w:val="22"/>
          <w:szCs w:val="22"/>
          <w:lang w:val="en-AU"/>
        </w:rPr>
      </w:pPr>
      <w:r w:rsidRPr="00AF179C">
        <w:rPr>
          <w:rFonts w:ascii="Arial" w:hAnsi="Arial" w:cs="Arial"/>
          <w:b/>
          <w:sz w:val="22"/>
          <w:szCs w:val="22"/>
          <w:lang w:val="en-AU"/>
        </w:rPr>
        <w:t>Background</w:t>
      </w:r>
    </w:p>
    <w:p w14:paraId="55FC23C8" w14:textId="0372CE61" w:rsidR="001A5DAE" w:rsidRDefault="00143C9C" w:rsidP="007D39BD">
      <w:pPr>
        <w:spacing w:after="240"/>
        <w:rPr>
          <w:rFonts w:ascii="Arial" w:hAnsi="Arial" w:cs="Arial"/>
          <w:sz w:val="20"/>
        </w:rPr>
      </w:pPr>
      <w:r>
        <w:rPr>
          <w:rFonts w:ascii="Arial" w:hAnsi="Arial" w:cs="Arial"/>
          <w:sz w:val="20"/>
        </w:rPr>
        <w:t xml:space="preserve">The Determination sets out conditions to which every aeronautical licence is subject. </w:t>
      </w:r>
    </w:p>
    <w:p w14:paraId="1F0AAF3D" w14:textId="5F6AEDB3" w:rsidR="001A5DAE" w:rsidRDefault="00143C9C" w:rsidP="001A5DAE">
      <w:pPr>
        <w:spacing w:after="240"/>
        <w:rPr>
          <w:rFonts w:ascii="Arial" w:hAnsi="Arial" w:cs="Arial"/>
          <w:sz w:val="20"/>
        </w:rPr>
      </w:pPr>
      <w:r>
        <w:rPr>
          <w:rFonts w:ascii="Arial" w:hAnsi="Arial" w:cs="Arial"/>
          <w:sz w:val="20"/>
        </w:rPr>
        <w:t xml:space="preserve">An </w:t>
      </w:r>
      <w:r w:rsidRPr="00143C9C">
        <w:rPr>
          <w:rFonts w:ascii="Arial" w:hAnsi="Arial" w:cs="Arial"/>
          <w:sz w:val="20"/>
          <w:szCs w:val="24"/>
        </w:rPr>
        <w:t>aeronautical licence is a</w:t>
      </w:r>
      <w:r w:rsidR="001A5DAE">
        <w:rPr>
          <w:rFonts w:ascii="Arial" w:hAnsi="Arial" w:cs="Arial"/>
          <w:sz w:val="20"/>
          <w:szCs w:val="24"/>
        </w:rPr>
        <w:t>n apparatus</w:t>
      </w:r>
      <w:r w:rsidRPr="00143C9C">
        <w:rPr>
          <w:rFonts w:ascii="Arial" w:hAnsi="Arial" w:cs="Arial"/>
          <w:sz w:val="20"/>
          <w:szCs w:val="24"/>
        </w:rPr>
        <w:t xml:space="preserve"> licence issued for a station that </w:t>
      </w:r>
      <w:r w:rsidRPr="00143C9C">
        <w:rPr>
          <w:rFonts w:ascii="Arial" w:hAnsi="Arial" w:cs="Arial"/>
          <w:sz w:val="20"/>
          <w:szCs w:val="24"/>
          <w:lang w:val="en-AU"/>
        </w:rPr>
        <w:t>is not fixed to an aircraft</w:t>
      </w:r>
      <w:r w:rsidR="007D39BD">
        <w:rPr>
          <w:rFonts w:ascii="Arial" w:hAnsi="Arial" w:cs="Arial"/>
          <w:sz w:val="20"/>
          <w:szCs w:val="24"/>
          <w:lang w:val="en-AU"/>
        </w:rPr>
        <w:t xml:space="preserve"> </w:t>
      </w:r>
      <w:r w:rsidR="001A5DAE">
        <w:rPr>
          <w:rFonts w:ascii="Arial" w:hAnsi="Arial" w:cs="Arial"/>
          <w:sz w:val="20"/>
          <w:szCs w:val="24"/>
          <w:lang w:val="en-AU"/>
        </w:rPr>
        <w:t xml:space="preserve">and </w:t>
      </w:r>
      <w:r w:rsidR="00FD5106">
        <w:rPr>
          <w:rFonts w:ascii="Arial" w:hAnsi="Arial" w:cs="Arial"/>
          <w:sz w:val="20"/>
          <w:szCs w:val="24"/>
          <w:lang w:val="en-AU"/>
        </w:rPr>
        <w:t xml:space="preserve">that </w:t>
      </w:r>
      <w:r w:rsidRPr="00143C9C">
        <w:rPr>
          <w:rFonts w:ascii="Arial" w:hAnsi="Arial" w:cs="Arial"/>
          <w:sz w:val="20"/>
          <w:szCs w:val="24"/>
          <w:lang w:val="en-AU"/>
        </w:rPr>
        <w:t xml:space="preserve">is operated on aeronautical frequencies </w:t>
      </w:r>
      <w:r w:rsidRPr="00143C9C">
        <w:rPr>
          <w:rFonts w:ascii="Arial" w:hAnsi="Arial" w:cs="Arial"/>
          <w:sz w:val="20"/>
          <w:szCs w:val="24"/>
        </w:rPr>
        <w:t>for purposes relating to</w:t>
      </w:r>
      <w:r w:rsidRPr="00143C9C">
        <w:rPr>
          <w:rFonts w:ascii="Arial" w:hAnsi="Arial" w:cs="Arial"/>
          <w:sz w:val="20"/>
          <w:szCs w:val="24"/>
          <w:lang w:val="en-AU"/>
        </w:rPr>
        <w:t xml:space="preserve"> the operation of an aircraft or ai</w:t>
      </w:r>
      <w:r w:rsidRPr="00143C9C">
        <w:rPr>
          <w:rFonts w:ascii="Arial" w:hAnsi="Arial" w:cs="Arial"/>
          <w:sz w:val="20"/>
          <w:szCs w:val="24"/>
        </w:rPr>
        <w:t>rport or aerodrome operations</w:t>
      </w:r>
      <w:r w:rsidR="001A5DAE">
        <w:rPr>
          <w:rFonts w:ascii="Arial" w:hAnsi="Arial" w:cs="Arial"/>
          <w:sz w:val="20"/>
          <w:szCs w:val="24"/>
        </w:rPr>
        <w:t xml:space="preserve">, </w:t>
      </w:r>
      <w:r w:rsidR="00FD5106">
        <w:rPr>
          <w:rFonts w:ascii="Arial" w:hAnsi="Arial" w:cs="Arial"/>
          <w:sz w:val="20"/>
          <w:szCs w:val="24"/>
        </w:rPr>
        <w:t>such as stations operated for</w:t>
      </w:r>
      <w:r w:rsidR="001A5DAE">
        <w:rPr>
          <w:rFonts w:ascii="Arial" w:hAnsi="Arial" w:cs="Arial"/>
          <w:sz w:val="20"/>
          <w:szCs w:val="24"/>
        </w:rPr>
        <w:t xml:space="preserve"> air traffic control services </w:t>
      </w:r>
      <w:r w:rsidR="005E042E">
        <w:rPr>
          <w:rFonts w:ascii="Arial" w:hAnsi="Arial" w:cs="Arial"/>
          <w:sz w:val="20"/>
          <w:szCs w:val="24"/>
        </w:rPr>
        <w:t xml:space="preserve">or </w:t>
      </w:r>
      <w:r w:rsidR="001A5DAE">
        <w:rPr>
          <w:rFonts w:ascii="Arial" w:hAnsi="Arial" w:cs="Arial"/>
          <w:sz w:val="20"/>
          <w:szCs w:val="24"/>
        </w:rPr>
        <w:t>aerodrome radio information services.</w:t>
      </w:r>
      <w:r w:rsidRPr="00143C9C">
        <w:rPr>
          <w:rFonts w:ascii="Arial" w:hAnsi="Arial" w:cs="Arial"/>
          <w:sz w:val="20"/>
          <w:szCs w:val="24"/>
        </w:rPr>
        <w:t xml:space="preserve"> I</w:t>
      </w:r>
      <w:r w:rsidRPr="00143C9C">
        <w:rPr>
          <w:rFonts w:ascii="Arial" w:hAnsi="Arial" w:cs="Arial"/>
          <w:sz w:val="20"/>
          <w:szCs w:val="24"/>
          <w:lang w:val="en-AU"/>
        </w:rPr>
        <w:t>n relation to an aircraft</w:t>
      </w:r>
      <w:r w:rsidR="005E042E">
        <w:rPr>
          <w:rFonts w:ascii="Arial" w:hAnsi="Arial" w:cs="Arial"/>
          <w:sz w:val="20"/>
          <w:szCs w:val="24"/>
          <w:lang w:val="en-AU"/>
        </w:rPr>
        <w:t>,</w:t>
      </w:r>
      <w:r w:rsidRPr="00143C9C">
        <w:rPr>
          <w:rFonts w:ascii="Arial" w:hAnsi="Arial" w:cs="Arial"/>
          <w:sz w:val="20"/>
          <w:szCs w:val="24"/>
        </w:rPr>
        <w:t xml:space="preserve"> it </w:t>
      </w:r>
      <w:r w:rsidRPr="00143C9C">
        <w:rPr>
          <w:rFonts w:ascii="Arial" w:hAnsi="Arial" w:cs="Arial"/>
          <w:sz w:val="20"/>
          <w:szCs w:val="24"/>
          <w:lang w:val="en-AU"/>
        </w:rPr>
        <w:t>includes a mobile station operated</w:t>
      </w:r>
      <w:r w:rsidRPr="00143C9C">
        <w:rPr>
          <w:rFonts w:ascii="Arial" w:hAnsi="Arial" w:cs="Arial"/>
          <w:sz w:val="20"/>
          <w:szCs w:val="24"/>
        </w:rPr>
        <w:t xml:space="preserve"> </w:t>
      </w:r>
      <w:r w:rsidRPr="00143C9C">
        <w:rPr>
          <w:rFonts w:ascii="Arial" w:hAnsi="Arial" w:cs="Arial"/>
          <w:sz w:val="20"/>
          <w:szCs w:val="24"/>
          <w:lang w:val="en-AU"/>
        </w:rPr>
        <w:t>on board the aircraft or on the ground in communication with the aircraft.</w:t>
      </w:r>
      <w:r w:rsidR="007D39BD">
        <w:rPr>
          <w:rFonts w:ascii="Arial" w:hAnsi="Arial" w:cs="Arial"/>
          <w:sz w:val="20"/>
        </w:rPr>
        <w:t xml:space="preserve"> </w:t>
      </w:r>
    </w:p>
    <w:p w14:paraId="561EB857" w14:textId="18405B09" w:rsidR="00914D5C" w:rsidRPr="001211CC" w:rsidRDefault="00914D5C" w:rsidP="00422C61">
      <w:pPr>
        <w:spacing w:before="240" w:line="360" w:lineRule="auto"/>
        <w:outlineLvl w:val="0"/>
        <w:rPr>
          <w:rFonts w:ascii="Arial" w:hAnsi="Arial" w:cs="Arial"/>
          <w:b/>
          <w:sz w:val="22"/>
          <w:szCs w:val="22"/>
          <w:lang w:val="en-AU"/>
        </w:rPr>
      </w:pPr>
      <w:r w:rsidRPr="00AF179C">
        <w:rPr>
          <w:rFonts w:ascii="Arial" w:hAnsi="Arial" w:cs="Arial"/>
          <w:b/>
          <w:sz w:val="22"/>
          <w:szCs w:val="22"/>
          <w:lang w:val="en-AU"/>
        </w:rPr>
        <w:t>Operation</w:t>
      </w:r>
    </w:p>
    <w:p w14:paraId="561EB859" w14:textId="7BA38922" w:rsidR="004631B2" w:rsidRDefault="001A5DAE" w:rsidP="00422C61">
      <w:pPr>
        <w:spacing w:after="240"/>
        <w:rPr>
          <w:rFonts w:ascii="Arial" w:hAnsi="Arial" w:cs="Arial"/>
          <w:sz w:val="20"/>
          <w:lang w:val="en-AU"/>
        </w:rPr>
      </w:pPr>
      <w:r>
        <w:rPr>
          <w:rFonts w:ascii="Arial" w:hAnsi="Arial" w:cs="Arial"/>
          <w:sz w:val="20"/>
          <w:lang w:val="en-AU"/>
        </w:rPr>
        <w:t xml:space="preserve">The conditions applied by the Determination </w:t>
      </w:r>
      <w:r w:rsidR="0088553C" w:rsidRPr="0088553C">
        <w:rPr>
          <w:rFonts w:ascii="Arial" w:hAnsi="Arial" w:cs="Arial"/>
          <w:sz w:val="20"/>
          <w:lang w:val="en-AU"/>
        </w:rPr>
        <w:t xml:space="preserve">that apply to all aeronautical licences </w:t>
      </w:r>
      <w:r w:rsidRPr="0088553C">
        <w:rPr>
          <w:rFonts w:ascii="Arial" w:hAnsi="Arial" w:cs="Arial"/>
          <w:sz w:val="20"/>
          <w:lang w:val="en-AU"/>
        </w:rPr>
        <w:t>includ</w:t>
      </w:r>
      <w:r>
        <w:rPr>
          <w:rFonts w:ascii="Arial" w:hAnsi="Arial" w:cs="Arial"/>
          <w:sz w:val="20"/>
          <w:lang w:val="en-AU"/>
        </w:rPr>
        <w:t>e</w:t>
      </w:r>
      <w:r w:rsidRPr="0088553C">
        <w:rPr>
          <w:rFonts w:ascii="Arial" w:hAnsi="Arial" w:cs="Arial"/>
          <w:sz w:val="20"/>
          <w:lang w:val="en-AU"/>
        </w:rPr>
        <w:t xml:space="preserve"> </w:t>
      </w:r>
      <w:r w:rsidR="0088553C" w:rsidRPr="0088553C">
        <w:rPr>
          <w:rFonts w:ascii="Arial" w:hAnsi="Arial" w:cs="Arial"/>
          <w:sz w:val="20"/>
          <w:lang w:val="en-AU"/>
        </w:rPr>
        <w:t xml:space="preserve">the type of communications permitted, </w:t>
      </w:r>
      <w:r w:rsidR="00FD453F">
        <w:rPr>
          <w:rFonts w:ascii="Arial" w:hAnsi="Arial" w:cs="Arial"/>
          <w:sz w:val="20"/>
          <w:lang w:val="en-AU"/>
        </w:rPr>
        <w:t>station identification</w:t>
      </w:r>
      <w:r w:rsidR="0088553C" w:rsidRPr="0088553C">
        <w:rPr>
          <w:rFonts w:ascii="Arial" w:hAnsi="Arial" w:cs="Arial"/>
          <w:sz w:val="20"/>
          <w:lang w:val="en-AU"/>
        </w:rPr>
        <w:t>, operator qualifications, permitted frequencies</w:t>
      </w:r>
      <w:r w:rsidR="007D39BD">
        <w:rPr>
          <w:rFonts w:ascii="Arial" w:hAnsi="Arial" w:cs="Arial"/>
          <w:sz w:val="20"/>
          <w:lang w:val="en-AU"/>
        </w:rPr>
        <w:t xml:space="preserve"> and a requirement to comply with relevant standards</w:t>
      </w:r>
      <w:r w:rsidR="00FD5106">
        <w:rPr>
          <w:rFonts w:ascii="Arial" w:hAnsi="Arial" w:cs="Arial"/>
          <w:sz w:val="20"/>
          <w:lang w:val="en-AU"/>
        </w:rPr>
        <w:t xml:space="preserve"> and other technical documentation</w:t>
      </w:r>
      <w:r w:rsidR="0088553C" w:rsidRPr="0088553C">
        <w:rPr>
          <w:rFonts w:ascii="Arial" w:hAnsi="Arial" w:cs="Arial"/>
          <w:sz w:val="20"/>
          <w:lang w:val="en-AU"/>
        </w:rPr>
        <w:t>. The conditions are applied to ensure that users are able to communicate effectively with a minimum of radiocommunications interference.</w:t>
      </w:r>
    </w:p>
    <w:p w14:paraId="561EB85A" w14:textId="77777777" w:rsidR="00914D5C" w:rsidRPr="00C205B9" w:rsidRDefault="00914D5C" w:rsidP="00422C61">
      <w:pPr>
        <w:keepNext/>
        <w:spacing w:line="360" w:lineRule="auto"/>
        <w:outlineLvl w:val="0"/>
        <w:rPr>
          <w:rFonts w:ascii="Arial" w:hAnsi="Arial" w:cs="Arial"/>
          <w:b/>
          <w:sz w:val="22"/>
          <w:szCs w:val="22"/>
          <w:lang w:val="en-AU"/>
        </w:rPr>
      </w:pPr>
      <w:r w:rsidRPr="00C205B9">
        <w:rPr>
          <w:rFonts w:ascii="Arial" w:hAnsi="Arial" w:cs="Arial"/>
          <w:b/>
          <w:sz w:val="22"/>
          <w:szCs w:val="22"/>
          <w:lang w:val="en-AU"/>
        </w:rPr>
        <w:lastRenderedPageBreak/>
        <w:t>Consultation</w:t>
      </w:r>
    </w:p>
    <w:p w14:paraId="561EB85B" w14:textId="7EFF59BF" w:rsidR="00914D5C" w:rsidRDefault="00914D5C" w:rsidP="00FB3B8A">
      <w:pPr>
        <w:spacing w:after="240"/>
        <w:rPr>
          <w:rFonts w:ascii="Arial" w:hAnsi="Arial" w:cs="Arial"/>
          <w:snapToGrid w:val="0"/>
          <w:sz w:val="20"/>
        </w:rPr>
      </w:pPr>
      <w:r w:rsidRPr="00C117CF">
        <w:rPr>
          <w:rFonts w:ascii="Arial" w:hAnsi="Arial" w:cs="Arial"/>
          <w:snapToGrid w:val="0"/>
          <w:sz w:val="20"/>
        </w:rPr>
        <w:t xml:space="preserve">Subsection 17(1) of the LIA requires that, before </w:t>
      </w:r>
      <w:r w:rsidR="00423E17">
        <w:rPr>
          <w:rFonts w:ascii="Arial" w:hAnsi="Arial" w:cs="Arial"/>
          <w:snapToGrid w:val="0"/>
          <w:sz w:val="20"/>
        </w:rPr>
        <w:t xml:space="preserve">a rule-maker </w:t>
      </w:r>
      <w:r w:rsidRPr="00C117CF">
        <w:rPr>
          <w:rFonts w:ascii="Arial" w:hAnsi="Arial" w:cs="Arial"/>
          <w:snapToGrid w:val="0"/>
          <w:sz w:val="20"/>
        </w:rPr>
        <w:t xml:space="preserve">makes a legislative instrument, it must be satisfied that any consultation that </w:t>
      </w:r>
      <w:r w:rsidR="001A5DAE">
        <w:rPr>
          <w:rFonts w:ascii="Arial" w:hAnsi="Arial" w:cs="Arial"/>
          <w:snapToGrid w:val="0"/>
          <w:sz w:val="20"/>
        </w:rPr>
        <w:t>it</w:t>
      </w:r>
      <w:r w:rsidRPr="00C117CF">
        <w:rPr>
          <w:rFonts w:ascii="Arial" w:hAnsi="Arial" w:cs="Arial"/>
          <w:snapToGrid w:val="0"/>
          <w:sz w:val="20"/>
        </w:rPr>
        <w:t xml:space="preserve"> considers appropriate and reasonably practicable to undertake has been undertaken.</w:t>
      </w:r>
    </w:p>
    <w:p w14:paraId="561EB85C" w14:textId="4CE205B7" w:rsidR="00914D5C" w:rsidRDefault="00914D5C" w:rsidP="00422C61">
      <w:pPr>
        <w:spacing w:after="240"/>
        <w:rPr>
          <w:rFonts w:ascii="Arial" w:hAnsi="Arial" w:cs="Arial"/>
          <w:snapToGrid w:val="0"/>
          <w:sz w:val="20"/>
        </w:rPr>
      </w:pPr>
      <w:r>
        <w:rPr>
          <w:rFonts w:ascii="Arial" w:hAnsi="Arial" w:cs="Arial"/>
          <w:snapToGrid w:val="0"/>
          <w:sz w:val="20"/>
        </w:rPr>
        <w:t>The</w:t>
      </w:r>
      <w:r w:rsidRPr="00C117CF">
        <w:rPr>
          <w:rFonts w:ascii="Arial" w:hAnsi="Arial" w:cs="Arial"/>
          <w:snapToGrid w:val="0"/>
          <w:sz w:val="20"/>
        </w:rPr>
        <w:t xml:space="preserve"> ACMA </w:t>
      </w:r>
      <w:r>
        <w:rPr>
          <w:rFonts w:ascii="Arial" w:hAnsi="Arial" w:cs="Arial"/>
          <w:snapToGrid w:val="0"/>
          <w:sz w:val="20"/>
        </w:rPr>
        <w:t xml:space="preserve">published a consultation paper and draft instrument on its website </w:t>
      </w:r>
      <w:r w:rsidRPr="00251BF2">
        <w:rPr>
          <w:rFonts w:ascii="Arial" w:hAnsi="Arial" w:cs="Arial"/>
          <w:snapToGrid w:val="0"/>
          <w:sz w:val="20"/>
        </w:rPr>
        <w:t xml:space="preserve">between </w:t>
      </w:r>
      <w:r w:rsidR="007A17F5">
        <w:rPr>
          <w:rFonts w:ascii="Arial" w:hAnsi="Arial" w:cs="Arial"/>
          <w:snapToGrid w:val="0"/>
          <w:sz w:val="20"/>
        </w:rPr>
        <w:t>14 </w:t>
      </w:r>
      <w:r w:rsidR="00075B39">
        <w:rPr>
          <w:rFonts w:ascii="Arial" w:hAnsi="Arial" w:cs="Arial"/>
          <w:snapToGrid w:val="0"/>
          <w:sz w:val="20"/>
        </w:rPr>
        <w:t>March</w:t>
      </w:r>
      <w:r w:rsidR="001418A8">
        <w:rPr>
          <w:rFonts w:ascii="Arial" w:hAnsi="Arial" w:cs="Arial"/>
          <w:snapToGrid w:val="0"/>
          <w:sz w:val="20"/>
        </w:rPr>
        <w:t xml:space="preserve"> 2014</w:t>
      </w:r>
      <w:r w:rsidRPr="00251BF2">
        <w:rPr>
          <w:rFonts w:ascii="Arial" w:hAnsi="Arial" w:cs="Arial"/>
          <w:snapToGrid w:val="0"/>
          <w:sz w:val="20"/>
        </w:rPr>
        <w:t xml:space="preserve"> and </w:t>
      </w:r>
      <w:r w:rsidR="00075B39">
        <w:rPr>
          <w:rFonts w:ascii="Arial" w:hAnsi="Arial" w:cs="Arial"/>
          <w:snapToGrid w:val="0"/>
          <w:sz w:val="20"/>
        </w:rPr>
        <w:t>28 April</w:t>
      </w:r>
      <w:r w:rsidR="001418A8">
        <w:rPr>
          <w:rFonts w:ascii="Arial" w:hAnsi="Arial" w:cs="Arial"/>
          <w:snapToGrid w:val="0"/>
          <w:sz w:val="20"/>
        </w:rPr>
        <w:t xml:space="preserve"> 2014</w:t>
      </w:r>
      <w:r w:rsidRPr="00C117CF">
        <w:rPr>
          <w:rFonts w:ascii="Arial" w:hAnsi="Arial" w:cs="Arial"/>
          <w:snapToGrid w:val="0"/>
          <w:sz w:val="20"/>
        </w:rPr>
        <w:t>. Th</w:t>
      </w:r>
      <w:r>
        <w:rPr>
          <w:rFonts w:ascii="Arial" w:hAnsi="Arial" w:cs="Arial"/>
          <w:snapToGrid w:val="0"/>
          <w:sz w:val="20"/>
        </w:rPr>
        <w:t xml:space="preserve">e consultation </w:t>
      </w:r>
      <w:r w:rsidRPr="00C117CF">
        <w:rPr>
          <w:rFonts w:ascii="Arial" w:hAnsi="Arial" w:cs="Arial"/>
          <w:snapToGrid w:val="0"/>
          <w:sz w:val="20"/>
        </w:rPr>
        <w:t xml:space="preserve">paper explained the sunsetting process and the ACMA’s preliminary view that the existing arrangements </w:t>
      </w:r>
      <w:r>
        <w:rPr>
          <w:rFonts w:ascii="Arial" w:hAnsi="Arial" w:cs="Arial"/>
          <w:snapToGrid w:val="0"/>
          <w:sz w:val="20"/>
        </w:rPr>
        <w:t xml:space="preserve">under the </w:t>
      </w:r>
      <w:r w:rsidR="003B38C5">
        <w:rPr>
          <w:rFonts w:ascii="Arial" w:hAnsi="Arial" w:cs="Arial"/>
          <w:snapToGrid w:val="0"/>
          <w:sz w:val="20"/>
        </w:rPr>
        <w:t>1997</w:t>
      </w:r>
      <w:r w:rsidR="00075B39">
        <w:rPr>
          <w:rFonts w:ascii="Arial" w:hAnsi="Arial" w:cs="Arial"/>
          <w:snapToGrid w:val="0"/>
          <w:sz w:val="20"/>
        </w:rPr>
        <w:t xml:space="preserve"> </w:t>
      </w:r>
      <w:r w:rsidR="001A5DAE">
        <w:rPr>
          <w:rFonts w:ascii="Arial" w:hAnsi="Arial" w:cs="Arial"/>
          <w:snapToGrid w:val="0"/>
          <w:sz w:val="20"/>
        </w:rPr>
        <w:t xml:space="preserve">Determination </w:t>
      </w:r>
      <w:r w:rsidRPr="00C117CF">
        <w:rPr>
          <w:rFonts w:ascii="Arial" w:hAnsi="Arial" w:cs="Arial"/>
          <w:snapToGrid w:val="0"/>
          <w:sz w:val="20"/>
        </w:rPr>
        <w:t>should be saved from automatic repeal and remade without any significant changes. Interested parties were invited to comment.</w:t>
      </w:r>
    </w:p>
    <w:p w14:paraId="561EB85D" w14:textId="67BB3B5D" w:rsidR="00914D5C" w:rsidRPr="00C117CF" w:rsidRDefault="00914D5C" w:rsidP="00422C61">
      <w:pPr>
        <w:spacing w:after="240"/>
        <w:rPr>
          <w:rFonts w:ascii="Arial" w:hAnsi="Arial" w:cs="Arial"/>
          <w:snapToGrid w:val="0"/>
          <w:sz w:val="20"/>
        </w:rPr>
      </w:pPr>
      <w:r>
        <w:rPr>
          <w:rFonts w:ascii="Arial" w:hAnsi="Arial" w:cs="Arial"/>
          <w:snapToGrid w:val="0"/>
          <w:sz w:val="20"/>
        </w:rPr>
        <w:t>T</w:t>
      </w:r>
      <w:r w:rsidRPr="00C117CF">
        <w:rPr>
          <w:rFonts w:ascii="Arial" w:hAnsi="Arial" w:cs="Arial"/>
          <w:snapToGrid w:val="0"/>
          <w:sz w:val="20"/>
        </w:rPr>
        <w:t xml:space="preserve">he ACMA received </w:t>
      </w:r>
      <w:r w:rsidR="001A5DAE">
        <w:rPr>
          <w:rFonts w:ascii="Arial" w:hAnsi="Arial" w:cs="Arial"/>
          <w:snapToGrid w:val="0"/>
          <w:sz w:val="20"/>
        </w:rPr>
        <w:t>no submissions</w:t>
      </w:r>
      <w:r w:rsidRPr="00C117CF">
        <w:rPr>
          <w:rFonts w:ascii="Arial" w:hAnsi="Arial" w:cs="Arial"/>
          <w:snapToGrid w:val="0"/>
          <w:sz w:val="20"/>
        </w:rPr>
        <w:t xml:space="preserve"> in response to t</w:t>
      </w:r>
      <w:r>
        <w:rPr>
          <w:rFonts w:ascii="Arial" w:hAnsi="Arial" w:cs="Arial"/>
          <w:snapToGrid w:val="0"/>
          <w:sz w:val="20"/>
        </w:rPr>
        <w:t xml:space="preserve">he consultation </w:t>
      </w:r>
      <w:r w:rsidR="00FD453F">
        <w:rPr>
          <w:rFonts w:ascii="Arial" w:hAnsi="Arial" w:cs="Arial"/>
          <w:snapToGrid w:val="0"/>
          <w:sz w:val="20"/>
        </w:rPr>
        <w:t>on its proposal to make the Determination.</w:t>
      </w:r>
    </w:p>
    <w:p w14:paraId="561EB85E" w14:textId="77777777" w:rsidR="00914D5C" w:rsidRPr="001211CC" w:rsidRDefault="00914D5C" w:rsidP="00914D5C">
      <w:pPr>
        <w:spacing w:line="360" w:lineRule="auto"/>
        <w:outlineLvl w:val="0"/>
        <w:rPr>
          <w:rFonts w:ascii="Arial" w:hAnsi="Arial" w:cs="Arial"/>
          <w:b/>
          <w:sz w:val="22"/>
          <w:szCs w:val="22"/>
        </w:rPr>
      </w:pPr>
      <w:r w:rsidRPr="006773A9">
        <w:rPr>
          <w:rFonts w:ascii="Arial" w:hAnsi="Arial" w:cs="Arial"/>
          <w:b/>
          <w:sz w:val="22"/>
          <w:szCs w:val="22"/>
          <w:lang w:val="en-AU"/>
        </w:rPr>
        <w:t>R</w:t>
      </w:r>
      <w:r w:rsidRPr="001211CC">
        <w:rPr>
          <w:rFonts w:ascii="Arial" w:hAnsi="Arial" w:cs="Arial"/>
          <w:b/>
          <w:sz w:val="22"/>
          <w:szCs w:val="22"/>
        </w:rPr>
        <w:t xml:space="preserve">egulatory Impact </w:t>
      </w:r>
    </w:p>
    <w:p w14:paraId="561EB85F" w14:textId="6BB52E7D" w:rsidR="00914D5C" w:rsidRPr="006E1DE9" w:rsidRDefault="00914D5C" w:rsidP="00422C61">
      <w:pPr>
        <w:spacing w:after="240"/>
        <w:rPr>
          <w:rFonts w:ascii="Arial" w:hAnsi="Arial" w:cs="Arial"/>
          <w:sz w:val="20"/>
        </w:rPr>
      </w:pPr>
      <w:r w:rsidRPr="00C117CF">
        <w:rPr>
          <w:rFonts w:ascii="Arial" w:hAnsi="Arial" w:cs="Arial"/>
          <w:snapToGrid w:val="0"/>
          <w:sz w:val="20"/>
        </w:rPr>
        <w:t xml:space="preserve">Under the Guidance Note </w:t>
      </w:r>
      <w:r w:rsidRPr="00C117CF">
        <w:rPr>
          <w:rFonts w:ascii="Arial" w:hAnsi="Arial" w:cs="Arial"/>
          <w:i/>
          <w:snapToGrid w:val="0"/>
          <w:sz w:val="20"/>
        </w:rPr>
        <w:t xml:space="preserve">Sunsetting Legislation </w:t>
      </w:r>
      <w:r w:rsidRPr="00C117CF">
        <w:rPr>
          <w:rFonts w:ascii="Arial" w:hAnsi="Arial" w:cs="Arial"/>
          <w:snapToGrid w:val="0"/>
          <w:sz w:val="20"/>
        </w:rPr>
        <w:t xml:space="preserve">published by the Office of Best Practice Regulation (OBPR) in March 2013, streamlined administrative processes apply to sunsetting legislative instruments. As the ACMA has determined that the </w:t>
      </w:r>
      <w:r w:rsidR="003B38C5">
        <w:rPr>
          <w:rFonts w:ascii="Arial" w:hAnsi="Arial" w:cs="Arial"/>
          <w:snapToGrid w:val="0"/>
          <w:sz w:val="20"/>
        </w:rPr>
        <w:t>1997</w:t>
      </w:r>
      <w:r w:rsidR="00075B39">
        <w:rPr>
          <w:rFonts w:ascii="Arial" w:hAnsi="Arial" w:cs="Arial"/>
          <w:snapToGrid w:val="0"/>
          <w:sz w:val="20"/>
        </w:rPr>
        <w:t xml:space="preserve"> </w:t>
      </w:r>
      <w:r w:rsidR="007D39BD">
        <w:rPr>
          <w:rFonts w:ascii="Arial" w:hAnsi="Arial" w:cs="Arial"/>
          <w:snapToGrid w:val="0"/>
          <w:sz w:val="20"/>
        </w:rPr>
        <w:t>Determination</w:t>
      </w:r>
      <w:r w:rsidR="00423E17">
        <w:rPr>
          <w:rFonts w:ascii="Arial" w:hAnsi="Arial" w:cs="Arial"/>
          <w:snapToGrid w:val="0"/>
          <w:sz w:val="20"/>
        </w:rPr>
        <w:t xml:space="preserve"> </w:t>
      </w:r>
      <w:r w:rsidRPr="00C117CF">
        <w:rPr>
          <w:rFonts w:ascii="Arial" w:hAnsi="Arial" w:cs="Arial"/>
          <w:snapToGrid w:val="0"/>
          <w:sz w:val="20"/>
        </w:rPr>
        <w:t>was fit for purpose and should be remade without any significant changes, and has certified those matters to OBPR, no Regulation Impact Statement</w:t>
      </w:r>
      <w:r>
        <w:rPr>
          <w:rFonts w:ascii="Arial" w:hAnsi="Arial" w:cs="Arial"/>
          <w:snapToGrid w:val="0"/>
          <w:sz w:val="20"/>
        </w:rPr>
        <w:t xml:space="preserve"> (RIS)</w:t>
      </w:r>
      <w:r w:rsidRPr="00C117CF">
        <w:rPr>
          <w:rFonts w:ascii="Arial" w:hAnsi="Arial" w:cs="Arial"/>
          <w:snapToGrid w:val="0"/>
          <w:sz w:val="20"/>
        </w:rPr>
        <w:t xml:space="preserve"> is required</w:t>
      </w:r>
      <w:r>
        <w:rPr>
          <w:rFonts w:ascii="Arial" w:hAnsi="Arial" w:cs="Arial"/>
          <w:snapToGrid w:val="0"/>
          <w:sz w:val="20"/>
        </w:rPr>
        <w:t xml:space="preserve"> in relation to the making of the Determination</w:t>
      </w:r>
      <w:r w:rsidRPr="006E1DE9">
        <w:rPr>
          <w:rFonts w:ascii="Arial" w:hAnsi="Arial" w:cs="Arial"/>
          <w:sz w:val="20"/>
        </w:rPr>
        <w:t xml:space="preserve"> </w:t>
      </w:r>
      <w:r>
        <w:rPr>
          <w:rFonts w:ascii="Arial" w:hAnsi="Arial" w:cs="Arial"/>
          <w:sz w:val="20"/>
        </w:rPr>
        <w:t>(OBPR reference</w:t>
      </w:r>
      <w:r w:rsidRPr="006E1DE9">
        <w:rPr>
          <w:rFonts w:ascii="Arial" w:hAnsi="Arial" w:cs="Arial"/>
          <w:sz w:val="20"/>
        </w:rPr>
        <w:t xml:space="preserve"> ID </w:t>
      </w:r>
      <w:r w:rsidR="00AF179C" w:rsidRPr="000055DB">
        <w:rPr>
          <w:rFonts w:ascii="Arial" w:hAnsi="Arial" w:cs="Arial"/>
          <w:sz w:val="20"/>
        </w:rPr>
        <w:t>16</w:t>
      </w:r>
      <w:r w:rsidR="00075B39" w:rsidRPr="000055DB">
        <w:rPr>
          <w:rFonts w:ascii="Arial" w:hAnsi="Arial" w:cs="Arial"/>
          <w:sz w:val="20"/>
        </w:rPr>
        <w:t>586</w:t>
      </w:r>
      <w:r>
        <w:rPr>
          <w:rFonts w:ascii="Arial" w:hAnsi="Arial" w:cs="Arial"/>
          <w:sz w:val="20"/>
        </w:rPr>
        <w:t>)</w:t>
      </w:r>
      <w:r w:rsidRPr="006E1DE9">
        <w:rPr>
          <w:rFonts w:ascii="Arial" w:hAnsi="Arial" w:cs="Arial"/>
          <w:sz w:val="20"/>
        </w:rPr>
        <w:t>.</w:t>
      </w:r>
    </w:p>
    <w:p w14:paraId="561EB860" w14:textId="77777777" w:rsidR="00914D5C" w:rsidRPr="005A5476" w:rsidRDefault="00914D5C" w:rsidP="00914D5C">
      <w:pPr>
        <w:spacing w:line="360" w:lineRule="auto"/>
        <w:outlineLvl w:val="0"/>
        <w:rPr>
          <w:rFonts w:ascii="Arial" w:hAnsi="Arial" w:cs="Arial"/>
          <w:b/>
          <w:sz w:val="22"/>
          <w:szCs w:val="22"/>
          <w:lang w:val="en-AU"/>
        </w:rPr>
      </w:pPr>
      <w:r w:rsidRPr="005A5476">
        <w:rPr>
          <w:rFonts w:ascii="Arial" w:hAnsi="Arial" w:cs="Arial"/>
          <w:b/>
          <w:sz w:val="22"/>
          <w:szCs w:val="22"/>
          <w:lang w:val="en-AU"/>
        </w:rPr>
        <w:t>Detailed Description of the Instrument</w:t>
      </w:r>
    </w:p>
    <w:p w14:paraId="561EB861" w14:textId="77777777" w:rsidR="00914D5C" w:rsidRDefault="00914D5C" w:rsidP="00422C61">
      <w:pPr>
        <w:spacing w:after="240"/>
        <w:outlineLvl w:val="0"/>
        <w:rPr>
          <w:rFonts w:ascii="Arial" w:hAnsi="Arial" w:cs="Arial"/>
          <w:sz w:val="20"/>
          <w:lang w:val="en-AU"/>
        </w:rPr>
      </w:pPr>
      <w:r w:rsidRPr="005029D3">
        <w:rPr>
          <w:rFonts w:ascii="Arial" w:hAnsi="Arial" w:cs="Arial"/>
          <w:sz w:val="20"/>
          <w:lang w:val="en-AU"/>
        </w:rPr>
        <w:t xml:space="preserve">Details of the </w:t>
      </w:r>
      <w:r w:rsidR="008851A9">
        <w:rPr>
          <w:rFonts w:ascii="Arial" w:hAnsi="Arial" w:cs="Arial"/>
          <w:sz w:val="20"/>
          <w:lang w:val="en-AU"/>
        </w:rPr>
        <w:t xml:space="preserve">Determination </w:t>
      </w:r>
      <w:r w:rsidRPr="005029D3">
        <w:rPr>
          <w:rFonts w:ascii="Arial" w:hAnsi="Arial" w:cs="Arial"/>
          <w:sz w:val="20"/>
          <w:lang w:val="en-AU"/>
        </w:rPr>
        <w:t xml:space="preserve">are set out in </w:t>
      </w:r>
      <w:r w:rsidRPr="005029D3">
        <w:rPr>
          <w:rFonts w:ascii="Arial" w:hAnsi="Arial" w:cs="Arial"/>
          <w:b/>
          <w:sz w:val="20"/>
          <w:lang w:val="en-AU"/>
        </w:rPr>
        <w:t>Attachment A</w:t>
      </w:r>
      <w:r w:rsidRPr="005029D3">
        <w:rPr>
          <w:rFonts w:ascii="Arial" w:hAnsi="Arial" w:cs="Arial"/>
          <w:sz w:val="20"/>
          <w:lang w:val="en-AU"/>
        </w:rPr>
        <w:t>.</w:t>
      </w:r>
    </w:p>
    <w:p w14:paraId="5A980FA3" w14:textId="77777777" w:rsidR="00504433" w:rsidRDefault="005E042E" w:rsidP="005E042E">
      <w:pPr>
        <w:suppressAutoHyphens/>
        <w:spacing w:before="80" w:after="120" w:line="280" w:lineRule="atLeast"/>
        <w:jc w:val="both"/>
        <w:rPr>
          <w:rFonts w:ascii="Arial" w:hAnsi="Arial" w:cs="Arial"/>
          <w:b/>
          <w:sz w:val="22"/>
          <w:szCs w:val="22"/>
          <w:lang w:val="en-AU"/>
        </w:rPr>
      </w:pPr>
      <w:r w:rsidRPr="005E042E">
        <w:rPr>
          <w:rFonts w:ascii="Arial" w:hAnsi="Arial" w:cs="Arial"/>
          <w:b/>
          <w:sz w:val="22"/>
          <w:szCs w:val="22"/>
          <w:lang w:val="en-AU"/>
        </w:rPr>
        <w:t>Documents Incorporated in this Determination by Reference</w:t>
      </w:r>
    </w:p>
    <w:p w14:paraId="0A5715C6" w14:textId="169CBE8D" w:rsidR="005E042E" w:rsidRDefault="005E042E" w:rsidP="005E042E">
      <w:pPr>
        <w:suppressAutoHyphens/>
        <w:spacing w:before="80" w:after="120" w:line="280" w:lineRule="atLeast"/>
        <w:jc w:val="both"/>
        <w:rPr>
          <w:rFonts w:ascii="Arial" w:hAnsi="Arial" w:cs="Arial"/>
          <w:snapToGrid w:val="0"/>
          <w:sz w:val="20"/>
          <w:lang w:val="en-US" w:eastAsia="en-US"/>
        </w:rPr>
      </w:pPr>
      <w:r w:rsidRPr="0037044E">
        <w:rPr>
          <w:rFonts w:ascii="Arial" w:hAnsi="Arial" w:cs="Arial"/>
          <w:snapToGrid w:val="0"/>
          <w:sz w:val="20"/>
        </w:rPr>
        <w:t xml:space="preserve">Acts and legislative instruments </w:t>
      </w:r>
      <w:r>
        <w:rPr>
          <w:rFonts w:ascii="Arial" w:hAnsi="Arial" w:cs="Arial"/>
          <w:snapToGrid w:val="0"/>
          <w:sz w:val="20"/>
        </w:rPr>
        <w:t>referenced in the Determination</w:t>
      </w:r>
      <w:r w:rsidRPr="0037044E">
        <w:rPr>
          <w:rFonts w:ascii="Arial" w:hAnsi="Arial" w:cs="Arial"/>
          <w:snapToGrid w:val="0"/>
          <w:sz w:val="20"/>
        </w:rPr>
        <w:t xml:space="preserve"> can be found on the Australian Government’s ComLaw website (</w:t>
      </w:r>
      <w:hyperlink r:id="rId13" w:history="1">
        <w:r w:rsidRPr="0037044E">
          <w:rPr>
            <w:rFonts w:ascii="Arial" w:hAnsi="Arial" w:cs="Arial"/>
            <w:snapToGrid w:val="0"/>
            <w:color w:val="0000FF" w:themeColor="hyperlink"/>
            <w:sz w:val="20"/>
            <w:u w:val="single"/>
            <w:lang w:val="en-US" w:eastAsia="en-US"/>
          </w:rPr>
          <w:t>http://www.comlaw.gov.au/</w:t>
        </w:r>
      </w:hyperlink>
      <w:r w:rsidRPr="0037044E">
        <w:rPr>
          <w:rFonts w:ascii="Arial" w:hAnsi="Arial" w:cs="Arial"/>
          <w:snapToGrid w:val="0"/>
          <w:sz w:val="20"/>
          <w:lang w:val="en-US" w:eastAsia="en-US"/>
        </w:rPr>
        <w:t>).</w:t>
      </w:r>
    </w:p>
    <w:p w14:paraId="561EB862" w14:textId="77777777" w:rsidR="00914D5C" w:rsidRPr="005A5476" w:rsidRDefault="00914D5C" w:rsidP="005E042E">
      <w:pPr>
        <w:spacing w:line="360" w:lineRule="auto"/>
        <w:outlineLvl w:val="0"/>
        <w:rPr>
          <w:rFonts w:ascii="Arial" w:hAnsi="Arial" w:cs="Arial"/>
          <w:b/>
          <w:sz w:val="22"/>
          <w:szCs w:val="22"/>
          <w:lang w:val="en-AU"/>
        </w:rPr>
      </w:pPr>
      <w:r w:rsidRPr="005A5476">
        <w:rPr>
          <w:rFonts w:ascii="Arial" w:hAnsi="Arial" w:cs="Arial"/>
          <w:b/>
          <w:sz w:val="22"/>
          <w:szCs w:val="22"/>
          <w:lang w:val="en-AU"/>
        </w:rPr>
        <w:t xml:space="preserve">Statement of </w:t>
      </w:r>
      <w:r>
        <w:rPr>
          <w:rFonts w:ascii="Arial" w:hAnsi="Arial" w:cs="Arial"/>
          <w:b/>
          <w:sz w:val="22"/>
          <w:szCs w:val="22"/>
          <w:lang w:val="en-AU"/>
        </w:rPr>
        <w:t>C</w:t>
      </w:r>
      <w:r w:rsidRPr="005A5476">
        <w:rPr>
          <w:rFonts w:ascii="Arial" w:hAnsi="Arial" w:cs="Arial"/>
          <w:b/>
          <w:sz w:val="22"/>
          <w:szCs w:val="22"/>
          <w:lang w:val="en-AU"/>
        </w:rPr>
        <w:t xml:space="preserve">ompatibility with </w:t>
      </w:r>
      <w:r>
        <w:rPr>
          <w:rFonts w:ascii="Arial" w:hAnsi="Arial" w:cs="Arial"/>
          <w:b/>
          <w:sz w:val="22"/>
          <w:szCs w:val="22"/>
          <w:lang w:val="en-AU"/>
        </w:rPr>
        <w:t>H</w:t>
      </w:r>
      <w:r w:rsidRPr="005A5476">
        <w:rPr>
          <w:rFonts w:ascii="Arial" w:hAnsi="Arial" w:cs="Arial"/>
          <w:b/>
          <w:sz w:val="22"/>
          <w:szCs w:val="22"/>
          <w:lang w:val="en-AU"/>
        </w:rPr>
        <w:t xml:space="preserve">uman </w:t>
      </w:r>
      <w:r>
        <w:rPr>
          <w:rFonts w:ascii="Arial" w:hAnsi="Arial" w:cs="Arial"/>
          <w:b/>
          <w:sz w:val="22"/>
          <w:szCs w:val="22"/>
          <w:lang w:val="en-AU"/>
        </w:rPr>
        <w:t>R</w:t>
      </w:r>
      <w:r w:rsidRPr="005A5476">
        <w:rPr>
          <w:rFonts w:ascii="Arial" w:hAnsi="Arial" w:cs="Arial"/>
          <w:b/>
          <w:sz w:val="22"/>
          <w:szCs w:val="22"/>
          <w:lang w:val="en-AU"/>
        </w:rPr>
        <w:t>ights</w:t>
      </w:r>
    </w:p>
    <w:p w14:paraId="561EB863" w14:textId="77777777" w:rsidR="00914D5C" w:rsidRDefault="00914D5C" w:rsidP="00422C61">
      <w:pPr>
        <w:spacing w:after="240"/>
        <w:rPr>
          <w:rFonts w:ascii="Arial" w:hAnsi="Arial" w:cs="Arial"/>
          <w:sz w:val="20"/>
          <w:lang w:val="en-AU"/>
        </w:rPr>
      </w:pPr>
      <w:r>
        <w:rPr>
          <w:rFonts w:ascii="Arial" w:hAnsi="Arial" w:cs="Arial"/>
          <w:sz w:val="20"/>
        </w:rPr>
        <w:t>As required by s</w:t>
      </w:r>
      <w:r w:rsidRPr="005029D3">
        <w:rPr>
          <w:rFonts w:ascii="Arial" w:hAnsi="Arial" w:cs="Arial"/>
          <w:sz w:val="20"/>
        </w:rPr>
        <w:t xml:space="preserve">ubsection 9(1) of the </w:t>
      </w:r>
      <w:r w:rsidRPr="00BD05EE">
        <w:rPr>
          <w:rFonts w:ascii="Arial" w:hAnsi="Arial" w:cs="Arial"/>
          <w:i/>
          <w:sz w:val="20"/>
        </w:rPr>
        <w:t>Human Rights (Parliamentary Scrutiny) Act 2011</w:t>
      </w:r>
      <w:r w:rsidRPr="005029D3">
        <w:rPr>
          <w:rFonts w:ascii="Arial" w:hAnsi="Arial" w:cs="Arial"/>
          <w:sz w:val="20"/>
        </w:rPr>
        <w:t xml:space="preserve"> a </w:t>
      </w:r>
      <w:r>
        <w:rPr>
          <w:rFonts w:ascii="Arial" w:hAnsi="Arial" w:cs="Arial"/>
          <w:sz w:val="20"/>
        </w:rPr>
        <w:t>S</w:t>
      </w:r>
      <w:r w:rsidRPr="005029D3">
        <w:rPr>
          <w:rFonts w:ascii="Arial" w:hAnsi="Arial" w:cs="Arial"/>
          <w:sz w:val="20"/>
        </w:rPr>
        <w:t xml:space="preserve">tatement of </w:t>
      </w:r>
      <w:r>
        <w:rPr>
          <w:rFonts w:ascii="Arial" w:hAnsi="Arial" w:cs="Arial"/>
          <w:sz w:val="20"/>
        </w:rPr>
        <w:t>C</w:t>
      </w:r>
      <w:r w:rsidRPr="005029D3">
        <w:rPr>
          <w:rFonts w:ascii="Arial" w:hAnsi="Arial" w:cs="Arial"/>
          <w:sz w:val="20"/>
        </w:rPr>
        <w:t xml:space="preserve">ompatibility </w:t>
      </w:r>
      <w:r>
        <w:rPr>
          <w:rFonts w:ascii="Arial" w:hAnsi="Arial" w:cs="Arial"/>
          <w:sz w:val="20"/>
        </w:rPr>
        <w:t xml:space="preserve">with Human Rights has been prepared by the ACMA and </w:t>
      </w:r>
      <w:r w:rsidRPr="005029D3">
        <w:rPr>
          <w:rFonts w:ascii="Arial" w:hAnsi="Arial" w:cs="Arial"/>
          <w:sz w:val="20"/>
        </w:rPr>
        <w:t>is</w:t>
      </w:r>
      <w:r w:rsidRPr="005029D3">
        <w:rPr>
          <w:rFonts w:ascii="Arial" w:hAnsi="Arial" w:cs="Arial"/>
          <w:sz w:val="20"/>
          <w:lang w:val="en-AU"/>
        </w:rPr>
        <w:t xml:space="preserve"> </w:t>
      </w:r>
      <w:r>
        <w:rPr>
          <w:rFonts w:ascii="Arial" w:hAnsi="Arial" w:cs="Arial"/>
          <w:sz w:val="20"/>
          <w:lang w:val="en-AU"/>
        </w:rPr>
        <w:t xml:space="preserve">at </w:t>
      </w:r>
      <w:r w:rsidRPr="005029D3">
        <w:rPr>
          <w:rFonts w:ascii="Arial" w:hAnsi="Arial" w:cs="Arial"/>
          <w:b/>
          <w:sz w:val="20"/>
          <w:lang w:val="en-AU"/>
        </w:rPr>
        <w:t>Attachment B</w:t>
      </w:r>
      <w:r w:rsidRPr="005029D3">
        <w:rPr>
          <w:rFonts w:ascii="Arial" w:hAnsi="Arial" w:cs="Arial"/>
          <w:sz w:val="20"/>
          <w:lang w:val="en-AU"/>
        </w:rPr>
        <w:t>.</w:t>
      </w:r>
    </w:p>
    <w:p w14:paraId="561EB864" w14:textId="77777777" w:rsidR="00914D5C" w:rsidRPr="005A5476" w:rsidRDefault="00914D5C" w:rsidP="00422C61">
      <w:pPr>
        <w:spacing w:after="240"/>
        <w:rPr>
          <w:rFonts w:ascii="Arial" w:hAnsi="Arial" w:cs="Arial"/>
          <w:b/>
          <w:sz w:val="22"/>
          <w:szCs w:val="22"/>
          <w:lang w:val="en-AU"/>
        </w:rPr>
      </w:pPr>
      <w:r>
        <w:rPr>
          <w:rFonts w:ascii="Arial" w:hAnsi="Arial" w:cs="Arial"/>
          <w:b/>
          <w:sz w:val="22"/>
          <w:szCs w:val="22"/>
          <w:lang w:val="en-AU"/>
        </w:rPr>
        <w:br w:type="page"/>
      </w:r>
      <w:r w:rsidRPr="005A5476">
        <w:rPr>
          <w:rFonts w:ascii="Arial" w:hAnsi="Arial" w:cs="Arial"/>
          <w:b/>
          <w:sz w:val="22"/>
          <w:szCs w:val="22"/>
          <w:lang w:val="en-AU"/>
        </w:rPr>
        <w:lastRenderedPageBreak/>
        <w:t>ATTACHMENT A</w:t>
      </w:r>
    </w:p>
    <w:p w14:paraId="561EB865" w14:textId="77777777" w:rsidR="00914D5C" w:rsidRPr="005A5476" w:rsidRDefault="00914D5C" w:rsidP="00914D5C">
      <w:pPr>
        <w:spacing w:line="360" w:lineRule="auto"/>
        <w:rPr>
          <w:rFonts w:ascii="Arial" w:hAnsi="Arial" w:cs="Arial"/>
          <w:b/>
          <w:sz w:val="22"/>
          <w:szCs w:val="22"/>
          <w:lang w:val="en-AU"/>
        </w:rPr>
      </w:pPr>
    </w:p>
    <w:p w14:paraId="561EB866" w14:textId="20C55717" w:rsidR="00852A38" w:rsidRDefault="00914D5C" w:rsidP="000055DB">
      <w:pPr>
        <w:outlineLvl w:val="0"/>
        <w:rPr>
          <w:rFonts w:ascii="Arial" w:hAnsi="Arial" w:cs="Arial"/>
          <w:sz w:val="22"/>
          <w:szCs w:val="22"/>
          <w:lang w:val="en-AU"/>
        </w:rPr>
      </w:pPr>
      <w:r w:rsidRPr="005A5476">
        <w:rPr>
          <w:rFonts w:ascii="Arial" w:hAnsi="Arial" w:cs="Arial"/>
          <w:b/>
          <w:sz w:val="22"/>
          <w:szCs w:val="22"/>
          <w:lang w:val="en-AU"/>
        </w:rPr>
        <w:t xml:space="preserve">DETAILS OF THE </w:t>
      </w:r>
      <w:r w:rsidR="0088553C" w:rsidRPr="0088553C">
        <w:rPr>
          <w:rFonts w:ascii="Arial" w:hAnsi="Arial" w:cs="Arial"/>
          <w:b/>
          <w:i/>
          <w:sz w:val="22"/>
          <w:szCs w:val="22"/>
          <w:lang w:val="en-AU"/>
        </w:rPr>
        <w:t>R</w:t>
      </w:r>
      <w:r w:rsidR="000B5FB3">
        <w:rPr>
          <w:rFonts w:ascii="Arial" w:hAnsi="Arial" w:cs="Arial"/>
          <w:b/>
          <w:i/>
          <w:sz w:val="22"/>
          <w:szCs w:val="22"/>
          <w:lang w:val="en-AU"/>
        </w:rPr>
        <w:t>ADIOCOMMUNICATIONS LICENCE CONDITIONS (AERONAUTICAL LICENCE</w:t>
      </w:r>
      <w:r w:rsidR="0088553C" w:rsidRPr="0088553C">
        <w:rPr>
          <w:rFonts w:ascii="Arial" w:hAnsi="Arial" w:cs="Arial"/>
          <w:b/>
          <w:i/>
          <w:sz w:val="22"/>
          <w:szCs w:val="22"/>
          <w:lang w:val="en-AU"/>
        </w:rPr>
        <w:t>) D</w:t>
      </w:r>
      <w:r w:rsidR="000B5FB3">
        <w:rPr>
          <w:rFonts w:ascii="Arial" w:hAnsi="Arial" w:cs="Arial"/>
          <w:b/>
          <w:i/>
          <w:sz w:val="22"/>
          <w:szCs w:val="22"/>
          <w:lang w:val="en-AU"/>
        </w:rPr>
        <w:t>ETERMINATION</w:t>
      </w:r>
      <w:r w:rsidR="0088553C" w:rsidRPr="0088553C">
        <w:rPr>
          <w:rFonts w:ascii="Arial" w:hAnsi="Arial" w:cs="Arial"/>
          <w:b/>
          <w:i/>
          <w:sz w:val="22"/>
          <w:szCs w:val="22"/>
          <w:lang w:val="en-AU"/>
        </w:rPr>
        <w:t xml:space="preserve"> 201</w:t>
      </w:r>
      <w:r w:rsidR="00893910">
        <w:rPr>
          <w:rFonts w:ascii="Arial" w:hAnsi="Arial" w:cs="Arial"/>
          <w:b/>
          <w:i/>
          <w:sz w:val="22"/>
          <w:szCs w:val="22"/>
          <w:lang w:val="en-AU"/>
        </w:rPr>
        <w:t>5</w:t>
      </w:r>
    </w:p>
    <w:p w14:paraId="561EB868" w14:textId="77777777" w:rsidR="00914D5C" w:rsidRPr="00B6149E" w:rsidRDefault="00914D5C" w:rsidP="007D6A7C">
      <w:pPr>
        <w:spacing w:before="240" w:after="240"/>
        <w:rPr>
          <w:rFonts w:ascii="Arial" w:hAnsi="Arial" w:cs="Arial"/>
          <w:b/>
          <w:color w:val="262626"/>
          <w:sz w:val="20"/>
        </w:rPr>
      </w:pPr>
      <w:r w:rsidRPr="00B6149E">
        <w:rPr>
          <w:rFonts w:ascii="Arial" w:hAnsi="Arial" w:cs="Arial"/>
          <w:b/>
          <w:color w:val="262626"/>
          <w:sz w:val="20"/>
        </w:rPr>
        <w:t>Section 1</w:t>
      </w:r>
      <w:r w:rsidR="00E739E0" w:rsidRPr="00B6149E">
        <w:rPr>
          <w:rFonts w:ascii="Arial" w:hAnsi="Arial" w:cs="Arial"/>
          <w:b/>
          <w:color w:val="262626"/>
          <w:sz w:val="20"/>
        </w:rPr>
        <w:t xml:space="preserve"> – </w:t>
      </w:r>
      <w:r w:rsidRPr="00B6149E">
        <w:rPr>
          <w:rFonts w:ascii="Arial" w:hAnsi="Arial" w:cs="Arial"/>
          <w:b/>
          <w:color w:val="262626"/>
          <w:sz w:val="20"/>
        </w:rPr>
        <w:t xml:space="preserve">Name of </w:t>
      </w:r>
      <w:r w:rsidR="000B5FB3" w:rsidRPr="00B6149E">
        <w:rPr>
          <w:rFonts w:ascii="Arial" w:hAnsi="Arial" w:cs="Arial"/>
          <w:b/>
          <w:color w:val="262626"/>
          <w:sz w:val="20"/>
        </w:rPr>
        <w:t>Determination</w:t>
      </w:r>
    </w:p>
    <w:p w14:paraId="561EB869" w14:textId="2745DD93" w:rsidR="00075B39" w:rsidRPr="005A5476" w:rsidRDefault="00914D5C" w:rsidP="007D6A7C">
      <w:pPr>
        <w:spacing w:before="240" w:after="240"/>
        <w:outlineLvl w:val="0"/>
        <w:rPr>
          <w:rFonts w:ascii="Arial" w:hAnsi="Arial" w:cs="Arial"/>
          <w:sz w:val="22"/>
          <w:szCs w:val="22"/>
          <w:lang w:val="en-AU"/>
        </w:rPr>
      </w:pPr>
      <w:r>
        <w:rPr>
          <w:rFonts w:ascii="Arial" w:hAnsi="Arial" w:cs="Arial"/>
          <w:sz w:val="20"/>
          <w:lang w:val="en-AU"/>
        </w:rPr>
        <w:t>Section 1</w:t>
      </w:r>
      <w:r w:rsidRPr="00987C42">
        <w:rPr>
          <w:rFonts w:ascii="Arial" w:hAnsi="Arial" w:cs="Arial"/>
          <w:sz w:val="20"/>
          <w:lang w:val="en-AU"/>
        </w:rPr>
        <w:t xml:space="preserve"> </w:t>
      </w:r>
      <w:r>
        <w:rPr>
          <w:rFonts w:ascii="Arial" w:hAnsi="Arial" w:cs="Arial"/>
          <w:sz w:val="20"/>
          <w:lang w:val="en-AU"/>
        </w:rPr>
        <w:t xml:space="preserve">provides that the </w:t>
      </w:r>
      <w:r w:rsidR="000B5FB3">
        <w:rPr>
          <w:rFonts w:ascii="Arial" w:hAnsi="Arial" w:cs="Arial"/>
          <w:sz w:val="20"/>
          <w:lang w:val="en-AU"/>
        </w:rPr>
        <w:t>Determination</w:t>
      </w:r>
      <w:r w:rsidR="00075B39">
        <w:rPr>
          <w:rFonts w:ascii="Arial" w:hAnsi="Arial" w:cs="Arial"/>
          <w:sz w:val="20"/>
          <w:lang w:val="en-AU"/>
        </w:rPr>
        <w:t xml:space="preserve"> </w:t>
      </w:r>
      <w:r>
        <w:rPr>
          <w:rFonts w:ascii="Arial" w:hAnsi="Arial" w:cs="Arial"/>
          <w:sz w:val="20"/>
          <w:lang w:val="en-AU"/>
        </w:rPr>
        <w:t xml:space="preserve">is the </w:t>
      </w:r>
      <w:r w:rsidR="00075B39" w:rsidRPr="00075B39">
        <w:rPr>
          <w:rFonts w:ascii="Arial" w:hAnsi="Arial" w:cs="Arial"/>
          <w:i/>
          <w:sz w:val="20"/>
          <w:lang w:val="en-AU"/>
        </w:rPr>
        <w:t xml:space="preserve">Radiocommunications </w:t>
      </w:r>
      <w:r w:rsidR="000B5FB3">
        <w:rPr>
          <w:rFonts w:ascii="Arial" w:hAnsi="Arial" w:cs="Arial"/>
          <w:i/>
          <w:sz w:val="20"/>
          <w:lang w:val="en-AU"/>
        </w:rPr>
        <w:t xml:space="preserve">Licence Conditions </w:t>
      </w:r>
      <w:r w:rsidR="00075B39" w:rsidRPr="00075B39">
        <w:rPr>
          <w:rFonts w:ascii="Arial" w:hAnsi="Arial" w:cs="Arial"/>
          <w:i/>
          <w:sz w:val="20"/>
          <w:lang w:val="en-AU"/>
        </w:rPr>
        <w:t>(</w:t>
      </w:r>
      <w:r w:rsidR="000B5FB3">
        <w:rPr>
          <w:rFonts w:ascii="Arial" w:hAnsi="Arial" w:cs="Arial"/>
          <w:i/>
          <w:sz w:val="20"/>
          <w:lang w:val="en-AU"/>
        </w:rPr>
        <w:t>Aeronautical Licence</w:t>
      </w:r>
      <w:r w:rsidR="00075B39" w:rsidRPr="00075B39">
        <w:rPr>
          <w:rFonts w:ascii="Arial" w:hAnsi="Arial" w:cs="Arial"/>
          <w:i/>
          <w:sz w:val="20"/>
          <w:lang w:val="en-AU"/>
        </w:rPr>
        <w:t xml:space="preserve">) </w:t>
      </w:r>
      <w:r w:rsidR="000B5FB3">
        <w:rPr>
          <w:rFonts w:ascii="Arial" w:hAnsi="Arial" w:cs="Arial"/>
          <w:i/>
          <w:sz w:val="20"/>
          <w:lang w:val="en-AU"/>
        </w:rPr>
        <w:t>Determination</w:t>
      </w:r>
      <w:r w:rsidR="00075B39" w:rsidRPr="00075B39">
        <w:rPr>
          <w:rFonts w:ascii="Arial" w:hAnsi="Arial" w:cs="Arial"/>
          <w:i/>
          <w:sz w:val="20"/>
          <w:lang w:val="en-AU"/>
        </w:rPr>
        <w:t xml:space="preserve"> </w:t>
      </w:r>
      <w:r w:rsidR="005E042E" w:rsidRPr="00075B39">
        <w:rPr>
          <w:rFonts w:ascii="Arial" w:hAnsi="Arial" w:cs="Arial"/>
          <w:i/>
          <w:sz w:val="20"/>
          <w:lang w:val="en-AU"/>
        </w:rPr>
        <w:t>201</w:t>
      </w:r>
      <w:r w:rsidR="005E042E">
        <w:rPr>
          <w:rFonts w:ascii="Arial" w:hAnsi="Arial" w:cs="Arial"/>
          <w:i/>
          <w:sz w:val="20"/>
          <w:lang w:val="en-AU"/>
        </w:rPr>
        <w:t>5</w:t>
      </w:r>
      <w:r w:rsidR="00075B39" w:rsidRPr="00075B39">
        <w:rPr>
          <w:rFonts w:ascii="Arial" w:hAnsi="Arial" w:cs="Arial"/>
          <w:sz w:val="20"/>
          <w:lang w:val="en-AU"/>
        </w:rPr>
        <w:t>.</w:t>
      </w:r>
    </w:p>
    <w:p w14:paraId="561EB86A" w14:textId="77777777" w:rsidR="00914D5C" w:rsidRPr="00EC4D12" w:rsidRDefault="00914D5C" w:rsidP="007D6A7C">
      <w:pPr>
        <w:spacing w:before="240" w:after="240"/>
        <w:outlineLvl w:val="0"/>
        <w:rPr>
          <w:rFonts w:ascii="Arial" w:hAnsi="Arial" w:cs="Arial"/>
          <w:b/>
          <w:sz w:val="20"/>
          <w:lang w:val="en-AU"/>
        </w:rPr>
      </w:pPr>
      <w:r w:rsidRPr="00EC4D12">
        <w:rPr>
          <w:rFonts w:ascii="Arial" w:hAnsi="Arial" w:cs="Arial"/>
          <w:b/>
          <w:sz w:val="20"/>
          <w:lang w:val="en-AU"/>
        </w:rPr>
        <w:t xml:space="preserve">Section </w:t>
      </w:r>
      <w:r w:rsidR="000B5FB3">
        <w:rPr>
          <w:rFonts w:ascii="Arial" w:hAnsi="Arial" w:cs="Arial"/>
          <w:b/>
          <w:sz w:val="20"/>
          <w:lang w:val="en-AU"/>
        </w:rPr>
        <w:t>1A</w:t>
      </w:r>
      <w:r w:rsidR="00E739E0" w:rsidRPr="00B6149E">
        <w:rPr>
          <w:rFonts w:ascii="Arial" w:hAnsi="Arial" w:cs="Arial"/>
          <w:b/>
          <w:color w:val="262626"/>
          <w:sz w:val="20"/>
        </w:rPr>
        <w:t xml:space="preserve"> – </w:t>
      </w:r>
      <w:r w:rsidR="000B5FB3">
        <w:rPr>
          <w:rFonts w:ascii="Arial" w:hAnsi="Arial" w:cs="Arial"/>
          <w:b/>
          <w:sz w:val="20"/>
          <w:lang w:val="en-AU"/>
        </w:rPr>
        <w:t>Commencement</w:t>
      </w:r>
    </w:p>
    <w:p w14:paraId="561EB86B" w14:textId="1A78E316" w:rsidR="00F27D50" w:rsidRDefault="00914D5C" w:rsidP="007D6A7C">
      <w:pPr>
        <w:spacing w:before="240" w:after="240"/>
        <w:rPr>
          <w:rFonts w:ascii="Arial" w:hAnsi="Arial" w:cs="Arial"/>
          <w:sz w:val="20"/>
          <w:lang w:val="en-AU"/>
        </w:rPr>
      </w:pPr>
      <w:r>
        <w:rPr>
          <w:rFonts w:ascii="Arial" w:hAnsi="Arial" w:cs="Arial"/>
          <w:sz w:val="20"/>
          <w:lang w:val="en-AU"/>
        </w:rPr>
        <w:t>S</w:t>
      </w:r>
      <w:r w:rsidRPr="00EC4D12">
        <w:rPr>
          <w:rFonts w:ascii="Arial" w:hAnsi="Arial" w:cs="Arial"/>
          <w:sz w:val="20"/>
          <w:lang w:val="en-AU"/>
        </w:rPr>
        <w:t xml:space="preserve">ection </w:t>
      </w:r>
      <w:r w:rsidR="000B5FB3">
        <w:rPr>
          <w:rFonts w:ascii="Arial" w:hAnsi="Arial" w:cs="Arial"/>
          <w:sz w:val="20"/>
          <w:lang w:val="en-AU"/>
        </w:rPr>
        <w:t>1A</w:t>
      </w:r>
      <w:r>
        <w:rPr>
          <w:rFonts w:ascii="Arial" w:hAnsi="Arial" w:cs="Arial"/>
          <w:sz w:val="20"/>
          <w:lang w:val="en-AU"/>
        </w:rPr>
        <w:t xml:space="preserve"> provides that the </w:t>
      </w:r>
      <w:r w:rsidR="000B5FB3">
        <w:rPr>
          <w:rFonts w:ascii="Arial" w:hAnsi="Arial" w:cs="Arial"/>
          <w:sz w:val="20"/>
          <w:lang w:val="en-AU"/>
        </w:rPr>
        <w:t>Determination</w:t>
      </w:r>
      <w:r w:rsidR="00075B39">
        <w:rPr>
          <w:rFonts w:ascii="Arial" w:hAnsi="Arial" w:cs="Arial"/>
          <w:sz w:val="20"/>
          <w:lang w:val="en-AU"/>
        </w:rPr>
        <w:t xml:space="preserve"> </w:t>
      </w:r>
      <w:r w:rsidRPr="00EC4D12">
        <w:rPr>
          <w:rFonts w:ascii="Arial" w:hAnsi="Arial" w:cs="Arial"/>
          <w:sz w:val="20"/>
          <w:lang w:val="en-AU"/>
        </w:rPr>
        <w:t>commence</w:t>
      </w:r>
      <w:r>
        <w:rPr>
          <w:rFonts w:ascii="Arial" w:hAnsi="Arial" w:cs="Arial"/>
          <w:sz w:val="20"/>
          <w:lang w:val="en-AU"/>
        </w:rPr>
        <w:t>s</w:t>
      </w:r>
      <w:r w:rsidR="00F27D50">
        <w:rPr>
          <w:rFonts w:ascii="Arial" w:hAnsi="Arial" w:cs="Arial"/>
          <w:sz w:val="20"/>
          <w:lang w:val="en-AU"/>
        </w:rPr>
        <w:t xml:space="preserve"> </w:t>
      </w:r>
      <w:r w:rsidR="00D14D9A">
        <w:rPr>
          <w:rFonts w:ascii="Arial" w:hAnsi="Arial" w:cs="Arial"/>
          <w:sz w:val="20"/>
          <w:lang w:val="en-AU"/>
        </w:rPr>
        <w:t xml:space="preserve">on the </w:t>
      </w:r>
      <w:r w:rsidRPr="00D72A99">
        <w:rPr>
          <w:rFonts w:ascii="Arial" w:hAnsi="Arial" w:cs="Arial"/>
          <w:sz w:val="20"/>
          <w:lang w:val="en-AU"/>
        </w:rPr>
        <w:t xml:space="preserve">day after it is registered </w:t>
      </w:r>
      <w:r>
        <w:rPr>
          <w:rFonts w:ascii="Arial" w:hAnsi="Arial" w:cs="Arial"/>
          <w:sz w:val="20"/>
          <w:lang w:val="en-AU"/>
        </w:rPr>
        <w:t>on the Federal Register of Legislative Instruments</w:t>
      </w:r>
      <w:r w:rsidR="000B5FB3">
        <w:rPr>
          <w:rFonts w:ascii="Arial" w:hAnsi="Arial" w:cs="Arial"/>
          <w:sz w:val="20"/>
          <w:lang w:val="en-AU"/>
        </w:rPr>
        <w:t>.</w:t>
      </w:r>
    </w:p>
    <w:p w14:paraId="561EB86C" w14:textId="77777777" w:rsidR="000B5FB3" w:rsidRPr="00B6149E" w:rsidRDefault="000B5FB3" w:rsidP="007D6A7C">
      <w:pPr>
        <w:spacing w:before="240" w:after="240"/>
        <w:rPr>
          <w:rFonts w:ascii="Arial" w:hAnsi="Arial" w:cs="Arial"/>
          <w:b/>
          <w:color w:val="262626"/>
          <w:sz w:val="20"/>
        </w:rPr>
      </w:pPr>
      <w:r w:rsidRPr="00B6149E">
        <w:rPr>
          <w:rFonts w:ascii="Arial" w:hAnsi="Arial" w:cs="Arial"/>
          <w:b/>
          <w:color w:val="262626"/>
          <w:sz w:val="20"/>
        </w:rPr>
        <w:t>Section 1B – Revocation</w:t>
      </w:r>
    </w:p>
    <w:p w14:paraId="561EB86D" w14:textId="3E522273" w:rsidR="000B5FB3" w:rsidRDefault="000B5FB3" w:rsidP="007D6A7C">
      <w:pPr>
        <w:spacing w:before="240" w:after="240"/>
        <w:rPr>
          <w:rFonts w:ascii="Arial" w:hAnsi="Arial" w:cs="Arial"/>
          <w:sz w:val="20"/>
          <w:lang w:val="en-AU"/>
        </w:rPr>
      </w:pPr>
      <w:r>
        <w:rPr>
          <w:rFonts w:ascii="Arial" w:hAnsi="Arial" w:cs="Arial"/>
          <w:sz w:val="20"/>
          <w:lang w:val="en-AU"/>
        </w:rPr>
        <w:t>S</w:t>
      </w:r>
      <w:r w:rsidRPr="0090366E">
        <w:rPr>
          <w:rFonts w:ascii="Arial" w:hAnsi="Arial" w:cs="Arial"/>
          <w:sz w:val="20"/>
          <w:lang w:val="en-AU"/>
        </w:rPr>
        <w:t xml:space="preserve">ection </w:t>
      </w:r>
      <w:r>
        <w:rPr>
          <w:rFonts w:ascii="Arial" w:hAnsi="Arial" w:cs="Arial"/>
          <w:sz w:val="20"/>
          <w:lang w:val="en-AU"/>
        </w:rPr>
        <w:t xml:space="preserve">1B </w:t>
      </w:r>
      <w:r w:rsidRPr="0090366E">
        <w:rPr>
          <w:rFonts w:ascii="Arial" w:hAnsi="Arial" w:cs="Arial"/>
          <w:sz w:val="20"/>
          <w:lang w:val="en-AU"/>
        </w:rPr>
        <w:t xml:space="preserve">provides </w:t>
      </w:r>
      <w:r>
        <w:rPr>
          <w:rFonts w:ascii="Arial" w:hAnsi="Arial" w:cs="Arial"/>
          <w:sz w:val="20"/>
          <w:lang w:val="en-AU"/>
        </w:rPr>
        <w:t xml:space="preserve">that the </w:t>
      </w:r>
      <w:r w:rsidR="0088553C" w:rsidRPr="0088553C">
        <w:rPr>
          <w:rFonts w:ascii="Arial" w:hAnsi="Arial" w:cs="Arial"/>
          <w:i/>
          <w:sz w:val="20"/>
          <w:lang w:val="en-AU"/>
        </w:rPr>
        <w:t>Radiocommunications Licence Conditions (Aeronautical Licence) Determination No. 1 of 1997</w:t>
      </w:r>
      <w:r w:rsidR="0088553C" w:rsidRPr="0088553C">
        <w:rPr>
          <w:rFonts w:ascii="Arial" w:hAnsi="Arial" w:cs="Arial"/>
          <w:sz w:val="20"/>
          <w:lang w:val="en-AU"/>
        </w:rPr>
        <w:t xml:space="preserve"> is revoked.</w:t>
      </w:r>
    </w:p>
    <w:p w14:paraId="561EB86E" w14:textId="77777777" w:rsidR="000B5FB3" w:rsidRPr="00B6149E" w:rsidRDefault="000B5FB3" w:rsidP="007D6A7C">
      <w:pPr>
        <w:spacing w:before="240" w:after="240"/>
        <w:rPr>
          <w:rFonts w:ascii="Arial" w:hAnsi="Arial" w:cs="Arial"/>
          <w:b/>
          <w:color w:val="262626"/>
          <w:sz w:val="20"/>
        </w:rPr>
      </w:pPr>
      <w:r w:rsidRPr="00B6149E">
        <w:rPr>
          <w:rFonts w:ascii="Arial" w:hAnsi="Arial" w:cs="Arial"/>
          <w:b/>
          <w:color w:val="262626"/>
          <w:sz w:val="20"/>
        </w:rPr>
        <w:t>Section 2</w:t>
      </w:r>
      <w:r w:rsidR="00E739E0" w:rsidRPr="00B6149E">
        <w:rPr>
          <w:rFonts w:ascii="Arial" w:hAnsi="Arial" w:cs="Arial"/>
          <w:b/>
          <w:color w:val="262626"/>
          <w:sz w:val="20"/>
        </w:rPr>
        <w:t xml:space="preserve"> – </w:t>
      </w:r>
      <w:r w:rsidRPr="00B6149E">
        <w:rPr>
          <w:rFonts w:ascii="Arial" w:hAnsi="Arial" w:cs="Arial"/>
          <w:b/>
          <w:color w:val="262626"/>
          <w:sz w:val="20"/>
        </w:rPr>
        <w:t>Scope</w:t>
      </w:r>
    </w:p>
    <w:p w14:paraId="561EB86F" w14:textId="2AAC8AA0" w:rsidR="000B5FB3" w:rsidRPr="005A5476" w:rsidRDefault="000B5FB3" w:rsidP="007D6A7C">
      <w:pPr>
        <w:spacing w:before="240" w:after="240"/>
        <w:outlineLvl w:val="0"/>
        <w:rPr>
          <w:rFonts w:ascii="Arial" w:hAnsi="Arial" w:cs="Arial"/>
          <w:sz w:val="22"/>
          <w:szCs w:val="22"/>
          <w:lang w:val="en-AU"/>
        </w:rPr>
      </w:pPr>
      <w:r>
        <w:rPr>
          <w:rFonts w:ascii="Arial" w:hAnsi="Arial" w:cs="Arial"/>
          <w:sz w:val="20"/>
          <w:lang w:val="en-AU"/>
        </w:rPr>
        <w:t>Section 2</w:t>
      </w:r>
      <w:r w:rsidRPr="00987C42">
        <w:rPr>
          <w:rFonts w:ascii="Arial" w:hAnsi="Arial" w:cs="Arial"/>
          <w:sz w:val="20"/>
          <w:lang w:val="en-AU"/>
        </w:rPr>
        <w:t xml:space="preserve"> </w:t>
      </w:r>
      <w:r w:rsidR="005E042E">
        <w:rPr>
          <w:rFonts w:ascii="Arial" w:hAnsi="Arial" w:cs="Arial"/>
          <w:sz w:val="20"/>
          <w:lang w:val="en-AU"/>
        </w:rPr>
        <w:t>provides that every aeronautical licence is subject to the conditions in Part 2 of the Determination. Every aeronautical licence (aeronautical assigned system station) is also subject to the conditions in Part 3 of the Determination. However if a condition in the Determination is inconsistent with a condition specified in the licence, the condition specified in the licence applies.</w:t>
      </w:r>
    </w:p>
    <w:p w14:paraId="561EB870" w14:textId="77777777" w:rsidR="00D14D9A" w:rsidRPr="00B6149E" w:rsidRDefault="00D14D9A" w:rsidP="007D6A7C">
      <w:pPr>
        <w:spacing w:before="240" w:after="240"/>
        <w:rPr>
          <w:rFonts w:ascii="Arial" w:hAnsi="Arial" w:cs="Arial"/>
          <w:b/>
          <w:color w:val="262626"/>
          <w:sz w:val="20"/>
        </w:rPr>
      </w:pPr>
      <w:r w:rsidRPr="00B6149E">
        <w:rPr>
          <w:rFonts w:ascii="Arial" w:hAnsi="Arial" w:cs="Arial"/>
          <w:b/>
          <w:color w:val="262626"/>
          <w:sz w:val="20"/>
        </w:rPr>
        <w:t xml:space="preserve">Section 3 – </w:t>
      </w:r>
      <w:r w:rsidR="000B5FB3" w:rsidRPr="00B6149E">
        <w:rPr>
          <w:rFonts w:ascii="Arial" w:hAnsi="Arial" w:cs="Arial"/>
          <w:b/>
          <w:color w:val="262626"/>
          <w:sz w:val="20"/>
        </w:rPr>
        <w:t>Interpretation</w:t>
      </w:r>
    </w:p>
    <w:p w14:paraId="561EB871" w14:textId="17C04B79" w:rsidR="00D14D9A" w:rsidRDefault="00D14D9A" w:rsidP="007D6A7C">
      <w:pPr>
        <w:spacing w:before="240" w:after="240"/>
        <w:rPr>
          <w:rFonts w:ascii="Arial" w:hAnsi="Arial" w:cs="Arial"/>
          <w:sz w:val="20"/>
          <w:lang w:val="en-AU"/>
        </w:rPr>
      </w:pPr>
      <w:r>
        <w:rPr>
          <w:rFonts w:ascii="Arial" w:hAnsi="Arial" w:cs="Arial"/>
          <w:sz w:val="20"/>
          <w:lang w:val="en-AU"/>
        </w:rPr>
        <w:t xml:space="preserve">Section 3 defines </w:t>
      </w:r>
      <w:r w:rsidRPr="0090366E">
        <w:rPr>
          <w:rFonts w:ascii="Arial" w:hAnsi="Arial" w:cs="Arial"/>
          <w:sz w:val="20"/>
          <w:lang w:val="en-AU"/>
        </w:rPr>
        <w:t xml:space="preserve">terms used in </w:t>
      </w:r>
      <w:r>
        <w:rPr>
          <w:rFonts w:ascii="Arial" w:hAnsi="Arial" w:cs="Arial"/>
          <w:sz w:val="20"/>
          <w:lang w:val="en-AU"/>
        </w:rPr>
        <w:t xml:space="preserve">the </w:t>
      </w:r>
      <w:r w:rsidR="00E739E0">
        <w:rPr>
          <w:rFonts w:ascii="Arial" w:hAnsi="Arial" w:cs="Arial"/>
          <w:sz w:val="20"/>
          <w:lang w:val="en-AU"/>
        </w:rPr>
        <w:t>Determination</w:t>
      </w:r>
      <w:r>
        <w:rPr>
          <w:rFonts w:ascii="Arial" w:hAnsi="Arial" w:cs="Arial"/>
          <w:sz w:val="20"/>
          <w:lang w:val="en-AU"/>
        </w:rPr>
        <w:t>.</w:t>
      </w:r>
      <w:r w:rsidR="00A25C19">
        <w:rPr>
          <w:rFonts w:ascii="Arial" w:hAnsi="Arial" w:cs="Arial"/>
          <w:sz w:val="20"/>
          <w:lang w:val="en-AU"/>
        </w:rPr>
        <w:t xml:space="preserve">  </w:t>
      </w:r>
    </w:p>
    <w:p w14:paraId="178413F8" w14:textId="74960768" w:rsidR="00B67FB4" w:rsidRDefault="00A25C19" w:rsidP="007D6A7C">
      <w:pPr>
        <w:spacing w:before="240" w:after="240"/>
        <w:rPr>
          <w:rFonts w:ascii="Arial" w:hAnsi="Arial" w:cs="Arial"/>
          <w:sz w:val="20"/>
          <w:lang w:val="en-AU"/>
        </w:rPr>
      </w:pPr>
      <w:r>
        <w:rPr>
          <w:rFonts w:ascii="Arial" w:hAnsi="Arial" w:cs="Arial"/>
          <w:sz w:val="20"/>
          <w:lang w:val="en-AU"/>
        </w:rPr>
        <w:t>“UNICOM” is defined to mean “Universal Communications”</w:t>
      </w:r>
      <w:r w:rsidR="00784B1D">
        <w:rPr>
          <w:rFonts w:ascii="Arial" w:hAnsi="Arial" w:cs="Arial"/>
          <w:sz w:val="20"/>
          <w:lang w:val="en-AU"/>
        </w:rPr>
        <w:t xml:space="preserve"> which</w:t>
      </w:r>
      <w:r>
        <w:rPr>
          <w:rFonts w:ascii="Arial" w:hAnsi="Arial" w:cs="Arial"/>
          <w:sz w:val="20"/>
          <w:lang w:val="en-AU"/>
        </w:rPr>
        <w:t xml:space="preserve"> </w:t>
      </w:r>
      <w:r w:rsidR="00784B1D">
        <w:rPr>
          <w:rFonts w:ascii="Arial" w:hAnsi="Arial" w:cs="Arial"/>
          <w:sz w:val="20"/>
          <w:lang w:val="en-AU"/>
        </w:rPr>
        <w:t>is a communications service provided to enhance the value of information normally available about a non-controlled aerodrome. A definition of the term can be found in Airservices Australia’s Aeronautical Information Package (</w:t>
      </w:r>
      <w:hyperlink r:id="rId14" w:history="1">
        <w:r w:rsidR="00B67FB4" w:rsidRPr="008D5DDA">
          <w:rPr>
            <w:rStyle w:val="Hyperlink"/>
            <w:rFonts w:ascii="Arial" w:hAnsi="Arial" w:cs="Arial"/>
            <w:sz w:val="20"/>
            <w:lang w:val="en-AU"/>
          </w:rPr>
          <w:t>http://www.airservicesaustralia.com/aip/current/aip/general.pdf</w:t>
        </w:r>
      </w:hyperlink>
      <w:r w:rsidR="00784B1D">
        <w:rPr>
          <w:rFonts w:ascii="Arial" w:hAnsi="Arial" w:cs="Arial"/>
          <w:sz w:val="20"/>
          <w:lang w:val="en-AU"/>
        </w:rPr>
        <w:t>)</w:t>
      </w:r>
      <w:r w:rsidR="00B67FB4">
        <w:rPr>
          <w:rFonts w:ascii="Arial" w:hAnsi="Arial" w:cs="Arial"/>
          <w:sz w:val="20"/>
          <w:lang w:val="en-AU"/>
        </w:rPr>
        <w:t>.</w:t>
      </w:r>
    </w:p>
    <w:p w14:paraId="561EB872" w14:textId="40FED714" w:rsidR="00D14D9A" w:rsidRPr="00B6149E" w:rsidRDefault="00D14D9A" w:rsidP="007D6A7C">
      <w:pPr>
        <w:spacing w:before="240" w:after="240"/>
        <w:rPr>
          <w:rFonts w:ascii="Arial" w:hAnsi="Arial" w:cs="Arial"/>
          <w:b/>
          <w:color w:val="262626"/>
          <w:sz w:val="20"/>
        </w:rPr>
      </w:pPr>
      <w:r w:rsidRPr="00B6149E">
        <w:rPr>
          <w:rFonts w:ascii="Arial" w:hAnsi="Arial" w:cs="Arial"/>
          <w:b/>
          <w:color w:val="262626"/>
          <w:sz w:val="20"/>
        </w:rPr>
        <w:t xml:space="preserve">Section </w:t>
      </w:r>
      <w:r w:rsidR="00E739E0" w:rsidRPr="00B6149E">
        <w:rPr>
          <w:rFonts w:ascii="Arial" w:hAnsi="Arial" w:cs="Arial"/>
          <w:b/>
          <w:color w:val="262626"/>
          <w:sz w:val="20"/>
        </w:rPr>
        <w:t>4</w:t>
      </w:r>
      <w:r w:rsidRPr="00B6149E">
        <w:rPr>
          <w:rFonts w:ascii="Arial" w:hAnsi="Arial" w:cs="Arial"/>
          <w:b/>
          <w:color w:val="262626"/>
          <w:sz w:val="20"/>
        </w:rPr>
        <w:t xml:space="preserve"> – Condition</w:t>
      </w:r>
      <w:r w:rsidR="00E739E0" w:rsidRPr="00B6149E">
        <w:rPr>
          <w:rFonts w:ascii="Arial" w:hAnsi="Arial" w:cs="Arial"/>
          <w:b/>
          <w:color w:val="262626"/>
          <w:sz w:val="20"/>
        </w:rPr>
        <w:t>s</w:t>
      </w:r>
    </w:p>
    <w:p w14:paraId="561EB873" w14:textId="1E6131E4" w:rsidR="00D14D9A" w:rsidRPr="007D6A7C" w:rsidRDefault="00D14D9A" w:rsidP="007D6A7C">
      <w:pPr>
        <w:spacing w:before="240" w:after="240"/>
        <w:rPr>
          <w:rFonts w:ascii="Arial" w:hAnsi="Arial" w:cs="Arial"/>
          <w:sz w:val="20"/>
          <w:lang w:val="en-AU"/>
        </w:rPr>
      </w:pPr>
      <w:r w:rsidRPr="00D14D9A">
        <w:rPr>
          <w:rFonts w:ascii="Arial" w:hAnsi="Arial" w:cs="Arial"/>
          <w:sz w:val="20"/>
          <w:lang w:val="en-AU"/>
        </w:rPr>
        <w:t xml:space="preserve">Section </w:t>
      </w:r>
      <w:r w:rsidR="00E739E0">
        <w:rPr>
          <w:rFonts w:ascii="Arial" w:hAnsi="Arial" w:cs="Arial"/>
          <w:sz w:val="20"/>
          <w:lang w:val="en-AU"/>
        </w:rPr>
        <w:t>4</w:t>
      </w:r>
      <w:r w:rsidRPr="00D14D9A">
        <w:rPr>
          <w:rFonts w:ascii="Arial" w:hAnsi="Arial" w:cs="Arial"/>
          <w:sz w:val="20"/>
          <w:lang w:val="en-AU"/>
        </w:rPr>
        <w:t xml:space="preserve"> provides </w:t>
      </w:r>
      <w:r w:rsidR="00FD453F">
        <w:rPr>
          <w:rFonts w:ascii="Arial" w:hAnsi="Arial" w:cs="Arial"/>
          <w:sz w:val="20"/>
          <w:lang w:val="en-AU"/>
        </w:rPr>
        <w:t>that the conditions in Part 2 of the Determination relating to the operation of aeronautical stations under a licence by a licensee are applicable to every aeronautical licence.</w:t>
      </w:r>
    </w:p>
    <w:p w14:paraId="561EB874" w14:textId="77777777" w:rsidR="00D14D9A" w:rsidRPr="00B6149E" w:rsidRDefault="00D14D9A" w:rsidP="007D6A7C">
      <w:pPr>
        <w:spacing w:before="240" w:after="240"/>
        <w:rPr>
          <w:rFonts w:ascii="Arial" w:hAnsi="Arial" w:cs="Arial"/>
          <w:b/>
          <w:color w:val="262626"/>
          <w:sz w:val="20"/>
        </w:rPr>
      </w:pPr>
      <w:r w:rsidRPr="00B6149E">
        <w:rPr>
          <w:rFonts w:ascii="Arial" w:hAnsi="Arial" w:cs="Arial"/>
          <w:b/>
          <w:color w:val="262626"/>
          <w:sz w:val="20"/>
        </w:rPr>
        <w:t xml:space="preserve">Section </w:t>
      </w:r>
      <w:r w:rsidR="00E739E0" w:rsidRPr="00B6149E">
        <w:rPr>
          <w:rFonts w:ascii="Arial" w:hAnsi="Arial" w:cs="Arial"/>
          <w:b/>
          <w:color w:val="262626"/>
          <w:sz w:val="20"/>
        </w:rPr>
        <w:t>5</w:t>
      </w:r>
      <w:r w:rsidRPr="00B6149E">
        <w:rPr>
          <w:rFonts w:ascii="Arial" w:hAnsi="Arial" w:cs="Arial"/>
          <w:b/>
          <w:color w:val="262626"/>
          <w:sz w:val="20"/>
        </w:rPr>
        <w:t xml:space="preserve"> – </w:t>
      </w:r>
      <w:r w:rsidR="00E739E0" w:rsidRPr="00B6149E">
        <w:rPr>
          <w:rFonts w:ascii="Arial" w:hAnsi="Arial" w:cs="Arial"/>
          <w:b/>
          <w:color w:val="262626"/>
          <w:sz w:val="20"/>
        </w:rPr>
        <w:t>Technical performance of an aeronautical station</w:t>
      </w:r>
    </w:p>
    <w:p w14:paraId="564E8D65" w14:textId="355237FC" w:rsidR="00FD453F" w:rsidRDefault="00D14D9A" w:rsidP="007D6A7C">
      <w:pPr>
        <w:spacing w:before="240" w:after="240"/>
        <w:rPr>
          <w:rFonts w:ascii="Arial" w:hAnsi="Arial" w:cs="Arial"/>
          <w:sz w:val="20"/>
          <w:lang w:val="en-AU"/>
        </w:rPr>
      </w:pPr>
      <w:r w:rsidRPr="00D14D9A">
        <w:rPr>
          <w:rFonts w:ascii="Arial" w:hAnsi="Arial" w:cs="Arial"/>
          <w:sz w:val="20"/>
          <w:lang w:val="en-AU"/>
        </w:rPr>
        <w:t xml:space="preserve">Section </w:t>
      </w:r>
      <w:r w:rsidR="00E739E0">
        <w:rPr>
          <w:rFonts w:ascii="Arial" w:hAnsi="Arial" w:cs="Arial"/>
          <w:sz w:val="20"/>
          <w:lang w:val="en-AU"/>
        </w:rPr>
        <w:t>5</w:t>
      </w:r>
      <w:r w:rsidRPr="00D14D9A">
        <w:rPr>
          <w:rFonts w:ascii="Arial" w:hAnsi="Arial" w:cs="Arial"/>
          <w:sz w:val="20"/>
          <w:lang w:val="en-AU"/>
        </w:rPr>
        <w:t xml:space="preserve"> </w:t>
      </w:r>
      <w:r w:rsidR="00D87348" w:rsidRPr="00D14D9A">
        <w:rPr>
          <w:rFonts w:ascii="Arial" w:hAnsi="Arial" w:cs="Arial"/>
          <w:sz w:val="20"/>
          <w:lang w:val="en-AU"/>
        </w:rPr>
        <w:t xml:space="preserve">provides </w:t>
      </w:r>
      <w:r w:rsidR="00A25C19">
        <w:rPr>
          <w:rFonts w:ascii="Arial" w:hAnsi="Arial" w:cs="Arial"/>
          <w:sz w:val="20"/>
          <w:lang w:val="en-AU"/>
        </w:rPr>
        <w:t xml:space="preserve">that </w:t>
      </w:r>
      <w:r w:rsidR="00504433">
        <w:rPr>
          <w:rFonts w:ascii="Arial" w:hAnsi="Arial" w:cs="Arial"/>
          <w:sz w:val="20"/>
          <w:lang w:val="en-AU"/>
        </w:rPr>
        <w:t xml:space="preserve">an aeronautical station must comply with the requirements of any applicable </w:t>
      </w:r>
      <w:r w:rsidR="008F227F">
        <w:rPr>
          <w:rFonts w:ascii="Arial" w:hAnsi="Arial" w:cs="Arial"/>
          <w:sz w:val="20"/>
          <w:lang w:val="en-AU"/>
        </w:rPr>
        <w:t xml:space="preserve">standard </w:t>
      </w:r>
      <w:r w:rsidR="00A25C19">
        <w:rPr>
          <w:rFonts w:ascii="Arial" w:hAnsi="Arial" w:cs="Arial"/>
          <w:sz w:val="20"/>
          <w:lang w:val="en-AU"/>
        </w:rPr>
        <w:t xml:space="preserve">(that is, one that applies to the particular station) </w:t>
      </w:r>
      <w:r w:rsidR="00504433">
        <w:rPr>
          <w:rFonts w:ascii="Arial" w:hAnsi="Arial" w:cs="Arial"/>
          <w:sz w:val="20"/>
          <w:lang w:val="en-AU"/>
        </w:rPr>
        <w:t>as in force when the station</w:t>
      </w:r>
      <w:r w:rsidR="008F227F">
        <w:rPr>
          <w:rFonts w:ascii="Arial" w:hAnsi="Arial" w:cs="Arial"/>
          <w:sz w:val="20"/>
          <w:lang w:val="en-AU"/>
        </w:rPr>
        <w:t xml:space="preserve"> was manufactured or imported into Australia</w:t>
      </w:r>
      <w:r w:rsidR="00A25C19">
        <w:rPr>
          <w:rFonts w:ascii="Arial" w:hAnsi="Arial" w:cs="Arial"/>
          <w:sz w:val="20"/>
          <w:lang w:val="en-AU"/>
        </w:rPr>
        <w:t>,</w:t>
      </w:r>
      <w:r w:rsidR="008F227F">
        <w:rPr>
          <w:rFonts w:ascii="Arial" w:hAnsi="Arial" w:cs="Arial"/>
          <w:sz w:val="20"/>
          <w:lang w:val="en-AU"/>
        </w:rPr>
        <w:t xml:space="preserve"> or</w:t>
      </w:r>
      <w:r w:rsidR="00A25C19">
        <w:rPr>
          <w:rFonts w:ascii="Arial" w:hAnsi="Arial" w:cs="Arial"/>
          <w:sz w:val="20"/>
          <w:lang w:val="en-AU"/>
        </w:rPr>
        <w:t xml:space="preserve"> when the station was</w:t>
      </w:r>
      <w:r w:rsidR="008F227F">
        <w:rPr>
          <w:rFonts w:ascii="Arial" w:hAnsi="Arial" w:cs="Arial"/>
          <w:sz w:val="20"/>
          <w:lang w:val="en-AU"/>
        </w:rPr>
        <w:t xml:space="preserve"> modified in any material respect</w:t>
      </w:r>
      <w:r w:rsidR="00504433">
        <w:rPr>
          <w:rFonts w:ascii="Arial" w:hAnsi="Arial" w:cs="Arial"/>
          <w:sz w:val="20"/>
          <w:lang w:val="en-AU"/>
        </w:rPr>
        <w:t xml:space="preserve">. </w:t>
      </w:r>
      <w:r w:rsidR="00FD453F">
        <w:rPr>
          <w:rFonts w:ascii="Arial" w:hAnsi="Arial" w:cs="Arial"/>
          <w:sz w:val="20"/>
          <w:lang w:val="en-AU"/>
        </w:rPr>
        <w:t>A standard is defined in the Act as a standard made under section 162.</w:t>
      </w:r>
      <w:r w:rsidR="00A25C19">
        <w:rPr>
          <w:rFonts w:ascii="Arial" w:hAnsi="Arial" w:cs="Arial"/>
          <w:sz w:val="20"/>
          <w:lang w:val="en-AU"/>
        </w:rPr>
        <w:t xml:space="preserve">  </w:t>
      </w:r>
    </w:p>
    <w:p w14:paraId="561EB875" w14:textId="7DEF8DBF" w:rsidR="00D87348" w:rsidRDefault="00FD453F" w:rsidP="007D6A7C">
      <w:pPr>
        <w:spacing w:before="240" w:after="240"/>
        <w:rPr>
          <w:rFonts w:ascii="Arial" w:hAnsi="Arial" w:cs="Arial"/>
          <w:sz w:val="20"/>
          <w:lang w:val="en-AU"/>
        </w:rPr>
      </w:pPr>
      <w:r>
        <w:rPr>
          <w:rFonts w:ascii="Arial" w:hAnsi="Arial" w:cs="Arial"/>
          <w:sz w:val="20"/>
          <w:lang w:val="en-AU"/>
        </w:rPr>
        <w:t>Section 5</w:t>
      </w:r>
      <w:r w:rsidR="008F227F">
        <w:rPr>
          <w:rFonts w:ascii="Arial" w:hAnsi="Arial" w:cs="Arial"/>
          <w:sz w:val="20"/>
          <w:lang w:val="en-AU"/>
        </w:rPr>
        <w:t xml:space="preserve"> also</w:t>
      </w:r>
      <w:r w:rsidRPr="00FD453F">
        <w:rPr>
          <w:rFonts w:ascii="Arial" w:hAnsi="Arial" w:cs="Arial"/>
          <w:sz w:val="20"/>
          <w:lang w:val="en-AU"/>
        </w:rPr>
        <w:t xml:space="preserve"> </w:t>
      </w:r>
      <w:r>
        <w:rPr>
          <w:rFonts w:ascii="Arial" w:hAnsi="Arial" w:cs="Arial"/>
          <w:sz w:val="20"/>
          <w:lang w:val="en-AU"/>
        </w:rPr>
        <w:t>specifies that this condition does not apply to</w:t>
      </w:r>
      <w:r w:rsidR="007C672A">
        <w:rPr>
          <w:rFonts w:ascii="Arial" w:hAnsi="Arial" w:cs="Arial"/>
          <w:sz w:val="20"/>
          <w:lang w:val="en-AU"/>
        </w:rPr>
        <w:t xml:space="preserve"> aeronautical stations operated by Airservices </w:t>
      </w:r>
      <w:r w:rsidR="008F227F">
        <w:rPr>
          <w:rFonts w:ascii="Arial" w:hAnsi="Arial" w:cs="Arial"/>
          <w:sz w:val="20"/>
          <w:lang w:val="en-AU"/>
        </w:rPr>
        <w:t xml:space="preserve">Australia </w:t>
      </w:r>
      <w:r w:rsidR="00D016D8">
        <w:rPr>
          <w:rFonts w:ascii="Arial" w:hAnsi="Arial" w:cs="Arial"/>
          <w:sz w:val="20"/>
          <w:lang w:val="en-AU"/>
        </w:rPr>
        <w:t>or</w:t>
      </w:r>
      <w:r w:rsidR="008F227F">
        <w:rPr>
          <w:rFonts w:ascii="Arial" w:hAnsi="Arial" w:cs="Arial"/>
          <w:sz w:val="20"/>
          <w:lang w:val="en-AU"/>
        </w:rPr>
        <w:t xml:space="preserve"> the Civil Aviation Safety Authority</w:t>
      </w:r>
      <w:r w:rsidR="007C672A">
        <w:rPr>
          <w:rFonts w:ascii="Arial" w:hAnsi="Arial" w:cs="Arial"/>
          <w:sz w:val="20"/>
          <w:lang w:val="en-AU"/>
        </w:rPr>
        <w:t>.</w:t>
      </w:r>
      <w:r w:rsidR="00D73EC9">
        <w:rPr>
          <w:rFonts w:ascii="Arial" w:hAnsi="Arial" w:cs="Arial"/>
          <w:sz w:val="20"/>
          <w:lang w:val="en-AU"/>
        </w:rPr>
        <w:t xml:space="preserve"> </w:t>
      </w:r>
    </w:p>
    <w:p w14:paraId="561EB876" w14:textId="77777777" w:rsidR="00D87348" w:rsidRPr="00B6149E" w:rsidRDefault="00D87348" w:rsidP="00784B1D">
      <w:pPr>
        <w:keepNext/>
        <w:spacing w:before="240" w:after="240"/>
        <w:rPr>
          <w:rFonts w:ascii="Arial" w:hAnsi="Arial" w:cs="Arial"/>
          <w:b/>
          <w:color w:val="262626"/>
          <w:sz w:val="20"/>
        </w:rPr>
      </w:pPr>
      <w:r w:rsidRPr="00B6149E">
        <w:rPr>
          <w:rFonts w:ascii="Arial" w:hAnsi="Arial" w:cs="Arial"/>
          <w:b/>
          <w:color w:val="262626"/>
          <w:sz w:val="20"/>
        </w:rPr>
        <w:t>Section 6 – Communications between aeronautical station</w:t>
      </w:r>
      <w:r w:rsidR="00FB4091" w:rsidRPr="00B6149E">
        <w:rPr>
          <w:rFonts w:ascii="Arial" w:hAnsi="Arial" w:cs="Arial"/>
          <w:b/>
          <w:color w:val="262626"/>
          <w:sz w:val="20"/>
        </w:rPr>
        <w:t>s</w:t>
      </w:r>
    </w:p>
    <w:p w14:paraId="561EB877" w14:textId="4DAAD390" w:rsidR="00D14D9A" w:rsidRPr="007D6A7C" w:rsidRDefault="00D87348" w:rsidP="007D6A7C">
      <w:pPr>
        <w:spacing w:before="240" w:after="240"/>
        <w:rPr>
          <w:rFonts w:ascii="Arial" w:hAnsi="Arial" w:cs="Arial"/>
          <w:sz w:val="20"/>
          <w:lang w:val="en-AU"/>
        </w:rPr>
      </w:pPr>
      <w:r>
        <w:rPr>
          <w:rFonts w:ascii="Arial" w:hAnsi="Arial" w:cs="Arial"/>
          <w:sz w:val="20"/>
          <w:lang w:val="en-AU"/>
        </w:rPr>
        <w:t xml:space="preserve">Section 6 </w:t>
      </w:r>
      <w:r w:rsidR="00D14D9A" w:rsidRPr="00D14D9A">
        <w:rPr>
          <w:rFonts w:ascii="Arial" w:hAnsi="Arial" w:cs="Arial"/>
          <w:sz w:val="20"/>
          <w:lang w:val="en-AU"/>
        </w:rPr>
        <w:t xml:space="preserve">provides </w:t>
      </w:r>
      <w:r w:rsidR="00D016D8">
        <w:rPr>
          <w:rFonts w:ascii="Arial" w:hAnsi="Arial" w:cs="Arial"/>
          <w:sz w:val="20"/>
          <w:lang w:val="en-AU"/>
        </w:rPr>
        <w:t xml:space="preserve">that an aeronautical station must be operated to allow communications between aeronautical stations only in relation to specified </w:t>
      </w:r>
      <w:r w:rsidR="007C672A">
        <w:rPr>
          <w:rFonts w:ascii="Arial" w:hAnsi="Arial" w:cs="Arial"/>
          <w:sz w:val="20"/>
          <w:lang w:val="en-AU"/>
        </w:rPr>
        <w:t>matters</w:t>
      </w:r>
      <w:r w:rsidR="00117DD2">
        <w:rPr>
          <w:rFonts w:ascii="Arial" w:hAnsi="Arial" w:cs="Arial"/>
          <w:sz w:val="20"/>
          <w:lang w:val="en-AU"/>
        </w:rPr>
        <w:t>. The section also specifies t</w:t>
      </w:r>
      <w:r w:rsidR="00D016D8">
        <w:rPr>
          <w:rFonts w:ascii="Arial" w:hAnsi="Arial" w:cs="Arial"/>
          <w:sz w:val="20"/>
          <w:lang w:val="en-AU"/>
        </w:rPr>
        <w:t xml:space="preserve">hat this condition does not apply to aeronautical stations operated by Airservices Australia or the Civil Aviation Safety Authority, or to any licensee that operates an aeronautical station providing UNICOM or Certified Air/Ground Radio services.  </w:t>
      </w:r>
      <w:r w:rsidR="00784B1D">
        <w:rPr>
          <w:rFonts w:ascii="Arial" w:hAnsi="Arial" w:cs="Arial"/>
          <w:sz w:val="20"/>
          <w:lang w:val="en-AU"/>
        </w:rPr>
        <w:t>A Certified Air/Ground Radio Service is an aerodrome-based radio information service, which may operate at non-controlled aerodromes.</w:t>
      </w:r>
      <w:r w:rsidR="00BC5479" w:rsidRPr="00BC5479">
        <w:rPr>
          <w:rFonts w:ascii="Arial" w:hAnsi="Arial" w:cs="Arial"/>
          <w:sz w:val="20"/>
          <w:lang w:val="en-AU"/>
        </w:rPr>
        <w:t xml:space="preserve"> </w:t>
      </w:r>
      <w:r w:rsidR="00BC5479">
        <w:rPr>
          <w:rFonts w:ascii="Arial" w:hAnsi="Arial" w:cs="Arial"/>
          <w:sz w:val="20"/>
          <w:lang w:val="en-AU"/>
        </w:rPr>
        <w:t>A definition of the term can be found in Airservices Australia’s Aeronautical Information Package (</w:t>
      </w:r>
      <w:hyperlink r:id="rId15" w:history="1">
        <w:r w:rsidR="00B67FB4" w:rsidRPr="008D5DDA">
          <w:rPr>
            <w:rStyle w:val="Hyperlink"/>
            <w:rFonts w:ascii="Arial" w:hAnsi="Arial" w:cs="Arial"/>
            <w:sz w:val="20"/>
            <w:lang w:val="en-AU"/>
          </w:rPr>
          <w:t>http://www.airservicesaustralia.com/aip/current/aip/general.pdf</w:t>
        </w:r>
      </w:hyperlink>
      <w:r w:rsidR="00BC5479">
        <w:rPr>
          <w:rFonts w:ascii="Arial" w:hAnsi="Arial" w:cs="Arial"/>
          <w:sz w:val="20"/>
          <w:lang w:val="en-AU"/>
        </w:rPr>
        <w:t>)</w:t>
      </w:r>
      <w:r w:rsidR="00B67FB4">
        <w:rPr>
          <w:rFonts w:ascii="Arial" w:hAnsi="Arial" w:cs="Arial"/>
          <w:sz w:val="20"/>
          <w:lang w:val="en-AU"/>
        </w:rPr>
        <w:t>.</w:t>
      </w:r>
    </w:p>
    <w:p w14:paraId="561EB878" w14:textId="77777777" w:rsidR="007D6A7C" w:rsidRPr="00B6149E" w:rsidRDefault="007D6A7C" w:rsidP="007D6A7C">
      <w:pPr>
        <w:spacing w:before="240" w:after="240"/>
        <w:rPr>
          <w:rFonts w:ascii="Arial" w:hAnsi="Arial" w:cs="Arial"/>
          <w:b/>
          <w:color w:val="262626"/>
          <w:sz w:val="20"/>
        </w:rPr>
      </w:pPr>
      <w:r w:rsidRPr="00B6149E">
        <w:rPr>
          <w:rFonts w:ascii="Arial" w:hAnsi="Arial" w:cs="Arial"/>
          <w:b/>
          <w:color w:val="262626"/>
          <w:sz w:val="20"/>
        </w:rPr>
        <w:t>Section 7 – Communications between aeronautical station</w:t>
      </w:r>
      <w:r w:rsidR="00FB4091" w:rsidRPr="00B6149E">
        <w:rPr>
          <w:rFonts w:ascii="Arial" w:hAnsi="Arial" w:cs="Arial"/>
          <w:b/>
          <w:color w:val="262626"/>
          <w:sz w:val="20"/>
        </w:rPr>
        <w:t xml:space="preserve"> and aircraft station</w:t>
      </w:r>
    </w:p>
    <w:p w14:paraId="561EB879" w14:textId="28FB1362" w:rsidR="00117DD2" w:rsidRPr="007D6A7C" w:rsidRDefault="00117DD2" w:rsidP="00117DD2">
      <w:pPr>
        <w:spacing w:before="240" w:after="240"/>
        <w:rPr>
          <w:rFonts w:ascii="Arial" w:hAnsi="Arial" w:cs="Arial"/>
          <w:sz w:val="20"/>
          <w:lang w:val="en-AU"/>
        </w:rPr>
      </w:pPr>
      <w:r>
        <w:rPr>
          <w:rFonts w:ascii="Arial" w:hAnsi="Arial" w:cs="Arial"/>
          <w:sz w:val="20"/>
          <w:lang w:val="en-AU"/>
        </w:rPr>
        <w:t xml:space="preserve">Section 7 </w:t>
      </w:r>
      <w:r w:rsidRPr="00D14D9A">
        <w:rPr>
          <w:rFonts w:ascii="Arial" w:hAnsi="Arial" w:cs="Arial"/>
          <w:sz w:val="20"/>
          <w:lang w:val="en-AU"/>
        </w:rPr>
        <w:t xml:space="preserve">provides </w:t>
      </w:r>
      <w:r w:rsidR="00D016D8">
        <w:rPr>
          <w:rFonts w:ascii="Arial" w:hAnsi="Arial" w:cs="Arial"/>
          <w:sz w:val="20"/>
          <w:lang w:val="en-AU"/>
        </w:rPr>
        <w:t xml:space="preserve">that an aeronautical station must be operated to allow communications between the station and an aircraft station only in relation to specified </w:t>
      </w:r>
      <w:r w:rsidR="007C672A">
        <w:rPr>
          <w:rFonts w:ascii="Arial" w:hAnsi="Arial" w:cs="Arial"/>
          <w:sz w:val="20"/>
          <w:lang w:val="en-AU"/>
        </w:rPr>
        <w:t>matters</w:t>
      </w:r>
      <w:r w:rsidR="00893910">
        <w:rPr>
          <w:rFonts w:ascii="Arial" w:hAnsi="Arial" w:cs="Arial"/>
          <w:sz w:val="20"/>
          <w:lang w:val="en-AU"/>
        </w:rPr>
        <w:t>.</w:t>
      </w:r>
      <w:r w:rsidR="00D016D8" w:rsidRPr="00D016D8">
        <w:rPr>
          <w:rFonts w:ascii="Arial" w:hAnsi="Arial" w:cs="Arial"/>
          <w:sz w:val="20"/>
          <w:lang w:val="en-AU"/>
        </w:rPr>
        <w:t xml:space="preserve"> </w:t>
      </w:r>
      <w:r w:rsidR="00D016D8">
        <w:rPr>
          <w:rFonts w:ascii="Arial" w:hAnsi="Arial" w:cs="Arial"/>
          <w:sz w:val="20"/>
          <w:lang w:val="en-AU"/>
        </w:rPr>
        <w:t>The section also specifies that this condition does not apply to aeronautical stations operated by Airservices Australia or the Civil Aviation Safety Authority, or to any licensee that operates an aeronautical station providing UNICOM or Certified Air/Ground Radio services.</w:t>
      </w:r>
    </w:p>
    <w:p w14:paraId="561EB87A" w14:textId="77777777" w:rsidR="00FB4091" w:rsidRPr="00B6149E" w:rsidRDefault="00FB4091" w:rsidP="00FB4091">
      <w:pPr>
        <w:spacing w:before="240" w:after="240"/>
        <w:rPr>
          <w:rFonts w:ascii="Arial" w:hAnsi="Arial" w:cs="Arial"/>
          <w:b/>
          <w:color w:val="262626"/>
          <w:sz w:val="20"/>
        </w:rPr>
      </w:pPr>
      <w:r w:rsidRPr="00B6149E">
        <w:rPr>
          <w:rFonts w:ascii="Arial" w:hAnsi="Arial" w:cs="Arial"/>
          <w:b/>
          <w:color w:val="262626"/>
          <w:sz w:val="20"/>
        </w:rPr>
        <w:t>Section 7A – Operator qualifications</w:t>
      </w:r>
    </w:p>
    <w:p w14:paraId="561EB87B" w14:textId="357D8176" w:rsidR="00FB4091" w:rsidRDefault="00FB4091" w:rsidP="00FB4091">
      <w:pPr>
        <w:spacing w:before="240" w:after="240"/>
        <w:rPr>
          <w:rFonts w:ascii="Arial" w:hAnsi="Arial" w:cs="Arial"/>
          <w:sz w:val="20"/>
          <w:lang w:val="en-AU"/>
        </w:rPr>
      </w:pPr>
      <w:r>
        <w:rPr>
          <w:rFonts w:ascii="Arial" w:hAnsi="Arial" w:cs="Arial"/>
          <w:sz w:val="20"/>
          <w:lang w:val="en-AU"/>
        </w:rPr>
        <w:t>Section 7</w:t>
      </w:r>
      <w:r w:rsidR="00117DD2">
        <w:rPr>
          <w:rFonts w:ascii="Arial" w:hAnsi="Arial" w:cs="Arial"/>
          <w:sz w:val="20"/>
          <w:lang w:val="en-AU"/>
        </w:rPr>
        <w:t>A</w:t>
      </w:r>
      <w:r>
        <w:rPr>
          <w:rFonts w:ascii="Arial" w:hAnsi="Arial" w:cs="Arial"/>
          <w:sz w:val="20"/>
          <w:lang w:val="en-AU"/>
        </w:rPr>
        <w:t xml:space="preserve"> </w:t>
      </w:r>
      <w:r w:rsidR="00D016D8">
        <w:rPr>
          <w:rFonts w:ascii="Arial" w:hAnsi="Arial" w:cs="Arial"/>
          <w:sz w:val="20"/>
          <w:lang w:val="en-AU"/>
        </w:rPr>
        <w:t>set</w:t>
      </w:r>
      <w:r w:rsidR="00D016D8" w:rsidRPr="00D14D9A">
        <w:rPr>
          <w:rFonts w:ascii="Arial" w:hAnsi="Arial" w:cs="Arial"/>
          <w:sz w:val="20"/>
          <w:lang w:val="en-AU"/>
        </w:rPr>
        <w:t>s</w:t>
      </w:r>
      <w:r w:rsidR="00D016D8">
        <w:rPr>
          <w:rFonts w:ascii="Arial" w:hAnsi="Arial" w:cs="Arial"/>
          <w:sz w:val="20"/>
          <w:lang w:val="en-AU"/>
        </w:rPr>
        <w:t xml:space="preserve"> out</w:t>
      </w:r>
      <w:r w:rsidR="00D016D8" w:rsidRPr="00D14D9A">
        <w:rPr>
          <w:rFonts w:ascii="Arial" w:hAnsi="Arial" w:cs="Arial"/>
          <w:sz w:val="20"/>
          <w:lang w:val="en-AU"/>
        </w:rPr>
        <w:t xml:space="preserve"> </w:t>
      </w:r>
      <w:r>
        <w:rPr>
          <w:rFonts w:ascii="Arial" w:hAnsi="Arial" w:cs="Arial"/>
          <w:sz w:val="20"/>
          <w:lang w:val="en-AU"/>
        </w:rPr>
        <w:t xml:space="preserve">the </w:t>
      </w:r>
      <w:r w:rsidR="00117DD2">
        <w:rPr>
          <w:rFonts w:ascii="Arial" w:hAnsi="Arial" w:cs="Arial"/>
          <w:sz w:val="20"/>
          <w:lang w:val="en-AU"/>
        </w:rPr>
        <w:t>qualifications a person must have to operate an aeronautical station</w:t>
      </w:r>
      <w:r w:rsidRPr="007D6A7C">
        <w:rPr>
          <w:rFonts w:ascii="Arial" w:hAnsi="Arial" w:cs="Arial"/>
          <w:sz w:val="20"/>
          <w:lang w:val="en-AU"/>
        </w:rPr>
        <w:t>.</w:t>
      </w:r>
    </w:p>
    <w:p w14:paraId="561EB87C" w14:textId="77777777" w:rsidR="00011BB2" w:rsidRPr="00B6149E" w:rsidRDefault="00011BB2" w:rsidP="00011BB2">
      <w:pPr>
        <w:spacing w:before="80" w:after="120" w:line="276" w:lineRule="auto"/>
        <w:rPr>
          <w:rFonts w:ascii="Arial" w:hAnsi="Arial" w:cs="Arial"/>
          <w:b/>
          <w:color w:val="262626"/>
          <w:sz w:val="20"/>
        </w:rPr>
      </w:pPr>
      <w:r w:rsidRPr="00B6149E">
        <w:rPr>
          <w:rFonts w:ascii="Arial" w:hAnsi="Arial" w:cs="Arial"/>
          <w:b/>
          <w:color w:val="262626"/>
          <w:sz w:val="20"/>
        </w:rPr>
        <w:t xml:space="preserve">Section 8 – </w:t>
      </w:r>
      <w:r w:rsidR="00FB4091" w:rsidRPr="00B6149E">
        <w:rPr>
          <w:rFonts w:ascii="Arial" w:hAnsi="Arial" w:cs="Arial"/>
          <w:b/>
          <w:color w:val="262626"/>
          <w:sz w:val="20"/>
        </w:rPr>
        <w:t>Station identification</w:t>
      </w:r>
    </w:p>
    <w:p w14:paraId="561EB87D" w14:textId="2D831CB9" w:rsidR="00914D5C" w:rsidRDefault="00011BB2" w:rsidP="00165BB5">
      <w:pPr>
        <w:rPr>
          <w:rFonts w:ascii="Arial" w:hAnsi="Arial" w:cs="Arial"/>
          <w:sz w:val="20"/>
          <w:lang w:val="en-AU"/>
        </w:rPr>
      </w:pPr>
      <w:r w:rsidRPr="00D14D9A">
        <w:rPr>
          <w:rFonts w:ascii="Arial" w:hAnsi="Arial" w:cs="Arial"/>
          <w:sz w:val="20"/>
          <w:lang w:val="en-AU"/>
        </w:rPr>
        <w:t xml:space="preserve">Section </w:t>
      </w:r>
      <w:r>
        <w:rPr>
          <w:rFonts w:ascii="Arial" w:hAnsi="Arial" w:cs="Arial"/>
          <w:sz w:val="20"/>
          <w:lang w:val="en-AU"/>
        </w:rPr>
        <w:t>8</w:t>
      </w:r>
      <w:r w:rsidRPr="00D14D9A">
        <w:rPr>
          <w:rFonts w:ascii="Arial" w:hAnsi="Arial" w:cs="Arial"/>
          <w:sz w:val="20"/>
          <w:lang w:val="en-AU"/>
        </w:rPr>
        <w:t xml:space="preserve"> provides </w:t>
      </w:r>
      <w:r w:rsidR="002F2F3A">
        <w:rPr>
          <w:rFonts w:ascii="Arial" w:hAnsi="Arial" w:cs="Arial"/>
          <w:sz w:val="20"/>
          <w:lang w:val="en-AU"/>
        </w:rPr>
        <w:t xml:space="preserve">that a </w:t>
      </w:r>
      <w:r w:rsidR="00117DD2">
        <w:rPr>
          <w:rFonts w:ascii="Arial" w:hAnsi="Arial" w:cs="Arial"/>
          <w:sz w:val="20"/>
          <w:lang w:val="en-AU"/>
        </w:rPr>
        <w:t xml:space="preserve">licensee must </w:t>
      </w:r>
      <w:r w:rsidR="001D4FA8">
        <w:rPr>
          <w:rFonts w:ascii="Arial" w:hAnsi="Arial" w:cs="Arial"/>
          <w:sz w:val="20"/>
          <w:lang w:val="en-AU"/>
        </w:rPr>
        <w:t xml:space="preserve">operate an aeronautical station using an allocated call sign or </w:t>
      </w:r>
      <w:r w:rsidR="00893910">
        <w:rPr>
          <w:rFonts w:ascii="Arial" w:hAnsi="Arial" w:cs="Arial"/>
          <w:sz w:val="20"/>
          <w:lang w:val="en-AU"/>
        </w:rPr>
        <w:t>an</w:t>
      </w:r>
      <w:r w:rsidR="001D4FA8">
        <w:rPr>
          <w:rFonts w:ascii="Arial" w:hAnsi="Arial" w:cs="Arial"/>
          <w:sz w:val="20"/>
          <w:lang w:val="en-AU"/>
        </w:rPr>
        <w:t>other form of identification that clearly identifies the station.</w:t>
      </w:r>
      <w:r w:rsidR="00117DD2">
        <w:rPr>
          <w:rFonts w:ascii="Arial" w:hAnsi="Arial" w:cs="Arial"/>
          <w:sz w:val="20"/>
          <w:lang w:val="en-AU"/>
        </w:rPr>
        <w:t xml:space="preserve"> </w:t>
      </w:r>
    </w:p>
    <w:p w14:paraId="561EB87E" w14:textId="77777777" w:rsidR="00FB4091" w:rsidRPr="00B6149E" w:rsidRDefault="00FB4091" w:rsidP="00FB4091">
      <w:pPr>
        <w:spacing w:before="240" w:after="240"/>
        <w:rPr>
          <w:rFonts w:ascii="Arial" w:hAnsi="Arial" w:cs="Arial"/>
          <w:b/>
          <w:color w:val="262626"/>
          <w:sz w:val="20"/>
        </w:rPr>
      </w:pPr>
      <w:r w:rsidRPr="00B6149E">
        <w:rPr>
          <w:rFonts w:ascii="Arial" w:hAnsi="Arial" w:cs="Arial"/>
          <w:b/>
          <w:color w:val="262626"/>
          <w:sz w:val="20"/>
        </w:rPr>
        <w:t>Section 10A – Conditions</w:t>
      </w:r>
    </w:p>
    <w:p w14:paraId="561EB87F" w14:textId="19F19DC8" w:rsidR="00FB4091" w:rsidRDefault="00FB4091" w:rsidP="00FB4091">
      <w:pPr>
        <w:rPr>
          <w:rFonts w:ascii="Arial" w:hAnsi="Arial" w:cs="Arial"/>
          <w:sz w:val="20"/>
          <w:lang w:val="en-AU"/>
        </w:rPr>
      </w:pPr>
      <w:r w:rsidRPr="00D14D9A">
        <w:rPr>
          <w:rFonts w:ascii="Arial" w:hAnsi="Arial" w:cs="Arial"/>
          <w:sz w:val="20"/>
          <w:lang w:val="en-AU"/>
        </w:rPr>
        <w:t xml:space="preserve">Section </w:t>
      </w:r>
      <w:r>
        <w:rPr>
          <w:rFonts w:ascii="Arial" w:hAnsi="Arial" w:cs="Arial"/>
          <w:sz w:val="20"/>
          <w:lang w:val="en-AU"/>
        </w:rPr>
        <w:t xml:space="preserve">10A </w:t>
      </w:r>
      <w:r w:rsidR="00D73EC9">
        <w:rPr>
          <w:rFonts w:ascii="Arial" w:hAnsi="Arial" w:cs="Arial"/>
          <w:sz w:val="20"/>
          <w:lang w:val="en-AU"/>
        </w:rPr>
        <w:t>provides that every aeronautical licence</w:t>
      </w:r>
      <w:r w:rsidR="00B47513">
        <w:rPr>
          <w:rFonts w:ascii="Arial" w:hAnsi="Arial" w:cs="Arial"/>
          <w:sz w:val="20"/>
          <w:lang w:val="en-AU"/>
        </w:rPr>
        <w:t xml:space="preserve"> (aeronautical assigned system station)</w:t>
      </w:r>
      <w:r w:rsidR="00D73EC9">
        <w:rPr>
          <w:rFonts w:ascii="Arial" w:hAnsi="Arial" w:cs="Arial"/>
          <w:sz w:val="20"/>
          <w:lang w:val="en-AU"/>
        </w:rPr>
        <w:t xml:space="preserve"> is subject to the additional condition in</w:t>
      </w:r>
      <w:r w:rsidR="00D016D8">
        <w:rPr>
          <w:rFonts w:ascii="Arial" w:hAnsi="Arial" w:cs="Arial"/>
          <w:sz w:val="20"/>
          <w:lang w:val="en-AU"/>
        </w:rPr>
        <w:t xml:space="preserve"> section 10B</w:t>
      </w:r>
      <w:r w:rsidR="00D73EC9">
        <w:rPr>
          <w:rFonts w:ascii="Arial" w:hAnsi="Arial" w:cs="Arial"/>
          <w:sz w:val="20"/>
          <w:lang w:val="en-AU"/>
        </w:rPr>
        <w:t xml:space="preserve"> relating to the </w:t>
      </w:r>
      <w:r w:rsidR="00D73EC9" w:rsidRPr="00D73EC9">
        <w:rPr>
          <w:rFonts w:ascii="Arial" w:hAnsi="Arial" w:cs="Arial"/>
          <w:sz w:val="20"/>
          <w:lang w:val="en-AU"/>
        </w:rPr>
        <w:t>operation of any aeronautical assigned system station under the licence by the licensee.</w:t>
      </w:r>
    </w:p>
    <w:p w14:paraId="561EB880" w14:textId="77777777" w:rsidR="00FB4091" w:rsidRPr="00B6149E" w:rsidRDefault="00FB4091" w:rsidP="00FB4091">
      <w:pPr>
        <w:spacing w:before="240" w:after="240"/>
        <w:rPr>
          <w:rFonts w:ascii="Arial" w:hAnsi="Arial" w:cs="Arial"/>
          <w:b/>
          <w:color w:val="262626"/>
          <w:sz w:val="20"/>
        </w:rPr>
      </w:pPr>
      <w:r w:rsidRPr="00B6149E">
        <w:rPr>
          <w:rFonts w:ascii="Arial" w:hAnsi="Arial" w:cs="Arial"/>
          <w:b/>
          <w:color w:val="262626"/>
          <w:sz w:val="20"/>
        </w:rPr>
        <w:t>Section 10B – Frequencies that may be used</w:t>
      </w:r>
    </w:p>
    <w:p w14:paraId="561EB881" w14:textId="0697BE18" w:rsidR="00FB4091" w:rsidRDefault="00FB4091" w:rsidP="00FB4091">
      <w:pPr>
        <w:rPr>
          <w:rFonts w:ascii="Arial" w:hAnsi="Arial" w:cs="Arial"/>
          <w:sz w:val="20"/>
          <w:lang w:val="en-AU"/>
        </w:rPr>
      </w:pPr>
      <w:r w:rsidRPr="00D14D9A">
        <w:rPr>
          <w:rFonts w:ascii="Arial" w:hAnsi="Arial" w:cs="Arial"/>
          <w:sz w:val="20"/>
          <w:lang w:val="en-AU"/>
        </w:rPr>
        <w:t xml:space="preserve">Section </w:t>
      </w:r>
      <w:r>
        <w:rPr>
          <w:rFonts w:ascii="Arial" w:hAnsi="Arial" w:cs="Arial"/>
          <w:sz w:val="20"/>
          <w:lang w:val="en-AU"/>
        </w:rPr>
        <w:t xml:space="preserve">10B </w:t>
      </w:r>
      <w:r w:rsidR="00D73EC9">
        <w:rPr>
          <w:rFonts w:ascii="Arial" w:hAnsi="Arial" w:cs="Arial"/>
          <w:sz w:val="20"/>
          <w:lang w:val="en-AU"/>
        </w:rPr>
        <w:t>specifies</w:t>
      </w:r>
      <w:r>
        <w:rPr>
          <w:rFonts w:ascii="Arial" w:hAnsi="Arial" w:cs="Arial"/>
          <w:sz w:val="20"/>
          <w:lang w:val="en-AU"/>
        </w:rPr>
        <w:t xml:space="preserve"> th</w:t>
      </w:r>
      <w:r w:rsidR="00D73EC9">
        <w:rPr>
          <w:rFonts w:ascii="Arial" w:hAnsi="Arial" w:cs="Arial"/>
          <w:sz w:val="20"/>
          <w:lang w:val="en-AU"/>
        </w:rPr>
        <w:t xml:space="preserve">at a licencee must not operate an aeronautical assigned system station unless they are operating the station on the frequencies </w:t>
      </w:r>
      <w:r w:rsidR="00D016D8">
        <w:rPr>
          <w:rFonts w:ascii="Arial" w:hAnsi="Arial" w:cs="Arial"/>
          <w:sz w:val="20"/>
          <w:lang w:val="en-AU"/>
        </w:rPr>
        <w:t xml:space="preserve">specified in the licence, or the frequencies </w:t>
      </w:r>
      <w:r w:rsidR="00D73EC9">
        <w:rPr>
          <w:rFonts w:ascii="Arial" w:hAnsi="Arial" w:cs="Arial"/>
          <w:sz w:val="20"/>
          <w:lang w:val="en-AU"/>
        </w:rPr>
        <w:t>mentioned in this section</w:t>
      </w:r>
      <w:r w:rsidR="00D016D8">
        <w:rPr>
          <w:rFonts w:ascii="Arial" w:hAnsi="Arial" w:cs="Arial"/>
          <w:sz w:val="20"/>
          <w:lang w:val="en-AU"/>
        </w:rPr>
        <w:t xml:space="preserve"> for the purposes of search and rescue only.</w:t>
      </w:r>
    </w:p>
    <w:p w14:paraId="388BF063" w14:textId="77777777" w:rsidR="00D016D8" w:rsidRPr="000F2F7D" w:rsidRDefault="00D016D8" w:rsidP="00FB4091">
      <w:pPr>
        <w:rPr>
          <w:rFonts w:ascii="Arial" w:hAnsi="Arial" w:cs="Arial"/>
          <w:sz w:val="20"/>
          <w:lang w:val="en-AU"/>
        </w:rPr>
      </w:pPr>
    </w:p>
    <w:p w14:paraId="561EB882" w14:textId="77777777" w:rsidR="00914D5C" w:rsidRDefault="00914D5C" w:rsidP="00914D5C">
      <w:pPr>
        <w:spacing w:line="360" w:lineRule="auto"/>
        <w:jc w:val="right"/>
        <w:outlineLvl w:val="0"/>
        <w:rPr>
          <w:rFonts w:ascii="Arial" w:hAnsi="Arial" w:cs="Arial"/>
          <w:b/>
          <w:sz w:val="22"/>
          <w:szCs w:val="22"/>
          <w:lang w:val="en-AU"/>
        </w:rPr>
      </w:pPr>
      <w:r w:rsidRPr="005A5476">
        <w:rPr>
          <w:rFonts w:ascii="Arial" w:hAnsi="Arial" w:cs="Arial"/>
          <w:b/>
          <w:color w:val="000000"/>
          <w:sz w:val="22"/>
          <w:szCs w:val="22"/>
        </w:rPr>
        <w:br w:type="page"/>
      </w:r>
      <w:r w:rsidRPr="005A5476">
        <w:rPr>
          <w:rFonts w:ascii="Arial" w:hAnsi="Arial" w:cs="Arial"/>
          <w:b/>
          <w:sz w:val="22"/>
          <w:szCs w:val="22"/>
          <w:lang w:val="en-AU"/>
        </w:rPr>
        <w:t>ATTACHMENT B</w:t>
      </w:r>
    </w:p>
    <w:p w14:paraId="561EB883" w14:textId="77777777" w:rsidR="00914D5C" w:rsidRDefault="00914D5C" w:rsidP="00914D5C">
      <w:pPr>
        <w:spacing w:line="360" w:lineRule="auto"/>
        <w:jc w:val="center"/>
        <w:outlineLvl w:val="0"/>
        <w:rPr>
          <w:rFonts w:ascii="Arial" w:hAnsi="Arial" w:cs="Arial"/>
          <w:b/>
          <w:sz w:val="22"/>
          <w:szCs w:val="22"/>
          <w:lang w:val="en-AU"/>
        </w:rPr>
      </w:pPr>
    </w:p>
    <w:p w14:paraId="561EB884" w14:textId="77777777" w:rsidR="00914D5C" w:rsidRPr="005A5476" w:rsidRDefault="00914D5C" w:rsidP="00914D5C">
      <w:pPr>
        <w:spacing w:line="360" w:lineRule="auto"/>
        <w:jc w:val="center"/>
        <w:outlineLvl w:val="0"/>
        <w:rPr>
          <w:rFonts w:ascii="Arial" w:hAnsi="Arial" w:cs="Arial"/>
          <w:b/>
          <w:sz w:val="22"/>
          <w:szCs w:val="22"/>
          <w:lang w:val="en-AU"/>
        </w:rPr>
      </w:pPr>
      <w:r w:rsidRPr="005A5476">
        <w:rPr>
          <w:rFonts w:ascii="Arial" w:hAnsi="Arial" w:cs="Arial"/>
          <w:b/>
          <w:sz w:val="22"/>
          <w:szCs w:val="22"/>
          <w:lang w:val="en-AU"/>
        </w:rPr>
        <w:t>Statement of Compatibility with Human Rights</w:t>
      </w:r>
    </w:p>
    <w:p w14:paraId="561EB885" w14:textId="77777777" w:rsidR="00914D5C" w:rsidRPr="009E6BC6" w:rsidRDefault="00914D5C" w:rsidP="00914D5C">
      <w:pPr>
        <w:spacing w:line="360" w:lineRule="auto"/>
        <w:jc w:val="center"/>
        <w:rPr>
          <w:rFonts w:ascii="Arial" w:hAnsi="Arial" w:cs="Arial"/>
          <w:sz w:val="20"/>
          <w:lang w:val="en-AU"/>
        </w:rPr>
      </w:pPr>
      <w:r w:rsidRPr="009E6BC6">
        <w:rPr>
          <w:rFonts w:ascii="Arial" w:hAnsi="Arial" w:cs="Arial"/>
          <w:sz w:val="20"/>
          <w:lang w:val="en-AU"/>
        </w:rPr>
        <w:t xml:space="preserve">Prepared in accordance with Part 3 of the </w:t>
      </w:r>
      <w:r w:rsidRPr="009E6BC6">
        <w:rPr>
          <w:rFonts w:ascii="Arial" w:hAnsi="Arial" w:cs="Arial"/>
          <w:i/>
          <w:sz w:val="20"/>
          <w:lang w:val="en-AU"/>
        </w:rPr>
        <w:t>Human Rights (Parliamentary Scrutiny) Act 2011</w:t>
      </w:r>
    </w:p>
    <w:p w14:paraId="561EB886" w14:textId="77777777" w:rsidR="00914D5C" w:rsidRPr="005A5476" w:rsidRDefault="00914D5C" w:rsidP="00914D5C">
      <w:pPr>
        <w:rPr>
          <w:rFonts w:ascii="Arial" w:hAnsi="Arial" w:cs="Arial"/>
          <w:i/>
          <w:sz w:val="22"/>
          <w:szCs w:val="22"/>
        </w:rPr>
      </w:pPr>
    </w:p>
    <w:p w14:paraId="561EB887" w14:textId="77777777" w:rsidR="00914D5C" w:rsidRPr="00113113" w:rsidRDefault="00914D5C" w:rsidP="00914D5C">
      <w:pPr>
        <w:spacing w:line="360" w:lineRule="auto"/>
        <w:jc w:val="center"/>
        <w:outlineLvl w:val="0"/>
        <w:rPr>
          <w:rFonts w:ascii="Arial" w:hAnsi="Arial" w:cs="Arial"/>
          <w:b/>
          <w:sz w:val="22"/>
          <w:szCs w:val="22"/>
          <w:lang w:val="en-AU"/>
        </w:rPr>
      </w:pPr>
    </w:p>
    <w:p w14:paraId="34A21B32" w14:textId="77777777" w:rsidR="001D4FA8" w:rsidRPr="001D4FA8" w:rsidRDefault="001D4FA8" w:rsidP="001D4FA8">
      <w:pPr>
        <w:spacing w:line="360" w:lineRule="auto"/>
        <w:jc w:val="center"/>
        <w:outlineLvl w:val="0"/>
        <w:rPr>
          <w:rFonts w:ascii="Arial" w:hAnsi="Arial" w:cs="Arial"/>
          <w:b/>
          <w:sz w:val="22"/>
          <w:szCs w:val="22"/>
          <w:lang w:val="en-AU"/>
        </w:rPr>
      </w:pPr>
      <w:r w:rsidRPr="001D4FA8">
        <w:rPr>
          <w:rFonts w:ascii="Arial" w:hAnsi="Arial" w:cs="Arial"/>
          <w:b/>
          <w:sz w:val="22"/>
          <w:szCs w:val="22"/>
          <w:lang w:val="en-AU"/>
        </w:rPr>
        <w:t>Radiocommunications Licence Conditions (Aeronautical Licence) Determination 2015</w:t>
      </w:r>
    </w:p>
    <w:p w14:paraId="561EB889" w14:textId="77777777" w:rsidR="00914D5C" w:rsidRPr="00113113" w:rsidRDefault="00914D5C" w:rsidP="00914D5C">
      <w:pPr>
        <w:spacing w:line="360" w:lineRule="auto"/>
        <w:jc w:val="center"/>
        <w:outlineLvl w:val="0"/>
        <w:rPr>
          <w:rFonts w:ascii="Arial" w:hAnsi="Arial" w:cs="Arial"/>
          <w:b/>
          <w:sz w:val="22"/>
          <w:szCs w:val="22"/>
          <w:lang w:val="en-AU"/>
        </w:rPr>
      </w:pPr>
    </w:p>
    <w:p w14:paraId="561EB88A" w14:textId="77777777" w:rsidR="00914D5C" w:rsidRPr="005A5476" w:rsidRDefault="00914D5C" w:rsidP="00914D5C">
      <w:pPr>
        <w:rPr>
          <w:rFonts w:ascii="Arial" w:hAnsi="Arial" w:cs="Arial"/>
          <w:b/>
          <w:sz w:val="22"/>
          <w:szCs w:val="22"/>
        </w:rPr>
      </w:pPr>
    </w:p>
    <w:p w14:paraId="561EB88B" w14:textId="77777777" w:rsidR="00914D5C" w:rsidRPr="009E6BC6" w:rsidRDefault="00914D5C" w:rsidP="00914D5C">
      <w:pPr>
        <w:spacing w:line="360" w:lineRule="auto"/>
        <w:rPr>
          <w:rFonts w:ascii="Arial" w:hAnsi="Arial" w:cs="Arial"/>
          <w:sz w:val="20"/>
        </w:rPr>
      </w:pPr>
      <w:r w:rsidRPr="009E6BC6">
        <w:rPr>
          <w:rFonts w:ascii="Arial" w:hAnsi="Arial" w:cs="Arial"/>
          <w:sz w:val="20"/>
        </w:rPr>
        <w:t xml:space="preserve">This legislative instrument is compatible with the human rights and freedoms recognised or declared in the international instruments listed in section 3 of the </w:t>
      </w:r>
      <w:r w:rsidRPr="009E6BC6">
        <w:rPr>
          <w:rFonts w:ascii="Arial" w:hAnsi="Arial" w:cs="Arial"/>
          <w:i/>
          <w:sz w:val="20"/>
        </w:rPr>
        <w:t>Human Rights (Parliamentary Scrutiny) Act 2011</w:t>
      </w:r>
      <w:r w:rsidRPr="009E6BC6">
        <w:rPr>
          <w:rFonts w:ascii="Arial" w:hAnsi="Arial" w:cs="Arial"/>
          <w:sz w:val="20"/>
        </w:rPr>
        <w:t>.</w:t>
      </w:r>
    </w:p>
    <w:p w14:paraId="561EB88C" w14:textId="77777777" w:rsidR="00914D5C" w:rsidRPr="005A5476" w:rsidRDefault="00914D5C" w:rsidP="00914D5C">
      <w:pPr>
        <w:spacing w:line="360" w:lineRule="auto"/>
        <w:rPr>
          <w:rFonts w:ascii="Arial" w:hAnsi="Arial" w:cs="Arial"/>
          <w:sz w:val="22"/>
          <w:szCs w:val="22"/>
        </w:rPr>
      </w:pPr>
    </w:p>
    <w:p w14:paraId="561EB88D" w14:textId="77777777" w:rsidR="00914D5C" w:rsidRPr="005A5476" w:rsidRDefault="00914D5C" w:rsidP="00914D5C">
      <w:pPr>
        <w:spacing w:line="360" w:lineRule="auto"/>
        <w:outlineLvl w:val="0"/>
        <w:rPr>
          <w:rFonts w:ascii="Arial" w:hAnsi="Arial" w:cs="Arial"/>
          <w:b/>
          <w:sz w:val="22"/>
          <w:szCs w:val="22"/>
        </w:rPr>
      </w:pPr>
      <w:r w:rsidRPr="005A5476">
        <w:rPr>
          <w:rFonts w:ascii="Arial" w:hAnsi="Arial" w:cs="Arial"/>
          <w:b/>
          <w:sz w:val="22"/>
          <w:szCs w:val="22"/>
        </w:rPr>
        <w:t>Overview of the Legislative Instrument</w:t>
      </w:r>
    </w:p>
    <w:p w14:paraId="561EB88F" w14:textId="115BA3BD" w:rsidR="00914D5C" w:rsidRDefault="001D4FA8" w:rsidP="00187F8B">
      <w:pPr>
        <w:spacing w:line="360" w:lineRule="auto"/>
        <w:rPr>
          <w:rFonts w:ascii="Arial" w:hAnsi="Arial" w:cs="Arial"/>
          <w:sz w:val="20"/>
        </w:rPr>
      </w:pPr>
      <w:r>
        <w:rPr>
          <w:rFonts w:ascii="Arial" w:hAnsi="Arial" w:cs="Arial"/>
          <w:sz w:val="20"/>
        </w:rPr>
        <w:t xml:space="preserve">The </w:t>
      </w:r>
      <w:r w:rsidRPr="003B38C5">
        <w:rPr>
          <w:rFonts w:ascii="Arial" w:hAnsi="Arial" w:cs="Arial"/>
          <w:i/>
          <w:sz w:val="20"/>
        </w:rPr>
        <w:t>Radiocommunications Licence Conditions (Aeronautical Licence) Determination 201</w:t>
      </w:r>
      <w:r>
        <w:rPr>
          <w:rFonts w:ascii="Arial" w:hAnsi="Arial" w:cs="Arial"/>
          <w:i/>
          <w:sz w:val="20"/>
        </w:rPr>
        <w:t xml:space="preserve">5 </w:t>
      </w:r>
      <w:r w:rsidRPr="00FD4AD4">
        <w:rPr>
          <w:rFonts w:ascii="Arial" w:hAnsi="Arial" w:cs="Arial"/>
          <w:sz w:val="20"/>
        </w:rPr>
        <w:t xml:space="preserve">(the </w:t>
      </w:r>
      <w:r>
        <w:rPr>
          <w:rFonts w:ascii="Arial" w:hAnsi="Arial" w:cs="Arial"/>
          <w:sz w:val="20"/>
        </w:rPr>
        <w:t>Determination</w:t>
      </w:r>
      <w:r w:rsidRPr="00FD4AD4">
        <w:rPr>
          <w:rFonts w:ascii="Arial" w:hAnsi="Arial" w:cs="Arial"/>
          <w:sz w:val="20"/>
        </w:rPr>
        <w:t>)</w:t>
      </w:r>
      <w:r>
        <w:rPr>
          <w:rFonts w:ascii="Arial" w:hAnsi="Arial" w:cs="Arial"/>
          <w:sz w:val="20"/>
        </w:rPr>
        <w:t xml:space="preserve"> revokes and replaces the </w:t>
      </w:r>
      <w:r w:rsidRPr="003B38C5">
        <w:rPr>
          <w:rFonts w:ascii="Arial" w:hAnsi="Arial" w:cs="Arial"/>
          <w:i/>
          <w:sz w:val="20"/>
        </w:rPr>
        <w:t>Radiocommunications Licence Conditions (Aeronautical Licence) Determination No. 1 of 1997</w:t>
      </w:r>
      <w:r>
        <w:rPr>
          <w:rFonts w:ascii="Arial" w:hAnsi="Arial" w:cs="Arial"/>
          <w:i/>
          <w:sz w:val="22"/>
          <w:szCs w:val="22"/>
        </w:rPr>
        <w:t xml:space="preserve"> </w:t>
      </w:r>
      <w:r>
        <w:rPr>
          <w:rFonts w:ascii="Arial" w:hAnsi="Arial" w:cs="Arial"/>
          <w:sz w:val="20"/>
        </w:rPr>
        <w:t>(the 1997 Determination) without making any significant changes to the regulatory arrangements created by the 1997 Determination.</w:t>
      </w:r>
    </w:p>
    <w:p w14:paraId="0373033B" w14:textId="77777777" w:rsidR="00187F8B" w:rsidRDefault="00187F8B" w:rsidP="00187F8B">
      <w:pPr>
        <w:spacing w:line="360" w:lineRule="auto"/>
        <w:outlineLvl w:val="0"/>
        <w:rPr>
          <w:rFonts w:ascii="Arial" w:hAnsi="Arial" w:cs="Arial"/>
          <w:sz w:val="20"/>
        </w:rPr>
      </w:pPr>
    </w:p>
    <w:p w14:paraId="561EB890" w14:textId="1B1993AA" w:rsidR="00914D5C" w:rsidRDefault="003E63FC" w:rsidP="00187F8B">
      <w:pPr>
        <w:spacing w:line="360" w:lineRule="auto"/>
        <w:outlineLvl w:val="0"/>
        <w:rPr>
          <w:rFonts w:ascii="Arial" w:hAnsi="Arial" w:cs="Arial"/>
          <w:sz w:val="20"/>
        </w:rPr>
      </w:pPr>
      <w:r w:rsidRPr="001418A8">
        <w:rPr>
          <w:rFonts w:ascii="Arial" w:hAnsi="Arial" w:cs="Arial"/>
          <w:sz w:val="20"/>
        </w:rPr>
        <w:t xml:space="preserve">The </w:t>
      </w:r>
      <w:r w:rsidR="003B38C5">
        <w:rPr>
          <w:rFonts w:ascii="Arial" w:hAnsi="Arial" w:cs="Arial"/>
          <w:sz w:val="20"/>
        </w:rPr>
        <w:t>Determination</w:t>
      </w:r>
      <w:r w:rsidR="00011BB2" w:rsidRPr="002413FF">
        <w:rPr>
          <w:rFonts w:ascii="Arial" w:hAnsi="Arial" w:cs="Arial"/>
          <w:sz w:val="20"/>
        </w:rPr>
        <w:t xml:space="preserve"> </w:t>
      </w:r>
      <w:r w:rsidR="001D4FA8">
        <w:rPr>
          <w:rFonts w:ascii="Arial" w:hAnsi="Arial" w:cs="Arial"/>
          <w:sz w:val="20"/>
        </w:rPr>
        <w:t xml:space="preserve">sets out </w:t>
      </w:r>
      <w:r w:rsidR="00893910">
        <w:rPr>
          <w:rFonts w:ascii="Arial" w:hAnsi="Arial" w:cs="Arial"/>
          <w:sz w:val="20"/>
        </w:rPr>
        <w:t xml:space="preserve">certain </w:t>
      </w:r>
      <w:r w:rsidR="001D4FA8">
        <w:rPr>
          <w:rFonts w:ascii="Arial" w:hAnsi="Arial" w:cs="Arial"/>
          <w:sz w:val="20"/>
        </w:rPr>
        <w:t>conditions to which every aeronautical licence issued</w:t>
      </w:r>
      <w:r w:rsidR="00187F8B">
        <w:rPr>
          <w:rFonts w:ascii="Arial" w:hAnsi="Arial" w:cs="Arial"/>
          <w:sz w:val="20"/>
        </w:rPr>
        <w:t xml:space="preserve"> </w:t>
      </w:r>
      <w:r w:rsidR="001D4FA8">
        <w:rPr>
          <w:rFonts w:ascii="Arial" w:hAnsi="Arial" w:cs="Arial"/>
          <w:sz w:val="20"/>
        </w:rPr>
        <w:t xml:space="preserve">under </w:t>
      </w:r>
      <w:r w:rsidR="00187F8B" w:rsidRPr="00AC59E2">
        <w:rPr>
          <w:rFonts w:ascii="Arial" w:hAnsi="Arial" w:cs="Arial"/>
          <w:sz w:val="20"/>
        </w:rPr>
        <w:t xml:space="preserve">the </w:t>
      </w:r>
      <w:r w:rsidR="00187F8B" w:rsidRPr="00AC59E2">
        <w:rPr>
          <w:rFonts w:ascii="Arial" w:hAnsi="Arial" w:cs="Arial"/>
          <w:i/>
          <w:sz w:val="20"/>
        </w:rPr>
        <w:t>Radiocommunications Act 1992</w:t>
      </w:r>
      <w:r w:rsidR="00187F8B" w:rsidRPr="00AC59E2">
        <w:rPr>
          <w:rFonts w:ascii="Arial" w:hAnsi="Arial" w:cs="Arial"/>
          <w:sz w:val="20"/>
        </w:rPr>
        <w:t xml:space="preserve"> </w:t>
      </w:r>
      <w:r w:rsidR="00187F8B">
        <w:rPr>
          <w:rFonts w:ascii="Arial" w:hAnsi="Arial" w:cs="Arial"/>
          <w:sz w:val="20"/>
        </w:rPr>
        <w:t>is subject.</w:t>
      </w:r>
    </w:p>
    <w:p w14:paraId="561EB891" w14:textId="77777777" w:rsidR="003E63FC" w:rsidRPr="008E6EB9" w:rsidRDefault="003E63FC" w:rsidP="00914D5C">
      <w:pPr>
        <w:spacing w:line="360" w:lineRule="auto"/>
        <w:rPr>
          <w:rFonts w:ascii="Arial" w:hAnsi="Arial" w:cs="Arial"/>
          <w:sz w:val="20"/>
        </w:rPr>
      </w:pPr>
    </w:p>
    <w:p w14:paraId="561EB892" w14:textId="77777777" w:rsidR="00914D5C" w:rsidRPr="005A5476" w:rsidRDefault="00914D5C" w:rsidP="00914D5C">
      <w:pPr>
        <w:spacing w:line="360" w:lineRule="auto"/>
        <w:outlineLvl w:val="0"/>
        <w:rPr>
          <w:rFonts w:ascii="Arial" w:hAnsi="Arial" w:cs="Arial"/>
          <w:b/>
          <w:sz w:val="22"/>
          <w:szCs w:val="22"/>
        </w:rPr>
      </w:pPr>
      <w:r w:rsidRPr="005A5476">
        <w:rPr>
          <w:rFonts w:ascii="Arial" w:hAnsi="Arial" w:cs="Arial"/>
          <w:b/>
          <w:sz w:val="22"/>
          <w:szCs w:val="22"/>
        </w:rPr>
        <w:t>Human Rights Implications</w:t>
      </w:r>
    </w:p>
    <w:p w14:paraId="561EB893" w14:textId="77777777" w:rsidR="00914D5C" w:rsidRPr="009E6BC6" w:rsidRDefault="00914D5C" w:rsidP="00914D5C">
      <w:pPr>
        <w:spacing w:line="360" w:lineRule="auto"/>
        <w:outlineLvl w:val="0"/>
        <w:rPr>
          <w:rFonts w:ascii="Arial" w:hAnsi="Arial" w:cs="Arial"/>
          <w:sz w:val="20"/>
        </w:rPr>
      </w:pPr>
      <w:r w:rsidRPr="009E6BC6">
        <w:rPr>
          <w:rFonts w:ascii="Arial" w:hAnsi="Arial" w:cs="Arial"/>
          <w:sz w:val="20"/>
        </w:rPr>
        <w:t xml:space="preserve">The </w:t>
      </w:r>
      <w:r w:rsidR="003B38C5">
        <w:rPr>
          <w:rFonts w:ascii="Arial" w:hAnsi="Arial" w:cs="Arial"/>
          <w:sz w:val="20"/>
        </w:rPr>
        <w:t>Determination</w:t>
      </w:r>
      <w:r w:rsidR="00011BB2">
        <w:rPr>
          <w:rFonts w:ascii="Arial" w:hAnsi="Arial" w:cs="Arial"/>
          <w:sz w:val="20"/>
        </w:rPr>
        <w:t xml:space="preserve"> </w:t>
      </w:r>
      <w:r w:rsidRPr="009E6BC6">
        <w:rPr>
          <w:rFonts w:ascii="Arial" w:hAnsi="Arial" w:cs="Arial"/>
          <w:sz w:val="20"/>
        </w:rPr>
        <w:t>does not engage any of the applicable rights or freedoms.</w:t>
      </w:r>
    </w:p>
    <w:p w14:paraId="561EB894" w14:textId="77777777" w:rsidR="00914D5C" w:rsidRPr="005A5476" w:rsidRDefault="00914D5C" w:rsidP="00914D5C">
      <w:pPr>
        <w:spacing w:line="360" w:lineRule="auto"/>
        <w:rPr>
          <w:rFonts w:ascii="Arial" w:hAnsi="Arial" w:cs="Arial"/>
          <w:sz w:val="22"/>
          <w:szCs w:val="22"/>
        </w:rPr>
      </w:pPr>
    </w:p>
    <w:p w14:paraId="561EB895" w14:textId="77777777" w:rsidR="00914D5C" w:rsidRPr="005A5476" w:rsidRDefault="00914D5C" w:rsidP="00914D5C">
      <w:pPr>
        <w:spacing w:line="360" w:lineRule="auto"/>
        <w:outlineLvl w:val="0"/>
        <w:rPr>
          <w:rFonts w:ascii="Arial" w:hAnsi="Arial" w:cs="Arial"/>
          <w:b/>
          <w:sz w:val="22"/>
          <w:szCs w:val="22"/>
        </w:rPr>
      </w:pPr>
      <w:r w:rsidRPr="005A5476">
        <w:rPr>
          <w:rFonts w:ascii="Arial" w:hAnsi="Arial" w:cs="Arial"/>
          <w:b/>
          <w:sz w:val="22"/>
          <w:szCs w:val="22"/>
        </w:rPr>
        <w:t>Conclusion</w:t>
      </w:r>
    </w:p>
    <w:p w14:paraId="561EB896" w14:textId="77777777" w:rsidR="00914D5C" w:rsidRPr="009E6BC6" w:rsidRDefault="00914D5C" w:rsidP="00914D5C">
      <w:pPr>
        <w:spacing w:line="360" w:lineRule="auto"/>
        <w:outlineLvl w:val="0"/>
        <w:rPr>
          <w:rFonts w:ascii="Arial" w:hAnsi="Arial" w:cs="Arial"/>
          <w:b/>
          <w:sz w:val="20"/>
        </w:rPr>
      </w:pPr>
      <w:r w:rsidRPr="009E6BC6">
        <w:rPr>
          <w:rFonts w:ascii="Arial" w:hAnsi="Arial" w:cs="Arial"/>
          <w:sz w:val="20"/>
        </w:rPr>
        <w:t xml:space="preserve">The </w:t>
      </w:r>
      <w:r w:rsidR="003B38C5">
        <w:rPr>
          <w:rFonts w:ascii="Arial" w:hAnsi="Arial" w:cs="Arial"/>
          <w:sz w:val="20"/>
        </w:rPr>
        <w:t>Determination</w:t>
      </w:r>
      <w:r w:rsidR="00011BB2">
        <w:rPr>
          <w:rFonts w:ascii="Arial" w:hAnsi="Arial" w:cs="Arial"/>
          <w:sz w:val="20"/>
        </w:rPr>
        <w:t xml:space="preserve"> </w:t>
      </w:r>
      <w:r w:rsidRPr="009E6BC6">
        <w:rPr>
          <w:rFonts w:ascii="Arial" w:hAnsi="Arial" w:cs="Arial"/>
          <w:sz w:val="20"/>
        </w:rPr>
        <w:t>is compatible with human rights as it does not raise any human rights issues.</w:t>
      </w:r>
    </w:p>
    <w:p w14:paraId="561EB897" w14:textId="77777777" w:rsidR="00914D5C" w:rsidRPr="005A5476" w:rsidRDefault="00914D5C" w:rsidP="00914D5C">
      <w:pPr>
        <w:spacing w:line="360" w:lineRule="auto"/>
        <w:rPr>
          <w:rFonts w:ascii="Arial" w:hAnsi="Arial" w:cs="Arial"/>
          <w:sz w:val="22"/>
          <w:szCs w:val="22"/>
        </w:rPr>
      </w:pPr>
    </w:p>
    <w:p w14:paraId="561EB898" w14:textId="78E72BD6" w:rsidR="00A61538" w:rsidRPr="00914D5C" w:rsidRDefault="00A61538" w:rsidP="008851A9">
      <w:pPr>
        <w:spacing w:line="360" w:lineRule="auto"/>
        <w:outlineLvl w:val="0"/>
      </w:pPr>
    </w:p>
    <w:sectPr w:rsidR="00A61538" w:rsidRPr="00914D5C" w:rsidSect="008C193D">
      <w:footerReference w:type="default" r:id="rId16"/>
      <w:pgSz w:w="11907" w:h="16840" w:code="9"/>
      <w:pgMar w:top="1440" w:right="164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B5813" w14:textId="77777777" w:rsidR="00B81CC1" w:rsidRDefault="00B81CC1">
      <w:r>
        <w:separator/>
      </w:r>
    </w:p>
  </w:endnote>
  <w:endnote w:type="continuationSeparator" w:id="0">
    <w:p w14:paraId="3520F5C4" w14:textId="77777777" w:rsidR="00B81CC1" w:rsidRDefault="00B81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Lt">
    <w:altName w:val="Malgun Gothic"/>
    <w:panose1 w:val="00000000000000000000"/>
    <w:charset w:val="00"/>
    <w:family w:val="swiss"/>
    <w:notTrueType/>
    <w:pitch w:val="variable"/>
    <w:sig w:usb0="00000003"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EB89D" w14:textId="77777777" w:rsidR="00B87B6E" w:rsidRDefault="00B87B6E">
    <w:pPr>
      <w:pStyle w:val="Footer"/>
      <w:rPr>
        <w:rStyle w:val="PageNumber"/>
        <w:sz w:val="16"/>
        <w:szCs w:val="16"/>
      </w:rPr>
    </w:pPr>
    <w:r w:rsidRPr="00E363A4">
      <w:rPr>
        <w:sz w:val="16"/>
        <w:szCs w:val="16"/>
        <w:lang w:val="en-AU"/>
      </w:rPr>
      <w:tab/>
    </w:r>
    <w:r w:rsidRPr="00E363A4">
      <w:rPr>
        <w:sz w:val="16"/>
        <w:szCs w:val="16"/>
        <w:lang w:val="en-AU"/>
      </w:rPr>
      <w:tab/>
      <w:t xml:space="preserve">Page </w:t>
    </w:r>
    <w:r w:rsidR="0088553C" w:rsidRPr="00E363A4">
      <w:rPr>
        <w:rStyle w:val="PageNumber"/>
        <w:sz w:val="16"/>
        <w:szCs w:val="16"/>
      </w:rPr>
      <w:fldChar w:fldCharType="begin"/>
    </w:r>
    <w:r w:rsidRPr="00E363A4">
      <w:rPr>
        <w:rStyle w:val="PageNumber"/>
        <w:sz w:val="16"/>
        <w:szCs w:val="16"/>
      </w:rPr>
      <w:instrText xml:space="preserve"> PAGE </w:instrText>
    </w:r>
    <w:r w:rsidR="0088553C" w:rsidRPr="00E363A4">
      <w:rPr>
        <w:rStyle w:val="PageNumber"/>
        <w:sz w:val="16"/>
        <w:szCs w:val="16"/>
      </w:rPr>
      <w:fldChar w:fldCharType="separate"/>
    </w:r>
    <w:r w:rsidR="006C4BA0">
      <w:rPr>
        <w:rStyle w:val="PageNumber"/>
        <w:noProof/>
        <w:sz w:val="16"/>
        <w:szCs w:val="16"/>
      </w:rPr>
      <w:t>2</w:t>
    </w:r>
    <w:r w:rsidR="0088553C" w:rsidRPr="00E363A4">
      <w:rPr>
        <w:rStyle w:val="PageNumber"/>
        <w:sz w:val="16"/>
        <w:szCs w:val="16"/>
      </w:rPr>
      <w:fldChar w:fldCharType="end"/>
    </w:r>
    <w:r w:rsidRPr="00E363A4">
      <w:rPr>
        <w:rStyle w:val="PageNumber"/>
        <w:sz w:val="16"/>
        <w:szCs w:val="16"/>
      </w:rPr>
      <w:t xml:space="preserve"> of </w:t>
    </w:r>
    <w:r w:rsidR="0088553C" w:rsidRPr="00E363A4">
      <w:rPr>
        <w:rStyle w:val="PageNumber"/>
        <w:sz w:val="16"/>
        <w:szCs w:val="16"/>
      </w:rPr>
      <w:fldChar w:fldCharType="begin"/>
    </w:r>
    <w:r w:rsidRPr="00E363A4">
      <w:rPr>
        <w:rStyle w:val="PageNumber"/>
        <w:sz w:val="16"/>
        <w:szCs w:val="16"/>
      </w:rPr>
      <w:instrText xml:space="preserve"> NUMPAGES </w:instrText>
    </w:r>
    <w:r w:rsidR="0088553C" w:rsidRPr="00E363A4">
      <w:rPr>
        <w:rStyle w:val="PageNumber"/>
        <w:sz w:val="16"/>
        <w:szCs w:val="16"/>
      </w:rPr>
      <w:fldChar w:fldCharType="separate"/>
    </w:r>
    <w:r w:rsidR="006C4BA0">
      <w:rPr>
        <w:rStyle w:val="PageNumber"/>
        <w:noProof/>
        <w:sz w:val="16"/>
        <w:szCs w:val="16"/>
      </w:rPr>
      <w:t>5</w:t>
    </w:r>
    <w:r w:rsidR="0088553C" w:rsidRPr="00E363A4">
      <w:rPr>
        <w:rStyle w:val="PageNumber"/>
        <w:sz w:val="16"/>
        <w:szCs w:val="16"/>
      </w:rPr>
      <w:fldChar w:fldCharType="end"/>
    </w:r>
  </w:p>
  <w:p w14:paraId="561EB89E" w14:textId="77777777" w:rsidR="00B87B6E" w:rsidRPr="00E363A4" w:rsidRDefault="00B87B6E" w:rsidP="00E37E46">
    <w:pPr>
      <w:pStyle w:val="Footer"/>
      <w:jc w:val="right"/>
      <w:rPr>
        <w:sz w:val="16"/>
        <w:szCs w:val="16"/>
        <w:lang w:val="en-A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1943B" w14:textId="77777777" w:rsidR="00B81CC1" w:rsidRDefault="00B81CC1">
      <w:r>
        <w:separator/>
      </w:r>
    </w:p>
  </w:footnote>
  <w:footnote w:type="continuationSeparator" w:id="0">
    <w:p w14:paraId="721C8ECE" w14:textId="77777777" w:rsidR="00B81CC1" w:rsidRDefault="00B81C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9309FCE"/>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nsid w:val="04DE56AF"/>
    <w:multiLevelType w:val="hybridMultilevel"/>
    <w:tmpl w:val="9424D25C"/>
    <w:lvl w:ilvl="0" w:tplc="01EE7998">
      <w:start w:val="1"/>
      <w:numFmt w:val="decimal"/>
      <w:lvlText w:val="%1."/>
      <w:lvlJc w:val="left"/>
      <w:pPr>
        <w:tabs>
          <w:tab w:val="num" w:pos="360"/>
        </w:tabs>
        <w:ind w:left="360" w:hanging="360"/>
      </w:pPr>
      <w:rPr>
        <w:rFonts w:hint="default"/>
        <w:color w:val="auto"/>
      </w:rPr>
    </w:lvl>
    <w:lvl w:ilvl="1" w:tplc="ED264EA0">
      <w:start w:val="1"/>
      <w:numFmt w:val="decimal"/>
      <w:lvlText w:val="(%2)"/>
      <w:lvlJc w:val="left"/>
      <w:pPr>
        <w:tabs>
          <w:tab w:val="num" w:pos="1080"/>
        </w:tabs>
        <w:ind w:left="1080" w:hanging="360"/>
      </w:pPr>
      <w:rPr>
        <w:rFonts w:hint="default"/>
        <w:color w:val="auto"/>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05426881"/>
    <w:multiLevelType w:val="hybridMultilevel"/>
    <w:tmpl w:val="B4163BAE"/>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3">
    <w:nsid w:val="0D0529BC"/>
    <w:multiLevelType w:val="hybridMultilevel"/>
    <w:tmpl w:val="8EACE15A"/>
    <w:lvl w:ilvl="0" w:tplc="0C090003">
      <w:start w:val="1"/>
      <w:numFmt w:val="bullet"/>
      <w:lvlText w:val="o"/>
      <w:lvlJc w:val="left"/>
      <w:pPr>
        <w:tabs>
          <w:tab w:val="num" w:pos="720"/>
        </w:tabs>
        <w:ind w:left="720" w:hanging="360"/>
      </w:pPr>
      <w:rPr>
        <w:rFonts w:ascii="Courier New" w:hAnsi="Courier New" w:cs="Courier New" w:hint="default"/>
      </w:rPr>
    </w:lvl>
    <w:lvl w:ilvl="1" w:tplc="C610C97E">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15656DDD"/>
    <w:multiLevelType w:val="hybridMultilevel"/>
    <w:tmpl w:val="2BB884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6AB45DD"/>
    <w:multiLevelType w:val="hybridMultilevel"/>
    <w:tmpl w:val="FE92CE0C"/>
    <w:lvl w:ilvl="0" w:tplc="0C090003">
      <w:start w:val="1"/>
      <w:numFmt w:val="bullet"/>
      <w:lvlText w:val="o"/>
      <w:lvlJc w:val="left"/>
      <w:pPr>
        <w:tabs>
          <w:tab w:val="num" w:pos="720"/>
        </w:tabs>
        <w:ind w:left="720" w:hanging="360"/>
      </w:pPr>
      <w:rPr>
        <w:rFonts w:ascii="Courier New" w:hAnsi="Courier New" w:cs="Courier New" w:hint="default"/>
        <w:color w:val="auto"/>
      </w:rPr>
    </w:lvl>
    <w:lvl w:ilvl="1" w:tplc="C610C97E">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17F42B66"/>
    <w:multiLevelType w:val="hybridMultilevel"/>
    <w:tmpl w:val="B43E625A"/>
    <w:lvl w:ilvl="0" w:tplc="0C09000F">
      <w:start w:val="1"/>
      <w:numFmt w:val="decimal"/>
      <w:lvlText w:val="%1."/>
      <w:lvlJc w:val="left"/>
      <w:pPr>
        <w:tabs>
          <w:tab w:val="num" w:pos="360"/>
        </w:tabs>
        <w:ind w:left="360" w:hanging="360"/>
      </w:pPr>
    </w:lvl>
    <w:lvl w:ilvl="1" w:tplc="ED264EA0">
      <w:start w:val="1"/>
      <w:numFmt w:val="decimal"/>
      <w:lvlText w:val="(%2)"/>
      <w:lvlJc w:val="left"/>
      <w:pPr>
        <w:tabs>
          <w:tab w:val="num" w:pos="1080"/>
        </w:tabs>
        <w:ind w:left="1080" w:hanging="36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
    <w:nsid w:val="2FE23B7B"/>
    <w:multiLevelType w:val="hybridMultilevel"/>
    <w:tmpl w:val="5628B10A"/>
    <w:lvl w:ilvl="0" w:tplc="0C090001">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8">
    <w:nsid w:val="340601E0"/>
    <w:multiLevelType w:val="singleLevel"/>
    <w:tmpl w:val="8D466266"/>
    <w:lvl w:ilvl="0">
      <w:start w:val="1"/>
      <w:numFmt w:val="lowerLetter"/>
      <w:lvlText w:val="(%1)"/>
      <w:legacy w:legacy="1" w:legacySpace="0" w:legacyIndent="990"/>
      <w:lvlJc w:val="left"/>
      <w:rPr>
        <w:rFonts w:ascii="Times New Roman" w:hAnsi="Times New Roman" w:cs="Times New Roman" w:hint="default"/>
      </w:rPr>
    </w:lvl>
  </w:abstractNum>
  <w:abstractNum w:abstractNumId="9">
    <w:nsid w:val="3BEE54DC"/>
    <w:multiLevelType w:val="hybridMultilevel"/>
    <w:tmpl w:val="93349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6B97B8C"/>
    <w:multiLevelType w:val="hybridMultilevel"/>
    <w:tmpl w:val="DA4C2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7B37469"/>
    <w:multiLevelType w:val="hybridMultilevel"/>
    <w:tmpl w:val="83084772"/>
    <w:lvl w:ilvl="0" w:tplc="C610C97E">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49661922"/>
    <w:multiLevelType w:val="hybridMultilevel"/>
    <w:tmpl w:val="AFC6C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3F17D3E"/>
    <w:multiLevelType w:val="hybridMultilevel"/>
    <w:tmpl w:val="0770B94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9597E9B"/>
    <w:multiLevelType w:val="hybridMultilevel"/>
    <w:tmpl w:val="A74EF76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595F6731"/>
    <w:multiLevelType w:val="hybridMultilevel"/>
    <w:tmpl w:val="0728E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1B47030"/>
    <w:multiLevelType w:val="hybridMultilevel"/>
    <w:tmpl w:val="5192C254"/>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5C92C38"/>
    <w:multiLevelType w:val="hybridMultilevel"/>
    <w:tmpl w:val="3A508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FC2228D"/>
    <w:multiLevelType w:val="hybridMultilevel"/>
    <w:tmpl w:val="8948F3E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8"/>
  </w:num>
  <w:num w:numId="3">
    <w:abstractNumId w:val="11"/>
  </w:num>
  <w:num w:numId="4">
    <w:abstractNumId w:val="6"/>
  </w:num>
  <w:num w:numId="5">
    <w:abstractNumId w:val="3"/>
  </w:num>
  <w:num w:numId="6">
    <w:abstractNumId w:val="5"/>
  </w:num>
  <w:num w:numId="7">
    <w:abstractNumId w:val="14"/>
  </w:num>
  <w:num w:numId="8">
    <w:abstractNumId w:val="16"/>
  </w:num>
  <w:num w:numId="9">
    <w:abstractNumId w:val="7"/>
  </w:num>
  <w:num w:numId="10">
    <w:abstractNumId w:val="12"/>
  </w:num>
  <w:num w:numId="11">
    <w:abstractNumId w:val="15"/>
  </w:num>
  <w:num w:numId="12">
    <w:abstractNumId w:val="9"/>
  </w:num>
  <w:num w:numId="13">
    <w:abstractNumId w:val="0"/>
  </w:num>
  <w:num w:numId="14">
    <w:abstractNumId w:val="4"/>
  </w:num>
  <w:num w:numId="15">
    <w:abstractNumId w:val="18"/>
  </w:num>
  <w:num w:numId="16">
    <w:abstractNumId w:val="13"/>
  </w:num>
  <w:num w:numId="17">
    <w:abstractNumId w:val="10"/>
  </w:num>
  <w:num w:numId="18">
    <w:abstractNumId w:val="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8D2"/>
    <w:rsid w:val="000055DB"/>
    <w:rsid w:val="00011BB2"/>
    <w:rsid w:val="00015CBB"/>
    <w:rsid w:val="00016910"/>
    <w:rsid w:val="00075B39"/>
    <w:rsid w:val="00097776"/>
    <w:rsid w:val="000A25C1"/>
    <w:rsid w:val="000B5FB3"/>
    <w:rsid w:val="000D6245"/>
    <w:rsid w:val="000F291E"/>
    <w:rsid w:val="000F2F7D"/>
    <w:rsid w:val="001119EE"/>
    <w:rsid w:val="00113193"/>
    <w:rsid w:val="00117DD2"/>
    <w:rsid w:val="001418A8"/>
    <w:rsid w:val="00142618"/>
    <w:rsid w:val="00143C9C"/>
    <w:rsid w:val="00155F36"/>
    <w:rsid w:val="001625F8"/>
    <w:rsid w:val="00163740"/>
    <w:rsid w:val="00165BB5"/>
    <w:rsid w:val="00183606"/>
    <w:rsid w:val="00187F8B"/>
    <w:rsid w:val="001A3FB0"/>
    <w:rsid w:val="001A5DAE"/>
    <w:rsid w:val="001C731C"/>
    <w:rsid w:val="001D1E80"/>
    <w:rsid w:val="001D4FA8"/>
    <w:rsid w:val="001F220F"/>
    <w:rsid w:val="002039F7"/>
    <w:rsid w:val="0020657B"/>
    <w:rsid w:val="00220217"/>
    <w:rsid w:val="00232B02"/>
    <w:rsid w:val="002413FF"/>
    <w:rsid w:val="00251BF2"/>
    <w:rsid w:val="00275481"/>
    <w:rsid w:val="002B5A57"/>
    <w:rsid w:val="002F2F3A"/>
    <w:rsid w:val="003207C9"/>
    <w:rsid w:val="003327D0"/>
    <w:rsid w:val="0034007A"/>
    <w:rsid w:val="003A7AB2"/>
    <w:rsid w:val="003B11AA"/>
    <w:rsid w:val="003B38C5"/>
    <w:rsid w:val="003C7624"/>
    <w:rsid w:val="003E47A2"/>
    <w:rsid w:val="003E63FC"/>
    <w:rsid w:val="00400B3B"/>
    <w:rsid w:val="00404140"/>
    <w:rsid w:val="00410016"/>
    <w:rsid w:val="00422C61"/>
    <w:rsid w:val="00423E17"/>
    <w:rsid w:val="004631B2"/>
    <w:rsid w:val="0047400E"/>
    <w:rsid w:val="004A3EB9"/>
    <w:rsid w:val="004F03B3"/>
    <w:rsid w:val="004F3768"/>
    <w:rsid w:val="005015EB"/>
    <w:rsid w:val="00504433"/>
    <w:rsid w:val="00512CE7"/>
    <w:rsid w:val="00513056"/>
    <w:rsid w:val="00530C80"/>
    <w:rsid w:val="005529D1"/>
    <w:rsid w:val="005B2C07"/>
    <w:rsid w:val="005C4BF3"/>
    <w:rsid w:val="005E042E"/>
    <w:rsid w:val="00613C40"/>
    <w:rsid w:val="006357CE"/>
    <w:rsid w:val="00652E2E"/>
    <w:rsid w:val="006C4BA0"/>
    <w:rsid w:val="006D466F"/>
    <w:rsid w:val="00710474"/>
    <w:rsid w:val="00784B1D"/>
    <w:rsid w:val="00785F5B"/>
    <w:rsid w:val="007A17F5"/>
    <w:rsid w:val="007A728A"/>
    <w:rsid w:val="007C672A"/>
    <w:rsid w:val="007D39BD"/>
    <w:rsid w:val="007D3EAE"/>
    <w:rsid w:val="007D42FC"/>
    <w:rsid w:val="007D6A7C"/>
    <w:rsid w:val="007E4039"/>
    <w:rsid w:val="008402D4"/>
    <w:rsid w:val="00852A38"/>
    <w:rsid w:val="00853AEF"/>
    <w:rsid w:val="00856F16"/>
    <w:rsid w:val="008851A9"/>
    <w:rsid w:val="0088553C"/>
    <w:rsid w:val="0088585F"/>
    <w:rsid w:val="00893910"/>
    <w:rsid w:val="008A7C20"/>
    <w:rsid w:val="008C193D"/>
    <w:rsid w:val="008F227F"/>
    <w:rsid w:val="009038D8"/>
    <w:rsid w:val="00914D5C"/>
    <w:rsid w:val="00927987"/>
    <w:rsid w:val="0094781F"/>
    <w:rsid w:val="009A6E96"/>
    <w:rsid w:val="009D5F04"/>
    <w:rsid w:val="009E4A20"/>
    <w:rsid w:val="009F38D2"/>
    <w:rsid w:val="00A0216B"/>
    <w:rsid w:val="00A25C19"/>
    <w:rsid w:val="00A61538"/>
    <w:rsid w:val="00A659D7"/>
    <w:rsid w:val="00A83288"/>
    <w:rsid w:val="00AF179C"/>
    <w:rsid w:val="00B26F60"/>
    <w:rsid w:val="00B30F15"/>
    <w:rsid w:val="00B40C2E"/>
    <w:rsid w:val="00B47513"/>
    <w:rsid w:val="00B6149E"/>
    <w:rsid w:val="00B66A62"/>
    <w:rsid w:val="00B67FB4"/>
    <w:rsid w:val="00B75E10"/>
    <w:rsid w:val="00B81CC1"/>
    <w:rsid w:val="00B87B6E"/>
    <w:rsid w:val="00BC5479"/>
    <w:rsid w:val="00BD37C5"/>
    <w:rsid w:val="00BD74C8"/>
    <w:rsid w:val="00BF1E45"/>
    <w:rsid w:val="00C23DB0"/>
    <w:rsid w:val="00C37619"/>
    <w:rsid w:val="00C93BC8"/>
    <w:rsid w:val="00CB412C"/>
    <w:rsid w:val="00CD4B78"/>
    <w:rsid w:val="00CD6F3C"/>
    <w:rsid w:val="00CD709E"/>
    <w:rsid w:val="00CE6B0B"/>
    <w:rsid w:val="00CF7386"/>
    <w:rsid w:val="00D016D8"/>
    <w:rsid w:val="00D14D9A"/>
    <w:rsid w:val="00D63AC4"/>
    <w:rsid w:val="00D73EC9"/>
    <w:rsid w:val="00D87348"/>
    <w:rsid w:val="00D943D4"/>
    <w:rsid w:val="00DA289B"/>
    <w:rsid w:val="00E132CB"/>
    <w:rsid w:val="00E226D5"/>
    <w:rsid w:val="00E37E46"/>
    <w:rsid w:val="00E4474E"/>
    <w:rsid w:val="00E739E0"/>
    <w:rsid w:val="00EA5D84"/>
    <w:rsid w:val="00ED008A"/>
    <w:rsid w:val="00F029D8"/>
    <w:rsid w:val="00F27D50"/>
    <w:rsid w:val="00F53F45"/>
    <w:rsid w:val="00F74EFC"/>
    <w:rsid w:val="00FB3B8A"/>
    <w:rsid w:val="00FB4091"/>
    <w:rsid w:val="00FC0732"/>
    <w:rsid w:val="00FC16D2"/>
    <w:rsid w:val="00FD453F"/>
    <w:rsid w:val="00FD4AD4"/>
    <w:rsid w:val="00FD51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1EB83F"/>
  <w15:docId w15:val="{FFA7292E-D606-48F5-8905-89E5D6867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F36"/>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F38D2"/>
    <w:pPr>
      <w:spacing w:after="120"/>
    </w:pPr>
    <w:rPr>
      <w:lang w:val="en-AU"/>
    </w:rPr>
  </w:style>
  <w:style w:type="paragraph" w:styleId="Footer">
    <w:name w:val="footer"/>
    <w:basedOn w:val="Normal"/>
    <w:rsid w:val="009F38D2"/>
    <w:pPr>
      <w:tabs>
        <w:tab w:val="center" w:pos="4153"/>
        <w:tab w:val="right" w:pos="8306"/>
      </w:tabs>
    </w:pPr>
  </w:style>
  <w:style w:type="character" w:styleId="PageNumber">
    <w:name w:val="page number"/>
    <w:basedOn w:val="DefaultParagraphFont"/>
    <w:rsid w:val="009F38D2"/>
  </w:style>
  <w:style w:type="paragraph" w:styleId="Header">
    <w:name w:val="header"/>
    <w:basedOn w:val="Normal"/>
    <w:rsid w:val="009F38D2"/>
    <w:pPr>
      <w:tabs>
        <w:tab w:val="center" w:pos="4153"/>
        <w:tab w:val="right" w:pos="8306"/>
      </w:tabs>
    </w:pPr>
    <w:rPr>
      <w:lang w:val="en-AU"/>
    </w:rPr>
  </w:style>
  <w:style w:type="paragraph" w:styleId="NormalWeb">
    <w:name w:val="Normal (Web)"/>
    <w:basedOn w:val="Normal"/>
    <w:rsid w:val="00613C40"/>
    <w:pPr>
      <w:spacing w:before="100" w:beforeAutospacing="1" w:after="100" w:afterAutospacing="1"/>
    </w:pPr>
    <w:rPr>
      <w:szCs w:val="24"/>
      <w:lang w:val="en-AU"/>
    </w:rPr>
  </w:style>
  <w:style w:type="paragraph" w:customStyle="1" w:styleId="P1">
    <w:name w:val="P1"/>
    <w:aliases w:val="(a)"/>
    <w:basedOn w:val="Normal"/>
    <w:rsid w:val="00D943D4"/>
    <w:pPr>
      <w:tabs>
        <w:tab w:val="right" w:pos="1191"/>
      </w:tabs>
      <w:spacing w:before="60" w:line="260" w:lineRule="exact"/>
      <w:ind w:left="1418" w:hanging="1418"/>
      <w:jc w:val="both"/>
    </w:pPr>
    <w:rPr>
      <w:noProof/>
      <w:szCs w:val="24"/>
      <w:lang w:val="en-AU" w:eastAsia="en-US"/>
    </w:rPr>
  </w:style>
  <w:style w:type="paragraph" w:styleId="ListParagraph">
    <w:name w:val="List Paragraph"/>
    <w:basedOn w:val="Normal"/>
    <w:uiPriority w:val="34"/>
    <w:qFormat/>
    <w:rsid w:val="00914D5C"/>
    <w:pPr>
      <w:ind w:left="720"/>
    </w:pPr>
    <w:rPr>
      <w:szCs w:val="24"/>
      <w:lang w:val="en-US" w:eastAsia="en-US"/>
    </w:rPr>
  </w:style>
  <w:style w:type="paragraph" w:customStyle="1" w:styleId="indenta">
    <w:name w:val="indenta"/>
    <w:basedOn w:val="Normal"/>
    <w:rsid w:val="00914D5C"/>
    <w:pPr>
      <w:spacing w:before="100" w:beforeAutospacing="1" w:after="100" w:afterAutospacing="1"/>
    </w:pPr>
    <w:rPr>
      <w:szCs w:val="24"/>
      <w:lang w:val="en-AU"/>
    </w:rPr>
  </w:style>
  <w:style w:type="character" w:customStyle="1" w:styleId="charsectno">
    <w:name w:val="charsectno"/>
    <w:basedOn w:val="DefaultParagraphFont"/>
    <w:rsid w:val="00914D5C"/>
  </w:style>
  <w:style w:type="character" w:customStyle="1" w:styleId="apple-converted-space">
    <w:name w:val="apple-converted-space"/>
    <w:basedOn w:val="DefaultParagraphFont"/>
    <w:rsid w:val="00914D5C"/>
  </w:style>
  <w:style w:type="paragraph" w:customStyle="1" w:styleId="ACMABodyText">
    <w:name w:val="ACMA Body Text"/>
    <w:rsid w:val="002B5A57"/>
    <w:pPr>
      <w:suppressAutoHyphens/>
      <w:spacing w:before="80" w:after="120" w:line="280" w:lineRule="atLeast"/>
    </w:pPr>
    <w:rPr>
      <w:snapToGrid w:val="0"/>
      <w:sz w:val="24"/>
      <w:lang w:eastAsia="en-US"/>
    </w:rPr>
  </w:style>
  <w:style w:type="character" w:styleId="CommentReference">
    <w:name w:val="annotation reference"/>
    <w:uiPriority w:val="99"/>
    <w:semiHidden/>
    <w:unhideWhenUsed/>
    <w:rsid w:val="001418A8"/>
    <w:rPr>
      <w:sz w:val="16"/>
      <w:szCs w:val="16"/>
    </w:rPr>
  </w:style>
  <w:style w:type="paragraph" w:styleId="CommentText">
    <w:name w:val="annotation text"/>
    <w:basedOn w:val="Normal"/>
    <w:link w:val="CommentTextChar"/>
    <w:uiPriority w:val="99"/>
    <w:semiHidden/>
    <w:unhideWhenUsed/>
    <w:rsid w:val="001418A8"/>
    <w:rPr>
      <w:sz w:val="20"/>
    </w:rPr>
  </w:style>
  <w:style w:type="character" w:customStyle="1" w:styleId="CommentTextChar">
    <w:name w:val="Comment Text Char"/>
    <w:link w:val="CommentText"/>
    <w:uiPriority w:val="99"/>
    <w:semiHidden/>
    <w:rsid w:val="001418A8"/>
    <w:rPr>
      <w:lang w:val="en-GB"/>
    </w:rPr>
  </w:style>
  <w:style w:type="paragraph" w:styleId="CommentSubject">
    <w:name w:val="annotation subject"/>
    <w:basedOn w:val="CommentText"/>
    <w:next w:val="CommentText"/>
    <w:link w:val="CommentSubjectChar"/>
    <w:uiPriority w:val="99"/>
    <w:semiHidden/>
    <w:unhideWhenUsed/>
    <w:rsid w:val="001418A8"/>
    <w:rPr>
      <w:b/>
      <w:bCs/>
    </w:rPr>
  </w:style>
  <w:style w:type="character" w:customStyle="1" w:styleId="CommentSubjectChar">
    <w:name w:val="Comment Subject Char"/>
    <w:link w:val="CommentSubject"/>
    <w:uiPriority w:val="99"/>
    <w:semiHidden/>
    <w:rsid w:val="001418A8"/>
    <w:rPr>
      <w:b/>
      <w:bCs/>
      <w:lang w:val="en-GB"/>
    </w:rPr>
  </w:style>
  <w:style w:type="paragraph" w:styleId="BalloonText">
    <w:name w:val="Balloon Text"/>
    <w:basedOn w:val="Normal"/>
    <w:link w:val="BalloonTextChar"/>
    <w:uiPriority w:val="99"/>
    <w:semiHidden/>
    <w:unhideWhenUsed/>
    <w:rsid w:val="001418A8"/>
    <w:rPr>
      <w:rFonts w:ascii="Tahoma" w:hAnsi="Tahoma" w:cs="Tahoma"/>
      <w:sz w:val="16"/>
      <w:szCs w:val="16"/>
    </w:rPr>
  </w:style>
  <w:style w:type="character" w:customStyle="1" w:styleId="BalloonTextChar">
    <w:name w:val="Balloon Text Char"/>
    <w:link w:val="BalloonText"/>
    <w:uiPriority w:val="99"/>
    <w:semiHidden/>
    <w:rsid w:val="001418A8"/>
    <w:rPr>
      <w:rFonts w:ascii="Tahoma" w:hAnsi="Tahoma" w:cs="Tahoma"/>
      <w:sz w:val="16"/>
      <w:szCs w:val="16"/>
      <w:lang w:val="en-GB"/>
    </w:rPr>
  </w:style>
  <w:style w:type="paragraph" w:styleId="ListBullet">
    <w:name w:val="List Bullet"/>
    <w:basedOn w:val="Normal"/>
    <w:rsid w:val="001418A8"/>
    <w:pPr>
      <w:numPr>
        <w:numId w:val="13"/>
      </w:numPr>
      <w:spacing w:after="80" w:line="240" w:lineRule="atLeast"/>
    </w:pPr>
    <w:rPr>
      <w:rFonts w:ascii="Arial" w:hAnsi="Arial"/>
      <w:sz w:val="20"/>
      <w:szCs w:val="24"/>
      <w:lang w:val="en-AU"/>
    </w:rPr>
  </w:style>
  <w:style w:type="character" w:styleId="Hyperlink">
    <w:name w:val="Hyperlink"/>
    <w:uiPriority w:val="99"/>
    <w:unhideWhenUsed/>
    <w:rsid w:val="00AF179C"/>
    <w:rPr>
      <w:color w:val="0000FF"/>
      <w:u w:val="single"/>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
    <w:uiPriority w:val="99"/>
    <w:rsid w:val="0088585F"/>
    <w:rPr>
      <w:rFonts w:ascii="Arial" w:hAnsi="Arial"/>
      <w:vertAlign w:val="superscript"/>
    </w:rPr>
  </w:style>
  <w:style w:type="paragraph" w:styleId="FootnoteText">
    <w:name w:val="footnote text"/>
    <w:aliases w:val="ACMA Footnote Text,footnote text,Footnote Text Char1,Footnote Text Char Char,Footnote Text Char1 Char Char,Footnote Text Char Char Char Char,Footnote Text Char1 Char Char Char Char,Footnote Text Char Char Char Char Char Char,f,fn"/>
    <w:basedOn w:val="Normal"/>
    <w:link w:val="FootnoteTextChar"/>
    <w:uiPriority w:val="99"/>
    <w:rsid w:val="0088585F"/>
    <w:pPr>
      <w:spacing w:line="240" w:lineRule="atLeast"/>
    </w:pPr>
    <w:rPr>
      <w:rFonts w:ascii="Arial" w:hAnsi="Arial"/>
      <w:sz w:val="16"/>
      <w:szCs w:val="16"/>
      <w:lang w:val="en-AU"/>
    </w:rPr>
  </w:style>
  <w:style w:type="character" w:customStyle="1" w:styleId="FootnoteTextChar">
    <w:name w:val="Footnote Text Char"/>
    <w:aliases w:val="ACMA Footnote Text Char,footnote text Char,Footnote Text Char1 Char,Footnote Text Char Char Char,Footnote Text Char1 Char Char Char,Footnote Text Char Char Char Char Char,Footnote Text Char1 Char Char Char Char Char,f Char,fn Char"/>
    <w:link w:val="FootnoteText"/>
    <w:uiPriority w:val="99"/>
    <w:rsid w:val="0088585F"/>
    <w:rPr>
      <w:rFonts w:ascii="Arial" w:hAnsi="Arial"/>
      <w:sz w:val="16"/>
      <w:szCs w:val="16"/>
    </w:rPr>
  </w:style>
  <w:style w:type="character" w:customStyle="1" w:styleId="CharSectno0">
    <w:name w:val="CharSectno"/>
    <w:basedOn w:val="DefaultParagraphFont"/>
    <w:rsid w:val="00FB4091"/>
  </w:style>
  <w:style w:type="paragraph" w:customStyle="1" w:styleId="definition">
    <w:name w:val="definition"/>
    <w:basedOn w:val="Normal"/>
    <w:rsid w:val="00143C9C"/>
    <w:pPr>
      <w:spacing w:before="100" w:beforeAutospacing="1" w:after="100" w:afterAutospacing="1"/>
    </w:pPr>
    <w:rPr>
      <w:szCs w:val="24"/>
      <w:lang w:val="en-AU"/>
    </w:rPr>
  </w:style>
  <w:style w:type="character" w:styleId="FollowedHyperlink">
    <w:name w:val="FollowedHyperlink"/>
    <w:basedOn w:val="DefaultParagraphFont"/>
    <w:uiPriority w:val="99"/>
    <w:semiHidden/>
    <w:unhideWhenUsed/>
    <w:rsid w:val="00B67F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262791">
      <w:bodyDiv w:val="1"/>
      <w:marLeft w:val="0"/>
      <w:marRight w:val="0"/>
      <w:marTop w:val="0"/>
      <w:marBottom w:val="0"/>
      <w:divBdr>
        <w:top w:val="none" w:sz="0" w:space="0" w:color="auto"/>
        <w:left w:val="none" w:sz="0" w:space="0" w:color="auto"/>
        <w:bottom w:val="none" w:sz="0" w:space="0" w:color="auto"/>
        <w:right w:val="none" w:sz="0" w:space="0" w:color="auto"/>
      </w:divBdr>
      <w:divsChild>
        <w:div w:id="743452983">
          <w:marLeft w:val="0"/>
          <w:marRight w:val="0"/>
          <w:marTop w:val="0"/>
          <w:marBottom w:val="0"/>
          <w:divBdr>
            <w:top w:val="none" w:sz="0" w:space="0" w:color="auto"/>
            <w:left w:val="none" w:sz="0" w:space="0" w:color="auto"/>
            <w:bottom w:val="none" w:sz="0" w:space="0" w:color="auto"/>
            <w:right w:val="none" w:sz="0" w:space="0" w:color="auto"/>
          </w:divBdr>
          <w:divsChild>
            <w:div w:id="1931619682">
              <w:marLeft w:val="0"/>
              <w:marRight w:val="0"/>
              <w:marTop w:val="0"/>
              <w:marBottom w:val="0"/>
              <w:divBdr>
                <w:top w:val="none" w:sz="0" w:space="0" w:color="auto"/>
                <w:left w:val="none" w:sz="0" w:space="0" w:color="auto"/>
                <w:bottom w:val="none" w:sz="0" w:space="0" w:color="auto"/>
                <w:right w:val="none" w:sz="0" w:space="0" w:color="auto"/>
              </w:divBdr>
              <w:divsChild>
                <w:div w:id="1353608132">
                  <w:marLeft w:val="0"/>
                  <w:marRight w:val="0"/>
                  <w:marTop w:val="0"/>
                  <w:marBottom w:val="0"/>
                  <w:divBdr>
                    <w:top w:val="none" w:sz="0" w:space="0" w:color="auto"/>
                    <w:left w:val="none" w:sz="0" w:space="0" w:color="auto"/>
                    <w:bottom w:val="none" w:sz="0" w:space="0" w:color="auto"/>
                    <w:right w:val="none" w:sz="0" w:space="0" w:color="auto"/>
                  </w:divBdr>
                  <w:divsChild>
                    <w:div w:id="506485275">
                      <w:marLeft w:val="0"/>
                      <w:marRight w:val="0"/>
                      <w:marTop w:val="0"/>
                      <w:marBottom w:val="0"/>
                      <w:divBdr>
                        <w:top w:val="none" w:sz="0" w:space="0" w:color="auto"/>
                        <w:left w:val="none" w:sz="0" w:space="0" w:color="auto"/>
                        <w:bottom w:val="none" w:sz="0" w:space="0" w:color="auto"/>
                        <w:right w:val="none" w:sz="0" w:space="0" w:color="auto"/>
                      </w:divBdr>
                      <w:divsChild>
                        <w:div w:id="992950917">
                          <w:marLeft w:val="0"/>
                          <w:marRight w:val="0"/>
                          <w:marTop w:val="0"/>
                          <w:marBottom w:val="0"/>
                          <w:divBdr>
                            <w:top w:val="single" w:sz="4" w:space="0" w:color="828282"/>
                            <w:left w:val="single" w:sz="4" w:space="0" w:color="828282"/>
                            <w:bottom w:val="single" w:sz="4" w:space="0" w:color="828282"/>
                            <w:right w:val="single" w:sz="4" w:space="0" w:color="828282"/>
                          </w:divBdr>
                          <w:divsChild>
                            <w:div w:id="1561750230">
                              <w:marLeft w:val="0"/>
                              <w:marRight w:val="0"/>
                              <w:marTop w:val="0"/>
                              <w:marBottom w:val="0"/>
                              <w:divBdr>
                                <w:top w:val="none" w:sz="0" w:space="0" w:color="auto"/>
                                <w:left w:val="none" w:sz="0" w:space="0" w:color="auto"/>
                                <w:bottom w:val="none" w:sz="0" w:space="0" w:color="auto"/>
                                <w:right w:val="none" w:sz="0" w:space="0" w:color="auto"/>
                              </w:divBdr>
                              <w:divsChild>
                                <w:div w:id="999233310">
                                  <w:marLeft w:val="0"/>
                                  <w:marRight w:val="0"/>
                                  <w:marTop w:val="0"/>
                                  <w:marBottom w:val="0"/>
                                  <w:divBdr>
                                    <w:top w:val="none" w:sz="0" w:space="0" w:color="auto"/>
                                    <w:left w:val="none" w:sz="0" w:space="0" w:color="auto"/>
                                    <w:bottom w:val="none" w:sz="0" w:space="0" w:color="auto"/>
                                    <w:right w:val="none" w:sz="0" w:space="0" w:color="auto"/>
                                  </w:divBdr>
                                  <w:divsChild>
                                    <w:div w:id="1024788088">
                                      <w:marLeft w:val="0"/>
                                      <w:marRight w:val="0"/>
                                      <w:marTop w:val="0"/>
                                      <w:marBottom w:val="0"/>
                                      <w:divBdr>
                                        <w:top w:val="none" w:sz="0" w:space="0" w:color="auto"/>
                                        <w:left w:val="none" w:sz="0" w:space="0" w:color="auto"/>
                                        <w:bottom w:val="none" w:sz="0" w:space="0" w:color="auto"/>
                                        <w:right w:val="none" w:sz="0" w:space="0" w:color="auto"/>
                                      </w:divBdr>
                                      <w:divsChild>
                                        <w:div w:id="1837576183">
                                          <w:marLeft w:val="0"/>
                                          <w:marRight w:val="0"/>
                                          <w:marTop w:val="0"/>
                                          <w:marBottom w:val="0"/>
                                          <w:divBdr>
                                            <w:top w:val="none" w:sz="0" w:space="0" w:color="auto"/>
                                            <w:left w:val="none" w:sz="0" w:space="0" w:color="auto"/>
                                            <w:bottom w:val="none" w:sz="0" w:space="0" w:color="auto"/>
                                            <w:right w:val="none" w:sz="0" w:space="0" w:color="auto"/>
                                          </w:divBdr>
                                          <w:divsChild>
                                            <w:div w:id="542710572">
                                              <w:marLeft w:val="0"/>
                                              <w:marRight w:val="0"/>
                                              <w:marTop w:val="0"/>
                                              <w:marBottom w:val="0"/>
                                              <w:divBdr>
                                                <w:top w:val="none" w:sz="0" w:space="0" w:color="auto"/>
                                                <w:left w:val="none" w:sz="0" w:space="0" w:color="auto"/>
                                                <w:bottom w:val="none" w:sz="0" w:space="0" w:color="auto"/>
                                                <w:right w:val="none" w:sz="0" w:space="0" w:color="auto"/>
                                              </w:divBdr>
                                              <w:divsChild>
                                                <w:div w:id="167360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5540089">
      <w:bodyDiv w:val="1"/>
      <w:marLeft w:val="0"/>
      <w:marRight w:val="0"/>
      <w:marTop w:val="0"/>
      <w:marBottom w:val="0"/>
      <w:divBdr>
        <w:top w:val="none" w:sz="0" w:space="0" w:color="auto"/>
        <w:left w:val="none" w:sz="0" w:space="0" w:color="auto"/>
        <w:bottom w:val="none" w:sz="0" w:space="0" w:color="auto"/>
        <w:right w:val="none" w:sz="0" w:space="0" w:color="auto"/>
      </w:divBdr>
      <w:divsChild>
        <w:div w:id="96750863">
          <w:marLeft w:val="0"/>
          <w:marRight w:val="0"/>
          <w:marTop w:val="0"/>
          <w:marBottom w:val="0"/>
          <w:divBdr>
            <w:top w:val="none" w:sz="0" w:space="0" w:color="auto"/>
            <w:left w:val="none" w:sz="0" w:space="0" w:color="auto"/>
            <w:bottom w:val="none" w:sz="0" w:space="0" w:color="auto"/>
            <w:right w:val="none" w:sz="0" w:space="0" w:color="auto"/>
          </w:divBdr>
          <w:divsChild>
            <w:div w:id="1942032615">
              <w:marLeft w:val="0"/>
              <w:marRight w:val="0"/>
              <w:marTop w:val="0"/>
              <w:marBottom w:val="0"/>
              <w:divBdr>
                <w:top w:val="none" w:sz="0" w:space="0" w:color="auto"/>
                <w:left w:val="none" w:sz="0" w:space="0" w:color="auto"/>
                <w:bottom w:val="none" w:sz="0" w:space="0" w:color="auto"/>
                <w:right w:val="none" w:sz="0" w:space="0" w:color="auto"/>
              </w:divBdr>
              <w:divsChild>
                <w:div w:id="745537732">
                  <w:marLeft w:val="0"/>
                  <w:marRight w:val="0"/>
                  <w:marTop w:val="0"/>
                  <w:marBottom w:val="0"/>
                  <w:divBdr>
                    <w:top w:val="none" w:sz="0" w:space="0" w:color="auto"/>
                    <w:left w:val="none" w:sz="0" w:space="0" w:color="auto"/>
                    <w:bottom w:val="none" w:sz="0" w:space="0" w:color="auto"/>
                    <w:right w:val="none" w:sz="0" w:space="0" w:color="auto"/>
                  </w:divBdr>
                  <w:divsChild>
                    <w:div w:id="1503548970">
                      <w:marLeft w:val="0"/>
                      <w:marRight w:val="0"/>
                      <w:marTop w:val="0"/>
                      <w:marBottom w:val="0"/>
                      <w:divBdr>
                        <w:top w:val="none" w:sz="0" w:space="0" w:color="auto"/>
                        <w:left w:val="none" w:sz="0" w:space="0" w:color="auto"/>
                        <w:bottom w:val="none" w:sz="0" w:space="0" w:color="auto"/>
                        <w:right w:val="none" w:sz="0" w:space="0" w:color="auto"/>
                      </w:divBdr>
                      <w:divsChild>
                        <w:div w:id="1218904780">
                          <w:marLeft w:val="0"/>
                          <w:marRight w:val="0"/>
                          <w:marTop w:val="0"/>
                          <w:marBottom w:val="0"/>
                          <w:divBdr>
                            <w:top w:val="single" w:sz="6" w:space="0" w:color="828282"/>
                            <w:left w:val="single" w:sz="6" w:space="0" w:color="828282"/>
                            <w:bottom w:val="single" w:sz="6" w:space="0" w:color="828282"/>
                            <w:right w:val="single" w:sz="6" w:space="0" w:color="828282"/>
                          </w:divBdr>
                          <w:divsChild>
                            <w:div w:id="1556896266">
                              <w:marLeft w:val="0"/>
                              <w:marRight w:val="0"/>
                              <w:marTop w:val="0"/>
                              <w:marBottom w:val="0"/>
                              <w:divBdr>
                                <w:top w:val="none" w:sz="0" w:space="0" w:color="auto"/>
                                <w:left w:val="none" w:sz="0" w:space="0" w:color="auto"/>
                                <w:bottom w:val="none" w:sz="0" w:space="0" w:color="auto"/>
                                <w:right w:val="none" w:sz="0" w:space="0" w:color="auto"/>
                              </w:divBdr>
                              <w:divsChild>
                                <w:div w:id="1113013515">
                                  <w:marLeft w:val="0"/>
                                  <w:marRight w:val="0"/>
                                  <w:marTop w:val="0"/>
                                  <w:marBottom w:val="0"/>
                                  <w:divBdr>
                                    <w:top w:val="none" w:sz="0" w:space="0" w:color="auto"/>
                                    <w:left w:val="none" w:sz="0" w:space="0" w:color="auto"/>
                                    <w:bottom w:val="none" w:sz="0" w:space="0" w:color="auto"/>
                                    <w:right w:val="none" w:sz="0" w:space="0" w:color="auto"/>
                                  </w:divBdr>
                                  <w:divsChild>
                                    <w:div w:id="1149178330">
                                      <w:marLeft w:val="0"/>
                                      <w:marRight w:val="0"/>
                                      <w:marTop w:val="0"/>
                                      <w:marBottom w:val="0"/>
                                      <w:divBdr>
                                        <w:top w:val="none" w:sz="0" w:space="0" w:color="auto"/>
                                        <w:left w:val="none" w:sz="0" w:space="0" w:color="auto"/>
                                        <w:bottom w:val="none" w:sz="0" w:space="0" w:color="auto"/>
                                        <w:right w:val="none" w:sz="0" w:space="0" w:color="auto"/>
                                      </w:divBdr>
                                      <w:divsChild>
                                        <w:div w:id="586497874">
                                          <w:marLeft w:val="0"/>
                                          <w:marRight w:val="0"/>
                                          <w:marTop w:val="0"/>
                                          <w:marBottom w:val="0"/>
                                          <w:divBdr>
                                            <w:top w:val="none" w:sz="0" w:space="0" w:color="auto"/>
                                            <w:left w:val="none" w:sz="0" w:space="0" w:color="auto"/>
                                            <w:bottom w:val="none" w:sz="0" w:space="0" w:color="auto"/>
                                            <w:right w:val="none" w:sz="0" w:space="0" w:color="auto"/>
                                          </w:divBdr>
                                          <w:divsChild>
                                            <w:div w:id="175000415">
                                              <w:marLeft w:val="0"/>
                                              <w:marRight w:val="0"/>
                                              <w:marTop w:val="0"/>
                                              <w:marBottom w:val="0"/>
                                              <w:divBdr>
                                                <w:top w:val="none" w:sz="0" w:space="0" w:color="auto"/>
                                                <w:left w:val="none" w:sz="0" w:space="0" w:color="auto"/>
                                                <w:bottom w:val="none" w:sz="0" w:space="0" w:color="auto"/>
                                                <w:right w:val="none" w:sz="0" w:space="0" w:color="auto"/>
                                              </w:divBdr>
                                              <w:divsChild>
                                                <w:div w:id="153453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2397344">
      <w:bodyDiv w:val="1"/>
      <w:marLeft w:val="0"/>
      <w:marRight w:val="0"/>
      <w:marTop w:val="0"/>
      <w:marBottom w:val="0"/>
      <w:divBdr>
        <w:top w:val="none" w:sz="0" w:space="0" w:color="auto"/>
        <w:left w:val="none" w:sz="0" w:space="0" w:color="auto"/>
        <w:bottom w:val="none" w:sz="0" w:space="0" w:color="auto"/>
        <w:right w:val="none" w:sz="0" w:space="0" w:color="auto"/>
      </w:divBdr>
      <w:divsChild>
        <w:div w:id="1205023397">
          <w:marLeft w:val="0"/>
          <w:marRight w:val="0"/>
          <w:marTop w:val="0"/>
          <w:marBottom w:val="0"/>
          <w:divBdr>
            <w:top w:val="none" w:sz="0" w:space="0" w:color="auto"/>
            <w:left w:val="none" w:sz="0" w:space="0" w:color="auto"/>
            <w:bottom w:val="none" w:sz="0" w:space="0" w:color="auto"/>
            <w:right w:val="none" w:sz="0" w:space="0" w:color="auto"/>
          </w:divBdr>
          <w:divsChild>
            <w:div w:id="583494272">
              <w:marLeft w:val="0"/>
              <w:marRight w:val="0"/>
              <w:marTop w:val="0"/>
              <w:marBottom w:val="0"/>
              <w:divBdr>
                <w:top w:val="none" w:sz="0" w:space="0" w:color="auto"/>
                <w:left w:val="none" w:sz="0" w:space="0" w:color="auto"/>
                <w:bottom w:val="none" w:sz="0" w:space="0" w:color="auto"/>
                <w:right w:val="none" w:sz="0" w:space="0" w:color="auto"/>
              </w:divBdr>
              <w:divsChild>
                <w:div w:id="601883879">
                  <w:marLeft w:val="0"/>
                  <w:marRight w:val="0"/>
                  <w:marTop w:val="0"/>
                  <w:marBottom w:val="0"/>
                  <w:divBdr>
                    <w:top w:val="none" w:sz="0" w:space="0" w:color="auto"/>
                    <w:left w:val="none" w:sz="0" w:space="0" w:color="auto"/>
                    <w:bottom w:val="none" w:sz="0" w:space="0" w:color="auto"/>
                    <w:right w:val="none" w:sz="0" w:space="0" w:color="auto"/>
                  </w:divBdr>
                  <w:divsChild>
                    <w:div w:id="1917590978">
                      <w:marLeft w:val="0"/>
                      <w:marRight w:val="0"/>
                      <w:marTop w:val="0"/>
                      <w:marBottom w:val="0"/>
                      <w:divBdr>
                        <w:top w:val="none" w:sz="0" w:space="0" w:color="auto"/>
                        <w:left w:val="none" w:sz="0" w:space="0" w:color="auto"/>
                        <w:bottom w:val="none" w:sz="0" w:space="0" w:color="auto"/>
                        <w:right w:val="none" w:sz="0" w:space="0" w:color="auto"/>
                      </w:divBdr>
                      <w:divsChild>
                        <w:div w:id="341512339">
                          <w:marLeft w:val="0"/>
                          <w:marRight w:val="12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omlaw.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airservicesaustralia.com/aip/current/aip/general.pdf"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irservicesaustralia.com/aip/current/aip/gener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7F6700E72D8C244BB4A9479B32C0DD1" ma:contentTypeVersion="0" ma:contentTypeDescription="Create a new document." ma:contentTypeScope="" ma:versionID="9ec5da8a6c9a492cfcd5e85756ab22c7">
  <xsd:schema xmlns:xsd="http://www.w3.org/2001/XMLSchema" xmlns:xs="http://www.w3.org/2001/XMLSchema" xmlns:p="http://schemas.microsoft.com/office/2006/metadata/properties" xmlns:ns2="6db8f3c6-01a1-4322-b043-a3b2a190f7a8" targetNamespace="http://schemas.microsoft.com/office/2006/metadata/properties" ma:root="true" ma:fieldsID="08fd8ed56bc4c63e248c838960af90a7" ns2:_="">
    <xsd:import namespace="6db8f3c6-01a1-4322-b043-a3b2a190f7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_dlc_DocId xmlns="6db8f3c6-01a1-4322-b043-a3b2a190f7a8">KNAH4PPFC442-2596-124</_dlc_DocId>
    <_dlc_DocIdUrl xmlns="6db8f3c6-01a1-4322-b043-a3b2a190f7a8">
      <Url>http://collaboration/organisation/CID/RPB/RLPS/lib/_layouts/DocIdRedir.aspx?ID=KNAH4PPFC442-2596-124</Url>
      <Description>KNAH4PPFC442-2596-124</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7806A4-9FEE-4F1B-B60E-753602FDEACD}">
  <ds:schemaRefs>
    <ds:schemaRef ds:uri="http://schemas.microsoft.com/sharepoint/events"/>
  </ds:schemaRefs>
</ds:datastoreItem>
</file>

<file path=customXml/itemProps2.xml><?xml version="1.0" encoding="utf-8"?>
<ds:datastoreItem xmlns:ds="http://schemas.openxmlformats.org/officeDocument/2006/customXml" ds:itemID="{62367156-2DE2-417E-BEFC-36F9A492A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8f3c6-01a1-4322-b043-a3b2a190f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419E20-4D13-46BA-B1C0-DDA61295E4D9}">
  <ds:schemaRefs>
    <ds:schemaRef ds:uri="http://schemas.microsoft.com/office/2006/metadata/longProperties"/>
  </ds:schemaRefs>
</ds:datastoreItem>
</file>

<file path=customXml/itemProps4.xml><?xml version="1.0" encoding="utf-8"?>
<ds:datastoreItem xmlns:ds="http://schemas.openxmlformats.org/officeDocument/2006/customXml" ds:itemID="{E64AA969-8DDF-423B-8B09-5C1C6D5091A7}">
  <ds:schemaRefs>
    <ds:schemaRef ds:uri="http://schemas.microsoft.com/sharepoint/v3/contenttype/forms"/>
  </ds:schemaRefs>
</ds:datastoreItem>
</file>

<file path=customXml/itemProps5.xml><?xml version="1.0" encoding="utf-8"?>
<ds:datastoreItem xmlns:ds="http://schemas.openxmlformats.org/officeDocument/2006/customXml" ds:itemID="{728C6CFD-ED93-4EF5-8DF0-C4CBFAC73944}">
  <ds:schemaRefs>
    <ds:schemaRef ds:uri="http://www.w3.org/XML/1998/namespace"/>
    <ds:schemaRef ds:uri="http://purl.org/dc/dcmitype/"/>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6db8f3c6-01a1-4322-b043-a3b2a190f7a8"/>
    <ds:schemaRef ds:uri="http://schemas.microsoft.com/office/2006/metadata/properties"/>
  </ds:schemaRefs>
</ds:datastoreItem>
</file>

<file path=customXml/itemProps6.xml><?xml version="1.0" encoding="utf-8"?>
<ds:datastoreItem xmlns:ds="http://schemas.openxmlformats.org/officeDocument/2006/customXml" ds:itemID="{BB10368E-4229-4BE2-8B16-D7E36D156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1434</Words>
  <Characters>9013</Characters>
  <Application>Microsoft Office Word</Application>
  <DocSecurity>4</DocSecurity>
  <Lines>75</Lines>
  <Paragraphs>20</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Communications Authority</Company>
  <LinksUpToDate>false</LinksUpToDate>
  <CharactersWithSpaces>10427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CCecere</dc:creator>
  <cp:lastModifiedBy>Helen Turnbull</cp:lastModifiedBy>
  <cp:revision>2</cp:revision>
  <cp:lastPrinted>2002-09-11T03:28:00Z</cp:lastPrinted>
  <dcterms:created xsi:type="dcterms:W3CDTF">2015-03-30T00:04:00Z</dcterms:created>
  <dcterms:modified xsi:type="dcterms:W3CDTF">2015-03-30T00:04:00Z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KNAH4PPFC442-2596-74</vt:lpwstr>
  </property>
  <property fmtid="{D5CDD505-2E9C-101B-9397-08002B2CF9AE}" pid="3" name="_dlc_DocIdItemGuid">
    <vt:lpwstr>3ee99ba9-9d77-412c-bada-685a80dfa985</vt:lpwstr>
  </property>
  <property fmtid="{D5CDD505-2E9C-101B-9397-08002B2CF9AE}" pid="4" name="_dlc_DocIdUrl">
    <vt:lpwstr>http://collaboration/organisation/CID/RPB/RLPS/lib/_layouts/DocIdRedir.aspx?ID=KNAH4PPFC442-2596-74, KNAH4PPFC442-2596-74</vt:lpwstr>
  </property>
  <property fmtid="{D5CDD505-2E9C-101B-9397-08002B2CF9AE}" pid="5" name="ContentTypeId">
    <vt:lpwstr>0x010100E7F6700E72D8C244BB4A9479B32C0DD1</vt:lpwstr>
  </property>
</Properties>
</file>