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70" w:rsidRPr="00977D04" w:rsidRDefault="00952ED1" w:rsidP="00515B8E">
      <w:pPr>
        <w:pStyle w:val="Heading1"/>
        <w:spacing w:before="120" w:after="240"/>
        <w:jc w:val="center"/>
        <w:rPr>
          <w:rFonts w:ascii="Times New Roman" w:hAnsi="Times New Roman" w:cs="Times New Roman"/>
          <w:sz w:val="24"/>
          <w:szCs w:val="24"/>
        </w:rPr>
      </w:pPr>
      <w:bookmarkStart w:id="0" w:name="_GoBack"/>
      <w:bookmarkEnd w:id="0"/>
      <w:r w:rsidRPr="00977D04">
        <w:rPr>
          <w:rFonts w:ascii="Times New Roman" w:hAnsi="Times New Roman" w:cs="Times New Roman"/>
          <w:sz w:val="24"/>
          <w:szCs w:val="24"/>
        </w:rPr>
        <w:t>E</w:t>
      </w:r>
      <w:r w:rsidR="00BA0BF3" w:rsidRPr="00977D04">
        <w:rPr>
          <w:rFonts w:ascii="Times New Roman" w:hAnsi="Times New Roman" w:cs="Times New Roman"/>
          <w:sz w:val="24"/>
          <w:szCs w:val="24"/>
        </w:rPr>
        <w:t>XPLANATORY STATEMENT</w:t>
      </w:r>
    </w:p>
    <w:p w:rsidR="006A749C" w:rsidRPr="00977D04" w:rsidRDefault="00474C20">
      <w:pPr>
        <w:jc w:val="center"/>
        <w:rPr>
          <w:b/>
        </w:rPr>
      </w:pPr>
      <w:r w:rsidRPr="00977D04">
        <w:rPr>
          <w:b/>
        </w:rPr>
        <w:t>Issued by the Authority of the Minister for Finance</w:t>
      </w:r>
    </w:p>
    <w:p w:rsidR="006A749C" w:rsidRPr="00977D04" w:rsidRDefault="006A749C">
      <w:pPr>
        <w:jc w:val="center"/>
        <w:rPr>
          <w:b/>
        </w:rPr>
      </w:pPr>
    </w:p>
    <w:p w:rsidR="006A749C" w:rsidRDefault="00474C20">
      <w:pPr>
        <w:jc w:val="center"/>
        <w:rPr>
          <w:i/>
        </w:rPr>
      </w:pPr>
      <w:r w:rsidRPr="00977D04">
        <w:rPr>
          <w:i/>
        </w:rPr>
        <w:t xml:space="preserve">Public Governance, Performance and Accountability </w:t>
      </w:r>
      <w:r w:rsidR="007B2238">
        <w:rPr>
          <w:i/>
        </w:rPr>
        <w:t>(Consequential and Transitional Provisions) Act 2014</w:t>
      </w:r>
    </w:p>
    <w:p w:rsidR="006A749C" w:rsidRPr="00977D04" w:rsidRDefault="00FA5224" w:rsidP="00FA5224">
      <w:pPr>
        <w:jc w:val="center"/>
        <w:rPr>
          <w:i/>
        </w:rPr>
      </w:pPr>
      <w:r>
        <w:rPr>
          <w:i/>
        </w:rPr>
        <w:t xml:space="preserve">         </w:t>
      </w:r>
    </w:p>
    <w:p w:rsidR="00B01F50" w:rsidRPr="00977D04" w:rsidRDefault="00B01F50" w:rsidP="00B01F50">
      <w:pPr>
        <w:jc w:val="center"/>
        <w:rPr>
          <w:i/>
        </w:rPr>
      </w:pPr>
      <w:r w:rsidRPr="00035FE8">
        <w:rPr>
          <w:i/>
        </w:rPr>
        <w:t>Public Governance, Performance and Accountability</w:t>
      </w:r>
      <w:r w:rsidR="00042B38">
        <w:rPr>
          <w:i/>
        </w:rPr>
        <w:t xml:space="preserve"> (</w:t>
      </w:r>
      <w:r w:rsidR="007B2238">
        <w:rPr>
          <w:i/>
        </w:rPr>
        <w:t>Consequential and Transitional Provisions</w:t>
      </w:r>
      <w:r w:rsidR="00FA5224">
        <w:rPr>
          <w:i/>
        </w:rPr>
        <w:t>)</w:t>
      </w:r>
      <w:r w:rsidR="007B2238">
        <w:rPr>
          <w:i/>
        </w:rPr>
        <w:t xml:space="preserve"> Amendment (Annual Reports)</w:t>
      </w:r>
      <w:r w:rsidR="00FA5224">
        <w:rPr>
          <w:i/>
        </w:rPr>
        <w:t xml:space="preserve"> Rule 2015</w:t>
      </w:r>
    </w:p>
    <w:p w:rsidR="006A749C" w:rsidRPr="00977D04" w:rsidRDefault="006A749C">
      <w:pPr>
        <w:jc w:val="center"/>
        <w:rPr>
          <w:i/>
        </w:rPr>
      </w:pPr>
    </w:p>
    <w:p w:rsidR="007B2238" w:rsidRDefault="003561C5" w:rsidP="003561C5">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sidR="00561ED6">
        <w:rPr>
          <w:lang w:val="en-AU"/>
        </w:rPr>
        <w:t xml:space="preserve">.  </w:t>
      </w:r>
    </w:p>
    <w:p w:rsidR="007B2238" w:rsidRDefault="007B2238" w:rsidP="003561C5"/>
    <w:p w:rsidR="005E6C85" w:rsidRDefault="005E6C85" w:rsidP="005E6C85">
      <w:pPr>
        <w:tabs>
          <w:tab w:val="left" w:pos="567"/>
          <w:tab w:val="left" w:pos="1276"/>
        </w:tabs>
      </w:pPr>
      <w:r>
        <w:t xml:space="preserve">Item 6 of Schedule 14 of the </w:t>
      </w:r>
      <w:r w:rsidRPr="00977D04">
        <w:rPr>
          <w:i/>
        </w:rPr>
        <w:t>Public Governance, Performance and Accountability (Consequential and Transitional Provisions) Act 2014</w:t>
      </w:r>
      <w:r w:rsidRPr="00977D04">
        <w:t xml:space="preserve"> </w:t>
      </w:r>
      <w:r>
        <w:t>(CTP</w:t>
      </w:r>
      <w:r w:rsidR="005979AE">
        <w:t> </w:t>
      </w:r>
      <w:r>
        <w:t>Act) provides that the Finance </w:t>
      </w:r>
      <w:r w:rsidRPr="00977D04">
        <w:t>Minister may, by legislative instrument, make rules prescribing matters required or permitted by th</w:t>
      </w:r>
      <w:r>
        <w:t>e CTP</w:t>
      </w:r>
      <w:r w:rsidR="005979AE">
        <w:t> </w:t>
      </w:r>
      <w:r w:rsidRPr="00977D04">
        <w:t>Act to be prescribed by the rules, or necessary or convenient to be prescribed for carry</w:t>
      </w:r>
      <w:r>
        <w:t>ing out or giving effect to the CTP</w:t>
      </w:r>
      <w:r w:rsidR="005979AE">
        <w:t> </w:t>
      </w:r>
      <w:r>
        <w:t>Act and the PGPA </w:t>
      </w:r>
      <w:r w:rsidRPr="00977D04">
        <w:t>Act.</w:t>
      </w:r>
    </w:p>
    <w:p w:rsidR="00320623" w:rsidRPr="007B2238" w:rsidRDefault="00320623" w:rsidP="005E6C85">
      <w:pPr>
        <w:tabs>
          <w:tab w:val="left" w:pos="567"/>
          <w:tab w:val="left" w:pos="1276"/>
        </w:tabs>
      </w:pPr>
    </w:p>
    <w:p w:rsidR="00320623" w:rsidRDefault="00320623" w:rsidP="00320623">
      <w:pPr>
        <w:autoSpaceDE w:val="0"/>
        <w:autoSpaceDN w:val="0"/>
      </w:pPr>
      <w:r w:rsidRPr="00A979BC">
        <w:t xml:space="preserve">Under subsection 33(3) of the </w:t>
      </w:r>
      <w:r w:rsidRPr="00EC410D">
        <w:rPr>
          <w:i/>
        </w:rPr>
        <w:t>Acts Interpretation Act 1901</w:t>
      </w:r>
      <w:r w:rsidRPr="00A979BC">
        <w:t>, where an Act confers a power to make, grant or issue any instrument of a legislative or</w:t>
      </w:r>
      <w:r>
        <w:t xml:space="preserve"> </w:t>
      </w:r>
      <w:r w:rsidRPr="00A979BC">
        <w:t>administrative character (including rules, regulations or by-laws), the power shall be construed as including a power exercisable in the like manner and</w:t>
      </w:r>
      <w:r>
        <w:t xml:space="preserve"> </w:t>
      </w:r>
      <w:r w:rsidRPr="00A979BC">
        <w:t>subject to the like conditions (if any) to repeal, rescind, revoke, amend, or vary any such instrument</w:t>
      </w:r>
      <w:r>
        <w:t>.</w:t>
      </w:r>
    </w:p>
    <w:p w:rsidR="003561C5" w:rsidRDefault="003561C5" w:rsidP="00596CD4">
      <w:pPr>
        <w:rPr>
          <w:lang w:val="en-AU"/>
        </w:rPr>
      </w:pPr>
    </w:p>
    <w:p w:rsidR="00596CD4" w:rsidRPr="00905230" w:rsidRDefault="00FA5224" w:rsidP="00B01F50">
      <w:pPr>
        <w:rPr>
          <w:i/>
        </w:rPr>
      </w:pPr>
      <w:r>
        <w:t xml:space="preserve">The </w:t>
      </w:r>
      <w:r w:rsidR="00905230" w:rsidRPr="00905230">
        <w:rPr>
          <w:i/>
        </w:rPr>
        <w:t xml:space="preserve">Public Governance, Performance and Accountability </w:t>
      </w:r>
      <w:r w:rsidR="007B2238">
        <w:rPr>
          <w:i/>
        </w:rPr>
        <w:t xml:space="preserve">(Consequential and Transitional Provisions) Amendment (Annual Reports) Rule 2015 </w:t>
      </w:r>
      <w:r w:rsidR="007B2238">
        <w:t>(Annual Reports</w:t>
      </w:r>
      <w:r>
        <w:t> </w:t>
      </w:r>
      <w:r w:rsidR="00035FE8">
        <w:t xml:space="preserve">Rule) </w:t>
      </w:r>
      <w:r w:rsidR="00596CD4" w:rsidRPr="001F74A6">
        <w:t>is being mad</w:t>
      </w:r>
      <w:r w:rsidR="007F3F00">
        <w:t xml:space="preserve">e to amend </w:t>
      </w:r>
      <w:r>
        <w:t>the rule</w:t>
      </w:r>
      <w:r w:rsidR="00B01F50" w:rsidRPr="001F74A6">
        <w:t xml:space="preserve"> instrument</w:t>
      </w:r>
      <w:r w:rsidR="00E74F7B">
        <w:t xml:space="preserve"> </w:t>
      </w:r>
      <w:r w:rsidR="00B01F50" w:rsidRPr="001F74A6">
        <w:t>made under t</w:t>
      </w:r>
      <w:r w:rsidR="00B01F50">
        <w:t xml:space="preserve">he </w:t>
      </w:r>
      <w:r w:rsidR="007B2238">
        <w:t>CTP</w:t>
      </w:r>
      <w:r w:rsidR="005979AE">
        <w:t> </w:t>
      </w:r>
      <w:r w:rsidR="00B01F50">
        <w:t>Act</w:t>
      </w:r>
      <w:r>
        <w:t xml:space="preserve">, </w:t>
      </w:r>
      <w:r w:rsidR="00B01F50">
        <w:rPr>
          <w:lang w:val="en-AU"/>
        </w:rPr>
        <w:t xml:space="preserve">the </w:t>
      </w:r>
      <w:r w:rsidR="00B01F50" w:rsidRPr="004310CB">
        <w:rPr>
          <w:i/>
          <w:lang w:val="en-AU"/>
        </w:rPr>
        <w:t>Public Governance, Performance and Accountability</w:t>
      </w:r>
      <w:r w:rsidR="007B2238">
        <w:rPr>
          <w:i/>
          <w:lang w:val="en-AU"/>
        </w:rPr>
        <w:t xml:space="preserve"> (Consequential and Transitional Provisions)</w:t>
      </w:r>
      <w:r w:rsidR="00B01F50" w:rsidRPr="004310CB">
        <w:rPr>
          <w:i/>
          <w:lang w:val="en-AU"/>
        </w:rPr>
        <w:t xml:space="preserve"> Rule 2014</w:t>
      </w:r>
      <w:r w:rsidR="00D470B1">
        <w:rPr>
          <w:lang w:val="en-AU"/>
        </w:rPr>
        <w:t xml:space="preserve"> (</w:t>
      </w:r>
      <w:r w:rsidR="007B2238">
        <w:rPr>
          <w:lang w:val="en-AU"/>
        </w:rPr>
        <w:t>CTP</w:t>
      </w:r>
      <w:r w:rsidR="00D470B1">
        <w:rPr>
          <w:lang w:val="en-AU"/>
        </w:rPr>
        <w:t> </w:t>
      </w:r>
      <w:r w:rsidR="00B01F50">
        <w:rPr>
          <w:lang w:val="en-AU"/>
        </w:rPr>
        <w:t xml:space="preserve">Rule).  </w:t>
      </w:r>
    </w:p>
    <w:p w:rsidR="002519C6" w:rsidRDefault="002519C6" w:rsidP="002519C6"/>
    <w:p w:rsidR="00714C0D" w:rsidRPr="00E74F7B" w:rsidRDefault="0025196F" w:rsidP="007B2238">
      <w:pPr>
        <w:spacing w:after="240"/>
      </w:pPr>
      <w:r w:rsidRPr="00977D04">
        <w:t xml:space="preserve">The </w:t>
      </w:r>
      <w:r w:rsidR="007B2238">
        <w:t>Annual Reports</w:t>
      </w:r>
      <w:r w:rsidR="00B01F50">
        <w:t xml:space="preserve"> </w:t>
      </w:r>
      <w:r w:rsidR="005C29D9" w:rsidRPr="001F74A6">
        <w:t>Rule</w:t>
      </w:r>
      <w:r w:rsidR="005C29D9" w:rsidRPr="00977D04">
        <w:t xml:space="preserve"> </w:t>
      </w:r>
      <w:r w:rsidR="008D08F0">
        <w:t>would</w:t>
      </w:r>
      <w:r w:rsidR="00E74F7B">
        <w:t xml:space="preserve"> insert new provisions into the CTP</w:t>
      </w:r>
      <w:r w:rsidR="005979AE">
        <w:t> </w:t>
      </w:r>
      <w:r w:rsidR="00E74F7B">
        <w:t>Rule that would apply to annual reports prepared by corporate Commonwealth entities</w:t>
      </w:r>
      <w:r w:rsidR="001C7595">
        <w:t xml:space="preserve"> and Commonwealth companies</w:t>
      </w:r>
      <w:r w:rsidR="00710023">
        <w:t>, in accordance with the rule making power in Schedule 14 of the CTP Act</w:t>
      </w:r>
      <w:r w:rsidR="00E74F7B">
        <w:t xml:space="preserve">.  The provisions would extend the application of the </w:t>
      </w:r>
      <w:r w:rsidR="00E74F7B" w:rsidRPr="00714C0D">
        <w:rPr>
          <w:i/>
        </w:rPr>
        <w:t>Commonwealth Authorities (Annual Reporting) Orders</w:t>
      </w:r>
      <w:r w:rsidR="000A473A">
        <w:rPr>
          <w:i/>
        </w:rPr>
        <w:t> </w:t>
      </w:r>
      <w:r w:rsidR="00E74F7B" w:rsidRPr="00714C0D">
        <w:rPr>
          <w:i/>
        </w:rPr>
        <w:t>2011</w:t>
      </w:r>
      <w:r w:rsidR="00E74F7B">
        <w:t xml:space="preserve"> and the </w:t>
      </w:r>
      <w:r w:rsidR="00E74F7B" w:rsidRPr="00714C0D">
        <w:rPr>
          <w:i/>
        </w:rPr>
        <w:t xml:space="preserve">Commonwealth </w:t>
      </w:r>
      <w:r w:rsidR="00E74F7B">
        <w:rPr>
          <w:i/>
        </w:rPr>
        <w:t>Companies</w:t>
      </w:r>
      <w:r w:rsidR="00E74F7B" w:rsidRPr="00714C0D">
        <w:rPr>
          <w:i/>
        </w:rPr>
        <w:t xml:space="preserve"> (Annual Reporting) Orders 2011</w:t>
      </w:r>
      <w:r w:rsidR="00E74F7B">
        <w:t xml:space="preserve"> for the purposes of 2014-15 annual reports.</w:t>
      </w:r>
    </w:p>
    <w:p w:rsidR="005C5470" w:rsidRPr="00977D04" w:rsidRDefault="00301C10">
      <w:pPr>
        <w:pStyle w:val="ParaNumbering"/>
        <w:rPr>
          <w:szCs w:val="24"/>
        </w:rPr>
      </w:pPr>
      <w:r w:rsidRPr="00977D04">
        <w:rPr>
          <w:szCs w:val="24"/>
        </w:rPr>
        <w:t xml:space="preserve">Details of the </w:t>
      </w:r>
      <w:r w:rsidR="00FA5224">
        <w:t>A</w:t>
      </w:r>
      <w:r w:rsidR="005979AE">
        <w:t>nnual Reports</w:t>
      </w:r>
      <w:r w:rsidR="005C29D9" w:rsidRPr="001F74A6">
        <w:t xml:space="preserve"> Rule</w:t>
      </w:r>
      <w:r w:rsidR="005C29D9" w:rsidRPr="00977D04">
        <w:rPr>
          <w:szCs w:val="24"/>
        </w:rPr>
        <w:t xml:space="preserve"> </w:t>
      </w:r>
      <w:r w:rsidR="0004247F" w:rsidRPr="00977D04">
        <w:rPr>
          <w:szCs w:val="24"/>
        </w:rPr>
        <w:t>are</w:t>
      </w:r>
      <w:r w:rsidRPr="00977D04">
        <w:rPr>
          <w:szCs w:val="24"/>
        </w:rPr>
        <w:t xml:space="preserve"> set out at </w:t>
      </w:r>
      <w:r w:rsidRPr="00977D04">
        <w:rPr>
          <w:szCs w:val="24"/>
          <w:u w:val="single"/>
        </w:rPr>
        <w:t>Attachment A</w:t>
      </w:r>
      <w:r w:rsidR="00561ED6">
        <w:rPr>
          <w:szCs w:val="24"/>
        </w:rPr>
        <w:t xml:space="preserve">.  </w:t>
      </w:r>
      <w:r w:rsidRPr="00977D04">
        <w:rPr>
          <w:szCs w:val="24"/>
        </w:rPr>
        <w:t xml:space="preserve">A </w:t>
      </w:r>
      <w:r w:rsidR="002E307D" w:rsidRPr="00977D04">
        <w:rPr>
          <w:szCs w:val="24"/>
        </w:rPr>
        <w:t>s</w:t>
      </w:r>
      <w:r w:rsidRPr="00977D04">
        <w:rPr>
          <w:szCs w:val="24"/>
        </w:rPr>
        <w:t xml:space="preserve">tatement of </w:t>
      </w:r>
      <w:r w:rsidR="002E307D" w:rsidRPr="00977D04">
        <w:rPr>
          <w:szCs w:val="24"/>
        </w:rPr>
        <w:t>c</w:t>
      </w:r>
      <w:r w:rsidRPr="00977D04">
        <w:rPr>
          <w:szCs w:val="24"/>
        </w:rPr>
        <w:t xml:space="preserve">ompatibility with </w:t>
      </w:r>
      <w:r w:rsidR="002E307D" w:rsidRPr="00977D04">
        <w:rPr>
          <w:szCs w:val="24"/>
        </w:rPr>
        <w:t>h</w:t>
      </w:r>
      <w:r w:rsidRPr="00977D04">
        <w:rPr>
          <w:szCs w:val="24"/>
        </w:rPr>
        <w:t xml:space="preserve">uman </w:t>
      </w:r>
      <w:r w:rsidR="002E307D" w:rsidRPr="00977D04">
        <w:rPr>
          <w:szCs w:val="24"/>
        </w:rPr>
        <w:t>r</w:t>
      </w:r>
      <w:r w:rsidRPr="00977D04">
        <w:rPr>
          <w:szCs w:val="24"/>
        </w:rPr>
        <w:t xml:space="preserve">ights is at </w:t>
      </w:r>
      <w:r w:rsidRPr="00977D04">
        <w:rPr>
          <w:szCs w:val="24"/>
          <w:u w:val="single"/>
        </w:rPr>
        <w:t>Attachment B</w:t>
      </w:r>
      <w:r w:rsidR="00561ED6">
        <w:rPr>
          <w:szCs w:val="24"/>
        </w:rPr>
        <w:t xml:space="preserve">.  </w:t>
      </w:r>
    </w:p>
    <w:p w:rsidR="005C5470" w:rsidRPr="00977D04" w:rsidRDefault="005C5470">
      <w:pPr>
        <w:pStyle w:val="ParaNumbering"/>
        <w:rPr>
          <w:szCs w:val="24"/>
        </w:rPr>
      </w:pPr>
    </w:p>
    <w:p w:rsidR="00755EF1" w:rsidRDefault="00301C10">
      <w:pPr>
        <w:pStyle w:val="ParaNumbering"/>
        <w:rPr>
          <w:szCs w:val="24"/>
        </w:rPr>
      </w:pPr>
      <w:r w:rsidRPr="00977D04">
        <w:rPr>
          <w:szCs w:val="24"/>
        </w:rPr>
        <w:t xml:space="preserve">The </w:t>
      </w:r>
      <w:r w:rsidR="00C50EAA">
        <w:t>Annual Repo</w:t>
      </w:r>
      <w:r w:rsidR="005979AE">
        <w:t>rts</w:t>
      </w:r>
      <w:r w:rsidR="005C29D9" w:rsidRPr="001F74A6">
        <w:t xml:space="preserve"> Rule</w:t>
      </w:r>
      <w:r w:rsidR="005C29D9" w:rsidRPr="00977D04">
        <w:rPr>
          <w:szCs w:val="24"/>
        </w:rPr>
        <w:t xml:space="preserve"> </w:t>
      </w:r>
      <w:r w:rsidRPr="00977D04">
        <w:rPr>
          <w:szCs w:val="24"/>
        </w:rPr>
        <w:t>is a legislative instrument for the purposes of the</w:t>
      </w:r>
      <w:r w:rsidRPr="00977D04">
        <w:rPr>
          <w:i/>
          <w:szCs w:val="24"/>
        </w:rPr>
        <w:t xml:space="preserve"> Legislative Instruments Act 2003</w:t>
      </w:r>
      <w:r w:rsidR="00561ED6">
        <w:rPr>
          <w:i/>
          <w:szCs w:val="24"/>
        </w:rPr>
        <w:t xml:space="preserve">.  </w:t>
      </w:r>
    </w:p>
    <w:p w:rsidR="00755EF1" w:rsidRDefault="00755EF1">
      <w:pPr>
        <w:pStyle w:val="ParaNumbering"/>
        <w:rPr>
          <w:szCs w:val="24"/>
        </w:rPr>
      </w:pPr>
    </w:p>
    <w:p w:rsidR="008F1ABF" w:rsidRDefault="00755EF1">
      <w:pPr>
        <w:pStyle w:val="ParaNumbering"/>
        <w:rPr>
          <w:i/>
          <w:szCs w:val="24"/>
        </w:rPr>
      </w:pPr>
      <w:r>
        <w:rPr>
          <w:szCs w:val="24"/>
        </w:rPr>
        <w:t>T</w:t>
      </w:r>
      <w:r w:rsidRPr="0005058E">
        <w:rPr>
          <w:szCs w:val="24"/>
        </w:rPr>
        <w:t xml:space="preserve">he </w:t>
      </w:r>
      <w:r w:rsidR="000A473A">
        <w:rPr>
          <w:szCs w:val="24"/>
        </w:rPr>
        <w:t>Annual Reports Rule</w:t>
      </w:r>
      <w:r w:rsidRPr="0005058E">
        <w:rPr>
          <w:szCs w:val="24"/>
        </w:rPr>
        <w:t xml:space="preserve"> commence</w:t>
      </w:r>
      <w:r>
        <w:rPr>
          <w:szCs w:val="24"/>
        </w:rPr>
        <w:t xml:space="preserve">s the day after the instrument is registered on the Federal Register of </w:t>
      </w:r>
      <w:r w:rsidR="000A473A">
        <w:rPr>
          <w:szCs w:val="24"/>
        </w:rPr>
        <w:t>Legislative</w:t>
      </w:r>
      <w:r>
        <w:rPr>
          <w:szCs w:val="24"/>
        </w:rPr>
        <w:t xml:space="preserve"> Instruments.</w:t>
      </w:r>
    </w:p>
    <w:p w:rsidR="00714C0D" w:rsidRDefault="00714C0D" w:rsidP="004816AF">
      <w:pPr>
        <w:pStyle w:val="Heading2"/>
        <w:spacing w:before="0"/>
        <w:rPr>
          <w:rFonts w:ascii="Times New Roman" w:hAnsi="Times New Roman" w:cs="Times New Roman"/>
          <w:sz w:val="24"/>
          <w:szCs w:val="24"/>
        </w:rPr>
      </w:pPr>
    </w:p>
    <w:p w:rsidR="001C7595" w:rsidRDefault="001C7595">
      <w:pPr>
        <w:spacing w:after="200" w:line="276" w:lineRule="auto"/>
        <w:rPr>
          <w:rFonts w:eastAsiaTheme="majorEastAsia"/>
          <w:b/>
          <w:bCs/>
        </w:rPr>
      </w:pPr>
      <w:r>
        <w:br w:type="page"/>
      </w:r>
    </w:p>
    <w:p w:rsidR="00725A1C" w:rsidRPr="00E74F7B" w:rsidRDefault="00A53E39" w:rsidP="00E74F7B">
      <w:pPr>
        <w:pStyle w:val="Heading2"/>
        <w:spacing w:before="0"/>
        <w:rPr>
          <w:rFonts w:ascii="Times New Roman" w:hAnsi="Times New Roman" w:cs="Times New Roman"/>
          <w:sz w:val="24"/>
          <w:szCs w:val="24"/>
        </w:rPr>
      </w:pPr>
      <w:r w:rsidRPr="009F3AB5">
        <w:rPr>
          <w:rFonts w:ascii="Times New Roman" w:hAnsi="Times New Roman" w:cs="Times New Roman"/>
          <w:sz w:val="24"/>
          <w:szCs w:val="24"/>
        </w:rPr>
        <w:lastRenderedPageBreak/>
        <w:t>Consultation</w:t>
      </w:r>
    </w:p>
    <w:p w:rsidR="004835F5" w:rsidRPr="00C351ED" w:rsidRDefault="007332B9" w:rsidP="00C351ED">
      <w:pPr>
        <w:pStyle w:val="ParaNumbering"/>
        <w:rPr>
          <w:szCs w:val="24"/>
        </w:rPr>
        <w:sectPr w:rsidR="004835F5" w:rsidRPr="00C351ED" w:rsidSect="004835F5">
          <w:headerReference w:type="default" r:id="rId9"/>
          <w:pgSz w:w="11906" w:h="16838"/>
          <w:pgMar w:top="1440" w:right="1440" w:bottom="1440" w:left="1440" w:header="708" w:footer="514" w:gutter="0"/>
          <w:cols w:space="708"/>
          <w:titlePg/>
          <w:docGrid w:linePitch="360"/>
        </w:sectPr>
      </w:pPr>
      <w:r>
        <w:t>The Annual Reports Rule was developed</w:t>
      </w:r>
      <w:r w:rsidR="00CF1A35">
        <w:t xml:space="preserve"> by reference to earlier consultation undertaken, including the extensive </w:t>
      </w:r>
      <w:r>
        <w:t xml:space="preserve">consultation in developing the CTP Act and </w:t>
      </w:r>
      <w:r w:rsidR="000A473A">
        <w:t xml:space="preserve">CTP </w:t>
      </w:r>
      <w:r>
        <w:t>Rule</w:t>
      </w:r>
      <w:r w:rsidR="00632E18">
        <w:t xml:space="preserve">. </w:t>
      </w:r>
      <w:r w:rsidR="00CF1A35">
        <w:t xml:space="preserve"> </w:t>
      </w:r>
      <w:r w:rsidR="001C7595">
        <w:t xml:space="preserve">Consistent with section 17 of the </w:t>
      </w:r>
      <w:r w:rsidR="001C7595">
        <w:rPr>
          <w:i/>
        </w:rPr>
        <w:t xml:space="preserve">Legislative Instruments Act 2003 </w:t>
      </w:r>
      <w:r w:rsidR="001C7595">
        <w:t xml:space="preserve">further </w:t>
      </w:r>
      <w:r w:rsidR="00632E18">
        <w:t xml:space="preserve">consultation was not undertaken as the changes </w:t>
      </w:r>
      <w:r w:rsidR="001C7595">
        <w:t>are administrative in nature</w:t>
      </w:r>
      <w:r w:rsidR="00632E18">
        <w:t>.</w:t>
      </w:r>
      <w:r w:rsidR="00755EF1">
        <w:t xml:space="preserve"> </w:t>
      </w:r>
      <w:r>
        <w:t xml:space="preserve"> </w:t>
      </w:r>
      <w:r w:rsidR="00CE6595">
        <w:t xml:space="preserve">The </w:t>
      </w:r>
      <w:r w:rsidR="00EB0D32">
        <w:t xml:space="preserve">Annual Reports </w:t>
      </w:r>
      <w:r w:rsidR="00CE6595">
        <w:t>Rule was drafted by the</w:t>
      </w:r>
      <w:r w:rsidR="00203F10" w:rsidRPr="00C432B5">
        <w:t xml:space="preserve"> O</w:t>
      </w:r>
      <w:r w:rsidR="00B464B5" w:rsidRPr="00C432B5">
        <w:t>ffice of Parliamentary Counsel</w:t>
      </w:r>
      <w:r w:rsidR="00561ED6">
        <w:t xml:space="preserve">.  </w:t>
      </w:r>
    </w:p>
    <w:p w:rsidR="00F276BB" w:rsidRDefault="00F276BB" w:rsidP="00F276BB">
      <w:pPr>
        <w:pStyle w:val="Heading2"/>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 xml:space="preserve">Attachment </w:t>
      </w:r>
      <w:r>
        <w:rPr>
          <w:rFonts w:ascii="Times New Roman" w:hAnsi="Times New Roman" w:cs="Times New Roman"/>
          <w:sz w:val="24"/>
          <w:szCs w:val="24"/>
          <w:u w:val="single"/>
        </w:rPr>
        <w:t>A</w:t>
      </w:r>
    </w:p>
    <w:p w:rsidR="00F276BB" w:rsidRDefault="00F276BB">
      <w:pPr>
        <w:rPr>
          <w:b/>
          <w:u w:val="single"/>
        </w:rPr>
      </w:pPr>
    </w:p>
    <w:p w:rsidR="007B2238" w:rsidRDefault="00474C20" w:rsidP="004276C7">
      <w:pPr>
        <w:spacing w:before="200"/>
        <w:rPr>
          <w:b/>
          <w:i/>
          <w:u w:val="single"/>
        </w:rPr>
      </w:pPr>
      <w:r w:rsidRPr="00977D04">
        <w:rPr>
          <w:b/>
          <w:u w:val="single"/>
        </w:rPr>
        <w:t xml:space="preserve">Details of the </w:t>
      </w:r>
      <w:r w:rsidR="00905230" w:rsidRPr="00905230">
        <w:rPr>
          <w:b/>
          <w:i/>
          <w:u w:val="single"/>
        </w:rPr>
        <w:t xml:space="preserve">Public Governance, Performance and Accountability </w:t>
      </w:r>
      <w:r w:rsidR="00A22921">
        <w:rPr>
          <w:b/>
          <w:i/>
          <w:u w:val="single"/>
        </w:rPr>
        <w:t>A</w:t>
      </w:r>
      <w:r w:rsidR="007B2238" w:rsidRPr="007B2238">
        <w:rPr>
          <w:b/>
          <w:i/>
          <w:u w:val="single"/>
        </w:rPr>
        <w:t>mendment (Consequential and Transitional Provisions) Amendment (Annual Reports) Rule 2015</w:t>
      </w:r>
    </w:p>
    <w:p w:rsidR="00B5503D" w:rsidRPr="00B5503D" w:rsidRDefault="00B5503D" w:rsidP="004276C7">
      <w:pPr>
        <w:spacing w:before="200"/>
        <w:rPr>
          <w:b/>
          <w:i/>
          <w:u w:val="single"/>
        </w:rPr>
      </w:pPr>
    </w:p>
    <w:p w:rsidR="003C0A8B" w:rsidRPr="00984450" w:rsidRDefault="004816AF">
      <w:pPr>
        <w:rPr>
          <w:b/>
          <w:lang w:val="en-AU"/>
        </w:rPr>
      </w:pPr>
      <w:r w:rsidRPr="004816AF">
        <w:rPr>
          <w:b/>
          <w:lang w:val="en-AU"/>
        </w:rPr>
        <w:t xml:space="preserve">Section 1—Name of </w:t>
      </w:r>
      <w:r w:rsidR="00F44874">
        <w:rPr>
          <w:b/>
          <w:lang w:val="en-AU"/>
        </w:rPr>
        <w:t>rule</w:t>
      </w:r>
    </w:p>
    <w:p w:rsidR="003C0A8B" w:rsidRPr="00977D04" w:rsidRDefault="003C0A8B">
      <w:pPr>
        <w:rPr>
          <w:lang w:val="en-AU"/>
        </w:rPr>
      </w:pPr>
    </w:p>
    <w:p w:rsidR="003C0A8B" w:rsidRPr="004276C7" w:rsidRDefault="008F323F" w:rsidP="004276C7">
      <w:pPr>
        <w:rPr>
          <w:i/>
        </w:rPr>
      </w:pPr>
      <w:r w:rsidRPr="00977D04">
        <w:rPr>
          <w:lang w:val="en-AU"/>
        </w:rPr>
        <w:t xml:space="preserve">This section provides that the title of the </w:t>
      </w:r>
      <w:r w:rsidR="003323E8">
        <w:rPr>
          <w:lang w:val="en-AU"/>
        </w:rPr>
        <w:t>rule</w:t>
      </w:r>
      <w:r w:rsidR="003323E8" w:rsidRPr="00977D04">
        <w:rPr>
          <w:lang w:val="en-AU"/>
        </w:rPr>
        <w:t xml:space="preserve"> </w:t>
      </w:r>
      <w:r w:rsidRPr="00977D04">
        <w:rPr>
          <w:lang w:val="en-AU"/>
        </w:rPr>
        <w:t>is the</w:t>
      </w:r>
      <w:r w:rsidR="007F3F00" w:rsidRPr="007F3F00">
        <w:rPr>
          <w:i/>
        </w:rPr>
        <w:t xml:space="preserve"> </w:t>
      </w:r>
      <w:r w:rsidR="00905230" w:rsidRPr="00905230">
        <w:rPr>
          <w:i/>
        </w:rPr>
        <w:t xml:space="preserve">Public Governance, Performance and Accountability </w:t>
      </w:r>
      <w:r w:rsidR="007B2238">
        <w:rPr>
          <w:i/>
        </w:rPr>
        <w:t>(Consequential and Transitional Provisions) Amendment (Annual Reports) Rule 2015</w:t>
      </w:r>
      <w:r w:rsidR="00FF2457" w:rsidRPr="00035FE8">
        <w:rPr>
          <w:lang w:val="en-AU"/>
        </w:rPr>
        <w:t>.</w:t>
      </w:r>
    </w:p>
    <w:p w:rsidR="003C0A8B" w:rsidRPr="00977D04" w:rsidRDefault="003C0A8B">
      <w:pPr>
        <w:rPr>
          <w:lang w:val="en-AU"/>
        </w:rPr>
      </w:pPr>
    </w:p>
    <w:p w:rsidR="003C0A8B" w:rsidRPr="00984450" w:rsidRDefault="004816AF">
      <w:pPr>
        <w:rPr>
          <w:b/>
          <w:lang w:val="en-AU"/>
        </w:rPr>
      </w:pPr>
      <w:r w:rsidRPr="004816AF">
        <w:rPr>
          <w:b/>
          <w:lang w:val="en-AU"/>
        </w:rPr>
        <w:t>Section 2—</w:t>
      </w:r>
      <w:r w:rsidRPr="00CC3293">
        <w:rPr>
          <w:b/>
          <w:lang w:val="en-AU"/>
        </w:rPr>
        <w:t>Commencement</w:t>
      </w:r>
      <w:r w:rsidRPr="004816AF">
        <w:rPr>
          <w:b/>
          <w:lang w:val="en-AU"/>
        </w:rPr>
        <w:t xml:space="preserve"> </w:t>
      </w:r>
    </w:p>
    <w:p w:rsidR="003C0A8B" w:rsidRPr="00977D04" w:rsidRDefault="003C0A8B">
      <w:pPr>
        <w:rPr>
          <w:lang w:val="en-AU"/>
        </w:rPr>
      </w:pPr>
    </w:p>
    <w:p w:rsidR="003C0A8B" w:rsidRDefault="008F323F">
      <w:r w:rsidRPr="00977D04">
        <w:rPr>
          <w:lang w:val="en-AU"/>
        </w:rPr>
        <w:t xml:space="preserve">This section </w:t>
      </w:r>
      <w:r w:rsidR="00F826B8">
        <w:rPr>
          <w:lang w:val="en-AU"/>
        </w:rPr>
        <w:t xml:space="preserve">provides </w:t>
      </w:r>
      <w:r w:rsidR="00A22921">
        <w:rPr>
          <w:lang w:val="en-AU"/>
        </w:rPr>
        <w:t xml:space="preserve">that </w:t>
      </w:r>
      <w:r w:rsidR="00035FE8">
        <w:rPr>
          <w:lang w:val="en-AU"/>
        </w:rPr>
        <w:t>the</w:t>
      </w:r>
      <w:r w:rsidR="00035FE8" w:rsidRPr="00977D04">
        <w:rPr>
          <w:lang w:val="en-AU"/>
        </w:rPr>
        <w:t xml:space="preserve"> </w:t>
      </w:r>
      <w:r w:rsidR="00035FE8">
        <w:rPr>
          <w:lang w:val="en-AU"/>
        </w:rPr>
        <w:t>instrument</w:t>
      </w:r>
      <w:r w:rsidR="00035FE8" w:rsidRPr="00977D04">
        <w:rPr>
          <w:lang w:val="en-AU"/>
        </w:rPr>
        <w:t xml:space="preserve"> </w:t>
      </w:r>
      <w:r w:rsidR="00B5503D">
        <w:rPr>
          <w:lang w:val="en-AU"/>
        </w:rPr>
        <w:t>commences on the day after it is registered</w:t>
      </w:r>
      <w:r w:rsidR="00DF3FA4">
        <w:rPr>
          <w:lang w:val="en-AU"/>
        </w:rPr>
        <w:t xml:space="preserve"> on the Federal Register of </w:t>
      </w:r>
      <w:r w:rsidR="000A473A">
        <w:rPr>
          <w:lang w:val="en-AU"/>
        </w:rPr>
        <w:t>Legislative</w:t>
      </w:r>
      <w:r w:rsidR="00DF3FA4">
        <w:rPr>
          <w:lang w:val="en-AU"/>
        </w:rPr>
        <w:t xml:space="preserve"> Instruments</w:t>
      </w:r>
      <w:r w:rsidR="00B5503D">
        <w:rPr>
          <w:lang w:val="en-AU"/>
        </w:rPr>
        <w:t>.</w:t>
      </w:r>
    </w:p>
    <w:p w:rsidR="003C0A8B" w:rsidRPr="00977D04" w:rsidRDefault="003C0A8B">
      <w:pPr>
        <w:rPr>
          <w:lang w:val="en-AU"/>
        </w:rPr>
      </w:pPr>
    </w:p>
    <w:p w:rsidR="003C0A8B" w:rsidRPr="00984450" w:rsidRDefault="004816AF">
      <w:pPr>
        <w:rPr>
          <w:b/>
          <w:i/>
          <w:lang w:val="en-AU"/>
        </w:rPr>
      </w:pPr>
      <w:r w:rsidRPr="004816AF">
        <w:rPr>
          <w:b/>
          <w:lang w:val="en-AU"/>
        </w:rPr>
        <w:t>Section 3—Authority</w:t>
      </w:r>
      <w:r w:rsidRPr="004816AF">
        <w:rPr>
          <w:b/>
          <w:i/>
          <w:lang w:val="en-AU"/>
        </w:rPr>
        <w:t xml:space="preserve"> </w:t>
      </w:r>
    </w:p>
    <w:p w:rsidR="003C0A8B" w:rsidRPr="00977D04" w:rsidRDefault="003C0A8B">
      <w:pPr>
        <w:rPr>
          <w:lang w:val="en-AU"/>
        </w:rPr>
      </w:pPr>
    </w:p>
    <w:p w:rsidR="003C0A8B" w:rsidRDefault="008F323F">
      <w:r w:rsidRPr="00977D04">
        <w:rPr>
          <w:lang w:val="en-AU"/>
        </w:rPr>
        <w:t xml:space="preserve">This section </w:t>
      </w:r>
      <w:r w:rsidR="001E087F" w:rsidRPr="00977D04">
        <w:rPr>
          <w:lang w:val="en-AU"/>
        </w:rPr>
        <w:t xml:space="preserve">states </w:t>
      </w:r>
      <w:r w:rsidRPr="00977D04">
        <w:rPr>
          <w:lang w:val="en-AU"/>
        </w:rPr>
        <w:t>that the</w:t>
      </w:r>
      <w:r w:rsidR="00F826B8">
        <w:rPr>
          <w:lang w:val="en-AU"/>
        </w:rPr>
        <w:t xml:space="preserve"> </w:t>
      </w:r>
      <w:r w:rsidR="00E00FD6">
        <w:rPr>
          <w:lang w:val="en-AU"/>
        </w:rPr>
        <w:t>instrument</w:t>
      </w:r>
      <w:r w:rsidRPr="00977D04">
        <w:rPr>
          <w:lang w:val="en-AU"/>
        </w:rPr>
        <w:t xml:space="preserve"> is made under the</w:t>
      </w:r>
      <w:r w:rsidR="00E00FD6">
        <w:rPr>
          <w:lang w:val="en-AU"/>
        </w:rPr>
        <w:t xml:space="preserve"> </w:t>
      </w:r>
      <w:r w:rsidR="004276C7">
        <w:rPr>
          <w:i/>
          <w:lang w:val="en-AU"/>
        </w:rPr>
        <w:t>Public Governance,</w:t>
      </w:r>
      <w:r w:rsidR="00B5503D" w:rsidRPr="00A130DC">
        <w:rPr>
          <w:i/>
        </w:rPr>
        <w:t xml:space="preserve"> Performance and Accountability (Consequential and Transitional Provisions) Act 2014</w:t>
      </w:r>
      <w:r w:rsidR="000A473A">
        <w:rPr>
          <w:i/>
        </w:rPr>
        <w:t xml:space="preserve"> </w:t>
      </w:r>
      <w:r w:rsidR="000A473A">
        <w:t>(CTP Act)</w:t>
      </w:r>
      <w:r w:rsidR="00B5503D" w:rsidRPr="00A130DC">
        <w:t>.</w:t>
      </w:r>
    </w:p>
    <w:p w:rsidR="00B5503D" w:rsidRPr="00977D04" w:rsidRDefault="00B5503D">
      <w:pPr>
        <w:rPr>
          <w:lang w:val="en-AU"/>
        </w:rPr>
      </w:pPr>
    </w:p>
    <w:p w:rsidR="003C0A8B" w:rsidRPr="00984450" w:rsidRDefault="0096391F">
      <w:pPr>
        <w:rPr>
          <w:b/>
          <w:i/>
          <w:lang w:val="en-AU"/>
        </w:rPr>
      </w:pPr>
      <w:r>
        <w:rPr>
          <w:b/>
          <w:lang w:val="en-AU"/>
        </w:rPr>
        <w:t>Section 4—Schedules</w:t>
      </w:r>
      <w:r w:rsidR="004816AF" w:rsidRPr="004816AF">
        <w:rPr>
          <w:b/>
          <w:i/>
          <w:lang w:val="en-AU"/>
        </w:rPr>
        <w:t xml:space="preserve"> </w:t>
      </w:r>
    </w:p>
    <w:p w:rsidR="003C0A8B" w:rsidRPr="00977D04" w:rsidRDefault="003C0A8B">
      <w:pPr>
        <w:rPr>
          <w:lang w:val="en-AU"/>
        </w:rPr>
      </w:pPr>
    </w:p>
    <w:p w:rsidR="007F23C3" w:rsidRDefault="004276C7">
      <w:r>
        <w:t>This section provides that each legislative instrument that is specified in a Schedule to this Rule is amended or repealed as set out</w:t>
      </w:r>
      <w:r w:rsidR="00B5503D">
        <w:t xml:space="preserve">, and that any item in a Schedule to this instrument </w:t>
      </w:r>
      <w:r w:rsidR="00535E81">
        <w:t>operates or is applied as specified</w:t>
      </w:r>
      <w:r w:rsidR="00662268">
        <w:t xml:space="preserve"> in the Schedule</w:t>
      </w:r>
      <w:r>
        <w:t>.</w:t>
      </w:r>
    </w:p>
    <w:p w:rsidR="004276C7" w:rsidRDefault="004276C7">
      <w:pPr>
        <w:rPr>
          <w:lang w:val="en-AU"/>
        </w:rPr>
      </w:pPr>
    </w:p>
    <w:p w:rsidR="00984450" w:rsidRDefault="0096391F">
      <w:pPr>
        <w:rPr>
          <w:b/>
          <w:lang w:val="en-AU"/>
        </w:rPr>
      </w:pPr>
      <w:r>
        <w:rPr>
          <w:b/>
          <w:lang w:val="en-AU"/>
        </w:rPr>
        <w:t>Schedule 1</w:t>
      </w:r>
      <w:r w:rsidRPr="004816AF">
        <w:rPr>
          <w:b/>
          <w:lang w:val="en-AU"/>
        </w:rPr>
        <w:t>—</w:t>
      </w:r>
      <w:r>
        <w:rPr>
          <w:b/>
          <w:lang w:val="en-AU"/>
        </w:rPr>
        <w:t>Amendments</w:t>
      </w:r>
    </w:p>
    <w:p w:rsidR="00035FE8" w:rsidRPr="00977D04" w:rsidRDefault="00035FE8" w:rsidP="00035FE8">
      <w:pPr>
        <w:rPr>
          <w:lang w:val="en-AU"/>
        </w:rPr>
      </w:pPr>
    </w:p>
    <w:p w:rsidR="00035FE8" w:rsidRDefault="00035FE8" w:rsidP="00035FE8">
      <w:pPr>
        <w:rPr>
          <w:b/>
        </w:rPr>
      </w:pPr>
      <w:r w:rsidRPr="00F54C58">
        <w:rPr>
          <w:b/>
          <w:i/>
        </w:rPr>
        <w:t>Public Governance,</w:t>
      </w:r>
      <w:r>
        <w:rPr>
          <w:b/>
          <w:i/>
        </w:rPr>
        <w:t xml:space="preserve"> Performance and Accountability</w:t>
      </w:r>
      <w:r w:rsidR="00905230">
        <w:rPr>
          <w:b/>
          <w:i/>
        </w:rPr>
        <w:t xml:space="preserve"> </w:t>
      </w:r>
      <w:r w:rsidR="00B5503D">
        <w:rPr>
          <w:b/>
          <w:i/>
        </w:rPr>
        <w:t xml:space="preserve">(Consequential and Transitional Provisions) </w:t>
      </w:r>
      <w:r w:rsidRPr="00F54C58">
        <w:rPr>
          <w:b/>
          <w:i/>
        </w:rPr>
        <w:t>Rule 2014</w:t>
      </w:r>
      <w:r w:rsidRPr="00F54C58">
        <w:rPr>
          <w:b/>
        </w:rPr>
        <w:t xml:space="preserve"> </w:t>
      </w:r>
    </w:p>
    <w:p w:rsidR="00035FE8" w:rsidRDefault="00035FE8" w:rsidP="00035FE8">
      <w:pPr>
        <w:rPr>
          <w:b/>
        </w:rPr>
      </w:pPr>
    </w:p>
    <w:p w:rsidR="00035FE8" w:rsidRDefault="00035FE8" w:rsidP="00035FE8">
      <w:pPr>
        <w:rPr>
          <w:b/>
          <w:lang w:val="en-AU"/>
        </w:rPr>
      </w:pPr>
      <w:r>
        <w:rPr>
          <w:b/>
          <w:lang w:val="en-AU"/>
        </w:rPr>
        <w:t xml:space="preserve">Item 1 – </w:t>
      </w:r>
      <w:r w:rsidR="005C5658">
        <w:rPr>
          <w:b/>
          <w:lang w:val="en-AU"/>
        </w:rPr>
        <w:t xml:space="preserve">New sections 7AB and 7AC </w:t>
      </w:r>
    </w:p>
    <w:p w:rsidR="00905230" w:rsidRDefault="00905230" w:rsidP="00905230">
      <w:pPr>
        <w:rPr>
          <w:b/>
          <w:lang w:val="en-AU"/>
        </w:rPr>
      </w:pPr>
    </w:p>
    <w:p w:rsidR="00EC70D8" w:rsidRDefault="00905230" w:rsidP="008D08F0">
      <w:r w:rsidRPr="00EE0DB9">
        <w:t xml:space="preserve">This </w:t>
      </w:r>
      <w:r w:rsidR="008D08F0">
        <w:t xml:space="preserve">item would </w:t>
      </w:r>
      <w:r w:rsidR="00B5503D">
        <w:t>add</w:t>
      </w:r>
      <w:r w:rsidR="00EC70D8">
        <w:t>, at the end of Division 1 of Part 2 of the CTP Rule,</w:t>
      </w:r>
      <w:r w:rsidR="00B5503D">
        <w:t xml:space="preserve"> </w:t>
      </w:r>
      <w:r w:rsidR="00EC70D8">
        <w:t xml:space="preserve">the following </w:t>
      </w:r>
      <w:r w:rsidR="00B5503D">
        <w:t>new section</w:t>
      </w:r>
      <w:r w:rsidR="00EC70D8">
        <w:t>s:</w:t>
      </w:r>
    </w:p>
    <w:p w:rsidR="00EC70D8" w:rsidRDefault="00EC70D8" w:rsidP="008D08F0"/>
    <w:p w:rsidR="00CA27ED" w:rsidRDefault="00EC70D8">
      <w:pPr>
        <w:pStyle w:val="ListParagraph"/>
        <w:numPr>
          <w:ilvl w:val="0"/>
          <w:numId w:val="36"/>
        </w:numPr>
      </w:pPr>
      <w:r>
        <w:t xml:space="preserve">7AB Annual reports for corporate Commonwealth entities for </w:t>
      </w:r>
      <w:r w:rsidR="00E247D8">
        <w:t>2014</w:t>
      </w:r>
      <w:r w:rsidR="00E247D8">
        <w:noBreakHyphen/>
        <w:t>2015</w:t>
      </w:r>
    </w:p>
    <w:p w:rsidR="00CA27ED" w:rsidRDefault="004759C0">
      <w:pPr>
        <w:pStyle w:val="ListParagraph"/>
        <w:numPr>
          <w:ilvl w:val="0"/>
          <w:numId w:val="36"/>
        </w:numPr>
      </w:pPr>
      <w:r>
        <w:t xml:space="preserve">7AC </w:t>
      </w:r>
      <w:r w:rsidR="00EC70D8">
        <w:t>Annual reports fo</w:t>
      </w:r>
      <w:r>
        <w:t>r</w:t>
      </w:r>
      <w:r w:rsidR="00EC70D8">
        <w:t xml:space="preserve"> wholly-owned Commonwealth companies for </w:t>
      </w:r>
      <w:r w:rsidR="00E247D8">
        <w:t>2014</w:t>
      </w:r>
      <w:r w:rsidR="00E247D8">
        <w:noBreakHyphen/>
        <w:t>2015</w:t>
      </w:r>
    </w:p>
    <w:p w:rsidR="00EC70D8" w:rsidRDefault="00EC70D8" w:rsidP="00EC70D8"/>
    <w:p w:rsidR="00040000" w:rsidRDefault="009B103A" w:rsidP="008D08F0">
      <w:r w:rsidRPr="009B103A">
        <w:rPr>
          <w:b/>
        </w:rPr>
        <w:t xml:space="preserve">7AB Annual reports for corporate Commonwealth entities for </w:t>
      </w:r>
      <w:r w:rsidR="00E247D8">
        <w:rPr>
          <w:b/>
        </w:rPr>
        <w:t>2014</w:t>
      </w:r>
      <w:r w:rsidR="00E247D8">
        <w:rPr>
          <w:b/>
        </w:rPr>
        <w:noBreakHyphen/>
        <w:t>2015</w:t>
      </w:r>
      <w:r w:rsidR="00CC3293">
        <w:t xml:space="preserve"> </w:t>
      </w:r>
    </w:p>
    <w:p w:rsidR="002C582C" w:rsidRDefault="002C582C" w:rsidP="008D08F0"/>
    <w:p w:rsidR="00B5503D" w:rsidRPr="00CC3293" w:rsidRDefault="00717B5F" w:rsidP="004E7CEA">
      <w:r>
        <w:t xml:space="preserve">Section 7AB </w:t>
      </w:r>
      <w:r w:rsidR="00CC3293">
        <w:t>provide</w:t>
      </w:r>
      <w:r w:rsidR="00CB558B">
        <w:t>s</w:t>
      </w:r>
      <w:r w:rsidR="00CC3293">
        <w:t xml:space="preserve"> for the </w:t>
      </w:r>
      <w:r w:rsidR="00A22921">
        <w:t xml:space="preserve">transitional </w:t>
      </w:r>
      <w:r w:rsidR="00CC3293">
        <w:t xml:space="preserve">application of certain provisions, previously contained in the </w:t>
      </w:r>
      <w:r w:rsidR="00CC3293">
        <w:rPr>
          <w:i/>
        </w:rPr>
        <w:t xml:space="preserve">Commonwealth Authorities </w:t>
      </w:r>
      <w:r w:rsidR="001C7595">
        <w:rPr>
          <w:i/>
        </w:rPr>
        <w:t>(Annual Reporting) Orders 2011</w:t>
      </w:r>
      <w:r w:rsidR="00CC3293">
        <w:t xml:space="preserve">.  </w:t>
      </w:r>
      <w:r w:rsidR="00A22921">
        <w:t>T</w:t>
      </w:r>
      <w:r w:rsidR="00CC3293">
        <w:t xml:space="preserve">he </w:t>
      </w:r>
      <w:r w:rsidR="001C7595">
        <w:rPr>
          <w:i/>
        </w:rPr>
        <w:t>Commonwealth Authorities (Annual Reporting) Orders 2011</w:t>
      </w:r>
      <w:r w:rsidR="00CC3293">
        <w:t xml:space="preserve"> requirements </w:t>
      </w:r>
      <w:r w:rsidR="00A22921">
        <w:t xml:space="preserve">applied to </w:t>
      </w:r>
      <w:r w:rsidR="00CC3293">
        <w:t xml:space="preserve">annual reports </w:t>
      </w:r>
      <w:r w:rsidR="00A22921">
        <w:t xml:space="preserve">for </w:t>
      </w:r>
      <w:r w:rsidR="00CC3293">
        <w:t xml:space="preserve">the </w:t>
      </w:r>
      <w:r w:rsidR="00E247D8">
        <w:t>2013</w:t>
      </w:r>
      <w:r w:rsidR="00E247D8">
        <w:noBreakHyphen/>
        <w:t>2014</w:t>
      </w:r>
      <w:r w:rsidR="00CC3293">
        <w:t xml:space="preserve"> financial year.  The effect of the Annual Report Rule is to extend this application to </w:t>
      </w:r>
      <w:r w:rsidR="00A22921">
        <w:t xml:space="preserve">annual reports relating to </w:t>
      </w:r>
      <w:r w:rsidR="00CC3293">
        <w:t xml:space="preserve">the </w:t>
      </w:r>
      <w:r w:rsidR="00E247D8">
        <w:t>2014</w:t>
      </w:r>
      <w:r w:rsidR="00E247D8">
        <w:noBreakHyphen/>
        <w:t>2015</w:t>
      </w:r>
      <w:r w:rsidR="00CC3293">
        <w:t xml:space="preserve"> financial year</w:t>
      </w:r>
      <w:r w:rsidR="004759C0">
        <w:t>.</w:t>
      </w:r>
    </w:p>
    <w:p w:rsidR="00B5503D" w:rsidRDefault="00B5503D" w:rsidP="008D08F0"/>
    <w:p w:rsidR="00E6237A" w:rsidRDefault="009B103A" w:rsidP="00F261B6">
      <w:pPr>
        <w:spacing w:after="200"/>
      </w:pPr>
      <w:r w:rsidRPr="009B103A">
        <w:lastRenderedPageBreak/>
        <w:t>Subsection 7AB(1)</w:t>
      </w:r>
      <w:r w:rsidR="004B7156">
        <w:t xml:space="preserve"> </w:t>
      </w:r>
      <w:r w:rsidR="00E6237A">
        <w:t xml:space="preserve">provides that the section 7AB applies to the annual reports of </w:t>
      </w:r>
      <w:r w:rsidR="00A22921">
        <w:t xml:space="preserve">corporate </w:t>
      </w:r>
      <w:r w:rsidR="00E6237A">
        <w:t xml:space="preserve">Commonwealth entities that are prepared under section 46 of the </w:t>
      </w:r>
      <w:r w:rsidR="00E6237A" w:rsidRPr="00A22921">
        <w:rPr>
          <w:i/>
        </w:rPr>
        <w:t>Public Governance, Performance and Accountability Act 2013</w:t>
      </w:r>
      <w:r w:rsidR="00E6237A" w:rsidRPr="00F261B6">
        <w:t xml:space="preserve"> </w:t>
      </w:r>
      <w:r w:rsidR="00E6237A">
        <w:t>(PGPA Act) for the reporting period commencing on or after 1 July </w:t>
      </w:r>
      <w:r w:rsidR="004E7CEA">
        <w:t>2014</w:t>
      </w:r>
      <w:r w:rsidR="00E6237A">
        <w:t>.</w:t>
      </w:r>
    </w:p>
    <w:p w:rsidR="00E6237A" w:rsidRPr="00E6237A" w:rsidRDefault="009B103A" w:rsidP="00F261B6">
      <w:pPr>
        <w:spacing w:after="200"/>
      </w:pPr>
      <w:r w:rsidRPr="009B103A">
        <w:t>Subsection 7AB(2)</w:t>
      </w:r>
      <w:r w:rsidR="004B7156" w:rsidRPr="00DF3FA4">
        <w:t xml:space="preserve"> </w:t>
      </w:r>
      <w:r w:rsidR="00E6237A">
        <w:t xml:space="preserve">provides that despite the repeal of the </w:t>
      </w:r>
      <w:r w:rsidR="00E6237A" w:rsidRPr="00A22921">
        <w:rPr>
          <w:i/>
        </w:rPr>
        <w:t>Commonwealth Authorities (Annual Reporting) Orders 2011</w:t>
      </w:r>
      <w:r w:rsidR="00DF3FA4">
        <w:t xml:space="preserve"> </w:t>
      </w:r>
      <w:r w:rsidR="00E6237A">
        <w:t xml:space="preserve">made by </w:t>
      </w:r>
      <w:r w:rsidR="00C26DA4">
        <w:t xml:space="preserve">the </w:t>
      </w:r>
      <w:r w:rsidR="00E6237A">
        <w:t>CTP Act, that instrument, as in force immediately before 1 July 2014, continues to apply to annual reports</w:t>
      </w:r>
      <w:r w:rsidR="00A22921">
        <w:t xml:space="preserve"> prepared for the 2014-15 reporting period</w:t>
      </w:r>
      <w:r w:rsidR="00E6237A">
        <w:t>.</w:t>
      </w:r>
    </w:p>
    <w:p w:rsidR="00E6237A" w:rsidRPr="00E6237A" w:rsidRDefault="009B103A" w:rsidP="00F261B6">
      <w:pPr>
        <w:spacing w:after="200"/>
      </w:pPr>
      <w:r w:rsidRPr="009B103A">
        <w:t>Subsection 7AB(3)</w:t>
      </w:r>
      <w:r w:rsidR="002C582C" w:rsidRPr="00DF3FA4">
        <w:t xml:space="preserve"> </w:t>
      </w:r>
      <w:r w:rsidR="00E6237A">
        <w:t xml:space="preserve">provides that the requirements of the </w:t>
      </w:r>
      <w:r w:rsidR="000A473A" w:rsidRPr="00A22921">
        <w:rPr>
          <w:i/>
        </w:rPr>
        <w:t>Commonwealth Authorities (Annual Reporting) Orders 2011</w:t>
      </w:r>
      <w:r w:rsidR="000A473A">
        <w:t xml:space="preserve"> </w:t>
      </w:r>
      <w:r w:rsidR="00E6237A">
        <w:t xml:space="preserve">apply in the same </w:t>
      </w:r>
      <w:r w:rsidR="00A25EFF">
        <w:t xml:space="preserve">way </w:t>
      </w:r>
      <w:r w:rsidR="00E6237A">
        <w:t xml:space="preserve">as they applied for the financial year ending on 30 June </w:t>
      </w:r>
      <w:r w:rsidR="00E247D8">
        <w:t>2014</w:t>
      </w:r>
      <w:r w:rsidR="00E6237A">
        <w:t>.</w:t>
      </w:r>
    </w:p>
    <w:p w:rsidR="00714C0D" w:rsidRDefault="009B103A" w:rsidP="00A22921">
      <w:pPr>
        <w:spacing w:after="200"/>
      </w:pPr>
      <w:r w:rsidRPr="009B103A">
        <w:t>Subsection 7AB(4)</w:t>
      </w:r>
      <w:r w:rsidR="002C582C" w:rsidRPr="00DF3FA4">
        <w:t xml:space="preserve"> </w:t>
      </w:r>
      <w:r w:rsidR="00E6237A">
        <w:t xml:space="preserve">provides, for the purposes of subsection (3), that references to terminology under the </w:t>
      </w:r>
      <w:r w:rsidR="00F261B6" w:rsidRPr="00A22921">
        <w:rPr>
          <w:i/>
        </w:rPr>
        <w:t>Commonwealth Authorities and Companies Act 1997</w:t>
      </w:r>
      <w:r w:rsidR="00F261B6" w:rsidRPr="00A22921">
        <w:t xml:space="preserve"> </w:t>
      </w:r>
      <w:r w:rsidR="00F261B6">
        <w:t>(CAC Act)</w:t>
      </w:r>
      <w:r w:rsidR="00E6237A">
        <w:t xml:space="preserve"> are to be read as the equivalent terminology under the PGPA</w:t>
      </w:r>
      <w:r w:rsidR="000A473A">
        <w:t> </w:t>
      </w:r>
      <w:r w:rsidR="00E6237A">
        <w:t xml:space="preserve">Act.  </w:t>
      </w:r>
    </w:p>
    <w:p w:rsidR="00714C0D" w:rsidRPr="004759C0" w:rsidRDefault="00C26DA4" w:rsidP="00714C0D">
      <w:pPr>
        <w:spacing w:after="240"/>
        <w:rPr>
          <w:b/>
          <w:lang w:val="en-AU"/>
        </w:rPr>
      </w:pPr>
      <w:r>
        <w:rPr>
          <w:b/>
          <w:lang w:val="en-AU"/>
        </w:rPr>
        <w:t>Sectio</w:t>
      </w:r>
      <w:r w:rsidR="004759C0">
        <w:rPr>
          <w:b/>
          <w:lang w:val="en-AU"/>
        </w:rPr>
        <w:t>n</w:t>
      </w:r>
      <w:r>
        <w:rPr>
          <w:b/>
          <w:lang w:val="en-AU"/>
        </w:rPr>
        <w:t xml:space="preserve"> 7AC</w:t>
      </w:r>
      <w:r w:rsidR="004759C0">
        <w:rPr>
          <w:b/>
          <w:lang w:val="en-AU"/>
        </w:rPr>
        <w:t xml:space="preserve"> </w:t>
      </w:r>
      <w:r w:rsidR="009B103A" w:rsidRPr="009B103A">
        <w:rPr>
          <w:b/>
        </w:rPr>
        <w:t xml:space="preserve">Annual reports for wholly-owned Commonwealth companies for </w:t>
      </w:r>
      <w:r w:rsidR="00CA27ED">
        <w:rPr>
          <w:b/>
        </w:rPr>
        <w:t>2014</w:t>
      </w:r>
      <w:r w:rsidR="00E247D8">
        <w:rPr>
          <w:b/>
        </w:rPr>
        <w:noBreakHyphen/>
        <w:t>2015</w:t>
      </w:r>
    </w:p>
    <w:p w:rsidR="00CA27ED" w:rsidRDefault="004759C0">
      <w:pPr>
        <w:spacing w:after="200"/>
      </w:pPr>
      <w:r>
        <w:t>Section 7AC</w:t>
      </w:r>
      <w:r w:rsidR="00714C0D">
        <w:t xml:space="preserve"> </w:t>
      </w:r>
      <w:r>
        <w:t>provide</w:t>
      </w:r>
      <w:r w:rsidR="007D398A">
        <w:t>s</w:t>
      </w:r>
      <w:r>
        <w:t xml:space="preserve"> for the continuing application of certain provisions, previously contained in the </w:t>
      </w:r>
      <w:r w:rsidR="006D7083">
        <w:rPr>
          <w:i/>
        </w:rPr>
        <w:t>Commonwealth Companies (Annual Reporting) Orders 2011</w:t>
      </w:r>
      <w:r w:rsidR="000A473A">
        <w:t xml:space="preserve"> (Orders)</w:t>
      </w:r>
      <w:r>
        <w:t xml:space="preserve">.  Despite the repeal of the </w:t>
      </w:r>
      <w:r w:rsidR="006D7083">
        <w:rPr>
          <w:i/>
        </w:rPr>
        <w:t>Commonwealth Companies (Annual Reporting) Orders 2011</w:t>
      </w:r>
      <w:r w:rsidR="006D7083">
        <w:t>, the CTP Act</w:t>
      </w:r>
      <w:r>
        <w:t xml:space="preserve">, the requirements around annual reports applied to the </w:t>
      </w:r>
      <w:r w:rsidR="00E247D8">
        <w:t>2013</w:t>
      </w:r>
      <w:r w:rsidR="00E247D8">
        <w:noBreakHyphen/>
        <w:t xml:space="preserve">2014 </w:t>
      </w:r>
      <w:r>
        <w:t xml:space="preserve">financial year.  </w:t>
      </w:r>
      <w:r w:rsidR="00714C0D">
        <w:t xml:space="preserve">The effect of the Annual Report Rule is to extend this application to the </w:t>
      </w:r>
      <w:r w:rsidR="00E247D8">
        <w:t>2014</w:t>
      </w:r>
      <w:r w:rsidR="00E247D8">
        <w:noBreakHyphen/>
        <w:t>2015</w:t>
      </w:r>
      <w:r w:rsidR="00714C0D">
        <w:t xml:space="preserve"> financial year through a transitional rule</w:t>
      </w:r>
      <w:r w:rsidR="007D398A">
        <w:t>.</w:t>
      </w:r>
    </w:p>
    <w:p w:rsidR="00180780" w:rsidRDefault="009B103A" w:rsidP="00F261B6">
      <w:pPr>
        <w:spacing w:after="200"/>
      </w:pPr>
      <w:r w:rsidRPr="009B103A">
        <w:t>Subsection 7AC(1)</w:t>
      </w:r>
      <w:r w:rsidR="002C582C" w:rsidRPr="00DF3FA4">
        <w:t xml:space="preserve"> </w:t>
      </w:r>
      <w:r w:rsidR="00180780">
        <w:t>provides that the section 7A</w:t>
      </w:r>
      <w:r w:rsidR="004C11D0">
        <w:t>C</w:t>
      </w:r>
      <w:r w:rsidR="00180780">
        <w:t xml:space="preserve"> applies to the annual reports of </w:t>
      </w:r>
      <w:r w:rsidR="004C11D0">
        <w:t xml:space="preserve">wholly-owned </w:t>
      </w:r>
      <w:r w:rsidR="00180780">
        <w:t xml:space="preserve">Commonwealth </w:t>
      </w:r>
      <w:r w:rsidR="004C11D0">
        <w:t xml:space="preserve">companies </w:t>
      </w:r>
      <w:r w:rsidR="00180780">
        <w:t xml:space="preserve">that are prepared under section </w:t>
      </w:r>
      <w:r w:rsidR="004C11D0">
        <w:t>97</w:t>
      </w:r>
      <w:r w:rsidR="00180780">
        <w:t xml:space="preserve"> of the PGPA Act for the reporting period commencing on or after 1 July 2014.</w:t>
      </w:r>
    </w:p>
    <w:p w:rsidR="004C11D0" w:rsidRPr="00E6237A" w:rsidRDefault="009B103A" w:rsidP="00F261B6">
      <w:pPr>
        <w:spacing w:after="200"/>
      </w:pPr>
      <w:r w:rsidRPr="009B103A">
        <w:t>Subsection 7AC(2)</w:t>
      </w:r>
      <w:r w:rsidR="002C582C" w:rsidRPr="00DF3FA4">
        <w:t xml:space="preserve"> </w:t>
      </w:r>
      <w:r w:rsidR="004C11D0">
        <w:t xml:space="preserve">provides that despite the repeal of </w:t>
      </w:r>
      <w:r w:rsidR="000A473A">
        <w:t xml:space="preserve">the </w:t>
      </w:r>
      <w:r w:rsidR="000A473A" w:rsidRPr="00A22921">
        <w:rPr>
          <w:i/>
        </w:rPr>
        <w:t>Commonwealth Companies (Annual Reporting) Orders 2011</w:t>
      </w:r>
      <w:r w:rsidR="004C11D0">
        <w:t>made by the CTP Act, that instrument, as in force immediately before 1 July 2014, continues to apply to annual reports</w:t>
      </w:r>
      <w:r w:rsidR="00A22921">
        <w:t xml:space="preserve"> prepared for the 2014-15 reporting period</w:t>
      </w:r>
      <w:r w:rsidR="004C11D0">
        <w:t>.</w:t>
      </w:r>
    </w:p>
    <w:p w:rsidR="004C11D0" w:rsidRPr="00E6237A" w:rsidRDefault="009B103A" w:rsidP="00F261B6">
      <w:pPr>
        <w:spacing w:after="200"/>
      </w:pPr>
      <w:r w:rsidRPr="009B103A">
        <w:t>Subsection 7AC(3)</w:t>
      </w:r>
      <w:r w:rsidR="002C582C" w:rsidRPr="00DF3FA4">
        <w:t xml:space="preserve"> </w:t>
      </w:r>
      <w:r w:rsidR="004C11D0">
        <w:t xml:space="preserve">provides that the requirements of the </w:t>
      </w:r>
      <w:r w:rsidR="000A473A" w:rsidRPr="00A22921">
        <w:rPr>
          <w:i/>
        </w:rPr>
        <w:t>Commonwealth Companies (Annual Reporting) Orders 2011</w:t>
      </w:r>
      <w:r w:rsidR="004C11D0">
        <w:t xml:space="preserve">apply in the same way as they applied for the financial year ending on 30 June </w:t>
      </w:r>
      <w:r w:rsidR="00E247D8">
        <w:t>2014</w:t>
      </w:r>
      <w:r w:rsidR="004C11D0">
        <w:t>.</w:t>
      </w:r>
    </w:p>
    <w:p w:rsidR="00CA27ED" w:rsidRDefault="009B103A" w:rsidP="00F261B6">
      <w:pPr>
        <w:spacing w:after="200"/>
      </w:pPr>
      <w:r w:rsidRPr="009B103A">
        <w:t>Subsection 7AC(4)</w:t>
      </w:r>
      <w:r w:rsidR="004C11D0">
        <w:t xml:space="preserve"> provides, for the purposes of subsection (3), that references to terminology under the CAC Act are to be read as the equivalent terminology under the PGPA</w:t>
      </w:r>
      <w:r w:rsidR="000A473A">
        <w:t> </w:t>
      </w:r>
      <w:r w:rsidR="004C11D0">
        <w:t xml:space="preserve">Act.  </w:t>
      </w:r>
    </w:p>
    <w:p w:rsidR="00B5503D" w:rsidRDefault="00B5503D">
      <w:pPr>
        <w:spacing w:after="200" w:line="276" w:lineRule="auto"/>
      </w:pPr>
      <w:r>
        <w:br w:type="page"/>
      </w:r>
    </w:p>
    <w:p w:rsidR="008D08F0" w:rsidRDefault="00BF1181" w:rsidP="00714C0D">
      <w:pPr>
        <w:pStyle w:val="Heading2"/>
        <w:spacing w:before="0"/>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Attachment B</w:t>
      </w:r>
    </w:p>
    <w:p w:rsidR="00714C0D" w:rsidRPr="00714C0D" w:rsidRDefault="00714C0D" w:rsidP="00714C0D"/>
    <w:p w:rsidR="008D08F0" w:rsidRDefault="00167E2E" w:rsidP="00714C0D">
      <w:pPr>
        <w:pStyle w:val="Heading2"/>
        <w:jc w:val="center"/>
        <w:rPr>
          <w:rFonts w:ascii="Times New Roman" w:hAnsi="Times New Roman" w:cs="Times New Roman"/>
          <w:sz w:val="24"/>
          <w:szCs w:val="24"/>
        </w:rPr>
      </w:pPr>
      <w:r w:rsidRPr="00977D04">
        <w:rPr>
          <w:rFonts w:ascii="Times New Roman" w:hAnsi="Times New Roman" w:cs="Times New Roman"/>
          <w:sz w:val="24"/>
          <w:szCs w:val="24"/>
        </w:rPr>
        <w:t xml:space="preserve">Statement of </w:t>
      </w:r>
      <w:r w:rsidR="00D75AD5">
        <w:rPr>
          <w:rFonts w:ascii="Times New Roman" w:hAnsi="Times New Roman" w:cs="Times New Roman"/>
          <w:sz w:val="24"/>
          <w:szCs w:val="24"/>
        </w:rPr>
        <w:t>C</w:t>
      </w:r>
      <w:r w:rsidR="00D75AD5" w:rsidRPr="00977D04">
        <w:rPr>
          <w:rFonts w:ascii="Times New Roman" w:hAnsi="Times New Roman" w:cs="Times New Roman"/>
          <w:sz w:val="24"/>
          <w:szCs w:val="24"/>
        </w:rPr>
        <w:t xml:space="preserve">ompatibility </w:t>
      </w:r>
      <w:r w:rsidRPr="00977D04">
        <w:rPr>
          <w:rFonts w:ascii="Times New Roman" w:hAnsi="Times New Roman" w:cs="Times New Roman"/>
          <w:sz w:val="24"/>
          <w:szCs w:val="24"/>
        </w:rPr>
        <w:t xml:space="preserve">with </w:t>
      </w:r>
      <w:r w:rsidR="00D75AD5">
        <w:rPr>
          <w:rFonts w:ascii="Times New Roman" w:hAnsi="Times New Roman" w:cs="Times New Roman"/>
          <w:sz w:val="24"/>
          <w:szCs w:val="24"/>
        </w:rPr>
        <w:t>H</w:t>
      </w:r>
      <w:r w:rsidR="00D75AD5" w:rsidRPr="00977D04">
        <w:rPr>
          <w:rFonts w:ascii="Times New Roman" w:hAnsi="Times New Roman" w:cs="Times New Roman"/>
          <w:sz w:val="24"/>
          <w:szCs w:val="24"/>
        </w:rPr>
        <w:t xml:space="preserve">uman </w:t>
      </w:r>
      <w:r w:rsidR="00D75AD5">
        <w:rPr>
          <w:rFonts w:ascii="Times New Roman" w:hAnsi="Times New Roman" w:cs="Times New Roman"/>
          <w:sz w:val="24"/>
          <w:szCs w:val="24"/>
        </w:rPr>
        <w:t>R</w:t>
      </w:r>
      <w:r w:rsidR="00D75AD5" w:rsidRPr="00977D04">
        <w:rPr>
          <w:rFonts w:ascii="Times New Roman" w:hAnsi="Times New Roman" w:cs="Times New Roman"/>
          <w:sz w:val="24"/>
          <w:szCs w:val="24"/>
        </w:rPr>
        <w:t>ights</w:t>
      </w:r>
    </w:p>
    <w:p w:rsidR="00C445FC" w:rsidRPr="00C445FC" w:rsidRDefault="00C445FC" w:rsidP="00C445FC"/>
    <w:p w:rsidR="003C49CD" w:rsidRDefault="00167E2E" w:rsidP="00D976E6">
      <w:pPr>
        <w:rPr>
          <w:i/>
        </w:rPr>
      </w:pPr>
      <w:r w:rsidRPr="00977D04">
        <w:t xml:space="preserve">Prepared in accordance with Part 3 of the </w:t>
      </w:r>
      <w:r w:rsidRPr="00977D04">
        <w:rPr>
          <w:i/>
        </w:rPr>
        <w:t>Human Rights (Parliamentary Scrutiny) Act 2011</w:t>
      </w:r>
    </w:p>
    <w:p w:rsidR="009C481F" w:rsidRPr="00977D04" w:rsidRDefault="009C481F" w:rsidP="00D976E6"/>
    <w:p w:rsidR="009C481F" w:rsidRPr="005E6C85" w:rsidRDefault="005E6C85" w:rsidP="002434FC">
      <w:pPr>
        <w:jc w:val="center"/>
      </w:pPr>
      <w:r w:rsidRPr="005E6C85">
        <w:rPr>
          <w:b/>
          <w:i/>
        </w:rPr>
        <w:t>Public Governance, Performance and Accountability (Consequential and Transitional Provisions) Amendment (Annual Reports) Rule 2015</w:t>
      </w:r>
      <w:r w:rsidRPr="005E6C85">
        <w:rPr>
          <w:b/>
          <w:i/>
        </w:rPr>
        <w:br/>
      </w:r>
    </w:p>
    <w:p w:rsidR="00A609F2" w:rsidRPr="00977D04" w:rsidRDefault="00E00E37" w:rsidP="003167B7">
      <w:pPr>
        <w:rPr>
          <w:i/>
        </w:rPr>
      </w:pPr>
      <w:r w:rsidRPr="00977D04">
        <w:t xml:space="preserve">The </w:t>
      </w:r>
      <w:r w:rsidR="005E6C85" w:rsidRPr="005E6C85">
        <w:rPr>
          <w:i/>
        </w:rPr>
        <w:t>Public Governance, Performance and Accountability (Consequential and Transitional Provisions) Amendment (Annual Reports) Rule 2015</w:t>
      </w:r>
      <w:r w:rsidR="005E6C85">
        <w:t xml:space="preserve"> </w:t>
      </w:r>
      <w:r w:rsidR="00905230">
        <w:t>(</w:t>
      </w:r>
      <w:r w:rsidR="005E6C85">
        <w:t>Annual Reports</w:t>
      </w:r>
      <w:r w:rsidR="00905230">
        <w:t xml:space="preserve"> Rule)</w:t>
      </w:r>
      <w:r w:rsidR="0092738C" w:rsidRPr="00977D04">
        <w:t xml:space="preserve"> </w:t>
      </w:r>
      <w:r w:rsidRPr="00977D04">
        <w:t xml:space="preserve">is compatible with the human rights and freedoms recognised or declared in the international instruments listed in section 3 of the </w:t>
      </w:r>
      <w:r w:rsidRPr="00977D04">
        <w:rPr>
          <w:i/>
        </w:rPr>
        <w:t>Human Rights (Parliamentary Scrutiny) Act 2011.</w:t>
      </w:r>
    </w:p>
    <w:p w:rsidR="009C481F" w:rsidRPr="00977D04" w:rsidRDefault="009C481F" w:rsidP="00D976E6"/>
    <w:p w:rsidR="00C351ED" w:rsidRPr="00977D04" w:rsidRDefault="00661056" w:rsidP="00D976E6">
      <w:pPr>
        <w:rPr>
          <w:b/>
          <w:lang w:val="en-AU"/>
        </w:rPr>
      </w:pPr>
      <w:r w:rsidRPr="00977D04">
        <w:rPr>
          <w:b/>
          <w:lang w:val="en-AU"/>
        </w:rPr>
        <w:t>Overview</w:t>
      </w:r>
      <w:r w:rsidR="00474C20" w:rsidRPr="00977D04">
        <w:rPr>
          <w:b/>
          <w:lang w:val="en-AU"/>
        </w:rPr>
        <w:t xml:space="preserve"> of the legislative instrument</w:t>
      </w:r>
    </w:p>
    <w:p w:rsidR="002434FC" w:rsidRPr="00297EE9" w:rsidRDefault="002434FC" w:rsidP="002434FC">
      <w:r w:rsidRPr="00977D04">
        <w:rPr>
          <w:lang w:val="en-AU"/>
        </w:rPr>
        <w:t xml:space="preserve">The </w:t>
      </w:r>
      <w:r w:rsidRPr="00977D04">
        <w:rPr>
          <w:i/>
          <w:lang w:val="en-AU"/>
        </w:rPr>
        <w:t>Public Governance, Performance and Accountability Act 2013</w:t>
      </w:r>
      <w:r>
        <w:rPr>
          <w:lang w:val="en-AU"/>
        </w:rPr>
        <w:t xml:space="preserve"> (PGPA Act) consolidated</w:t>
      </w:r>
      <w:r w:rsidRPr="00977D04">
        <w:rPr>
          <w:lang w:val="en-AU"/>
        </w:rPr>
        <w:t xml:space="preserve"> into a single piece of legislation the governance, performance and accountability requirements of the Commonwealth, setting out a framework for regulating resource management by the Commonwealth and relevant entities</w:t>
      </w:r>
      <w:r>
        <w:rPr>
          <w:lang w:val="en-AU"/>
        </w:rPr>
        <w:t xml:space="preserve">.  </w:t>
      </w:r>
    </w:p>
    <w:p w:rsidR="005E6C85" w:rsidRDefault="005E6C85" w:rsidP="00A609F2">
      <w:pPr>
        <w:rPr>
          <w:lang w:val="en-AU"/>
        </w:rPr>
      </w:pPr>
    </w:p>
    <w:p w:rsidR="005E6C85" w:rsidRPr="007B2238" w:rsidRDefault="005E6C85" w:rsidP="005E6C85">
      <w:pPr>
        <w:tabs>
          <w:tab w:val="left" w:pos="567"/>
          <w:tab w:val="left" w:pos="1276"/>
        </w:tabs>
      </w:pPr>
      <w:r>
        <w:t xml:space="preserve">Item 6 of Schedule 14 of the </w:t>
      </w:r>
      <w:r w:rsidRPr="00977D04">
        <w:rPr>
          <w:i/>
        </w:rPr>
        <w:t>Public Governance, Performance and Accountability (Consequential and Transitional Provisions) Act 2014</w:t>
      </w:r>
      <w:r w:rsidRPr="00977D04">
        <w:t xml:space="preserve"> </w:t>
      </w:r>
      <w:r>
        <w:t>(CTP Act) provides that the Finance </w:t>
      </w:r>
      <w:r w:rsidRPr="00977D04">
        <w:t>Minister may, by legislative instrument, make rules prescribing matters required or permitted by th</w:t>
      </w:r>
      <w:r>
        <w:t>e CTP</w:t>
      </w:r>
      <w:r w:rsidRPr="00977D04">
        <w:t xml:space="preserve"> Act to be prescribed by the rules, or necessary or convenient to be prescribed for carry</w:t>
      </w:r>
      <w:r>
        <w:t>ing out or giving effect to the CTP Act and the PGPA </w:t>
      </w:r>
      <w:r w:rsidRPr="00977D04">
        <w:t>Act.</w:t>
      </w:r>
    </w:p>
    <w:p w:rsidR="004816AF" w:rsidRDefault="004816AF" w:rsidP="004816AF"/>
    <w:p w:rsidR="00C874C4" w:rsidRDefault="003167B7" w:rsidP="006471E4">
      <w:pPr>
        <w:rPr>
          <w:lang w:val="en-AU"/>
        </w:rPr>
      </w:pPr>
      <w:r>
        <w:t xml:space="preserve">The </w:t>
      </w:r>
      <w:r w:rsidR="005E6C85">
        <w:t>Annual Reports</w:t>
      </w:r>
      <w:r>
        <w:t xml:space="preserve"> </w:t>
      </w:r>
      <w:r w:rsidR="005C29D9" w:rsidRPr="001F74A6">
        <w:t>Rule</w:t>
      </w:r>
      <w:r w:rsidR="005C29D9">
        <w:t xml:space="preserve"> </w:t>
      </w:r>
      <w:r w:rsidR="00C874C4">
        <w:t>is intended</w:t>
      </w:r>
      <w:r>
        <w:t xml:space="preserve"> to amend the rule instrument</w:t>
      </w:r>
      <w:r w:rsidR="00A609F2">
        <w:t xml:space="preserve"> made </w:t>
      </w:r>
      <w:r w:rsidR="008D08F0">
        <w:t xml:space="preserve">under </w:t>
      </w:r>
      <w:r w:rsidR="007E6A30">
        <w:t>the</w:t>
      </w:r>
      <w:r w:rsidR="005E6C85">
        <w:t xml:space="preserve"> CTP </w:t>
      </w:r>
      <w:r w:rsidR="008D08F0">
        <w:t>Act</w:t>
      </w:r>
      <w:r>
        <w:rPr>
          <w:lang w:val="en-AU"/>
        </w:rPr>
        <w:t>,</w:t>
      </w:r>
      <w:r w:rsidR="00A609F2">
        <w:t xml:space="preserve"> to support the implementation of the legislative framework</w:t>
      </w:r>
      <w:r w:rsidR="00F152C8">
        <w:t xml:space="preserve"> introduced through the PGPA</w:t>
      </w:r>
      <w:r w:rsidR="000A473A">
        <w:t> </w:t>
      </w:r>
      <w:r w:rsidR="00F152C8">
        <w:t>Act</w:t>
      </w:r>
      <w:r w:rsidR="00561ED6">
        <w:t xml:space="preserve">.  </w:t>
      </w:r>
    </w:p>
    <w:p w:rsidR="006471E4" w:rsidRPr="00C874C4" w:rsidRDefault="006471E4" w:rsidP="006471E4">
      <w:pPr>
        <w:rPr>
          <w:lang w:val="en-AU"/>
        </w:rPr>
      </w:pPr>
    </w:p>
    <w:p w:rsidR="000A473A" w:rsidRPr="00E74F7B" w:rsidRDefault="000A473A" w:rsidP="000A473A">
      <w:pPr>
        <w:spacing w:after="240"/>
      </w:pPr>
      <w:r w:rsidRPr="00977D04">
        <w:t xml:space="preserve">The </w:t>
      </w:r>
      <w:r>
        <w:t xml:space="preserve">Annual Reports </w:t>
      </w:r>
      <w:r w:rsidRPr="001F74A6">
        <w:t>Rule</w:t>
      </w:r>
      <w:r w:rsidRPr="00977D04">
        <w:t xml:space="preserve"> </w:t>
      </w:r>
      <w:r>
        <w:t xml:space="preserve">would insert new provisions into the CTP Rule that would apply to annual reports prepared by corporate Commonwealth entities and Commonwealth companies, in accordance with the rule making power in Schedule 14 of the CTP Act.  The provisions </w:t>
      </w:r>
      <w:r w:rsidR="00A22921">
        <w:t xml:space="preserve">are transitional in nature and </w:t>
      </w:r>
      <w:r>
        <w:t xml:space="preserve">would extend the application of the </w:t>
      </w:r>
      <w:r w:rsidRPr="00714C0D">
        <w:rPr>
          <w:i/>
        </w:rPr>
        <w:t>Commonwealth Authorities (Annual Reporting) Orders</w:t>
      </w:r>
      <w:r>
        <w:rPr>
          <w:i/>
        </w:rPr>
        <w:t> </w:t>
      </w:r>
      <w:r w:rsidRPr="00714C0D">
        <w:rPr>
          <w:i/>
        </w:rPr>
        <w:t>2011</w:t>
      </w:r>
      <w:r>
        <w:t xml:space="preserve"> and the </w:t>
      </w:r>
      <w:r w:rsidRPr="00714C0D">
        <w:rPr>
          <w:i/>
        </w:rPr>
        <w:t xml:space="preserve">Commonwealth </w:t>
      </w:r>
      <w:r>
        <w:rPr>
          <w:i/>
        </w:rPr>
        <w:t>Companies</w:t>
      </w:r>
      <w:r w:rsidRPr="00714C0D">
        <w:rPr>
          <w:i/>
        </w:rPr>
        <w:t xml:space="preserve"> (Annual Reporting) Orders 2011</w:t>
      </w:r>
      <w:r>
        <w:t xml:space="preserve"> for the purposes of 2014-15 annual reports.</w:t>
      </w:r>
    </w:p>
    <w:p w:rsidR="009C481F" w:rsidRPr="00A34022" w:rsidRDefault="00474C20" w:rsidP="007E6A30">
      <w:pPr>
        <w:rPr>
          <w:b/>
        </w:rPr>
      </w:pPr>
      <w:r w:rsidRPr="00977D04">
        <w:rPr>
          <w:b/>
        </w:rPr>
        <w:t>Human rights implications</w:t>
      </w:r>
    </w:p>
    <w:p w:rsidR="00F152C8" w:rsidRDefault="00167E2E" w:rsidP="00F152C8">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nstrument do</w:t>
      </w:r>
      <w:r w:rsidR="005503F7" w:rsidRPr="00977D04">
        <w:t>es</w:t>
      </w:r>
      <w:r w:rsidRPr="00977D04">
        <w:t xml:space="preserve"> not engage any of the applicable rights or freedoms.</w:t>
      </w:r>
    </w:p>
    <w:p w:rsidR="00167E2E" w:rsidRPr="00977D04" w:rsidRDefault="00167E2E" w:rsidP="00D976E6"/>
    <w:p w:rsidR="009C481F" w:rsidRPr="00A34022" w:rsidRDefault="00474C20" w:rsidP="00D976E6">
      <w:pPr>
        <w:rPr>
          <w:b/>
        </w:rPr>
      </w:pPr>
      <w:r w:rsidRPr="00977D04">
        <w:rPr>
          <w:b/>
        </w:rPr>
        <w:t>Conclusion</w:t>
      </w:r>
    </w:p>
    <w:p w:rsidR="008D08F0"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w:t>
      </w:r>
      <w:r w:rsidR="006A6ED3" w:rsidRPr="00977D04">
        <w:t>t</w:t>
      </w:r>
      <w:r w:rsidR="005503F7" w:rsidRPr="00977D04">
        <w:t xml:space="preserve"> i</w:t>
      </w:r>
      <w:r w:rsidR="006A6ED3" w:rsidRPr="00977D04">
        <w:t>s</w:t>
      </w:r>
      <w:r w:rsidRPr="00977D04">
        <w:t xml:space="preserve"> compatible with human rights as </w:t>
      </w:r>
      <w:r w:rsidR="0092738C" w:rsidRPr="00977D04">
        <w:t xml:space="preserve">it </w:t>
      </w:r>
      <w:r w:rsidR="001C68FE" w:rsidRPr="00977D04">
        <w:t>do</w:t>
      </w:r>
      <w:r w:rsidR="0092738C" w:rsidRPr="00977D04">
        <w:t>es</w:t>
      </w:r>
      <w:r w:rsidR="001C68FE" w:rsidRPr="00977D04">
        <w:t xml:space="preserve"> </w:t>
      </w:r>
      <w:r w:rsidRPr="00977D04">
        <w:t>not</w:t>
      </w:r>
      <w:r w:rsidR="00C874C4">
        <w:t xml:space="preserve"> raise any human rights issues.</w:t>
      </w:r>
    </w:p>
    <w:p w:rsidR="008D08F0" w:rsidRDefault="008D08F0" w:rsidP="00D976E6"/>
    <w:p w:rsidR="00714C0D" w:rsidRDefault="00714C0D" w:rsidP="00D976E6"/>
    <w:p w:rsidR="00714C0D" w:rsidRDefault="00714C0D" w:rsidP="00D976E6"/>
    <w:p w:rsidR="00714C0D" w:rsidRPr="00977D04" w:rsidRDefault="00714C0D" w:rsidP="00D976E6"/>
    <w:p w:rsidR="00661056" w:rsidRPr="00977D04" w:rsidRDefault="00661056" w:rsidP="00661056">
      <w:pPr>
        <w:pStyle w:val="paranumbering0"/>
        <w:spacing w:before="0" w:beforeAutospacing="0" w:after="0" w:afterAutospacing="0"/>
        <w:jc w:val="center"/>
        <w:rPr>
          <w:b/>
        </w:rPr>
      </w:pPr>
      <w:r w:rsidRPr="00977D04">
        <w:rPr>
          <w:b/>
        </w:rPr>
        <w:t>Senator the Hon Mathias Cormann</w:t>
      </w:r>
    </w:p>
    <w:p w:rsidR="00BE3437" w:rsidRPr="00DE19D0" w:rsidRDefault="00661056" w:rsidP="00DE19D0">
      <w:pPr>
        <w:pStyle w:val="paranumbering0"/>
        <w:spacing w:before="0" w:beforeAutospacing="0" w:after="0" w:afterAutospacing="0"/>
        <w:jc w:val="center"/>
        <w:rPr>
          <w:b/>
        </w:rPr>
      </w:pPr>
      <w:r w:rsidRPr="00977D04">
        <w:rPr>
          <w:b/>
        </w:rPr>
        <w:t>Minister for Finance</w:t>
      </w:r>
    </w:p>
    <w:sectPr w:rsidR="00BE3437" w:rsidRPr="00DE19D0" w:rsidSect="00AE08B4">
      <w:headerReference w:type="default" r:id="rId10"/>
      <w:pgSz w:w="11906" w:h="16838"/>
      <w:pgMar w:top="1440" w:right="1440" w:bottom="1440" w:left="1440" w:header="708" w:footer="51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21" w:rsidRDefault="00A22921" w:rsidP="00D976E6">
      <w:r>
        <w:separator/>
      </w:r>
    </w:p>
    <w:p w:rsidR="00A22921" w:rsidRDefault="00A22921" w:rsidP="00D976E6"/>
  </w:endnote>
  <w:endnote w:type="continuationSeparator" w:id="0">
    <w:p w:rsidR="00A22921" w:rsidRDefault="00A22921" w:rsidP="00D976E6">
      <w:r>
        <w:continuationSeparator/>
      </w:r>
    </w:p>
    <w:p w:rsidR="00A22921" w:rsidRDefault="00A22921" w:rsidP="00D9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21" w:rsidRDefault="00A22921" w:rsidP="00D976E6">
      <w:r>
        <w:separator/>
      </w:r>
    </w:p>
    <w:p w:rsidR="00A22921" w:rsidRDefault="00A22921" w:rsidP="00D976E6"/>
  </w:footnote>
  <w:footnote w:type="continuationSeparator" w:id="0">
    <w:p w:rsidR="00A22921" w:rsidRDefault="00A22921" w:rsidP="00D976E6">
      <w:r>
        <w:continuationSeparator/>
      </w:r>
    </w:p>
    <w:p w:rsidR="00A22921" w:rsidRDefault="00A22921" w:rsidP="00D976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414669"/>
      <w:docPartObj>
        <w:docPartGallery w:val="Page Numbers (Top of Page)"/>
        <w:docPartUnique/>
      </w:docPartObj>
    </w:sdtPr>
    <w:sdtEndPr/>
    <w:sdtContent>
      <w:p w:rsidR="00A22921" w:rsidRDefault="00DD1B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22921" w:rsidRDefault="00A22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6691"/>
      <w:docPartObj>
        <w:docPartGallery w:val="Page Numbers (Top of Page)"/>
        <w:docPartUnique/>
      </w:docPartObj>
    </w:sdtPr>
    <w:sdtEndPr/>
    <w:sdtContent>
      <w:p w:rsidR="00A22921" w:rsidRDefault="00DD1B17">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A22921" w:rsidRPr="0054075E" w:rsidRDefault="00A22921" w:rsidP="00540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11697D"/>
    <w:multiLevelType w:val="hybridMultilevel"/>
    <w:tmpl w:val="376A4044"/>
    <w:lvl w:ilvl="0" w:tplc="ADF8B48A">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BE601ED"/>
    <w:multiLevelType w:val="hybridMultilevel"/>
    <w:tmpl w:val="1A0804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nsid w:val="4CF04FB0"/>
    <w:multiLevelType w:val="hybridMultilevel"/>
    <w:tmpl w:val="878C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4E3A18"/>
    <w:multiLevelType w:val="hybridMultilevel"/>
    <w:tmpl w:val="963CF9CE"/>
    <w:lvl w:ilvl="0" w:tplc="AFDC0F36">
      <w:start w:val="1"/>
      <w:numFmt w:val="bullet"/>
      <w:pStyle w:val="Normal1"/>
      <w:lvlText w:val=""/>
      <w:lvlJc w:val="left"/>
      <w:pPr>
        <w:ind w:left="720" w:hanging="360"/>
      </w:pPr>
      <w:rPr>
        <w:rFonts w:ascii="Symbol" w:hAnsi="Symbol" w:hint="default"/>
        <w:color w:val="auto"/>
      </w:rPr>
    </w:lvl>
    <w:lvl w:ilvl="1" w:tplc="FB00C5A4">
      <w:start w:val="1"/>
      <w:numFmt w:val="bullet"/>
      <w:pStyle w:val="Style5"/>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112858"/>
    <w:multiLevelType w:val="hybridMultilevel"/>
    <w:tmpl w:val="F38256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E32F79"/>
    <w:multiLevelType w:val="hybridMultilevel"/>
    <w:tmpl w:val="E2B02A8A"/>
    <w:lvl w:ilvl="0" w:tplc="5DBA05AA">
      <w:start w:val="1"/>
      <w:numFmt w:val="decimal"/>
      <w:lvlText w:val="%1."/>
      <w:lvlJc w:val="left"/>
      <w:pPr>
        <w:ind w:left="1854" w:hanging="360"/>
      </w:pPr>
      <w:rPr>
        <w:rFonts w:hint="default"/>
        <w:b w:val="0"/>
        <w:i w:val="0"/>
      </w:rPr>
    </w:lvl>
    <w:lvl w:ilvl="1" w:tplc="0C090001">
      <w:start w:val="1"/>
      <w:numFmt w:val="decimal"/>
      <w:lvlText w:val="%2."/>
      <w:lvlJc w:val="left"/>
      <w:pPr>
        <w:tabs>
          <w:tab w:val="num" w:pos="2574"/>
        </w:tabs>
        <w:ind w:left="2574" w:hanging="360"/>
      </w:pPr>
    </w:lvl>
    <w:lvl w:ilvl="2" w:tplc="0C09001B">
      <w:start w:val="1"/>
      <w:numFmt w:val="decimal"/>
      <w:lvlText w:val="%3."/>
      <w:lvlJc w:val="left"/>
      <w:pPr>
        <w:tabs>
          <w:tab w:val="num" w:pos="3294"/>
        </w:tabs>
        <w:ind w:left="3294" w:hanging="360"/>
      </w:pPr>
    </w:lvl>
    <w:lvl w:ilvl="3" w:tplc="0C09000F">
      <w:start w:val="1"/>
      <w:numFmt w:val="decimal"/>
      <w:lvlText w:val="%4."/>
      <w:lvlJc w:val="left"/>
      <w:pPr>
        <w:tabs>
          <w:tab w:val="num" w:pos="4014"/>
        </w:tabs>
        <w:ind w:left="4014" w:hanging="360"/>
      </w:pPr>
    </w:lvl>
    <w:lvl w:ilvl="4" w:tplc="0C090019">
      <w:start w:val="1"/>
      <w:numFmt w:val="decimal"/>
      <w:lvlText w:val="%5."/>
      <w:lvlJc w:val="left"/>
      <w:pPr>
        <w:tabs>
          <w:tab w:val="num" w:pos="4734"/>
        </w:tabs>
        <w:ind w:left="4734" w:hanging="360"/>
      </w:pPr>
    </w:lvl>
    <w:lvl w:ilvl="5" w:tplc="0C09001B">
      <w:start w:val="1"/>
      <w:numFmt w:val="decimal"/>
      <w:lvlText w:val="%6."/>
      <w:lvlJc w:val="left"/>
      <w:pPr>
        <w:tabs>
          <w:tab w:val="num" w:pos="5454"/>
        </w:tabs>
        <w:ind w:left="5454" w:hanging="360"/>
      </w:pPr>
    </w:lvl>
    <w:lvl w:ilvl="6" w:tplc="0C09000F">
      <w:start w:val="1"/>
      <w:numFmt w:val="decimal"/>
      <w:lvlText w:val="%7."/>
      <w:lvlJc w:val="left"/>
      <w:pPr>
        <w:tabs>
          <w:tab w:val="num" w:pos="6174"/>
        </w:tabs>
        <w:ind w:left="6174" w:hanging="360"/>
      </w:pPr>
    </w:lvl>
    <w:lvl w:ilvl="7" w:tplc="0C090019">
      <w:start w:val="1"/>
      <w:numFmt w:val="decimal"/>
      <w:lvlText w:val="%8."/>
      <w:lvlJc w:val="left"/>
      <w:pPr>
        <w:tabs>
          <w:tab w:val="num" w:pos="6894"/>
        </w:tabs>
        <w:ind w:left="6894" w:hanging="360"/>
      </w:pPr>
    </w:lvl>
    <w:lvl w:ilvl="8" w:tplc="0C09001B">
      <w:start w:val="1"/>
      <w:numFmt w:val="decimal"/>
      <w:lvlText w:val="%9."/>
      <w:lvlJc w:val="left"/>
      <w:pPr>
        <w:tabs>
          <w:tab w:val="num" w:pos="7614"/>
        </w:tabs>
        <w:ind w:left="7614" w:hanging="360"/>
      </w:pPr>
    </w:lvl>
  </w:abstractNum>
  <w:abstractNum w:abstractNumId="28">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nsid w:val="6F1251E5"/>
    <w:multiLevelType w:val="hybridMultilevel"/>
    <w:tmpl w:val="02B2E36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BC20DEC"/>
    <w:multiLevelType w:val="hybridMultilevel"/>
    <w:tmpl w:val="7CA2BFA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1"/>
  </w:num>
  <w:num w:numId="4">
    <w:abstractNumId w:val="12"/>
  </w:num>
  <w:num w:numId="5">
    <w:abstractNumId w:val="3"/>
  </w:num>
  <w:num w:numId="6">
    <w:abstractNumId w:val="35"/>
  </w:num>
  <w:num w:numId="7">
    <w:abstractNumId w:val="0"/>
  </w:num>
  <w:num w:numId="8">
    <w:abstractNumId w:val="13"/>
  </w:num>
  <w:num w:numId="9">
    <w:abstractNumId w:val="14"/>
  </w:num>
  <w:num w:numId="10">
    <w:abstractNumId w:val="8"/>
  </w:num>
  <w:num w:numId="11">
    <w:abstractNumId w:val="4"/>
  </w:num>
  <w:num w:numId="12">
    <w:abstractNumId w:val="6"/>
  </w:num>
  <w:num w:numId="13">
    <w:abstractNumId w:val="17"/>
  </w:num>
  <w:num w:numId="14">
    <w:abstractNumId w:val="9"/>
  </w:num>
  <w:num w:numId="15">
    <w:abstractNumId w:val="20"/>
  </w:num>
  <w:num w:numId="16">
    <w:abstractNumId w:val="26"/>
  </w:num>
  <w:num w:numId="17">
    <w:abstractNumId w:val="5"/>
  </w:num>
  <w:num w:numId="18">
    <w:abstractNumId w:val="33"/>
  </w:num>
  <w:num w:numId="19">
    <w:abstractNumId w:val="23"/>
  </w:num>
  <w:num w:numId="20">
    <w:abstractNumId w:val="29"/>
  </w:num>
  <w:num w:numId="21">
    <w:abstractNumId w:val="16"/>
  </w:num>
  <w:num w:numId="22">
    <w:abstractNumId w:val="10"/>
  </w:num>
  <w:num w:numId="23">
    <w:abstractNumId w:val="1"/>
  </w:num>
  <w:num w:numId="24">
    <w:abstractNumId w:val="2"/>
  </w:num>
  <w:num w:numId="25">
    <w:abstractNumId w:val="31"/>
  </w:num>
  <w:num w:numId="26">
    <w:abstractNumId w:val="25"/>
  </w:num>
  <w:num w:numId="27">
    <w:abstractNumId w:val="32"/>
  </w:num>
  <w:num w:numId="28">
    <w:abstractNumId w:val="15"/>
  </w:num>
  <w:num w:numId="29">
    <w:abstractNumId w:val="27"/>
  </w:num>
  <w:num w:numId="30">
    <w:abstractNumId w:val="7"/>
  </w:num>
  <w:num w:numId="31">
    <w:abstractNumId w:val="28"/>
  </w:num>
  <w:num w:numId="32">
    <w:abstractNumId w:val="24"/>
  </w:num>
  <w:num w:numId="33">
    <w:abstractNumId w:val="21"/>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2"/>
  </w:compat>
  <w:rsids>
    <w:rsidRoot w:val="00452D0D"/>
    <w:rsid w:val="00000A08"/>
    <w:rsid w:val="000034CC"/>
    <w:rsid w:val="000043E7"/>
    <w:rsid w:val="00005815"/>
    <w:rsid w:val="0000625E"/>
    <w:rsid w:val="00007FE2"/>
    <w:rsid w:val="0001085E"/>
    <w:rsid w:val="0001195F"/>
    <w:rsid w:val="00011FEC"/>
    <w:rsid w:val="00012890"/>
    <w:rsid w:val="000128B4"/>
    <w:rsid w:val="0001494F"/>
    <w:rsid w:val="00016A7B"/>
    <w:rsid w:val="00016E00"/>
    <w:rsid w:val="00021B4D"/>
    <w:rsid w:val="00021D8B"/>
    <w:rsid w:val="00021EF2"/>
    <w:rsid w:val="00022030"/>
    <w:rsid w:val="00022317"/>
    <w:rsid w:val="00023434"/>
    <w:rsid w:val="000261AD"/>
    <w:rsid w:val="00026944"/>
    <w:rsid w:val="00026BC5"/>
    <w:rsid w:val="00030C2A"/>
    <w:rsid w:val="0003418C"/>
    <w:rsid w:val="00034E7B"/>
    <w:rsid w:val="00035FE8"/>
    <w:rsid w:val="00037239"/>
    <w:rsid w:val="000373C0"/>
    <w:rsid w:val="00037A61"/>
    <w:rsid w:val="00040000"/>
    <w:rsid w:val="00040627"/>
    <w:rsid w:val="00041F20"/>
    <w:rsid w:val="0004247F"/>
    <w:rsid w:val="00042B38"/>
    <w:rsid w:val="000433F3"/>
    <w:rsid w:val="00044073"/>
    <w:rsid w:val="000465AC"/>
    <w:rsid w:val="00050EC4"/>
    <w:rsid w:val="000512E1"/>
    <w:rsid w:val="00051C48"/>
    <w:rsid w:val="00053353"/>
    <w:rsid w:val="00053B13"/>
    <w:rsid w:val="0005407E"/>
    <w:rsid w:val="000554B7"/>
    <w:rsid w:val="00057D2F"/>
    <w:rsid w:val="0006098E"/>
    <w:rsid w:val="00061B95"/>
    <w:rsid w:val="00063152"/>
    <w:rsid w:val="00064FA4"/>
    <w:rsid w:val="00066013"/>
    <w:rsid w:val="000678F3"/>
    <w:rsid w:val="000717A8"/>
    <w:rsid w:val="000718DC"/>
    <w:rsid w:val="00071FEE"/>
    <w:rsid w:val="00074C0F"/>
    <w:rsid w:val="00076A90"/>
    <w:rsid w:val="00076B6F"/>
    <w:rsid w:val="0007737C"/>
    <w:rsid w:val="00077550"/>
    <w:rsid w:val="000801D8"/>
    <w:rsid w:val="00080476"/>
    <w:rsid w:val="00080A2B"/>
    <w:rsid w:val="0008188E"/>
    <w:rsid w:val="00085E21"/>
    <w:rsid w:val="00090136"/>
    <w:rsid w:val="00090756"/>
    <w:rsid w:val="00091186"/>
    <w:rsid w:val="00093909"/>
    <w:rsid w:val="000969F7"/>
    <w:rsid w:val="00097075"/>
    <w:rsid w:val="000A473A"/>
    <w:rsid w:val="000A5518"/>
    <w:rsid w:val="000A5D25"/>
    <w:rsid w:val="000A6F15"/>
    <w:rsid w:val="000B09EC"/>
    <w:rsid w:val="000B280B"/>
    <w:rsid w:val="000B332F"/>
    <w:rsid w:val="000B64FC"/>
    <w:rsid w:val="000B693D"/>
    <w:rsid w:val="000B7217"/>
    <w:rsid w:val="000C009F"/>
    <w:rsid w:val="000C0E45"/>
    <w:rsid w:val="000C1985"/>
    <w:rsid w:val="000C2407"/>
    <w:rsid w:val="000D076A"/>
    <w:rsid w:val="000D0AB1"/>
    <w:rsid w:val="000D15D9"/>
    <w:rsid w:val="000D2ED1"/>
    <w:rsid w:val="000D455D"/>
    <w:rsid w:val="000D4F6A"/>
    <w:rsid w:val="000D5C03"/>
    <w:rsid w:val="000D67F0"/>
    <w:rsid w:val="000E0B88"/>
    <w:rsid w:val="000E3A7C"/>
    <w:rsid w:val="000E540D"/>
    <w:rsid w:val="000E54FC"/>
    <w:rsid w:val="000F1205"/>
    <w:rsid w:val="000F1F20"/>
    <w:rsid w:val="000F687D"/>
    <w:rsid w:val="000F6A2C"/>
    <w:rsid w:val="000F7101"/>
    <w:rsid w:val="001019A4"/>
    <w:rsid w:val="00103D96"/>
    <w:rsid w:val="00104D0C"/>
    <w:rsid w:val="00106AFA"/>
    <w:rsid w:val="0011290B"/>
    <w:rsid w:val="00114253"/>
    <w:rsid w:val="00114A68"/>
    <w:rsid w:val="00117851"/>
    <w:rsid w:val="001220A9"/>
    <w:rsid w:val="00125A1D"/>
    <w:rsid w:val="00131E28"/>
    <w:rsid w:val="00132DCA"/>
    <w:rsid w:val="00132F9A"/>
    <w:rsid w:val="00134A1D"/>
    <w:rsid w:val="0013538B"/>
    <w:rsid w:val="00135B9F"/>
    <w:rsid w:val="00135E93"/>
    <w:rsid w:val="00140166"/>
    <w:rsid w:val="00144032"/>
    <w:rsid w:val="00144068"/>
    <w:rsid w:val="00144EA6"/>
    <w:rsid w:val="00146231"/>
    <w:rsid w:val="00146277"/>
    <w:rsid w:val="0014629D"/>
    <w:rsid w:val="00157EBE"/>
    <w:rsid w:val="001616B6"/>
    <w:rsid w:val="0016392F"/>
    <w:rsid w:val="00163ADB"/>
    <w:rsid w:val="0016479C"/>
    <w:rsid w:val="001647FC"/>
    <w:rsid w:val="00165F95"/>
    <w:rsid w:val="001677F9"/>
    <w:rsid w:val="00167E2E"/>
    <w:rsid w:val="00170890"/>
    <w:rsid w:val="001709E7"/>
    <w:rsid w:val="00172B39"/>
    <w:rsid w:val="00176D5D"/>
    <w:rsid w:val="00177D59"/>
    <w:rsid w:val="00180197"/>
    <w:rsid w:val="0018067C"/>
    <w:rsid w:val="00180780"/>
    <w:rsid w:val="0018527C"/>
    <w:rsid w:val="00185E46"/>
    <w:rsid w:val="001861C4"/>
    <w:rsid w:val="00186FE6"/>
    <w:rsid w:val="00191999"/>
    <w:rsid w:val="00191A27"/>
    <w:rsid w:val="00195261"/>
    <w:rsid w:val="00196919"/>
    <w:rsid w:val="0019709B"/>
    <w:rsid w:val="00197283"/>
    <w:rsid w:val="00197F02"/>
    <w:rsid w:val="001A019D"/>
    <w:rsid w:val="001A06F8"/>
    <w:rsid w:val="001A09DE"/>
    <w:rsid w:val="001A1EBC"/>
    <w:rsid w:val="001A228A"/>
    <w:rsid w:val="001A60F4"/>
    <w:rsid w:val="001A745A"/>
    <w:rsid w:val="001B18DD"/>
    <w:rsid w:val="001B24D6"/>
    <w:rsid w:val="001B2F5D"/>
    <w:rsid w:val="001B7B00"/>
    <w:rsid w:val="001B7ECD"/>
    <w:rsid w:val="001C0A53"/>
    <w:rsid w:val="001C0D33"/>
    <w:rsid w:val="001C2785"/>
    <w:rsid w:val="001C2D98"/>
    <w:rsid w:val="001C3154"/>
    <w:rsid w:val="001C4F31"/>
    <w:rsid w:val="001C57A1"/>
    <w:rsid w:val="001C5E34"/>
    <w:rsid w:val="001C612A"/>
    <w:rsid w:val="001C68FE"/>
    <w:rsid w:val="001C7595"/>
    <w:rsid w:val="001D182C"/>
    <w:rsid w:val="001D1914"/>
    <w:rsid w:val="001D551C"/>
    <w:rsid w:val="001D638D"/>
    <w:rsid w:val="001D6578"/>
    <w:rsid w:val="001D73B8"/>
    <w:rsid w:val="001D7E5A"/>
    <w:rsid w:val="001E087F"/>
    <w:rsid w:val="001E0982"/>
    <w:rsid w:val="001E1224"/>
    <w:rsid w:val="001E34BC"/>
    <w:rsid w:val="001E40D6"/>
    <w:rsid w:val="001E4518"/>
    <w:rsid w:val="001E4CEA"/>
    <w:rsid w:val="001E5E26"/>
    <w:rsid w:val="001E75C1"/>
    <w:rsid w:val="001F07AD"/>
    <w:rsid w:val="001F2529"/>
    <w:rsid w:val="001F400C"/>
    <w:rsid w:val="001F5359"/>
    <w:rsid w:val="001F590C"/>
    <w:rsid w:val="001F687E"/>
    <w:rsid w:val="001F72A9"/>
    <w:rsid w:val="001F74A6"/>
    <w:rsid w:val="002032FC"/>
    <w:rsid w:val="00203F10"/>
    <w:rsid w:val="0020484A"/>
    <w:rsid w:val="00206192"/>
    <w:rsid w:val="00206508"/>
    <w:rsid w:val="00206C2D"/>
    <w:rsid w:val="00207B5F"/>
    <w:rsid w:val="00207C29"/>
    <w:rsid w:val="00210EFB"/>
    <w:rsid w:val="0021459A"/>
    <w:rsid w:val="00216919"/>
    <w:rsid w:val="0021740E"/>
    <w:rsid w:val="00220F02"/>
    <w:rsid w:val="002226FB"/>
    <w:rsid w:val="00222981"/>
    <w:rsid w:val="00222F07"/>
    <w:rsid w:val="00223932"/>
    <w:rsid w:val="0022412F"/>
    <w:rsid w:val="002246AE"/>
    <w:rsid w:val="002265B9"/>
    <w:rsid w:val="002272EA"/>
    <w:rsid w:val="00233481"/>
    <w:rsid w:val="00236791"/>
    <w:rsid w:val="002434FC"/>
    <w:rsid w:val="00243BAA"/>
    <w:rsid w:val="00245F13"/>
    <w:rsid w:val="00246632"/>
    <w:rsid w:val="00251841"/>
    <w:rsid w:val="0025196F"/>
    <w:rsid w:val="002519C6"/>
    <w:rsid w:val="00257472"/>
    <w:rsid w:val="00260183"/>
    <w:rsid w:val="002609DC"/>
    <w:rsid w:val="00261293"/>
    <w:rsid w:val="002616FA"/>
    <w:rsid w:val="00261B84"/>
    <w:rsid w:val="00262235"/>
    <w:rsid w:val="0026480F"/>
    <w:rsid w:val="00266A8E"/>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EE9"/>
    <w:rsid w:val="00297FF2"/>
    <w:rsid w:val="002A1A8B"/>
    <w:rsid w:val="002A24AD"/>
    <w:rsid w:val="002A282E"/>
    <w:rsid w:val="002A49B0"/>
    <w:rsid w:val="002A6402"/>
    <w:rsid w:val="002A65CB"/>
    <w:rsid w:val="002A666E"/>
    <w:rsid w:val="002B1949"/>
    <w:rsid w:val="002C05BB"/>
    <w:rsid w:val="002C0A4C"/>
    <w:rsid w:val="002C1217"/>
    <w:rsid w:val="002C20D1"/>
    <w:rsid w:val="002C21C1"/>
    <w:rsid w:val="002C582C"/>
    <w:rsid w:val="002C6606"/>
    <w:rsid w:val="002D004B"/>
    <w:rsid w:val="002D36F0"/>
    <w:rsid w:val="002D51B2"/>
    <w:rsid w:val="002D6258"/>
    <w:rsid w:val="002E01CE"/>
    <w:rsid w:val="002E0D75"/>
    <w:rsid w:val="002E0F3C"/>
    <w:rsid w:val="002E136B"/>
    <w:rsid w:val="002E2701"/>
    <w:rsid w:val="002E307D"/>
    <w:rsid w:val="002F214A"/>
    <w:rsid w:val="002F2EC8"/>
    <w:rsid w:val="002F77DE"/>
    <w:rsid w:val="00301C10"/>
    <w:rsid w:val="00301CD1"/>
    <w:rsid w:val="00306D19"/>
    <w:rsid w:val="00310587"/>
    <w:rsid w:val="0031099E"/>
    <w:rsid w:val="00312581"/>
    <w:rsid w:val="0031473F"/>
    <w:rsid w:val="00315546"/>
    <w:rsid w:val="00315A11"/>
    <w:rsid w:val="00315E9C"/>
    <w:rsid w:val="003167B7"/>
    <w:rsid w:val="00320623"/>
    <w:rsid w:val="00322CAC"/>
    <w:rsid w:val="003233A0"/>
    <w:rsid w:val="0032354D"/>
    <w:rsid w:val="00323A1A"/>
    <w:rsid w:val="00324047"/>
    <w:rsid w:val="00326483"/>
    <w:rsid w:val="0032663B"/>
    <w:rsid w:val="003267C3"/>
    <w:rsid w:val="003313DE"/>
    <w:rsid w:val="003323E8"/>
    <w:rsid w:val="00332640"/>
    <w:rsid w:val="003327B3"/>
    <w:rsid w:val="00333469"/>
    <w:rsid w:val="0033754A"/>
    <w:rsid w:val="00341D38"/>
    <w:rsid w:val="00342EC7"/>
    <w:rsid w:val="003437FF"/>
    <w:rsid w:val="00345121"/>
    <w:rsid w:val="003458B4"/>
    <w:rsid w:val="00347CC6"/>
    <w:rsid w:val="0035248E"/>
    <w:rsid w:val="003533EA"/>
    <w:rsid w:val="0035416D"/>
    <w:rsid w:val="003549E2"/>
    <w:rsid w:val="003561C5"/>
    <w:rsid w:val="00356CCE"/>
    <w:rsid w:val="00357216"/>
    <w:rsid w:val="00362A63"/>
    <w:rsid w:val="0036443A"/>
    <w:rsid w:val="00365F54"/>
    <w:rsid w:val="00367A33"/>
    <w:rsid w:val="003704E8"/>
    <w:rsid w:val="00370F50"/>
    <w:rsid w:val="00376F24"/>
    <w:rsid w:val="003804F8"/>
    <w:rsid w:val="0038080A"/>
    <w:rsid w:val="00380B15"/>
    <w:rsid w:val="00382FEA"/>
    <w:rsid w:val="0038485E"/>
    <w:rsid w:val="0038530C"/>
    <w:rsid w:val="00394584"/>
    <w:rsid w:val="003954A0"/>
    <w:rsid w:val="00395C9F"/>
    <w:rsid w:val="00395EB4"/>
    <w:rsid w:val="003A2566"/>
    <w:rsid w:val="003A5D56"/>
    <w:rsid w:val="003A5DB3"/>
    <w:rsid w:val="003A657C"/>
    <w:rsid w:val="003A6FF0"/>
    <w:rsid w:val="003B0C6F"/>
    <w:rsid w:val="003B1654"/>
    <w:rsid w:val="003B4161"/>
    <w:rsid w:val="003B611F"/>
    <w:rsid w:val="003B72D5"/>
    <w:rsid w:val="003B738F"/>
    <w:rsid w:val="003C0972"/>
    <w:rsid w:val="003C0A8B"/>
    <w:rsid w:val="003C226F"/>
    <w:rsid w:val="003C2CC2"/>
    <w:rsid w:val="003C3575"/>
    <w:rsid w:val="003C49CD"/>
    <w:rsid w:val="003C4BF6"/>
    <w:rsid w:val="003C6CB8"/>
    <w:rsid w:val="003C6DB3"/>
    <w:rsid w:val="003C77D2"/>
    <w:rsid w:val="003D1C4D"/>
    <w:rsid w:val="003D21CC"/>
    <w:rsid w:val="003E052E"/>
    <w:rsid w:val="003E179E"/>
    <w:rsid w:val="003E2CE1"/>
    <w:rsid w:val="003E3538"/>
    <w:rsid w:val="003E39C3"/>
    <w:rsid w:val="003E3C8A"/>
    <w:rsid w:val="003F5656"/>
    <w:rsid w:val="00404464"/>
    <w:rsid w:val="004062D7"/>
    <w:rsid w:val="00406CDE"/>
    <w:rsid w:val="00406EB7"/>
    <w:rsid w:val="004109A7"/>
    <w:rsid w:val="004111A2"/>
    <w:rsid w:val="00411D73"/>
    <w:rsid w:val="00413BD9"/>
    <w:rsid w:val="00413ED9"/>
    <w:rsid w:val="004146F9"/>
    <w:rsid w:val="00415B3F"/>
    <w:rsid w:val="004165B9"/>
    <w:rsid w:val="00417420"/>
    <w:rsid w:val="0042298C"/>
    <w:rsid w:val="0042359C"/>
    <w:rsid w:val="0042666E"/>
    <w:rsid w:val="004276C7"/>
    <w:rsid w:val="00427E4B"/>
    <w:rsid w:val="004310CB"/>
    <w:rsid w:val="00431E77"/>
    <w:rsid w:val="00431F5D"/>
    <w:rsid w:val="00431FB8"/>
    <w:rsid w:val="004342C0"/>
    <w:rsid w:val="00434E5C"/>
    <w:rsid w:val="004367A4"/>
    <w:rsid w:val="004378A0"/>
    <w:rsid w:val="0044131F"/>
    <w:rsid w:val="00443844"/>
    <w:rsid w:val="0044437F"/>
    <w:rsid w:val="00446662"/>
    <w:rsid w:val="00446A8A"/>
    <w:rsid w:val="00447E0E"/>
    <w:rsid w:val="00450C7D"/>
    <w:rsid w:val="00451CCE"/>
    <w:rsid w:val="00452242"/>
    <w:rsid w:val="00452D0D"/>
    <w:rsid w:val="004543FA"/>
    <w:rsid w:val="00455DF8"/>
    <w:rsid w:val="00457F89"/>
    <w:rsid w:val="00461A2C"/>
    <w:rsid w:val="00467BD0"/>
    <w:rsid w:val="00471401"/>
    <w:rsid w:val="00471841"/>
    <w:rsid w:val="004725C6"/>
    <w:rsid w:val="00474B74"/>
    <w:rsid w:val="00474C20"/>
    <w:rsid w:val="004759C0"/>
    <w:rsid w:val="004766F4"/>
    <w:rsid w:val="004770DC"/>
    <w:rsid w:val="0048100E"/>
    <w:rsid w:val="004816AF"/>
    <w:rsid w:val="004835F5"/>
    <w:rsid w:val="00484A17"/>
    <w:rsid w:val="004856FC"/>
    <w:rsid w:val="00487238"/>
    <w:rsid w:val="00495107"/>
    <w:rsid w:val="0049691B"/>
    <w:rsid w:val="00496EDF"/>
    <w:rsid w:val="00497509"/>
    <w:rsid w:val="004A039A"/>
    <w:rsid w:val="004A12BF"/>
    <w:rsid w:val="004A1967"/>
    <w:rsid w:val="004A1BDD"/>
    <w:rsid w:val="004A43A6"/>
    <w:rsid w:val="004A5CD4"/>
    <w:rsid w:val="004A6F55"/>
    <w:rsid w:val="004A7B43"/>
    <w:rsid w:val="004B1905"/>
    <w:rsid w:val="004B3ED8"/>
    <w:rsid w:val="004B6092"/>
    <w:rsid w:val="004B7156"/>
    <w:rsid w:val="004B798B"/>
    <w:rsid w:val="004C041D"/>
    <w:rsid w:val="004C11D0"/>
    <w:rsid w:val="004C243D"/>
    <w:rsid w:val="004C474E"/>
    <w:rsid w:val="004C4D35"/>
    <w:rsid w:val="004C54D6"/>
    <w:rsid w:val="004C5940"/>
    <w:rsid w:val="004C5D10"/>
    <w:rsid w:val="004C72F0"/>
    <w:rsid w:val="004D0B37"/>
    <w:rsid w:val="004D102D"/>
    <w:rsid w:val="004D5837"/>
    <w:rsid w:val="004E11C1"/>
    <w:rsid w:val="004E1285"/>
    <w:rsid w:val="004E1C3D"/>
    <w:rsid w:val="004E2F91"/>
    <w:rsid w:val="004E3AC2"/>
    <w:rsid w:val="004E45B0"/>
    <w:rsid w:val="004E7CEA"/>
    <w:rsid w:val="004F0ADE"/>
    <w:rsid w:val="004F0C0F"/>
    <w:rsid w:val="004F312F"/>
    <w:rsid w:val="004F55AD"/>
    <w:rsid w:val="00501194"/>
    <w:rsid w:val="00503225"/>
    <w:rsid w:val="00503562"/>
    <w:rsid w:val="00504022"/>
    <w:rsid w:val="00505B3D"/>
    <w:rsid w:val="00507E7A"/>
    <w:rsid w:val="00511E7E"/>
    <w:rsid w:val="00514B3D"/>
    <w:rsid w:val="00515980"/>
    <w:rsid w:val="00515B8E"/>
    <w:rsid w:val="005219AA"/>
    <w:rsid w:val="00524376"/>
    <w:rsid w:val="00527EA6"/>
    <w:rsid w:val="00530040"/>
    <w:rsid w:val="0053006C"/>
    <w:rsid w:val="0053458D"/>
    <w:rsid w:val="005354CD"/>
    <w:rsid w:val="00535E81"/>
    <w:rsid w:val="0054075E"/>
    <w:rsid w:val="005417A4"/>
    <w:rsid w:val="00542D61"/>
    <w:rsid w:val="005503F7"/>
    <w:rsid w:val="00550D2A"/>
    <w:rsid w:val="00551496"/>
    <w:rsid w:val="00552876"/>
    <w:rsid w:val="005532B4"/>
    <w:rsid w:val="005542C1"/>
    <w:rsid w:val="00554901"/>
    <w:rsid w:val="00554BFE"/>
    <w:rsid w:val="0055596F"/>
    <w:rsid w:val="0056043B"/>
    <w:rsid w:val="005614D0"/>
    <w:rsid w:val="00561ED6"/>
    <w:rsid w:val="00562BEB"/>
    <w:rsid w:val="00563C05"/>
    <w:rsid w:val="00563E7F"/>
    <w:rsid w:val="005667AA"/>
    <w:rsid w:val="00567785"/>
    <w:rsid w:val="00567DFD"/>
    <w:rsid w:val="005702E5"/>
    <w:rsid w:val="00572508"/>
    <w:rsid w:val="00573DF1"/>
    <w:rsid w:val="005746B4"/>
    <w:rsid w:val="00577587"/>
    <w:rsid w:val="00581920"/>
    <w:rsid w:val="00582A7D"/>
    <w:rsid w:val="0058397C"/>
    <w:rsid w:val="00584F3E"/>
    <w:rsid w:val="005860DE"/>
    <w:rsid w:val="00590BAA"/>
    <w:rsid w:val="005918B5"/>
    <w:rsid w:val="00594706"/>
    <w:rsid w:val="00594933"/>
    <w:rsid w:val="005956AC"/>
    <w:rsid w:val="00595983"/>
    <w:rsid w:val="00596CD4"/>
    <w:rsid w:val="005972A3"/>
    <w:rsid w:val="005979AE"/>
    <w:rsid w:val="005A1339"/>
    <w:rsid w:val="005A21CF"/>
    <w:rsid w:val="005A6D76"/>
    <w:rsid w:val="005B0034"/>
    <w:rsid w:val="005B01BF"/>
    <w:rsid w:val="005B3CB2"/>
    <w:rsid w:val="005B544C"/>
    <w:rsid w:val="005B7B3F"/>
    <w:rsid w:val="005C29D9"/>
    <w:rsid w:val="005C31A3"/>
    <w:rsid w:val="005C3715"/>
    <w:rsid w:val="005C5470"/>
    <w:rsid w:val="005C5658"/>
    <w:rsid w:val="005C6557"/>
    <w:rsid w:val="005D04AF"/>
    <w:rsid w:val="005D1B5E"/>
    <w:rsid w:val="005D2C2A"/>
    <w:rsid w:val="005D3750"/>
    <w:rsid w:val="005D6969"/>
    <w:rsid w:val="005E10A2"/>
    <w:rsid w:val="005E1180"/>
    <w:rsid w:val="005E4FAF"/>
    <w:rsid w:val="005E5F49"/>
    <w:rsid w:val="005E6A8D"/>
    <w:rsid w:val="005E6C85"/>
    <w:rsid w:val="005E7912"/>
    <w:rsid w:val="005F0FE5"/>
    <w:rsid w:val="005F23EF"/>
    <w:rsid w:val="005F3DBF"/>
    <w:rsid w:val="005F7A45"/>
    <w:rsid w:val="0060219B"/>
    <w:rsid w:val="006068AF"/>
    <w:rsid w:val="00610B00"/>
    <w:rsid w:val="0061335A"/>
    <w:rsid w:val="00614B21"/>
    <w:rsid w:val="006158C8"/>
    <w:rsid w:val="00616C5D"/>
    <w:rsid w:val="00622157"/>
    <w:rsid w:val="00626265"/>
    <w:rsid w:val="00632E18"/>
    <w:rsid w:val="006332BD"/>
    <w:rsid w:val="00633916"/>
    <w:rsid w:val="0063433B"/>
    <w:rsid w:val="00634667"/>
    <w:rsid w:val="00637F44"/>
    <w:rsid w:val="00640FC7"/>
    <w:rsid w:val="006450F3"/>
    <w:rsid w:val="006461B9"/>
    <w:rsid w:val="00646F27"/>
    <w:rsid w:val="00646F88"/>
    <w:rsid w:val="006471E4"/>
    <w:rsid w:val="006514A0"/>
    <w:rsid w:val="00653702"/>
    <w:rsid w:val="00656E73"/>
    <w:rsid w:val="00657759"/>
    <w:rsid w:val="00657C55"/>
    <w:rsid w:val="00661056"/>
    <w:rsid w:val="00661076"/>
    <w:rsid w:val="00662268"/>
    <w:rsid w:val="006632FE"/>
    <w:rsid w:val="006639E8"/>
    <w:rsid w:val="0066606C"/>
    <w:rsid w:val="006674F1"/>
    <w:rsid w:val="00667DEE"/>
    <w:rsid w:val="00670482"/>
    <w:rsid w:val="006714A5"/>
    <w:rsid w:val="0067186D"/>
    <w:rsid w:val="00672661"/>
    <w:rsid w:val="00672D48"/>
    <w:rsid w:val="00673473"/>
    <w:rsid w:val="00673D80"/>
    <w:rsid w:val="0068160B"/>
    <w:rsid w:val="00687021"/>
    <w:rsid w:val="006915E2"/>
    <w:rsid w:val="006919AB"/>
    <w:rsid w:val="0069366D"/>
    <w:rsid w:val="00693FB0"/>
    <w:rsid w:val="00695A8B"/>
    <w:rsid w:val="00695EA2"/>
    <w:rsid w:val="00697302"/>
    <w:rsid w:val="00697C43"/>
    <w:rsid w:val="00697F48"/>
    <w:rsid w:val="006A07A6"/>
    <w:rsid w:val="006A20A1"/>
    <w:rsid w:val="006A3C08"/>
    <w:rsid w:val="006A417C"/>
    <w:rsid w:val="006A50A9"/>
    <w:rsid w:val="006A642D"/>
    <w:rsid w:val="006A6ED3"/>
    <w:rsid w:val="006A6F84"/>
    <w:rsid w:val="006A749C"/>
    <w:rsid w:val="006B09C1"/>
    <w:rsid w:val="006B1670"/>
    <w:rsid w:val="006B30DE"/>
    <w:rsid w:val="006B3772"/>
    <w:rsid w:val="006B38D6"/>
    <w:rsid w:val="006B3E56"/>
    <w:rsid w:val="006B7B43"/>
    <w:rsid w:val="006C0FE5"/>
    <w:rsid w:val="006C120B"/>
    <w:rsid w:val="006C7E51"/>
    <w:rsid w:val="006D077B"/>
    <w:rsid w:val="006D2212"/>
    <w:rsid w:val="006D258C"/>
    <w:rsid w:val="006D36F5"/>
    <w:rsid w:val="006D38D2"/>
    <w:rsid w:val="006D46D6"/>
    <w:rsid w:val="006D4BCA"/>
    <w:rsid w:val="006D5003"/>
    <w:rsid w:val="006D5420"/>
    <w:rsid w:val="006D7083"/>
    <w:rsid w:val="006E0413"/>
    <w:rsid w:val="006E2791"/>
    <w:rsid w:val="006E2AEF"/>
    <w:rsid w:val="006E43DE"/>
    <w:rsid w:val="006E53BF"/>
    <w:rsid w:val="006E5D24"/>
    <w:rsid w:val="006F1735"/>
    <w:rsid w:val="006F47D9"/>
    <w:rsid w:val="006F654F"/>
    <w:rsid w:val="006F6C87"/>
    <w:rsid w:val="006F7B99"/>
    <w:rsid w:val="00700652"/>
    <w:rsid w:val="0070485F"/>
    <w:rsid w:val="00704FFE"/>
    <w:rsid w:val="00710023"/>
    <w:rsid w:val="00712114"/>
    <w:rsid w:val="00714068"/>
    <w:rsid w:val="007149B1"/>
    <w:rsid w:val="00714C0D"/>
    <w:rsid w:val="0071583C"/>
    <w:rsid w:val="007167D5"/>
    <w:rsid w:val="0071739C"/>
    <w:rsid w:val="00717938"/>
    <w:rsid w:val="00717982"/>
    <w:rsid w:val="00717B5F"/>
    <w:rsid w:val="0072091D"/>
    <w:rsid w:val="00723465"/>
    <w:rsid w:val="007251D8"/>
    <w:rsid w:val="00725A1C"/>
    <w:rsid w:val="00727540"/>
    <w:rsid w:val="007314B5"/>
    <w:rsid w:val="007328D3"/>
    <w:rsid w:val="007332B9"/>
    <w:rsid w:val="0073452A"/>
    <w:rsid w:val="00737470"/>
    <w:rsid w:val="00737824"/>
    <w:rsid w:val="00737F7A"/>
    <w:rsid w:val="00741A77"/>
    <w:rsid w:val="00742842"/>
    <w:rsid w:val="00742C87"/>
    <w:rsid w:val="00743C7A"/>
    <w:rsid w:val="007466FE"/>
    <w:rsid w:val="007470A4"/>
    <w:rsid w:val="007478DD"/>
    <w:rsid w:val="007504F7"/>
    <w:rsid w:val="00750F20"/>
    <w:rsid w:val="00755EF1"/>
    <w:rsid w:val="00757A24"/>
    <w:rsid w:val="00760C51"/>
    <w:rsid w:val="00760CA3"/>
    <w:rsid w:val="00763F72"/>
    <w:rsid w:val="007643A5"/>
    <w:rsid w:val="00765F0B"/>
    <w:rsid w:val="00766A12"/>
    <w:rsid w:val="00767345"/>
    <w:rsid w:val="00767385"/>
    <w:rsid w:val="00770245"/>
    <w:rsid w:val="007714FF"/>
    <w:rsid w:val="0077298B"/>
    <w:rsid w:val="00776833"/>
    <w:rsid w:val="00784041"/>
    <w:rsid w:val="0078464F"/>
    <w:rsid w:val="00786CC5"/>
    <w:rsid w:val="00790DFE"/>
    <w:rsid w:val="00791817"/>
    <w:rsid w:val="00792471"/>
    <w:rsid w:val="00793904"/>
    <w:rsid w:val="00794BA0"/>
    <w:rsid w:val="00794FCA"/>
    <w:rsid w:val="007A0D3C"/>
    <w:rsid w:val="007A0DA6"/>
    <w:rsid w:val="007A2C4E"/>
    <w:rsid w:val="007A40CE"/>
    <w:rsid w:val="007A5801"/>
    <w:rsid w:val="007A70F1"/>
    <w:rsid w:val="007B011B"/>
    <w:rsid w:val="007B04BD"/>
    <w:rsid w:val="007B05A1"/>
    <w:rsid w:val="007B0A15"/>
    <w:rsid w:val="007B2238"/>
    <w:rsid w:val="007B3498"/>
    <w:rsid w:val="007B5455"/>
    <w:rsid w:val="007B54F1"/>
    <w:rsid w:val="007B7C4B"/>
    <w:rsid w:val="007C1962"/>
    <w:rsid w:val="007D1AD7"/>
    <w:rsid w:val="007D398A"/>
    <w:rsid w:val="007D5B8F"/>
    <w:rsid w:val="007D5C88"/>
    <w:rsid w:val="007D7A27"/>
    <w:rsid w:val="007E0308"/>
    <w:rsid w:val="007E37F9"/>
    <w:rsid w:val="007E5747"/>
    <w:rsid w:val="007E6382"/>
    <w:rsid w:val="007E6A30"/>
    <w:rsid w:val="007E6AD0"/>
    <w:rsid w:val="007E7C9D"/>
    <w:rsid w:val="007F12AE"/>
    <w:rsid w:val="007F23C3"/>
    <w:rsid w:val="007F31F9"/>
    <w:rsid w:val="007F3F00"/>
    <w:rsid w:val="007F42B1"/>
    <w:rsid w:val="007F4473"/>
    <w:rsid w:val="007F4937"/>
    <w:rsid w:val="007F5EDB"/>
    <w:rsid w:val="008005CE"/>
    <w:rsid w:val="008008C1"/>
    <w:rsid w:val="00802C95"/>
    <w:rsid w:val="00803B59"/>
    <w:rsid w:val="008042C5"/>
    <w:rsid w:val="00804765"/>
    <w:rsid w:val="00805160"/>
    <w:rsid w:val="00805A50"/>
    <w:rsid w:val="00806A5C"/>
    <w:rsid w:val="00807264"/>
    <w:rsid w:val="00807B22"/>
    <w:rsid w:val="00812870"/>
    <w:rsid w:val="008141C4"/>
    <w:rsid w:val="008160E7"/>
    <w:rsid w:val="008171FB"/>
    <w:rsid w:val="00820BA6"/>
    <w:rsid w:val="0082495E"/>
    <w:rsid w:val="00827DFA"/>
    <w:rsid w:val="008302C6"/>
    <w:rsid w:val="00830BD4"/>
    <w:rsid w:val="008323B2"/>
    <w:rsid w:val="00833282"/>
    <w:rsid w:val="00835823"/>
    <w:rsid w:val="00840A19"/>
    <w:rsid w:val="008422E2"/>
    <w:rsid w:val="008438DF"/>
    <w:rsid w:val="00845110"/>
    <w:rsid w:val="008454FC"/>
    <w:rsid w:val="00855BE9"/>
    <w:rsid w:val="008569EB"/>
    <w:rsid w:val="00856F7C"/>
    <w:rsid w:val="008576AD"/>
    <w:rsid w:val="00862A8C"/>
    <w:rsid w:val="00862F91"/>
    <w:rsid w:val="00864A15"/>
    <w:rsid w:val="008668A7"/>
    <w:rsid w:val="00870CE6"/>
    <w:rsid w:val="00872841"/>
    <w:rsid w:val="00873E70"/>
    <w:rsid w:val="00875805"/>
    <w:rsid w:val="008765B6"/>
    <w:rsid w:val="00880333"/>
    <w:rsid w:val="008833A8"/>
    <w:rsid w:val="008857DB"/>
    <w:rsid w:val="00886297"/>
    <w:rsid w:val="00891623"/>
    <w:rsid w:val="008940E3"/>
    <w:rsid w:val="008A0799"/>
    <w:rsid w:val="008A2D7B"/>
    <w:rsid w:val="008A5901"/>
    <w:rsid w:val="008A610C"/>
    <w:rsid w:val="008B0C66"/>
    <w:rsid w:val="008B1CF2"/>
    <w:rsid w:val="008B229B"/>
    <w:rsid w:val="008B2D4A"/>
    <w:rsid w:val="008B7511"/>
    <w:rsid w:val="008B7CF5"/>
    <w:rsid w:val="008C016F"/>
    <w:rsid w:val="008C04FE"/>
    <w:rsid w:val="008C0D55"/>
    <w:rsid w:val="008C2DBE"/>
    <w:rsid w:val="008C4D2C"/>
    <w:rsid w:val="008C5E3C"/>
    <w:rsid w:val="008D0485"/>
    <w:rsid w:val="008D08F0"/>
    <w:rsid w:val="008D1AC7"/>
    <w:rsid w:val="008D22B4"/>
    <w:rsid w:val="008D492F"/>
    <w:rsid w:val="008E21FF"/>
    <w:rsid w:val="008E24F3"/>
    <w:rsid w:val="008E74E6"/>
    <w:rsid w:val="008F0A5C"/>
    <w:rsid w:val="008F1ABF"/>
    <w:rsid w:val="008F209C"/>
    <w:rsid w:val="008F20E7"/>
    <w:rsid w:val="008F2166"/>
    <w:rsid w:val="008F323F"/>
    <w:rsid w:val="008F4F61"/>
    <w:rsid w:val="008F5EC7"/>
    <w:rsid w:val="008F67EE"/>
    <w:rsid w:val="009002E4"/>
    <w:rsid w:val="009015C3"/>
    <w:rsid w:val="00902FEF"/>
    <w:rsid w:val="0090333B"/>
    <w:rsid w:val="0090363A"/>
    <w:rsid w:val="00905230"/>
    <w:rsid w:val="0090543F"/>
    <w:rsid w:val="00906220"/>
    <w:rsid w:val="00910E3A"/>
    <w:rsid w:val="00916010"/>
    <w:rsid w:val="00916BD3"/>
    <w:rsid w:val="0092041D"/>
    <w:rsid w:val="00921772"/>
    <w:rsid w:val="009221E2"/>
    <w:rsid w:val="009238AC"/>
    <w:rsid w:val="00925B37"/>
    <w:rsid w:val="00925FB7"/>
    <w:rsid w:val="009261A1"/>
    <w:rsid w:val="0092738C"/>
    <w:rsid w:val="00930168"/>
    <w:rsid w:val="009321E5"/>
    <w:rsid w:val="00932527"/>
    <w:rsid w:val="009328FC"/>
    <w:rsid w:val="00937AA1"/>
    <w:rsid w:val="009421E1"/>
    <w:rsid w:val="00943E09"/>
    <w:rsid w:val="00944272"/>
    <w:rsid w:val="0094557D"/>
    <w:rsid w:val="00947605"/>
    <w:rsid w:val="00952ED1"/>
    <w:rsid w:val="00952FA3"/>
    <w:rsid w:val="009542CF"/>
    <w:rsid w:val="00954A43"/>
    <w:rsid w:val="009556C2"/>
    <w:rsid w:val="00961021"/>
    <w:rsid w:val="0096391F"/>
    <w:rsid w:val="00965A32"/>
    <w:rsid w:val="00970FA8"/>
    <w:rsid w:val="00972689"/>
    <w:rsid w:val="00973426"/>
    <w:rsid w:val="009735BA"/>
    <w:rsid w:val="0097482E"/>
    <w:rsid w:val="00976674"/>
    <w:rsid w:val="00977650"/>
    <w:rsid w:val="0097797C"/>
    <w:rsid w:val="00977D04"/>
    <w:rsid w:val="00980415"/>
    <w:rsid w:val="0098153F"/>
    <w:rsid w:val="0098200D"/>
    <w:rsid w:val="0098225E"/>
    <w:rsid w:val="009831BA"/>
    <w:rsid w:val="0098379F"/>
    <w:rsid w:val="009839E5"/>
    <w:rsid w:val="00983DFB"/>
    <w:rsid w:val="00984450"/>
    <w:rsid w:val="00986D43"/>
    <w:rsid w:val="009877E2"/>
    <w:rsid w:val="0099057E"/>
    <w:rsid w:val="00990BB2"/>
    <w:rsid w:val="009910AE"/>
    <w:rsid w:val="0099342F"/>
    <w:rsid w:val="009935C5"/>
    <w:rsid w:val="009A1C81"/>
    <w:rsid w:val="009A31BF"/>
    <w:rsid w:val="009A3369"/>
    <w:rsid w:val="009A3C5A"/>
    <w:rsid w:val="009A3D01"/>
    <w:rsid w:val="009A5E26"/>
    <w:rsid w:val="009A7786"/>
    <w:rsid w:val="009B00DD"/>
    <w:rsid w:val="009B103A"/>
    <w:rsid w:val="009B1CD2"/>
    <w:rsid w:val="009B41D9"/>
    <w:rsid w:val="009B446D"/>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E5F39"/>
    <w:rsid w:val="009F00B0"/>
    <w:rsid w:val="009F152B"/>
    <w:rsid w:val="009F2A78"/>
    <w:rsid w:val="009F3AB5"/>
    <w:rsid w:val="009F44AA"/>
    <w:rsid w:val="009F4A79"/>
    <w:rsid w:val="009F6A71"/>
    <w:rsid w:val="009F6E07"/>
    <w:rsid w:val="009F7BDA"/>
    <w:rsid w:val="00A0063A"/>
    <w:rsid w:val="00A01C71"/>
    <w:rsid w:val="00A036AC"/>
    <w:rsid w:val="00A0393E"/>
    <w:rsid w:val="00A03A50"/>
    <w:rsid w:val="00A03C3E"/>
    <w:rsid w:val="00A068E4"/>
    <w:rsid w:val="00A07268"/>
    <w:rsid w:val="00A07924"/>
    <w:rsid w:val="00A106AB"/>
    <w:rsid w:val="00A113B5"/>
    <w:rsid w:val="00A12D7E"/>
    <w:rsid w:val="00A134EB"/>
    <w:rsid w:val="00A15A5F"/>
    <w:rsid w:val="00A160A6"/>
    <w:rsid w:val="00A201D2"/>
    <w:rsid w:val="00A21DC0"/>
    <w:rsid w:val="00A22921"/>
    <w:rsid w:val="00A25EFF"/>
    <w:rsid w:val="00A26E77"/>
    <w:rsid w:val="00A26FA9"/>
    <w:rsid w:val="00A31D84"/>
    <w:rsid w:val="00A34022"/>
    <w:rsid w:val="00A34934"/>
    <w:rsid w:val="00A35A63"/>
    <w:rsid w:val="00A37534"/>
    <w:rsid w:val="00A461E3"/>
    <w:rsid w:val="00A507E4"/>
    <w:rsid w:val="00A5154B"/>
    <w:rsid w:val="00A535AE"/>
    <w:rsid w:val="00A53BA3"/>
    <w:rsid w:val="00A53E39"/>
    <w:rsid w:val="00A54EBB"/>
    <w:rsid w:val="00A5559B"/>
    <w:rsid w:val="00A56A24"/>
    <w:rsid w:val="00A601D6"/>
    <w:rsid w:val="00A609F2"/>
    <w:rsid w:val="00A61374"/>
    <w:rsid w:val="00A61470"/>
    <w:rsid w:val="00A63EDE"/>
    <w:rsid w:val="00A669BE"/>
    <w:rsid w:val="00A66CF7"/>
    <w:rsid w:val="00A66D05"/>
    <w:rsid w:val="00A67933"/>
    <w:rsid w:val="00A74C4D"/>
    <w:rsid w:val="00A74EDA"/>
    <w:rsid w:val="00A77863"/>
    <w:rsid w:val="00A812DF"/>
    <w:rsid w:val="00A87B4E"/>
    <w:rsid w:val="00A87C84"/>
    <w:rsid w:val="00A93E8E"/>
    <w:rsid w:val="00A951A2"/>
    <w:rsid w:val="00AA0DBC"/>
    <w:rsid w:val="00AA2057"/>
    <w:rsid w:val="00AA26E1"/>
    <w:rsid w:val="00AA721B"/>
    <w:rsid w:val="00AB095D"/>
    <w:rsid w:val="00AB440B"/>
    <w:rsid w:val="00AB58F2"/>
    <w:rsid w:val="00AB5C04"/>
    <w:rsid w:val="00AB5C8F"/>
    <w:rsid w:val="00AB7D1D"/>
    <w:rsid w:val="00AC24C5"/>
    <w:rsid w:val="00AC574E"/>
    <w:rsid w:val="00AC60B9"/>
    <w:rsid w:val="00AC6670"/>
    <w:rsid w:val="00AD2131"/>
    <w:rsid w:val="00AD45EA"/>
    <w:rsid w:val="00AD7797"/>
    <w:rsid w:val="00AE08B4"/>
    <w:rsid w:val="00AE14FC"/>
    <w:rsid w:val="00AE2D3B"/>
    <w:rsid w:val="00AE3C76"/>
    <w:rsid w:val="00AE55F9"/>
    <w:rsid w:val="00AE6BCD"/>
    <w:rsid w:val="00AF1B33"/>
    <w:rsid w:val="00AF2F58"/>
    <w:rsid w:val="00AF36CB"/>
    <w:rsid w:val="00AF3CF2"/>
    <w:rsid w:val="00AF4566"/>
    <w:rsid w:val="00AF474A"/>
    <w:rsid w:val="00AF6D8D"/>
    <w:rsid w:val="00AF7658"/>
    <w:rsid w:val="00B0140C"/>
    <w:rsid w:val="00B01F50"/>
    <w:rsid w:val="00B043E9"/>
    <w:rsid w:val="00B05ED0"/>
    <w:rsid w:val="00B0788B"/>
    <w:rsid w:val="00B107AC"/>
    <w:rsid w:val="00B128A6"/>
    <w:rsid w:val="00B1348A"/>
    <w:rsid w:val="00B21A17"/>
    <w:rsid w:val="00B2203F"/>
    <w:rsid w:val="00B224C0"/>
    <w:rsid w:val="00B23DEA"/>
    <w:rsid w:val="00B26533"/>
    <w:rsid w:val="00B26826"/>
    <w:rsid w:val="00B30CE7"/>
    <w:rsid w:val="00B30FEE"/>
    <w:rsid w:val="00B31116"/>
    <w:rsid w:val="00B31308"/>
    <w:rsid w:val="00B31B0C"/>
    <w:rsid w:val="00B31EE3"/>
    <w:rsid w:val="00B3209C"/>
    <w:rsid w:val="00B328B9"/>
    <w:rsid w:val="00B33F89"/>
    <w:rsid w:val="00B36AF8"/>
    <w:rsid w:val="00B37F9F"/>
    <w:rsid w:val="00B41BDA"/>
    <w:rsid w:val="00B4482B"/>
    <w:rsid w:val="00B464B5"/>
    <w:rsid w:val="00B46CA4"/>
    <w:rsid w:val="00B472AE"/>
    <w:rsid w:val="00B50230"/>
    <w:rsid w:val="00B515B3"/>
    <w:rsid w:val="00B5503D"/>
    <w:rsid w:val="00B5536C"/>
    <w:rsid w:val="00B60293"/>
    <w:rsid w:val="00B62B01"/>
    <w:rsid w:val="00B668FB"/>
    <w:rsid w:val="00B67849"/>
    <w:rsid w:val="00B71A39"/>
    <w:rsid w:val="00B76B30"/>
    <w:rsid w:val="00B7735C"/>
    <w:rsid w:val="00B77392"/>
    <w:rsid w:val="00B808DC"/>
    <w:rsid w:val="00B81DCF"/>
    <w:rsid w:val="00B82319"/>
    <w:rsid w:val="00B85851"/>
    <w:rsid w:val="00B85E06"/>
    <w:rsid w:val="00B872EA"/>
    <w:rsid w:val="00B932BD"/>
    <w:rsid w:val="00B96770"/>
    <w:rsid w:val="00B97CF7"/>
    <w:rsid w:val="00BA011E"/>
    <w:rsid w:val="00BA097C"/>
    <w:rsid w:val="00BA0BF3"/>
    <w:rsid w:val="00BA1001"/>
    <w:rsid w:val="00BA1763"/>
    <w:rsid w:val="00BA293D"/>
    <w:rsid w:val="00BA5077"/>
    <w:rsid w:val="00BA6EFD"/>
    <w:rsid w:val="00BA78F7"/>
    <w:rsid w:val="00BB0E7B"/>
    <w:rsid w:val="00BB12C2"/>
    <w:rsid w:val="00BB16BA"/>
    <w:rsid w:val="00BB53D3"/>
    <w:rsid w:val="00BB6960"/>
    <w:rsid w:val="00BB77CF"/>
    <w:rsid w:val="00BC2158"/>
    <w:rsid w:val="00BC2A56"/>
    <w:rsid w:val="00BC4568"/>
    <w:rsid w:val="00BC4CDF"/>
    <w:rsid w:val="00BC75E6"/>
    <w:rsid w:val="00BD0493"/>
    <w:rsid w:val="00BD0539"/>
    <w:rsid w:val="00BD12DC"/>
    <w:rsid w:val="00BD1E94"/>
    <w:rsid w:val="00BD32FD"/>
    <w:rsid w:val="00BD48A6"/>
    <w:rsid w:val="00BD4D4A"/>
    <w:rsid w:val="00BE3437"/>
    <w:rsid w:val="00BE7066"/>
    <w:rsid w:val="00BF036C"/>
    <w:rsid w:val="00BF1181"/>
    <w:rsid w:val="00BF32B9"/>
    <w:rsid w:val="00C10296"/>
    <w:rsid w:val="00C122F3"/>
    <w:rsid w:val="00C1311B"/>
    <w:rsid w:val="00C13594"/>
    <w:rsid w:val="00C135D5"/>
    <w:rsid w:val="00C1421A"/>
    <w:rsid w:val="00C142D8"/>
    <w:rsid w:val="00C17205"/>
    <w:rsid w:val="00C176B4"/>
    <w:rsid w:val="00C200AC"/>
    <w:rsid w:val="00C22C59"/>
    <w:rsid w:val="00C23E8A"/>
    <w:rsid w:val="00C24A3A"/>
    <w:rsid w:val="00C24E0A"/>
    <w:rsid w:val="00C24E61"/>
    <w:rsid w:val="00C265E6"/>
    <w:rsid w:val="00C26DA4"/>
    <w:rsid w:val="00C274DE"/>
    <w:rsid w:val="00C30C40"/>
    <w:rsid w:val="00C32450"/>
    <w:rsid w:val="00C351ED"/>
    <w:rsid w:val="00C3782D"/>
    <w:rsid w:val="00C37D30"/>
    <w:rsid w:val="00C413D7"/>
    <w:rsid w:val="00C432B5"/>
    <w:rsid w:val="00C445FC"/>
    <w:rsid w:val="00C46EF6"/>
    <w:rsid w:val="00C50EAA"/>
    <w:rsid w:val="00C510F2"/>
    <w:rsid w:val="00C52A14"/>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65A9"/>
    <w:rsid w:val="00C76CF1"/>
    <w:rsid w:val="00C7759D"/>
    <w:rsid w:val="00C77A77"/>
    <w:rsid w:val="00C81FC9"/>
    <w:rsid w:val="00C827CD"/>
    <w:rsid w:val="00C82F96"/>
    <w:rsid w:val="00C8485D"/>
    <w:rsid w:val="00C857DE"/>
    <w:rsid w:val="00C874C4"/>
    <w:rsid w:val="00C91892"/>
    <w:rsid w:val="00CA02BB"/>
    <w:rsid w:val="00CA27ED"/>
    <w:rsid w:val="00CA2FAE"/>
    <w:rsid w:val="00CA35E3"/>
    <w:rsid w:val="00CA4984"/>
    <w:rsid w:val="00CA4C3F"/>
    <w:rsid w:val="00CA629D"/>
    <w:rsid w:val="00CA7EEE"/>
    <w:rsid w:val="00CB0175"/>
    <w:rsid w:val="00CB1C6A"/>
    <w:rsid w:val="00CB2FD4"/>
    <w:rsid w:val="00CB558B"/>
    <w:rsid w:val="00CB6F34"/>
    <w:rsid w:val="00CB7846"/>
    <w:rsid w:val="00CC02A2"/>
    <w:rsid w:val="00CC3293"/>
    <w:rsid w:val="00CC4C4B"/>
    <w:rsid w:val="00CC5033"/>
    <w:rsid w:val="00CC601F"/>
    <w:rsid w:val="00CC7D02"/>
    <w:rsid w:val="00CD268A"/>
    <w:rsid w:val="00CE1C74"/>
    <w:rsid w:val="00CE34DB"/>
    <w:rsid w:val="00CE5699"/>
    <w:rsid w:val="00CE5AE7"/>
    <w:rsid w:val="00CE6595"/>
    <w:rsid w:val="00CE750C"/>
    <w:rsid w:val="00CE7CE8"/>
    <w:rsid w:val="00CF1A35"/>
    <w:rsid w:val="00CF5055"/>
    <w:rsid w:val="00CF7820"/>
    <w:rsid w:val="00D0194F"/>
    <w:rsid w:val="00D05FB3"/>
    <w:rsid w:val="00D072F1"/>
    <w:rsid w:val="00D077A9"/>
    <w:rsid w:val="00D10316"/>
    <w:rsid w:val="00D14961"/>
    <w:rsid w:val="00D14EFD"/>
    <w:rsid w:val="00D15892"/>
    <w:rsid w:val="00D17345"/>
    <w:rsid w:val="00D1787F"/>
    <w:rsid w:val="00D17999"/>
    <w:rsid w:val="00D2189E"/>
    <w:rsid w:val="00D24861"/>
    <w:rsid w:val="00D35E0C"/>
    <w:rsid w:val="00D3655B"/>
    <w:rsid w:val="00D43942"/>
    <w:rsid w:val="00D43C69"/>
    <w:rsid w:val="00D44C6C"/>
    <w:rsid w:val="00D470B1"/>
    <w:rsid w:val="00D506CB"/>
    <w:rsid w:val="00D531F3"/>
    <w:rsid w:val="00D55978"/>
    <w:rsid w:val="00D56F87"/>
    <w:rsid w:val="00D60A4D"/>
    <w:rsid w:val="00D615B4"/>
    <w:rsid w:val="00D61DD7"/>
    <w:rsid w:val="00D62D8C"/>
    <w:rsid w:val="00D64ECC"/>
    <w:rsid w:val="00D65DBE"/>
    <w:rsid w:val="00D66929"/>
    <w:rsid w:val="00D721AD"/>
    <w:rsid w:val="00D72401"/>
    <w:rsid w:val="00D73A2C"/>
    <w:rsid w:val="00D73FCE"/>
    <w:rsid w:val="00D7410D"/>
    <w:rsid w:val="00D747DC"/>
    <w:rsid w:val="00D7569F"/>
    <w:rsid w:val="00D75AD5"/>
    <w:rsid w:val="00D7683A"/>
    <w:rsid w:val="00D76CB0"/>
    <w:rsid w:val="00D8006A"/>
    <w:rsid w:val="00D83186"/>
    <w:rsid w:val="00D8500C"/>
    <w:rsid w:val="00D865BD"/>
    <w:rsid w:val="00D87FE8"/>
    <w:rsid w:val="00D90DDF"/>
    <w:rsid w:val="00D9282C"/>
    <w:rsid w:val="00D92C1F"/>
    <w:rsid w:val="00D954CF"/>
    <w:rsid w:val="00D95C57"/>
    <w:rsid w:val="00D970BC"/>
    <w:rsid w:val="00D976E6"/>
    <w:rsid w:val="00DA2476"/>
    <w:rsid w:val="00DA4AE0"/>
    <w:rsid w:val="00DA6917"/>
    <w:rsid w:val="00DA6E5D"/>
    <w:rsid w:val="00DA7A40"/>
    <w:rsid w:val="00DA7D04"/>
    <w:rsid w:val="00DA7D55"/>
    <w:rsid w:val="00DB393C"/>
    <w:rsid w:val="00DC0627"/>
    <w:rsid w:val="00DC44A8"/>
    <w:rsid w:val="00DC53C0"/>
    <w:rsid w:val="00DC6867"/>
    <w:rsid w:val="00DC7576"/>
    <w:rsid w:val="00DC7CBC"/>
    <w:rsid w:val="00DD03A4"/>
    <w:rsid w:val="00DD1B17"/>
    <w:rsid w:val="00DD3E47"/>
    <w:rsid w:val="00DD4F80"/>
    <w:rsid w:val="00DD513B"/>
    <w:rsid w:val="00DD7E36"/>
    <w:rsid w:val="00DE005F"/>
    <w:rsid w:val="00DE1573"/>
    <w:rsid w:val="00DE1752"/>
    <w:rsid w:val="00DE19D0"/>
    <w:rsid w:val="00DE37E4"/>
    <w:rsid w:val="00DE45C0"/>
    <w:rsid w:val="00DE4D9D"/>
    <w:rsid w:val="00DE5AD0"/>
    <w:rsid w:val="00DE7F94"/>
    <w:rsid w:val="00DF0800"/>
    <w:rsid w:val="00DF1BDD"/>
    <w:rsid w:val="00DF2942"/>
    <w:rsid w:val="00DF3FA4"/>
    <w:rsid w:val="00DF441E"/>
    <w:rsid w:val="00DF4F3B"/>
    <w:rsid w:val="00DF5AEA"/>
    <w:rsid w:val="00DF72BA"/>
    <w:rsid w:val="00E00144"/>
    <w:rsid w:val="00E00E37"/>
    <w:rsid w:val="00E00FD6"/>
    <w:rsid w:val="00E01AFB"/>
    <w:rsid w:val="00E0251A"/>
    <w:rsid w:val="00E04F1E"/>
    <w:rsid w:val="00E05043"/>
    <w:rsid w:val="00E0539D"/>
    <w:rsid w:val="00E06FED"/>
    <w:rsid w:val="00E079BE"/>
    <w:rsid w:val="00E07A94"/>
    <w:rsid w:val="00E1052A"/>
    <w:rsid w:val="00E10565"/>
    <w:rsid w:val="00E13CAB"/>
    <w:rsid w:val="00E15A6B"/>
    <w:rsid w:val="00E22CAC"/>
    <w:rsid w:val="00E233F0"/>
    <w:rsid w:val="00E239D6"/>
    <w:rsid w:val="00E23DE5"/>
    <w:rsid w:val="00E23F04"/>
    <w:rsid w:val="00E247D8"/>
    <w:rsid w:val="00E26BDA"/>
    <w:rsid w:val="00E27103"/>
    <w:rsid w:val="00E27EEF"/>
    <w:rsid w:val="00E30392"/>
    <w:rsid w:val="00E31D0C"/>
    <w:rsid w:val="00E32E37"/>
    <w:rsid w:val="00E3511D"/>
    <w:rsid w:val="00E356B8"/>
    <w:rsid w:val="00E35F90"/>
    <w:rsid w:val="00E44FC5"/>
    <w:rsid w:val="00E45CC6"/>
    <w:rsid w:val="00E46ACA"/>
    <w:rsid w:val="00E46B72"/>
    <w:rsid w:val="00E47963"/>
    <w:rsid w:val="00E5020D"/>
    <w:rsid w:val="00E5082B"/>
    <w:rsid w:val="00E512C6"/>
    <w:rsid w:val="00E5134D"/>
    <w:rsid w:val="00E5200E"/>
    <w:rsid w:val="00E52218"/>
    <w:rsid w:val="00E52593"/>
    <w:rsid w:val="00E529C6"/>
    <w:rsid w:val="00E547F2"/>
    <w:rsid w:val="00E5507F"/>
    <w:rsid w:val="00E577BB"/>
    <w:rsid w:val="00E6237A"/>
    <w:rsid w:val="00E661AC"/>
    <w:rsid w:val="00E677A6"/>
    <w:rsid w:val="00E7012B"/>
    <w:rsid w:val="00E702CA"/>
    <w:rsid w:val="00E71F41"/>
    <w:rsid w:val="00E722D3"/>
    <w:rsid w:val="00E72F6D"/>
    <w:rsid w:val="00E7439B"/>
    <w:rsid w:val="00E74F7B"/>
    <w:rsid w:val="00E77A64"/>
    <w:rsid w:val="00E80978"/>
    <w:rsid w:val="00E817CC"/>
    <w:rsid w:val="00E82A5D"/>
    <w:rsid w:val="00E851CB"/>
    <w:rsid w:val="00E858B3"/>
    <w:rsid w:val="00E85AEB"/>
    <w:rsid w:val="00E85EB4"/>
    <w:rsid w:val="00E869EE"/>
    <w:rsid w:val="00E93916"/>
    <w:rsid w:val="00E94BCC"/>
    <w:rsid w:val="00E95352"/>
    <w:rsid w:val="00E96A40"/>
    <w:rsid w:val="00E96BA1"/>
    <w:rsid w:val="00E978C4"/>
    <w:rsid w:val="00EA0253"/>
    <w:rsid w:val="00EA0CCB"/>
    <w:rsid w:val="00EA1D6B"/>
    <w:rsid w:val="00EA2575"/>
    <w:rsid w:val="00EA269B"/>
    <w:rsid w:val="00EA56D9"/>
    <w:rsid w:val="00EA75F5"/>
    <w:rsid w:val="00EB0D32"/>
    <w:rsid w:val="00EB3435"/>
    <w:rsid w:val="00EB371B"/>
    <w:rsid w:val="00EB5BE7"/>
    <w:rsid w:val="00EB6FA4"/>
    <w:rsid w:val="00EB7010"/>
    <w:rsid w:val="00EC0CB5"/>
    <w:rsid w:val="00EC3ABF"/>
    <w:rsid w:val="00EC3CBE"/>
    <w:rsid w:val="00EC52D0"/>
    <w:rsid w:val="00EC58D6"/>
    <w:rsid w:val="00EC5E70"/>
    <w:rsid w:val="00EC70D8"/>
    <w:rsid w:val="00ED376C"/>
    <w:rsid w:val="00ED49E8"/>
    <w:rsid w:val="00ED5767"/>
    <w:rsid w:val="00EE0899"/>
    <w:rsid w:val="00EE0DB9"/>
    <w:rsid w:val="00EE26F4"/>
    <w:rsid w:val="00EE37FE"/>
    <w:rsid w:val="00EE3CD0"/>
    <w:rsid w:val="00EE3FFA"/>
    <w:rsid w:val="00EE41EC"/>
    <w:rsid w:val="00EE66A0"/>
    <w:rsid w:val="00EE75F7"/>
    <w:rsid w:val="00EF0821"/>
    <w:rsid w:val="00EF2329"/>
    <w:rsid w:val="00EF6EA2"/>
    <w:rsid w:val="00F016F1"/>
    <w:rsid w:val="00F01D95"/>
    <w:rsid w:val="00F027EC"/>
    <w:rsid w:val="00F056D1"/>
    <w:rsid w:val="00F06173"/>
    <w:rsid w:val="00F075BE"/>
    <w:rsid w:val="00F107B4"/>
    <w:rsid w:val="00F11B14"/>
    <w:rsid w:val="00F12AF3"/>
    <w:rsid w:val="00F13281"/>
    <w:rsid w:val="00F132DF"/>
    <w:rsid w:val="00F13BAE"/>
    <w:rsid w:val="00F152C8"/>
    <w:rsid w:val="00F22A7A"/>
    <w:rsid w:val="00F2377C"/>
    <w:rsid w:val="00F23E79"/>
    <w:rsid w:val="00F2560A"/>
    <w:rsid w:val="00F261B6"/>
    <w:rsid w:val="00F2702D"/>
    <w:rsid w:val="00F274A9"/>
    <w:rsid w:val="00F276BB"/>
    <w:rsid w:val="00F30A3A"/>
    <w:rsid w:val="00F334CA"/>
    <w:rsid w:val="00F34A83"/>
    <w:rsid w:val="00F3586D"/>
    <w:rsid w:val="00F362CD"/>
    <w:rsid w:val="00F37299"/>
    <w:rsid w:val="00F4112E"/>
    <w:rsid w:val="00F411A8"/>
    <w:rsid w:val="00F41398"/>
    <w:rsid w:val="00F430D9"/>
    <w:rsid w:val="00F44874"/>
    <w:rsid w:val="00F44D19"/>
    <w:rsid w:val="00F46201"/>
    <w:rsid w:val="00F470B7"/>
    <w:rsid w:val="00F4797F"/>
    <w:rsid w:val="00F518FA"/>
    <w:rsid w:val="00F529BA"/>
    <w:rsid w:val="00F532A9"/>
    <w:rsid w:val="00F5454F"/>
    <w:rsid w:val="00F54C58"/>
    <w:rsid w:val="00F55794"/>
    <w:rsid w:val="00F56D3A"/>
    <w:rsid w:val="00F56EA9"/>
    <w:rsid w:val="00F60016"/>
    <w:rsid w:val="00F60224"/>
    <w:rsid w:val="00F63555"/>
    <w:rsid w:val="00F64ABE"/>
    <w:rsid w:val="00F71353"/>
    <w:rsid w:val="00F74EDD"/>
    <w:rsid w:val="00F770B3"/>
    <w:rsid w:val="00F80D27"/>
    <w:rsid w:val="00F811C7"/>
    <w:rsid w:val="00F81851"/>
    <w:rsid w:val="00F826B8"/>
    <w:rsid w:val="00F83E96"/>
    <w:rsid w:val="00F84C29"/>
    <w:rsid w:val="00F852B8"/>
    <w:rsid w:val="00F86B20"/>
    <w:rsid w:val="00F9060C"/>
    <w:rsid w:val="00F90877"/>
    <w:rsid w:val="00F935E6"/>
    <w:rsid w:val="00F93C3D"/>
    <w:rsid w:val="00F95375"/>
    <w:rsid w:val="00F95FE8"/>
    <w:rsid w:val="00F9627C"/>
    <w:rsid w:val="00FA0AFE"/>
    <w:rsid w:val="00FA0E5E"/>
    <w:rsid w:val="00FA1CC7"/>
    <w:rsid w:val="00FA2C06"/>
    <w:rsid w:val="00FA5224"/>
    <w:rsid w:val="00FA62A1"/>
    <w:rsid w:val="00FA66F3"/>
    <w:rsid w:val="00FA6B79"/>
    <w:rsid w:val="00FB03BF"/>
    <w:rsid w:val="00FB3297"/>
    <w:rsid w:val="00FB5F28"/>
    <w:rsid w:val="00FB60A4"/>
    <w:rsid w:val="00FB724C"/>
    <w:rsid w:val="00FB778F"/>
    <w:rsid w:val="00FC309B"/>
    <w:rsid w:val="00FC3A9E"/>
    <w:rsid w:val="00FC789C"/>
    <w:rsid w:val="00FC7A7C"/>
    <w:rsid w:val="00FD24F6"/>
    <w:rsid w:val="00FD3642"/>
    <w:rsid w:val="00FD372A"/>
    <w:rsid w:val="00FD3C56"/>
    <w:rsid w:val="00FD4113"/>
    <w:rsid w:val="00FD4A07"/>
    <w:rsid w:val="00FD659B"/>
    <w:rsid w:val="00FD6EC5"/>
    <w:rsid w:val="00FE05F4"/>
    <w:rsid w:val="00FE26A8"/>
    <w:rsid w:val="00FE355B"/>
    <w:rsid w:val="00FE6224"/>
    <w:rsid w:val="00FE6723"/>
    <w:rsid w:val="00FE6737"/>
    <w:rsid w:val="00FF13AE"/>
    <w:rsid w:val="00FF1A86"/>
    <w:rsid w:val="00FF2457"/>
    <w:rsid w:val="00FF3444"/>
    <w:rsid w:val="00FF37CC"/>
    <w:rsid w:val="00FF56E6"/>
    <w:rsid w:val="00FF7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Subitem">
    <w:name w:val="Subitem"/>
    <w:aliases w:val="iss"/>
    <w:basedOn w:val="Normal"/>
    <w:rsid w:val="008C4D2C"/>
    <w:pPr>
      <w:spacing w:before="180"/>
      <w:ind w:left="709" w:hanging="709"/>
    </w:pPr>
    <w:rPr>
      <w:rFonts w:eastAsia="Times New Roman"/>
      <w:sz w:val="22"/>
      <w:szCs w:val="20"/>
      <w:lang w:val="en-AU" w:eastAsia="en-AU" w:bidi="ar-SA"/>
    </w:rPr>
  </w:style>
  <w:style w:type="paragraph" w:customStyle="1" w:styleId="ActHead5">
    <w:name w:val="ActHead 5"/>
    <w:aliases w:val="s"/>
    <w:basedOn w:val="Normal"/>
    <w:next w:val="subsection"/>
    <w:qFormat/>
    <w:rsid w:val="00977D04"/>
    <w:pPr>
      <w:keepNext/>
      <w:keepLines/>
      <w:spacing w:before="280"/>
      <w:ind w:left="1134" w:hanging="1134"/>
      <w:outlineLvl w:val="4"/>
    </w:pPr>
    <w:rPr>
      <w:rFonts w:eastAsia="Times New Roman"/>
      <w:b/>
      <w:kern w:val="28"/>
      <w:szCs w:val="20"/>
      <w:lang w:val="en-AU" w:eastAsia="en-AU" w:bidi="ar-SA"/>
    </w:rPr>
  </w:style>
  <w:style w:type="character" w:customStyle="1" w:styleId="CharDivNo">
    <w:name w:val="CharDivNo"/>
    <w:basedOn w:val="DefaultParagraphFont"/>
    <w:qFormat/>
    <w:rsid w:val="00977D04"/>
  </w:style>
  <w:style w:type="character" w:customStyle="1" w:styleId="CharDivText">
    <w:name w:val="CharDivText"/>
    <w:basedOn w:val="DefaultParagraphFont"/>
    <w:qFormat/>
    <w:rsid w:val="00977D04"/>
  </w:style>
  <w:style w:type="character" w:customStyle="1" w:styleId="CharSectno">
    <w:name w:val="CharSectno"/>
    <w:basedOn w:val="DefaultParagraphFont"/>
    <w:qFormat/>
    <w:rsid w:val="00977D04"/>
  </w:style>
  <w:style w:type="paragraph" w:customStyle="1" w:styleId="subsection">
    <w:name w:val="subsection"/>
    <w:aliases w:val="ss"/>
    <w:basedOn w:val="Normal"/>
    <w:rsid w:val="00977D04"/>
    <w:pPr>
      <w:tabs>
        <w:tab w:val="right" w:pos="1021"/>
      </w:tabs>
      <w:spacing w:before="180"/>
      <w:ind w:left="1134" w:hanging="1134"/>
    </w:pPr>
    <w:rPr>
      <w:rFonts w:eastAsia="Times New Roman"/>
      <w:sz w:val="22"/>
      <w:szCs w:val="20"/>
      <w:lang w:val="en-AU" w:eastAsia="en-AU" w:bidi="ar-SA"/>
    </w:rPr>
  </w:style>
  <w:style w:type="paragraph" w:customStyle="1" w:styleId="notedraft">
    <w:name w:val="note(draft)"/>
    <w:aliases w:val="nd"/>
    <w:basedOn w:val="Normal"/>
    <w:rsid w:val="00977D04"/>
    <w:pPr>
      <w:spacing w:before="240"/>
      <w:ind w:left="284" w:hanging="284"/>
    </w:pPr>
    <w:rPr>
      <w:rFonts w:eastAsia="Times New Roman"/>
      <w:i/>
      <w:szCs w:val="20"/>
      <w:lang w:val="en-AU" w:eastAsia="en-AU" w:bidi="ar-SA"/>
    </w:rPr>
  </w:style>
  <w:style w:type="paragraph" w:customStyle="1" w:styleId="notetext">
    <w:name w:val="note(text)"/>
    <w:aliases w:val="n"/>
    <w:basedOn w:val="Normal"/>
    <w:rsid w:val="00977D04"/>
    <w:pPr>
      <w:spacing w:before="122"/>
      <w:ind w:left="1985" w:hanging="851"/>
    </w:pPr>
    <w:rPr>
      <w:rFonts w:eastAsia="Times New Roman"/>
      <w:sz w:val="18"/>
      <w:szCs w:val="20"/>
      <w:lang w:val="en-AU" w:eastAsia="en-AU" w:bidi="ar-SA"/>
    </w:rPr>
  </w:style>
  <w:style w:type="paragraph" w:customStyle="1" w:styleId="ActHead9">
    <w:name w:val="ActHead 9"/>
    <w:aliases w:val="aat"/>
    <w:basedOn w:val="Normal"/>
    <w:next w:val="Normal"/>
    <w:qFormat/>
    <w:rsid w:val="008C5E3C"/>
    <w:pPr>
      <w:keepNext/>
      <w:keepLines/>
      <w:spacing w:before="280"/>
      <w:ind w:left="1134" w:hanging="1134"/>
      <w:outlineLvl w:val="8"/>
    </w:pPr>
    <w:rPr>
      <w:rFonts w:eastAsia="Times New Roman"/>
      <w:b/>
      <w:i/>
      <w:kern w:val="28"/>
      <w:sz w:val="28"/>
      <w:szCs w:val="20"/>
      <w:lang w:val="en-AU" w:eastAsia="en-AU" w:bidi="ar-SA"/>
    </w:rPr>
  </w:style>
  <w:style w:type="paragraph" w:customStyle="1" w:styleId="Normal1">
    <w:name w:val="Normal1"/>
    <w:basedOn w:val="ListParagraph"/>
    <w:link w:val="NormalChar"/>
    <w:qFormat/>
    <w:rsid w:val="00F56D3A"/>
    <w:pPr>
      <w:numPr>
        <w:numId w:val="33"/>
      </w:numPr>
      <w:tabs>
        <w:tab w:val="left" w:pos="426"/>
      </w:tabs>
      <w:spacing w:after="120"/>
    </w:pPr>
    <w:rPr>
      <w:rFonts w:eastAsiaTheme="minorHAnsi"/>
      <w:szCs w:val="28"/>
      <w:u w:val="single"/>
      <w:lang w:val="en-AU" w:bidi="ar-SA"/>
    </w:rPr>
  </w:style>
  <w:style w:type="paragraph" w:customStyle="1" w:styleId="Style5">
    <w:name w:val="Style5"/>
    <w:basedOn w:val="Normal1"/>
    <w:qFormat/>
    <w:rsid w:val="00F56D3A"/>
    <w:pPr>
      <w:numPr>
        <w:ilvl w:val="1"/>
      </w:numPr>
      <w:tabs>
        <w:tab w:val="clear" w:pos="426"/>
        <w:tab w:val="left" w:pos="1276"/>
      </w:tabs>
      <w:ind w:left="754" w:hanging="397"/>
    </w:pPr>
  </w:style>
  <w:style w:type="character" w:customStyle="1" w:styleId="NormalChar">
    <w:name w:val="Normal Char"/>
    <w:basedOn w:val="DefaultParagraphFont"/>
    <w:link w:val="Normal1"/>
    <w:locked/>
    <w:rsid w:val="00F56D3A"/>
    <w:rPr>
      <w:rFonts w:ascii="Times New Roman" w:eastAsiaTheme="minorHAnsi" w:hAnsi="Times New Roman" w:cs="Times New Roman"/>
      <w:sz w:val="24"/>
      <w:szCs w:val="28"/>
      <w:u w:val="single"/>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0494">
      <w:bodyDiv w:val="1"/>
      <w:marLeft w:val="0"/>
      <w:marRight w:val="0"/>
      <w:marTop w:val="0"/>
      <w:marBottom w:val="0"/>
      <w:divBdr>
        <w:top w:val="none" w:sz="0" w:space="0" w:color="auto"/>
        <w:left w:val="none" w:sz="0" w:space="0" w:color="auto"/>
        <w:bottom w:val="none" w:sz="0" w:space="0" w:color="auto"/>
        <w:right w:val="none" w:sz="0" w:space="0" w:color="auto"/>
      </w:divBdr>
      <w:divsChild>
        <w:div w:id="1777603212">
          <w:marLeft w:val="0"/>
          <w:marRight w:val="0"/>
          <w:marTop w:val="0"/>
          <w:marBottom w:val="0"/>
          <w:divBdr>
            <w:top w:val="none" w:sz="0" w:space="0" w:color="auto"/>
            <w:left w:val="none" w:sz="0" w:space="0" w:color="auto"/>
            <w:bottom w:val="none" w:sz="0" w:space="0" w:color="auto"/>
            <w:right w:val="none" w:sz="0" w:space="0" w:color="auto"/>
          </w:divBdr>
          <w:divsChild>
            <w:div w:id="699476247">
              <w:marLeft w:val="0"/>
              <w:marRight w:val="0"/>
              <w:marTop w:val="0"/>
              <w:marBottom w:val="0"/>
              <w:divBdr>
                <w:top w:val="none" w:sz="0" w:space="0" w:color="auto"/>
                <w:left w:val="none" w:sz="0" w:space="0" w:color="auto"/>
                <w:bottom w:val="none" w:sz="0" w:space="0" w:color="auto"/>
                <w:right w:val="none" w:sz="0" w:space="0" w:color="auto"/>
              </w:divBdr>
              <w:divsChild>
                <w:div w:id="1070038343">
                  <w:marLeft w:val="0"/>
                  <w:marRight w:val="0"/>
                  <w:marTop w:val="0"/>
                  <w:marBottom w:val="0"/>
                  <w:divBdr>
                    <w:top w:val="none" w:sz="0" w:space="0" w:color="auto"/>
                    <w:left w:val="none" w:sz="0" w:space="0" w:color="auto"/>
                    <w:bottom w:val="none" w:sz="0" w:space="0" w:color="auto"/>
                    <w:right w:val="none" w:sz="0" w:space="0" w:color="auto"/>
                  </w:divBdr>
                  <w:divsChild>
                    <w:div w:id="1333558219">
                      <w:marLeft w:val="0"/>
                      <w:marRight w:val="0"/>
                      <w:marTop w:val="0"/>
                      <w:marBottom w:val="0"/>
                      <w:divBdr>
                        <w:top w:val="none" w:sz="0" w:space="0" w:color="auto"/>
                        <w:left w:val="none" w:sz="0" w:space="0" w:color="auto"/>
                        <w:bottom w:val="none" w:sz="0" w:space="0" w:color="auto"/>
                        <w:right w:val="none" w:sz="0" w:space="0" w:color="auto"/>
                      </w:divBdr>
                      <w:divsChild>
                        <w:div w:id="1725446707">
                          <w:marLeft w:val="0"/>
                          <w:marRight w:val="0"/>
                          <w:marTop w:val="0"/>
                          <w:marBottom w:val="0"/>
                          <w:divBdr>
                            <w:top w:val="single" w:sz="4" w:space="0" w:color="828282"/>
                            <w:left w:val="single" w:sz="4" w:space="0" w:color="828282"/>
                            <w:bottom w:val="single" w:sz="4" w:space="0" w:color="828282"/>
                            <w:right w:val="single" w:sz="4" w:space="0" w:color="828282"/>
                          </w:divBdr>
                          <w:divsChild>
                            <w:div w:id="81880978">
                              <w:marLeft w:val="0"/>
                              <w:marRight w:val="0"/>
                              <w:marTop w:val="0"/>
                              <w:marBottom w:val="0"/>
                              <w:divBdr>
                                <w:top w:val="none" w:sz="0" w:space="0" w:color="auto"/>
                                <w:left w:val="none" w:sz="0" w:space="0" w:color="auto"/>
                                <w:bottom w:val="none" w:sz="0" w:space="0" w:color="auto"/>
                                <w:right w:val="none" w:sz="0" w:space="0" w:color="auto"/>
                              </w:divBdr>
                              <w:divsChild>
                                <w:div w:id="1185292097">
                                  <w:marLeft w:val="0"/>
                                  <w:marRight w:val="0"/>
                                  <w:marTop w:val="0"/>
                                  <w:marBottom w:val="0"/>
                                  <w:divBdr>
                                    <w:top w:val="none" w:sz="0" w:space="0" w:color="auto"/>
                                    <w:left w:val="none" w:sz="0" w:space="0" w:color="auto"/>
                                    <w:bottom w:val="none" w:sz="0" w:space="0" w:color="auto"/>
                                    <w:right w:val="none" w:sz="0" w:space="0" w:color="auto"/>
                                  </w:divBdr>
                                  <w:divsChild>
                                    <w:div w:id="379283011">
                                      <w:marLeft w:val="0"/>
                                      <w:marRight w:val="0"/>
                                      <w:marTop w:val="0"/>
                                      <w:marBottom w:val="0"/>
                                      <w:divBdr>
                                        <w:top w:val="none" w:sz="0" w:space="0" w:color="auto"/>
                                        <w:left w:val="none" w:sz="0" w:space="0" w:color="auto"/>
                                        <w:bottom w:val="none" w:sz="0" w:space="0" w:color="auto"/>
                                        <w:right w:val="none" w:sz="0" w:space="0" w:color="auto"/>
                                      </w:divBdr>
                                      <w:divsChild>
                                        <w:div w:id="1464229685">
                                          <w:marLeft w:val="0"/>
                                          <w:marRight w:val="0"/>
                                          <w:marTop w:val="0"/>
                                          <w:marBottom w:val="0"/>
                                          <w:divBdr>
                                            <w:top w:val="none" w:sz="0" w:space="0" w:color="auto"/>
                                            <w:left w:val="none" w:sz="0" w:space="0" w:color="auto"/>
                                            <w:bottom w:val="none" w:sz="0" w:space="0" w:color="auto"/>
                                            <w:right w:val="none" w:sz="0" w:space="0" w:color="auto"/>
                                          </w:divBdr>
                                          <w:divsChild>
                                            <w:div w:id="1712727031">
                                              <w:marLeft w:val="0"/>
                                              <w:marRight w:val="0"/>
                                              <w:marTop w:val="0"/>
                                              <w:marBottom w:val="0"/>
                                              <w:divBdr>
                                                <w:top w:val="none" w:sz="0" w:space="0" w:color="auto"/>
                                                <w:left w:val="none" w:sz="0" w:space="0" w:color="auto"/>
                                                <w:bottom w:val="none" w:sz="0" w:space="0" w:color="auto"/>
                                                <w:right w:val="none" w:sz="0" w:space="0" w:color="auto"/>
                                              </w:divBdr>
                                              <w:divsChild>
                                                <w:div w:id="10575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73499">
      <w:bodyDiv w:val="1"/>
      <w:marLeft w:val="0"/>
      <w:marRight w:val="0"/>
      <w:marTop w:val="0"/>
      <w:marBottom w:val="0"/>
      <w:divBdr>
        <w:top w:val="none" w:sz="0" w:space="0" w:color="auto"/>
        <w:left w:val="none" w:sz="0" w:space="0" w:color="auto"/>
        <w:bottom w:val="none" w:sz="0" w:space="0" w:color="auto"/>
        <w:right w:val="none" w:sz="0" w:space="0" w:color="auto"/>
      </w:divBdr>
      <w:divsChild>
        <w:div w:id="1931624743">
          <w:marLeft w:val="0"/>
          <w:marRight w:val="0"/>
          <w:marTop w:val="0"/>
          <w:marBottom w:val="0"/>
          <w:divBdr>
            <w:top w:val="none" w:sz="0" w:space="0" w:color="auto"/>
            <w:left w:val="none" w:sz="0" w:space="0" w:color="auto"/>
            <w:bottom w:val="none" w:sz="0" w:space="0" w:color="auto"/>
            <w:right w:val="none" w:sz="0" w:space="0" w:color="auto"/>
          </w:divBdr>
          <w:divsChild>
            <w:div w:id="1454905482">
              <w:marLeft w:val="0"/>
              <w:marRight w:val="0"/>
              <w:marTop w:val="0"/>
              <w:marBottom w:val="0"/>
              <w:divBdr>
                <w:top w:val="none" w:sz="0" w:space="0" w:color="auto"/>
                <w:left w:val="none" w:sz="0" w:space="0" w:color="auto"/>
                <w:bottom w:val="none" w:sz="0" w:space="0" w:color="auto"/>
                <w:right w:val="none" w:sz="0" w:space="0" w:color="auto"/>
              </w:divBdr>
              <w:divsChild>
                <w:div w:id="1034771451">
                  <w:marLeft w:val="10"/>
                  <w:marRight w:val="10"/>
                  <w:marTop w:val="0"/>
                  <w:marBottom w:val="0"/>
                  <w:divBdr>
                    <w:top w:val="single" w:sz="4" w:space="0" w:color="FFFFFF"/>
                    <w:left w:val="single" w:sz="4" w:space="0" w:color="FFFFFF"/>
                    <w:bottom w:val="single" w:sz="4" w:space="8" w:color="FFFFFF"/>
                    <w:right w:val="single" w:sz="4" w:space="0" w:color="FFFFFF"/>
                  </w:divBdr>
                  <w:divsChild>
                    <w:div w:id="139199952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197428883">
      <w:bodyDiv w:val="1"/>
      <w:marLeft w:val="0"/>
      <w:marRight w:val="0"/>
      <w:marTop w:val="0"/>
      <w:marBottom w:val="0"/>
      <w:divBdr>
        <w:top w:val="none" w:sz="0" w:space="0" w:color="auto"/>
        <w:left w:val="none" w:sz="0" w:space="0" w:color="auto"/>
        <w:bottom w:val="none" w:sz="0" w:space="0" w:color="auto"/>
        <w:right w:val="none" w:sz="0" w:space="0" w:color="auto"/>
      </w:divBdr>
      <w:divsChild>
        <w:div w:id="892931088">
          <w:marLeft w:val="0"/>
          <w:marRight w:val="0"/>
          <w:marTop w:val="0"/>
          <w:marBottom w:val="0"/>
          <w:divBdr>
            <w:top w:val="none" w:sz="0" w:space="0" w:color="auto"/>
            <w:left w:val="none" w:sz="0" w:space="0" w:color="auto"/>
            <w:bottom w:val="none" w:sz="0" w:space="0" w:color="auto"/>
            <w:right w:val="none" w:sz="0" w:space="0" w:color="auto"/>
          </w:divBdr>
          <w:divsChild>
            <w:div w:id="730344853">
              <w:marLeft w:val="0"/>
              <w:marRight w:val="0"/>
              <w:marTop w:val="0"/>
              <w:marBottom w:val="0"/>
              <w:divBdr>
                <w:top w:val="none" w:sz="0" w:space="0" w:color="auto"/>
                <w:left w:val="none" w:sz="0" w:space="0" w:color="auto"/>
                <w:bottom w:val="none" w:sz="0" w:space="0" w:color="auto"/>
                <w:right w:val="none" w:sz="0" w:space="0" w:color="auto"/>
              </w:divBdr>
              <w:divsChild>
                <w:div w:id="1852068367">
                  <w:marLeft w:val="0"/>
                  <w:marRight w:val="0"/>
                  <w:marTop w:val="0"/>
                  <w:marBottom w:val="0"/>
                  <w:divBdr>
                    <w:top w:val="none" w:sz="0" w:space="0" w:color="auto"/>
                    <w:left w:val="none" w:sz="0" w:space="0" w:color="auto"/>
                    <w:bottom w:val="none" w:sz="0" w:space="0" w:color="auto"/>
                    <w:right w:val="none" w:sz="0" w:space="0" w:color="auto"/>
                  </w:divBdr>
                  <w:divsChild>
                    <w:div w:id="1731613985">
                      <w:marLeft w:val="0"/>
                      <w:marRight w:val="0"/>
                      <w:marTop w:val="0"/>
                      <w:marBottom w:val="0"/>
                      <w:divBdr>
                        <w:top w:val="none" w:sz="0" w:space="0" w:color="auto"/>
                        <w:left w:val="none" w:sz="0" w:space="0" w:color="auto"/>
                        <w:bottom w:val="none" w:sz="0" w:space="0" w:color="auto"/>
                        <w:right w:val="none" w:sz="0" w:space="0" w:color="auto"/>
                      </w:divBdr>
                      <w:divsChild>
                        <w:div w:id="1882940652">
                          <w:marLeft w:val="0"/>
                          <w:marRight w:val="0"/>
                          <w:marTop w:val="0"/>
                          <w:marBottom w:val="0"/>
                          <w:divBdr>
                            <w:top w:val="single" w:sz="6" w:space="0" w:color="828282"/>
                            <w:left w:val="single" w:sz="6" w:space="0" w:color="828282"/>
                            <w:bottom w:val="single" w:sz="6" w:space="0" w:color="828282"/>
                            <w:right w:val="single" w:sz="6" w:space="0" w:color="828282"/>
                          </w:divBdr>
                          <w:divsChild>
                            <w:div w:id="860512799">
                              <w:marLeft w:val="0"/>
                              <w:marRight w:val="0"/>
                              <w:marTop w:val="0"/>
                              <w:marBottom w:val="0"/>
                              <w:divBdr>
                                <w:top w:val="none" w:sz="0" w:space="0" w:color="auto"/>
                                <w:left w:val="none" w:sz="0" w:space="0" w:color="auto"/>
                                <w:bottom w:val="none" w:sz="0" w:space="0" w:color="auto"/>
                                <w:right w:val="none" w:sz="0" w:space="0" w:color="auto"/>
                              </w:divBdr>
                              <w:divsChild>
                                <w:div w:id="260185932">
                                  <w:marLeft w:val="0"/>
                                  <w:marRight w:val="0"/>
                                  <w:marTop w:val="0"/>
                                  <w:marBottom w:val="0"/>
                                  <w:divBdr>
                                    <w:top w:val="none" w:sz="0" w:space="0" w:color="auto"/>
                                    <w:left w:val="none" w:sz="0" w:space="0" w:color="auto"/>
                                    <w:bottom w:val="none" w:sz="0" w:space="0" w:color="auto"/>
                                    <w:right w:val="none" w:sz="0" w:space="0" w:color="auto"/>
                                  </w:divBdr>
                                  <w:divsChild>
                                    <w:div w:id="555049347">
                                      <w:marLeft w:val="0"/>
                                      <w:marRight w:val="0"/>
                                      <w:marTop w:val="0"/>
                                      <w:marBottom w:val="0"/>
                                      <w:divBdr>
                                        <w:top w:val="none" w:sz="0" w:space="0" w:color="auto"/>
                                        <w:left w:val="none" w:sz="0" w:space="0" w:color="auto"/>
                                        <w:bottom w:val="none" w:sz="0" w:space="0" w:color="auto"/>
                                        <w:right w:val="none" w:sz="0" w:space="0" w:color="auto"/>
                                      </w:divBdr>
                                      <w:divsChild>
                                        <w:div w:id="997731018">
                                          <w:marLeft w:val="0"/>
                                          <w:marRight w:val="0"/>
                                          <w:marTop w:val="0"/>
                                          <w:marBottom w:val="0"/>
                                          <w:divBdr>
                                            <w:top w:val="none" w:sz="0" w:space="0" w:color="auto"/>
                                            <w:left w:val="none" w:sz="0" w:space="0" w:color="auto"/>
                                            <w:bottom w:val="none" w:sz="0" w:space="0" w:color="auto"/>
                                            <w:right w:val="none" w:sz="0" w:space="0" w:color="auto"/>
                                          </w:divBdr>
                                          <w:divsChild>
                                            <w:div w:id="574585546">
                                              <w:marLeft w:val="0"/>
                                              <w:marRight w:val="0"/>
                                              <w:marTop w:val="0"/>
                                              <w:marBottom w:val="0"/>
                                              <w:divBdr>
                                                <w:top w:val="none" w:sz="0" w:space="0" w:color="auto"/>
                                                <w:left w:val="none" w:sz="0" w:space="0" w:color="auto"/>
                                                <w:bottom w:val="none" w:sz="0" w:space="0" w:color="auto"/>
                                                <w:right w:val="none" w:sz="0" w:space="0" w:color="auto"/>
                                              </w:divBdr>
                                              <w:divsChild>
                                                <w:div w:id="1815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771355">
      <w:bodyDiv w:val="1"/>
      <w:marLeft w:val="0"/>
      <w:marRight w:val="0"/>
      <w:marTop w:val="0"/>
      <w:marBottom w:val="0"/>
      <w:divBdr>
        <w:top w:val="none" w:sz="0" w:space="0" w:color="auto"/>
        <w:left w:val="none" w:sz="0" w:space="0" w:color="auto"/>
        <w:bottom w:val="none" w:sz="0" w:space="0" w:color="auto"/>
        <w:right w:val="none" w:sz="0" w:space="0" w:color="auto"/>
      </w:divBdr>
      <w:divsChild>
        <w:div w:id="1247378480">
          <w:marLeft w:val="0"/>
          <w:marRight w:val="0"/>
          <w:marTop w:val="0"/>
          <w:marBottom w:val="0"/>
          <w:divBdr>
            <w:top w:val="none" w:sz="0" w:space="0" w:color="auto"/>
            <w:left w:val="none" w:sz="0" w:space="0" w:color="auto"/>
            <w:bottom w:val="none" w:sz="0" w:space="0" w:color="auto"/>
            <w:right w:val="none" w:sz="0" w:space="0" w:color="auto"/>
          </w:divBdr>
          <w:divsChild>
            <w:div w:id="2134399394">
              <w:marLeft w:val="0"/>
              <w:marRight w:val="0"/>
              <w:marTop w:val="0"/>
              <w:marBottom w:val="0"/>
              <w:divBdr>
                <w:top w:val="none" w:sz="0" w:space="0" w:color="auto"/>
                <w:left w:val="none" w:sz="0" w:space="0" w:color="auto"/>
                <w:bottom w:val="none" w:sz="0" w:space="0" w:color="auto"/>
                <w:right w:val="none" w:sz="0" w:space="0" w:color="auto"/>
              </w:divBdr>
              <w:divsChild>
                <w:div w:id="1965231005">
                  <w:marLeft w:val="0"/>
                  <w:marRight w:val="0"/>
                  <w:marTop w:val="0"/>
                  <w:marBottom w:val="0"/>
                  <w:divBdr>
                    <w:top w:val="none" w:sz="0" w:space="0" w:color="auto"/>
                    <w:left w:val="none" w:sz="0" w:space="0" w:color="auto"/>
                    <w:bottom w:val="none" w:sz="0" w:space="0" w:color="auto"/>
                    <w:right w:val="none" w:sz="0" w:space="0" w:color="auto"/>
                  </w:divBdr>
                  <w:divsChild>
                    <w:div w:id="2005011660">
                      <w:marLeft w:val="0"/>
                      <w:marRight w:val="0"/>
                      <w:marTop w:val="0"/>
                      <w:marBottom w:val="0"/>
                      <w:divBdr>
                        <w:top w:val="none" w:sz="0" w:space="0" w:color="auto"/>
                        <w:left w:val="none" w:sz="0" w:space="0" w:color="auto"/>
                        <w:bottom w:val="none" w:sz="0" w:space="0" w:color="auto"/>
                        <w:right w:val="none" w:sz="0" w:space="0" w:color="auto"/>
                      </w:divBdr>
                      <w:divsChild>
                        <w:div w:id="21322771">
                          <w:marLeft w:val="0"/>
                          <w:marRight w:val="0"/>
                          <w:marTop w:val="0"/>
                          <w:marBottom w:val="0"/>
                          <w:divBdr>
                            <w:top w:val="single" w:sz="6" w:space="0" w:color="828282"/>
                            <w:left w:val="single" w:sz="6" w:space="0" w:color="828282"/>
                            <w:bottom w:val="single" w:sz="6" w:space="0" w:color="828282"/>
                            <w:right w:val="single" w:sz="6" w:space="0" w:color="828282"/>
                          </w:divBdr>
                          <w:divsChild>
                            <w:div w:id="2010670924">
                              <w:marLeft w:val="0"/>
                              <w:marRight w:val="0"/>
                              <w:marTop w:val="0"/>
                              <w:marBottom w:val="0"/>
                              <w:divBdr>
                                <w:top w:val="none" w:sz="0" w:space="0" w:color="auto"/>
                                <w:left w:val="none" w:sz="0" w:space="0" w:color="auto"/>
                                <w:bottom w:val="none" w:sz="0" w:space="0" w:color="auto"/>
                                <w:right w:val="none" w:sz="0" w:space="0" w:color="auto"/>
                              </w:divBdr>
                              <w:divsChild>
                                <w:div w:id="133764441">
                                  <w:marLeft w:val="0"/>
                                  <w:marRight w:val="0"/>
                                  <w:marTop w:val="0"/>
                                  <w:marBottom w:val="0"/>
                                  <w:divBdr>
                                    <w:top w:val="none" w:sz="0" w:space="0" w:color="auto"/>
                                    <w:left w:val="none" w:sz="0" w:space="0" w:color="auto"/>
                                    <w:bottom w:val="none" w:sz="0" w:space="0" w:color="auto"/>
                                    <w:right w:val="none" w:sz="0" w:space="0" w:color="auto"/>
                                  </w:divBdr>
                                  <w:divsChild>
                                    <w:div w:id="147357288">
                                      <w:marLeft w:val="0"/>
                                      <w:marRight w:val="0"/>
                                      <w:marTop w:val="0"/>
                                      <w:marBottom w:val="0"/>
                                      <w:divBdr>
                                        <w:top w:val="none" w:sz="0" w:space="0" w:color="auto"/>
                                        <w:left w:val="none" w:sz="0" w:space="0" w:color="auto"/>
                                        <w:bottom w:val="none" w:sz="0" w:space="0" w:color="auto"/>
                                        <w:right w:val="none" w:sz="0" w:space="0" w:color="auto"/>
                                      </w:divBdr>
                                      <w:divsChild>
                                        <w:div w:id="2067874854">
                                          <w:marLeft w:val="0"/>
                                          <w:marRight w:val="0"/>
                                          <w:marTop w:val="0"/>
                                          <w:marBottom w:val="0"/>
                                          <w:divBdr>
                                            <w:top w:val="none" w:sz="0" w:space="0" w:color="auto"/>
                                            <w:left w:val="none" w:sz="0" w:space="0" w:color="auto"/>
                                            <w:bottom w:val="none" w:sz="0" w:space="0" w:color="auto"/>
                                            <w:right w:val="none" w:sz="0" w:space="0" w:color="auto"/>
                                          </w:divBdr>
                                          <w:divsChild>
                                            <w:div w:id="2018918925">
                                              <w:marLeft w:val="0"/>
                                              <w:marRight w:val="0"/>
                                              <w:marTop w:val="0"/>
                                              <w:marBottom w:val="0"/>
                                              <w:divBdr>
                                                <w:top w:val="none" w:sz="0" w:space="0" w:color="auto"/>
                                                <w:left w:val="none" w:sz="0" w:space="0" w:color="auto"/>
                                                <w:bottom w:val="none" w:sz="0" w:space="0" w:color="auto"/>
                                                <w:right w:val="none" w:sz="0" w:space="0" w:color="auto"/>
                                              </w:divBdr>
                                              <w:divsChild>
                                                <w:div w:id="4943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397DF-F898-46AD-A9A2-8BACB236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Douglas, Justin</cp:lastModifiedBy>
  <cp:revision>2</cp:revision>
  <cp:lastPrinted>2015-03-31T05:29:00Z</cp:lastPrinted>
  <dcterms:created xsi:type="dcterms:W3CDTF">2015-04-17T00:14:00Z</dcterms:created>
  <dcterms:modified xsi:type="dcterms:W3CDTF">2015-04-17T00:14:00Z</dcterms:modified>
</cp:coreProperties>
</file>