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62EE" w14:textId="77777777" w:rsidR="00F109D4" w:rsidRPr="00A22AC1" w:rsidRDefault="00F109D4" w:rsidP="00676780">
      <w:pPr>
        <w:pStyle w:val="Heading1"/>
        <w:rPr>
          <w:rFonts w:ascii="Times New Roman" w:hAnsi="Times New Roman"/>
        </w:rPr>
      </w:pPr>
      <w:r w:rsidRPr="00A22AC1">
        <w:rPr>
          <w:rFonts w:ascii="Times New Roman" w:hAnsi="Times New Roman"/>
        </w:rPr>
        <w:t>EXPLANATORY STATEMENT</w:t>
      </w:r>
    </w:p>
    <w:p w14:paraId="3E1E37A0" w14:textId="77777777" w:rsidR="005833BE" w:rsidRDefault="005833BE" w:rsidP="00676780">
      <w:pPr>
        <w:pStyle w:val="base-text-paragraph"/>
        <w:tabs>
          <w:tab w:val="clear" w:pos="1987"/>
        </w:tabs>
        <w:spacing w:before="0" w:after="0"/>
        <w:ind w:left="0"/>
        <w:jc w:val="center"/>
        <w:rPr>
          <w:b/>
          <w:u w:val="single"/>
        </w:rPr>
      </w:pPr>
    </w:p>
    <w:p w14:paraId="4BE0005E" w14:textId="690D2F48" w:rsidR="004C0A8C" w:rsidRPr="004C0A8C" w:rsidRDefault="004C0A8C" w:rsidP="004C0A8C">
      <w:pPr>
        <w:pStyle w:val="Heading2"/>
        <w:spacing w:before="0" w:after="0"/>
        <w:jc w:val="center"/>
      </w:pPr>
      <w:r w:rsidRPr="004C0A8C">
        <w:t>Select Legislative Instrument No. 50, 2</w:t>
      </w:r>
      <w:bookmarkStart w:id="0" w:name="_GoBack"/>
      <w:bookmarkEnd w:id="0"/>
      <w:r w:rsidRPr="004C0A8C">
        <w:t>014</w:t>
      </w:r>
    </w:p>
    <w:p w14:paraId="6B7B021E" w14:textId="77777777" w:rsidR="004C0A8C" w:rsidRPr="006F08C1" w:rsidRDefault="004C0A8C" w:rsidP="00676780">
      <w:pPr>
        <w:pStyle w:val="base-text-paragraph"/>
        <w:tabs>
          <w:tab w:val="clear" w:pos="1987"/>
        </w:tabs>
        <w:spacing w:before="0" w:after="0"/>
        <w:ind w:left="0"/>
        <w:jc w:val="center"/>
        <w:rPr>
          <w:b/>
          <w:u w:val="single"/>
        </w:rPr>
      </w:pPr>
    </w:p>
    <w:p w14:paraId="2848D5EF" w14:textId="77777777" w:rsidR="00F109D4" w:rsidRPr="00676780" w:rsidRDefault="00F109D4" w:rsidP="00676780">
      <w:pPr>
        <w:pStyle w:val="Heading2"/>
        <w:spacing w:before="0" w:after="0"/>
        <w:jc w:val="center"/>
      </w:pPr>
      <w:r w:rsidRPr="00676780">
        <w:t xml:space="preserve">Issued by authority of the </w:t>
      </w:r>
      <w:r w:rsidR="005833BE" w:rsidRPr="00676780">
        <w:t>Assistant Treasurer</w:t>
      </w:r>
    </w:p>
    <w:p w14:paraId="5181970D" w14:textId="77777777" w:rsidR="00676780" w:rsidRDefault="00676780" w:rsidP="00A22AC1">
      <w:pPr>
        <w:spacing w:before="0" w:after="0"/>
        <w:jc w:val="center"/>
        <w:rPr>
          <w:i/>
        </w:rPr>
      </w:pPr>
    </w:p>
    <w:p w14:paraId="0D43FF61" w14:textId="77777777" w:rsidR="00F109D4" w:rsidRDefault="000D38A6" w:rsidP="00A22AC1">
      <w:pPr>
        <w:spacing w:before="0" w:after="0"/>
        <w:jc w:val="center"/>
        <w:rPr>
          <w:i/>
        </w:rPr>
      </w:pPr>
      <w:r>
        <w:rPr>
          <w:i/>
        </w:rPr>
        <w:t>Insurance Contracts Act 1984</w:t>
      </w:r>
    </w:p>
    <w:p w14:paraId="090126A4" w14:textId="77777777" w:rsidR="00676780" w:rsidRPr="00503E44" w:rsidRDefault="00676780" w:rsidP="00A22AC1">
      <w:pPr>
        <w:spacing w:before="0" w:after="0"/>
        <w:jc w:val="center"/>
        <w:rPr>
          <w:i/>
        </w:rPr>
      </w:pPr>
    </w:p>
    <w:p w14:paraId="04A8DFA5" w14:textId="0BAE493A" w:rsidR="00F109D4" w:rsidRDefault="000D38A6" w:rsidP="00A22AC1">
      <w:pPr>
        <w:tabs>
          <w:tab w:val="left" w:pos="1418"/>
        </w:tabs>
        <w:spacing w:before="0" w:after="0"/>
        <w:jc w:val="center"/>
        <w:rPr>
          <w:i/>
        </w:rPr>
      </w:pPr>
      <w:r>
        <w:rPr>
          <w:i/>
        </w:rPr>
        <w:t xml:space="preserve">Insurance Contracts </w:t>
      </w:r>
      <w:r w:rsidR="00676780">
        <w:rPr>
          <w:i/>
        </w:rPr>
        <w:t xml:space="preserve">Amendment </w:t>
      </w:r>
      <w:r>
        <w:rPr>
          <w:i/>
        </w:rPr>
        <w:t xml:space="preserve">Regulation </w:t>
      </w:r>
      <w:r w:rsidR="00676780">
        <w:rPr>
          <w:i/>
        </w:rPr>
        <w:t>2015 (No. 1)</w:t>
      </w:r>
    </w:p>
    <w:p w14:paraId="16DC14C6" w14:textId="77777777" w:rsidR="00676780" w:rsidRPr="00503E44" w:rsidRDefault="00676780" w:rsidP="00A22AC1">
      <w:pPr>
        <w:tabs>
          <w:tab w:val="left" w:pos="1418"/>
        </w:tabs>
        <w:spacing w:before="0" w:after="0"/>
        <w:jc w:val="center"/>
        <w:rPr>
          <w:i/>
        </w:rPr>
      </w:pPr>
    </w:p>
    <w:p w14:paraId="5D4100A0" w14:textId="6F5B7BEE" w:rsidR="000E3918" w:rsidRDefault="000E3918" w:rsidP="00676780">
      <w:pPr>
        <w:spacing w:before="0" w:after="0"/>
      </w:pPr>
      <w:r w:rsidRPr="00503E44">
        <w:t xml:space="preserve">Section </w:t>
      </w:r>
      <w:r>
        <w:t>78</w:t>
      </w:r>
      <w:r w:rsidRPr="00503E44">
        <w:t xml:space="preserve"> of the </w:t>
      </w:r>
      <w:r w:rsidRPr="00F618E0">
        <w:rPr>
          <w:i/>
        </w:rPr>
        <w:t>Insurance Contracts Act 1984</w:t>
      </w:r>
      <w:r w:rsidRPr="00503E44">
        <w:t xml:space="preserve"> (</w:t>
      </w:r>
      <w:r w:rsidR="00676780">
        <w:t>Principle</w:t>
      </w:r>
      <w:r w:rsidRPr="00503E44">
        <w:t xml:space="preserve"> Act) provides that the Governor</w:t>
      </w:r>
      <w:r w:rsidR="00676780">
        <w:noBreakHyphen/>
      </w:r>
      <w:r w:rsidRPr="00503E44">
        <w:t>General may make regulations</w:t>
      </w:r>
      <w:r>
        <w:t xml:space="preserve"> </w:t>
      </w:r>
      <w:r w:rsidRPr="00503E44">
        <w:t>prescribing matters required or permitted by the Act to be prescribed, or necessary or convenient to be prescribed for carrying out or giving effect to the Act</w:t>
      </w:r>
    </w:p>
    <w:p w14:paraId="35F4EED9" w14:textId="77777777" w:rsidR="00676780" w:rsidRDefault="00676780" w:rsidP="00676780">
      <w:pPr>
        <w:spacing w:before="0" w:after="0"/>
      </w:pPr>
    </w:p>
    <w:p w14:paraId="3427EFD8" w14:textId="23AE5B8A" w:rsidR="000E3918" w:rsidRDefault="000E3918" w:rsidP="00676780">
      <w:pPr>
        <w:spacing w:before="0" w:after="0"/>
      </w:pPr>
      <w:r>
        <w:t xml:space="preserve">The </w:t>
      </w:r>
      <w:r>
        <w:rPr>
          <w:i/>
        </w:rPr>
        <w:t xml:space="preserve">Insurance Contracts Amendment Act 2013 </w:t>
      </w:r>
      <w:r>
        <w:t xml:space="preserve">(2013 Amendment Act), which received Royal Assent on 28 June 2013, made several amendments to the </w:t>
      </w:r>
      <w:r w:rsidR="00676780">
        <w:t xml:space="preserve">Principle </w:t>
      </w:r>
      <w:r>
        <w:t>Act</w:t>
      </w:r>
      <w:r w:rsidRPr="00957A60">
        <w:t xml:space="preserve"> </w:t>
      </w:r>
      <w:r>
        <w:t xml:space="preserve">including to the duty of consumers to disclose matters to an insurer before entering into the contract (the duty of disclosure).  </w:t>
      </w:r>
      <w:r w:rsidRPr="00B75531">
        <w:t xml:space="preserve">For an insurer to rely on a consumer’s compliance with this duty, the insurer needs to inform the consumer, in writing, of the general nature and effect of the duty.  The </w:t>
      </w:r>
      <w:r w:rsidRPr="00E6082C">
        <w:rPr>
          <w:i/>
        </w:rPr>
        <w:t>Insurance Contracts Regulations 1985</w:t>
      </w:r>
      <w:r>
        <w:rPr>
          <w:i/>
        </w:rPr>
        <w:t xml:space="preserve"> </w:t>
      </w:r>
      <w:r>
        <w:t>(</w:t>
      </w:r>
      <w:r w:rsidR="00676780">
        <w:t>P</w:t>
      </w:r>
      <w:r>
        <w:t xml:space="preserve">rinciple Regulations) </w:t>
      </w:r>
      <w:r w:rsidRPr="00B75531">
        <w:t>prescribe notices that insurers may use for this purpose.</w:t>
      </w:r>
    </w:p>
    <w:p w14:paraId="2C2E6369" w14:textId="77777777" w:rsidR="00676780" w:rsidRDefault="00676780" w:rsidP="00676780">
      <w:pPr>
        <w:spacing w:before="0" w:after="0"/>
      </w:pPr>
    </w:p>
    <w:p w14:paraId="405B4405" w14:textId="77777777" w:rsidR="00930844" w:rsidRDefault="00930844" w:rsidP="00676780">
      <w:pPr>
        <w:spacing w:before="0" w:after="0"/>
      </w:pPr>
      <w:r>
        <w:t>The purpose of the Regulation is to amend the Principle Regulations to prescribe new notices which reflect the amendments made to the duty of disclosure by the 2013 Amendment Act.</w:t>
      </w:r>
    </w:p>
    <w:p w14:paraId="44514D13" w14:textId="77777777" w:rsidR="00676780" w:rsidRDefault="00676780" w:rsidP="00676780">
      <w:pPr>
        <w:spacing w:before="0" w:after="0"/>
      </w:pPr>
    </w:p>
    <w:p w14:paraId="5A2892E9" w14:textId="72FA7D32" w:rsidR="00930844" w:rsidRDefault="00930844" w:rsidP="00676780">
      <w:pPr>
        <w:spacing w:before="0" w:after="0"/>
      </w:pPr>
      <w:r w:rsidRPr="00930844">
        <w:t>In particular, the Regulation prescribes:</w:t>
      </w:r>
    </w:p>
    <w:p w14:paraId="5952CB9E" w14:textId="77777777" w:rsidR="00676780" w:rsidRDefault="00676780" w:rsidP="00676780">
      <w:pPr>
        <w:spacing w:before="0" w:after="0"/>
      </w:pPr>
    </w:p>
    <w:p w14:paraId="1B096249" w14:textId="1E1EB849" w:rsidR="00930844" w:rsidRDefault="00930844" w:rsidP="00676780">
      <w:pPr>
        <w:pStyle w:val="Bullet"/>
        <w:spacing w:before="0" w:after="0"/>
      </w:pPr>
      <w:r>
        <w:t>Written notices in relation to:</w:t>
      </w:r>
    </w:p>
    <w:p w14:paraId="23F6418B" w14:textId="77777777" w:rsidR="00676780" w:rsidRDefault="00676780" w:rsidP="00676780">
      <w:pPr>
        <w:pStyle w:val="Bullet"/>
        <w:numPr>
          <w:ilvl w:val="0"/>
          <w:numId w:val="0"/>
        </w:numPr>
        <w:spacing w:before="0" w:after="0"/>
        <w:ind w:left="567"/>
      </w:pPr>
    </w:p>
    <w:p w14:paraId="4A2F8345" w14:textId="77777777" w:rsidR="00930844" w:rsidRDefault="00930844" w:rsidP="00676780">
      <w:pPr>
        <w:pStyle w:val="Dash"/>
        <w:spacing w:before="0" w:after="0"/>
      </w:pPr>
      <w:r>
        <w:t xml:space="preserve">contracts of general insurance, life insurance and eligible contracts of insurance; </w:t>
      </w:r>
    </w:p>
    <w:p w14:paraId="168A25E6" w14:textId="77777777" w:rsidR="00676780" w:rsidRDefault="00676780" w:rsidP="00676780">
      <w:pPr>
        <w:pStyle w:val="Dash"/>
        <w:numPr>
          <w:ilvl w:val="0"/>
          <w:numId w:val="0"/>
        </w:numPr>
        <w:spacing w:before="0" w:after="0"/>
        <w:ind w:left="1134"/>
      </w:pPr>
    </w:p>
    <w:p w14:paraId="1B908D02" w14:textId="33C5F528" w:rsidR="00930844" w:rsidRDefault="00930844" w:rsidP="00676780">
      <w:pPr>
        <w:pStyle w:val="Dash"/>
        <w:spacing w:before="0" w:after="0"/>
      </w:pPr>
      <w:r>
        <w:t>the duty of disclosure in relation to a person who will be insured by others; and</w:t>
      </w:r>
    </w:p>
    <w:p w14:paraId="01B1EEC8" w14:textId="77777777" w:rsidR="00676780" w:rsidRDefault="00676780" w:rsidP="00676780">
      <w:pPr>
        <w:pStyle w:val="Dash"/>
        <w:numPr>
          <w:ilvl w:val="0"/>
          <w:numId w:val="0"/>
        </w:numPr>
        <w:spacing w:before="0" w:after="0"/>
        <w:ind w:left="1134"/>
      </w:pPr>
    </w:p>
    <w:p w14:paraId="287EA8CE" w14:textId="30C3ACB3" w:rsidR="00930844" w:rsidRDefault="00930844" w:rsidP="00676780">
      <w:pPr>
        <w:pStyle w:val="Bullet"/>
        <w:spacing w:before="0" w:after="0"/>
      </w:pPr>
      <w:r>
        <w:t>an oral notice in relation to eligible contracts of insurance.</w:t>
      </w:r>
    </w:p>
    <w:p w14:paraId="00E0212C" w14:textId="77777777" w:rsidR="00676780" w:rsidRDefault="00676780" w:rsidP="00676780">
      <w:pPr>
        <w:pStyle w:val="Bullet"/>
        <w:numPr>
          <w:ilvl w:val="0"/>
          <w:numId w:val="0"/>
        </w:numPr>
        <w:spacing w:before="0" w:after="0"/>
        <w:ind w:left="567"/>
      </w:pPr>
    </w:p>
    <w:p w14:paraId="39653634" w14:textId="0EA1CC9F" w:rsidR="000E3918" w:rsidRDefault="0017712A" w:rsidP="00676780">
      <w:pPr>
        <w:spacing w:before="0" w:after="0"/>
      </w:pPr>
      <w:r w:rsidRPr="0017712A">
        <w:t xml:space="preserve">Details of the Regulation are set out in the </w:t>
      </w:r>
      <w:r w:rsidRPr="00A22AC1">
        <w:rPr>
          <w:u w:val="single"/>
        </w:rPr>
        <w:t>Attachment</w:t>
      </w:r>
      <w:r w:rsidRPr="0017712A">
        <w:t xml:space="preserve">.   </w:t>
      </w:r>
    </w:p>
    <w:p w14:paraId="5900D5FD" w14:textId="77777777" w:rsidR="00676780" w:rsidRDefault="00676780" w:rsidP="00676780">
      <w:pPr>
        <w:spacing w:before="0" w:after="0"/>
      </w:pPr>
    </w:p>
    <w:p w14:paraId="156EB89A" w14:textId="7033A0FD" w:rsidR="0017712A" w:rsidRDefault="0017712A" w:rsidP="00676780">
      <w:pPr>
        <w:spacing w:before="0" w:after="0"/>
      </w:pPr>
      <w:r w:rsidRPr="0017712A">
        <w:t>The Principle Act specifies no conditions that need to be satisfied before the power to make the Regulation may be exercised.</w:t>
      </w:r>
    </w:p>
    <w:p w14:paraId="75C6F46F" w14:textId="77777777" w:rsidR="00676780" w:rsidRDefault="00676780" w:rsidP="00676780">
      <w:pPr>
        <w:spacing w:before="0" w:after="0"/>
      </w:pPr>
    </w:p>
    <w:p w14:paraId="43C3B287" w14:textId="77777777" w:rsidR="0017712A" w:rsidRDefault="0017712A" w:rsidP="00676780">
      <w:pPr>
        <w:pStyle w:val="Bullet"/>
        <w:numPr>
          <w:ilvl w:val="0"/>
          <w:numId w:val="0"/>
        </w:numPr>
        <w:spacing w:before="0" w:after="0"/>
      </w:pPr>
      <w:r>
        <w:t xml:space="preserve">The Regulation would be a legislative instrument for the purposes of the </w:t>
      </w:r>
      <w:r>
        <w:rPr>
          <w:i/>
        </w:rPr>
        <w:t>Legislative Instruments Act 2003</w:t>
      </w:r>
      <w:r>
        <w:t xml:space="preserve">. </w:t>
      </w:r>
    </w:p>
    <w:p w14:paraId="2376C4B6" w14:textId="77777777" w:rsidR="00676780" w:rsidRDefault="00676780" w:rsidP="00676780">
      <w:pPr>
        <w:pStyle w:val="Bullet"/>
        <w:numPr>
          <w:ilvl w:val="0"/>
          <w:numId w:val="0"/>
        </w:numPr>
        <w:spacing w:before="0" w:after="0"/>
      </w:pPr>
    </w:p>
    <w:p w14:paraId="19FF6569" w14:textId="13C20492" w:rsidR="0017712A" w:rsidRDefault="00676780" w:rsidP="00676780">
      <w:pPr>
        <w:spacing w:before="0" w:after="0"/>
      </w:pPr>
      <w:r>
        <w:t xml:space="preserve">Sections 1 to 4 and </w:t>
      </w:r>
      <w:r w:rsidR="0017712A">
        <w:t xml:space="preserve">Schedule 1 </w:t>
      </w:r>
      <w:r>
        <w:t>to</w:t>
      </w:r>
      <w:r w:rsidR="0017712A">
        <w:t xml:space="preserve"> the Regulation commence the day after registration. </w:t>
      </w:r>
      <w:r>
        <w:t xml:space="preserve"> </w:t>
      </w:r>
      <w:r w:rsidR="0017712A">
        <w:t xml:space="preserve">Schedule 2 </w:t>
      </w:r>
      <w:r>
        <w:t>to</w:t>
      </w:r>
      <w:r w:rsidR="0017712A">
        <w:t xml:space="preserve"> the Regulation commence</w:t>
      </w:r>
      <w:r>
        <w:t>s</w:t>
      </w:r>
      <w:r w:rsidR="0017712A">
        <w:t xml:space="preserve"> on 28 December 2015.</w:t>
      </w:r>
    </w:p>
    <w:p w14:paraId="291DCC8D" w14:textId="77777777" w:rsidR="00676780" w:rsidRDefault="00676780" w:rsidP="00676780">
      <w:pPr>
        <w:spacing w:before="0" w:after="0"/>
      </w:pPr>
    </w:p>
    <w:p w14:paraId="796B935C" w14:textId="3E4E1AB9" w:rsidR="00954215" w:rsidRDefault="00954215" w:rsidP="00676780">
      <w:pPr>
        <w:spacing w:before="0" w:after="0"/>
      </w:pPr>
      <w:r>
        <w:lastRenderedPageBreak/>
        <w:t xml:space="preserve">An exposure draft of the Regulation was released for public consultation between 2 and 27 June 2014.  </w:t>
      </w:r>
      <w:r w:rsidR="00076855">
        <w:t>S</w:t>
      </w:r>
      <w:r>
        <w:t xml:space="preserve">ubmissions were received from </w:t>
      </w:r>
      <w:r w:rsidR="00076855">
        <w:t>the</w:t>
      </w:r>
      <w:r w:rsidR="006244E7">
        <w:t xml:space="preserve"> Consumer Action Law Centre, Financial Rights Legal Centre, Insurance Council of Australia,</w:t>
      </w:r>
      <w:r w:rsidR="00076855">
        <w:t xml:space="preserve"> National Insurance Brokers Association, </w:t>
      </w:r>
      <w:r w:rsidR="006244E7">
        <w:t>Law Council of Australia and Financial Services Council.  One confidential submission was also received.</w:t>
      </w:r>
    </w:p>
    <w:p w14:paraId="2430BC05" w14:textId="77777777" w:rsidR="00676780" w:rsidRDefault="00676780" w:rsidP="00676780">
      <w:pPr>
        <w:spacing w:before="0" w:after="0"/>
      </w:pPr>
    </w:p>
    <w:p w14:paraId="2592A960" w14:textId="556411DC" w:rsidR="00954215" w:rsidRDefault="00954215" w:rsidP="00676780">
      <w:pPr>
        <w:spacing w:before="0" w:after="0"/>
      </w:pPr>
      <w:r>
        <w:t xml:space="preserve">Minor changes to the Regulation were made arising from this consultation. </w:t>
      </w:r>
    </w:p>
    <w:p w14:paraId="1B4EEFA7" w14:textId="141B458C" w:rsidR="000726AC" w:rsidRDefault="000726AC">
      <w:pPr>
        <w:rPr>
          <w:i/>
        </w:rPr>
      </w:pPr>
    </w:p>
    <w:p w14:paraId="1A25D23C" w14:textId="77777777" w:rsidR="000726AC" w:rsidRDefault="000726AC">
      <w:pPr>
        <w:spacing w:before="0" w:after="0"/>
        <w:rPr>
          <w:i/>
        </w:rPr>
      </w:pPr>
      <w:r>
        <w:rPr>
          <w:i/>
        </w:rPr>
        <w:br w:type="page"/>
      </w:r>
    </w:p>
    <w:p w14:paraId="593DA171" w14:textId="6C83E98A" w:rsidR="00676780" w:rsidRDefault="00676780" w:rsidP="00A22AC1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</w:t>
      </w:r>
    </w:p>
    <w:p w14:paraId="1BA346E6" w14:textId="77777777" w:rsidR="00676780" w:rsidRDefault="00676780" w:rsidP="00A22AC1">
      <w:pPr>
        <w:spacing w:before="0" w:after="0"/>
        <w:rPr>
          <w:b/>
          <w:u w:val="single"/>
        </w:rPr>
      </w:pPr>
    </w:p>
    <w:p w14:paraId="37FF18A5" w14:textId="78D9E2F3" w:rsidR="000726AC" w:rsidRDefault="000726AC" w:rsidP="00A22AC1">
      <w:pPr>
        <w:spacing w:before="0" w:after="0"/>
        <w:rPr>
          <w:b/>
          <w:u w:val="single"/>
        </w:rPr>
      </w:pPr>
      <w:r>
        <w:rPr>
          <w:b/>
          <w:u w:val="single"/>
        </w:rPr>
        <w:t xml:space="preserve">Details of the </w:t>
      </w:r>
      <w:r>
        <w:rPr>
          <w:b/>
          <w:i/>
          <w:u w:val="single"/>
        </w:rPr>
        <w:t>Insurance Contracts Amendment Regulation 2015 (No.  1)</w:t>
      </w:r>
    </w:p>
    <w:p w14:paraId="50614B68" w14:textId="0D76C1C9" w:rsidR="000726AC" w:rsidRDefault="000726AC" w:rsidP="000726AC">
      <w:pPr>
        <w:rPr>
          <w:u w:val="single"/>
        </w:rPr>
      </w:pPr>
      <w:r>
        <w:rPr>
          <w:u w:val="single"/>
        </w:rPr>
        <w:br/>
        <w:t xml:space="preserve">Section 1 – Name </w:t>
      </w:r>
    </w:p>
    <w:p w14:paraId="3FB03198" w14:textId="47B00C79" w:rsidR="000726AC" w:rsidRDefault="000726AC" w:rsidP="000726AC">
      <w:r>
        <w:t xml:space="preserve">The name of the Regulation is the </w:t>
      </w:r>
      <w:r>
        <w:rPr>
          <w:i/>
        </w:rPr>
        <w:t>Insurance Contracts Amendment Regulation</w:t>
      </w:r>
      <w:r w:rsidR="00676780">
        <w:rPr>
          <w:i/>
        </w:rPr>
        <w:t> </w:t>
      </w:r>
      <w:r>
        <w:rPr>
          <w:i/>
        </w:rPr>
        <w:t>2015(No. 1)</w:t>
      </w:r>
      <w:r w:rsidR="00676780">
        <w:t xml:space="preserve"> (Regulation).</w:t>
      </w:r>
    </w:p>
    <w:p w14:paraId="30A2657E" w14:textId="656B771F" w:rsidR="000726AC" w:rsidRDefault="000726AC" w:rsidP="000726AC">
      <w:pPr>
        <w:rPr>
          <w:u w:val="single"/>
        </w:rPr>
      </w:pPr>
      <w:r>
        <w:rPr>
          <w:u w:val="single"/>
        </w:rPr>
        <w:t>Section 2 – Commencement</w:t>
      </w:r>
    </w:p>
    <w:p w14:paraId="611C7022" w14:textId="41449BDB" w:rsidR="000726AC" w:rsidRDefault="000726AC" w:rsidP="000726AC">
      <w:r>
        <w:t>The Regulation will commence as below:</w:t>
      </w:r>
    </w:p>
    <w:p w14:paraId="1B06AEA2" w14:textId="69782127" w:rsidR="000726AC" w:rsidRDefault="000726AC" w:rsidP="000726AC">
      <w:pPr>
        <w:pStyle w:val="Bullet"/>
      </w:pPr>
      <w:r>
        <w:t>Sections 1 to 4 and Schedule 1 – the day after the Regulation is registered; and</w:t>
      </w:r>
    </w:p>
    <w:p w14:paraId="59E47618" w14:textId="6F850D81" w:rsidR="000726AC" w:rsidRDefault="000726AC" w:rsidP="000726AC">
      <w:pPr>
        <w:pStyle w:val="Bullet"/>
      </w:pPr>
      <w:r>
        <w:t>Schedule 2 – 28 December 2015.</w:t>
      </w:r>
    </w:p>
    <w:p w14:paraId="29E3B038" w14:textId="77777777" w:rsidR="000726AC" w:rsidRDefault="000726AC" w:rsidP="000726AC">
      <w:pPr>
        <w:rPr>
          <w:u w:val="single"/>
        </w:rPr>
      </w:pPr>
      <w:r>
        <w:rPr>
          <w:u w:val="single"/>
        </w:rPr>
        <w:t>Section 3 – Authority</w:t>
      </w:r>
    </w:p>
    <w:p w14:paraId="1EEC16F5" w14:textId="439ECBF9" w:rsidR="000726AC" w:rsidRDefault="000726AC" w:rsidP="000726AC">
      <w:r>
        <w:t xml:space="preserve">The </w:t>
      </w:r>
      <w:r w:rsidR="00676780">
        <w:t>R</w:t>
      </w:r>
      <w:r>
        <w:t xml:space="preserve">egulation would be made under the </w:t>
      </w:r>
      <w:r>
        <w:rPr>
          <w:i/>
        </w:rPr>
        <w:t>Insurance Contracts Act 1984</w:t>
      </w:r>
      <w:r>
        <w:t xml:space="preserve"> (</w:t>
      </w:r>
      <w:r w:rsidR="00676780">
        <w:t>Principal </w:t>
      </w:r>
      <w:r>
        <w:t xml:space="preserve">Act).  </w:t>
      </w:r>
    </w:p>
    <w:p w14:paraId="522A48AB" w14:textId="77777777" w:rsidR="000726AC" w:rsidRDefault="000726AC" w:rsidP="000726AC">
      <w:pPr>
        <w:rPr>
          <w:u w:val="single"/>
        </w:rPr>
      </w:pPr>
      <w:r>
        <w:rPr>
          <w:u w:val="single"/>
        </w:rPr>
        <w:t>Section 4 – Schedules</w:t>
      </w:r>
    </w:p>
    <w:p w14:paraId="3B32BBA9" w14:textId="3E03E733" w:rsidR="000726AC" w:rsidRDefault="000726AC" w:rsidP="000726AC">
      <w:r>
        <w:t xml:space="preserve">Schedule 1 amends the </w:t>
      </w:r>
      <w:r>
        <w:rPr>
          <w:i/>
        </w:rPr>
        <w:t>Insurance Contracts Regulations 1985</w:t>
      </w:r>
      <w:r>
        <w:t xml:space="preserve"> (Principal Regulations) to prescribe words (notices) insurers may use to inform </w:t>
      </w:r>
      <w:proofErr w:type="spellStart"/>
      <w:r>
        <w:t>insureds</w:t>
      </w:r>
      <w:proofErr w:type="spellEnd"/>
      <w:r>
        <w:t xml:space="preserve"> about their duty of disclosure.  Separate notices are prescribed for:</w:t>
      </w:r>
    </w:p>
    <w:p w14:paraId="24561FAF" w14:textId="77777777" w:rsidR="000726AC" w:rsidRDefault="000726AC" w:rsidP="000726AC">
      <w:pPr>
        <w:pStyle w:val="Bullet"/>
      </w:pPr>
      <w:r>
        <w:t>contracts of general insurance (other than eligible contracts);</w:t>
      </w:r>
    </w:p>
    <w:p w14:paraId="170A3586" w14:textId="77777777" w:rsidR="000726AC" w:rsidRDefault="000726AC" w:rsidP="000726AC">
      <w:pPr>
        <w:pStyle w:val="Bullet"/>
      </w:pPr>
      <w:r>
        <w:t>contracts of life insurance;</w:t>
      </w:r>
    </w:p>
    <w:p w14:paraId="7DB40AF3" w14:textId="409CB3E1" w:rsidR="000726AC" w:rsidRDefault="000726AC" w:rsidP="000726AC">
      <w:pPr>
        <w:pStyle w:val="Bullet"/>
      </w:pPr>
      <w:r>
        <w:t>eligible contracts of insurance (including renewal notices); and</w:t>
      </w:r>
    </w:p>
    <w:p w14:paraId="7F151219" w14:textId="77777777" w:rsidR="000726AC" w:rsidRDefault="000726AC" w:rsidP="000726AC">
      <w:pPr>
        <w:pStyle w:val="Bullet"/>
      </w:pPr>
      <w:r>
        <w:t>oral notification of the duty of disclosure for eligible contracts of insurance.</w:t>
      </w:r>
    </w:p>
    <w:p w14:paraId="666432A7" w14:textId="77777777" w:rsidR="000726AC" w:rsidRDefault="000726AC" w:rsidP="000726AC">
      <w:r>
        <w:t xml:space="preserve">Schedule 2 amends the Principal Regulations to prescribe notices that insurers may use to inform </w:t>
      </w:r>
      <w:proofErr w:type="spellStart"/>
      <w:r>
        <w:t>insureds</w:t>
      </w:r>
      <w:proofErr w:type="spellEnd"/>
      <w:r>
        <w:t xml:space="preserve"> about their duty of disclosure in relation to:</w:t>
      </w:r>
    </w:p>
    <w:p w14:paraId="2CF82E53" w14:textId="2EFC93D2" w:rsidR="000726AC" w:rsidRDefault="000726AC" w:rsidP="000726AC">
      <w:pPr>
        <w:pStyle w:val="Bullet"/>
      </w:pPr>
      <w:r>
        <w:t>contracts of life insurance;</w:t>
      </w:r>
    </w:p>
    <w:p w14:paraId="4815F115" w14:textId="77777777" w:rsidR="000726AC" w:rsidRDefault="000726AC" w:rsidP="000726AC">
      <w:pPr>
        <w:pStyle w:val="Bullet"/>
      </w:pPr>
      <w:r>
        <w:t>persons to be insured other than the insured;</w:t>
      </w:r>
      <w:r w:rsidRPr="009E62E0">
        <w:t xml:space="preserve"> </w:t>
      </w:r>
      <w:r>
        <w:t>and</w:t>
      </w:r>
    </w:p>
    <w:p w14:paraId="0CCE7EAF" w14:textId="77777777" w:rsidR="000726AC" w:rsidRDefault="000726AC" w:rsidP="000726AC">
      <w:pPr>
        <w:pStyle w:val="Bullet"/>
      </w:pPr>
      <w:r>
        <w:t xml:space="preserve">reminding </w:t>
      </w:r>
      <w:proofErr w:type="spellStart"/>
      <w:r>
        <w:t>insureds</w:t>
      </w:r>
      <w:proofErr w:type="spellEnd"/>
      <w:r>
        <w:t xml:space="preserve"> about their duty of disclosure when an insurer’s acceptance of, or counter-offer to, a contract of insurance in made more than two months after the insured’s most recent disclosure. </w:t>
      </w:r>
    </w:p>
    <w:p w14:paraId="44A15336" w14:textId="77777777" w:rsidR="000726AC" w:rsidRDefault="000726AC" w:rsidP="000726AC">
      <w:pPr>
        <w:rPr>
          <w:u w:val="single"/>
        </w:rPr>
      </w:pPr>
      <w:r>
        <w:rPr>
          <w:u w:val="single"/>
        </w:rPr>
        <w:t>Schedule 1 – Amendments commencing the day after registration</w:t>
      </w:r>
    </w:p>
    <w:p w14:paraId="7C0214A2" w14:textId="61E611FB" w:rsidR="000726AC" w:rsidRDefault="000726AC" w:rsidP="000726AC">
      <w:r w:rsidRPr="007E6311">
        <w:rPr>
          <w:u w:val="single"/>
        </w:rPr>
        <w:t>Item 1</w:t>
      </w:r>
      <w:r w:rsidRPr="007E6311">
        <w:t xml:space="preserve"> inserts </w:t>
      </w:r>
      <w:r>
        <w:t xml:space="preserve">regulation </w:t>
      </w:r>
      <w:r w:rsidR="00BD6486">
        <w:t xml:space="preserve">2B into the Principal Regulations. Regulation 2B provides </w:t>
      </w:r>
      <w:r w:rsidR="006244E7">
        <w:t>a mechanism</w:t>
      </w:r>
      <w:r w:rsidR="00EB3F29">
        <w:t xml:space="preserve"> </w:t>
      </w:r>
      <w:r w:rsidR="006244E7">
        <w:t xml:space="preserve">for insurers that have opted </w:t>
      </w:r>
      <w:r w:rsidR="00EB3F29">
        <w:t xml:space="preserve">to make a contract an </w:t>
      </w:r>
      <w:r w:rsidR="006244E7">
        <w:t>eligible contract</w:t>
      </w:r>
      <w:r w:rsidR="00EB3F29">
        <w:t xml:space="preserve"> under paragraph</w:t>
      </w:r>
      <w:r w:rsidR="00EC7FDE">
        <w:t xml:space="preserve"> 2B(2</w:t>
      </w:r>
      <w:r w:rsidR="00EB3F29">
        <w:t>)(c) of the Principal Regulations</w:t>
      </w:r>
      <w:r w:rsidR="006244E7">
        <w:t xml:space="preserve"> </w:t>
      </w:r>
      <w:r w:rsidR="00EB3F29">
        <w:t xml:space="preserve">to opt-out of </w:t>
      </w:r>
      <w:r w:rsidR="00EC7FDE">
        <w:t xml:space="preserve">the eligible contract requirements under section 21B of </w:t>
      </w:r>
      <w:r w:rsidR="006F08C1">
        <w:t xml:space="preserve">the Principal </w:t>
      </w:r>
      <w:r w:rsidR="00EC7FDE">
        <w:t>Act.</w:t>
      </w:r>
    </w:p>
    <w:p w14:paraId="6D765641" w14:textId="480209BD" w:rsidR="00EC7FDE" w:rsidRDefault="00EC7FDE" w:rsidP="000726AC">
      <w:r>
        <w:t xml:space="preserve">In order to do this, insurers must meet the criteria in </w:t>
      </w:r>
      <w:proofErr w:type="spellStart"/>
      <w:r>
        <w:t>subregulation</w:t>
      </w:r>
      <w:proofErr w:type="spellEnd"/>
      <w:r>
        <w:t xml:space="preserve"> 2B(3).</w:t>
      </w:r>
    </w:p>
    <w:p w14:paraId="76DE78C5" w14:textId="36C95DE7" w:rsidR="000726AC" w:rsidRDefault="000726AC" w:rsidP="000726AC">
      <w:r w:rsidRPr="00EC7FDE">
        <w:rPr>
          <w:u w:val="single"/>
        </w:rPr>
        <w:t>Item 2</w:t>
      </w:r>
      <w:r w:rsidR="00EC7FDE">
        <w:t xml:space="preserve"> inserts </w:t>
      </w:r>
      <w:proofErr w:type="spellStart"/>
      <w:r w:rsidR="00EC7FDE">
        <w:t>subregulation</w:t>
      </w:r>
      <w:proofErr w:type="spellEnd"/>
      <w:r w:rsidR="00EC7FDE">
        <w:t xml:space="preserve"> 3(1) into the Principal Regulations. </w:t>
      </w:r>
      <w:proofErr w:type="spellStart"/>
      <w:r w:rsidR="00EC7FDE">
        <w:t>Subregulation</w:t>
      </w:r>
      <w:proofErr w:type="spellEnd"/>
      <w:r w:rsidR="00EC7FDE">
        <w:t xml:space="preserve"> 3(1) prescribes the form in Part 4 of Schedule 1 as the form of writing that may be used for the purposes of subsection 22(1) of the</w:t>
      </w:r>
      <w:r w:rsidR="006F08C1">
        <w:t xml:space="preserve"> Principal </w:t>
      </w:r>
      <w:r w:rsidR="00EC7FDE">
        <w:t>Act in relation to the renewal of an eligible contract of insurance.</w:t>
      </w:r>
    </w:p>
    <w:p w14:paraId="4FCC0963" w14:textId="7DED84B4" w:rsidR="000726AC" w:rsidRDefault="000726AC" w:rsidP="000726AC">
      <w:r w:rsidRPr="00646FA8">
        <w:rPr>
          <w:u w:val="single"/>
        </w:rPr>
        <w:t>Item 3</w:t>
      </w:r>
      <w:r w:rsidR="00EC7FDE">
        <w:t xml:space="preserve"> </w:t>
      </w:r>
      <w:r>
        <w:t>insert</w:t>
      </w:r>
      <w:r w:rsidR="00EC7FDE">
        <w:t>s</w:t>
      </w:r>
      <w:r>
        <w:t xml:space="preserve"> 42 into the Principal Regulations which, despite the repeal of Schedules 1 and 2 in the Principal Regulations, provides that until 28 December 2015 the repealed Schedules (current notices) or the Schedules substituted by item 2 of Schedule 1 and items 4 and 5 of Schedule 2 of the regulation (new notices) may be used for the purposes of regulation 3 of the Principal Regulations.  </w:t>
      </w:r>
    </w:p>
    <w:p w14:paraId="6191037D" w14:textId="77777777" w:rsidR="000726AC" w:rsidRDefault="000726AC" w:rsidP="000726AC">
      <w:r>
        <w:t xml:space="preserve">Therefore, until 28 December 2015, insurers may use either the current notices or the new notices.  </w:t>
      </w:r>
    </w:p>
    <w:p w14:paraId="133FBB2A" w14:textId="77777777" w:rsidR="000726AC" w:rsidRDefault="000726AC" w:rsidP="000726AC">
      <w:r>
        <w:t>This regulation will expire on 28 December 2015, with insurers required to use the new notices from that date.</w:t>
      </w:r>
    </w:p>
    <w:p w14:paraId="0EFBEB30" w14:textId="3456D470" w:rsidR="000726AC" w:rsidRDefault="000726AC" w:rsidP="000726AC">
      <w:r w:rsidRPr="00CB676D">
        <w:rPr>
          <w:u w:val="single"/>
        </w:rPr>
        <w:t xml:space="preserve">Item </w:t>
      </w:r>
      <w:r w:rsidR="00AC74F2">
        <w:rPr>
          <w:u w:val="single"/>
        </w:rPr>
        <w:t>4</w:t>
      </w:r>
      <w:r>
        <w:t xml:space="preserve"> repeals the current notices and inserts new notices into the Principal Regulations as below:</w:t>
      </w:r>
    </w:p>
    <w:p w14:paraId="717A5B5D" w14:textId="77777777" w:rsidR="000726AC" w:rsidRDefault="000726AC" w:rsidP="000726AC">
      <w:pPr>
        <w:pStyle w:val="Bullet"/>
      </w:pPr>
      <w:r>
        <w:t>Schedule 1:</w:t>
      </w:r>
    </w:p>
    <w:p w14:paraId="7E0FF132" w14:textId="77777777" w:rsidR="000726AC" w:rsidRDefault="000726AC" w:rsidP="000726AC">
      <w:pPr>
        <w:pStyle w:val="Dash"/>
      </w:pPr>
      <w:r>
        <w:t>contracts of general insurance, other than eligible contracts</w:t>
      </w:r>
      <w:r w:rsidRPr="008814D4">
        <w:t xml:space="preserve"> </w:t>
      </w:r>
      <w:r>
        <w:t>(Part 1);</w:t>
      </w:r>
    </w:p>
    <w:p w14:paraId="44A51974" w14:textId="77777777" w:rsidR="000726AC" w:rsidRDefault="000726AC" w:rsidP="000726AC">
      <w:pPr>
        <w:pStyle w:val="Dash"/>
      </w:pPr>
      <w:r>
        <w:t>contracts of life insurance</w:t>
      </w:r>
      <w:r w:rsidRPr="008814D4">
        <w:t xml:space="preserve"> </w:t>
      </w:r>
      <w:r>
        <w:t>(Part 2);</w:t>
      </w:r>
    </w:p>
    <w:p w14:paraId="0CCE4E96" w14:textId="77777777" w:rsidR="000726AC" w:rsidRDefault="000726AC" w:rsidP="000726AC">
      <w:pPr>
        <w:pStyle w:val="Dash"/>
      </w:pPr>
      <w:r>
        <w:t>eligible contracts of insurance</w:t>
      </w:r>
      <w:r w:rsidRPr="008814D4">
        <w:t xml:space="preserve"> </w:t>
      </w:r>
      <w:r>
        <w:t>(Part 3);</w:t>
      </w:r>
    </w:p>
    <w:p w14:paraId="61A982FE" w14:textId="77777777" w:rsidR="000726AC" w:rsidRDefault="000726AC" w:rsidP="000726AC">
      <w:pPr>
        <w:pStyle w:val="Bullet"/>
      </w:pPr>
      <w:r>
        <w:t xml:space="preserve">Schedule 2 – words to inform </w:t>
      </w:r>
      <w:proofErr w:type="spellStart"/>
      <w:r>
        <w:t>insureds</w:t>
      </w:r>
      <w:proofErr w:type="spellEnd"/>
      <w:r>
        <w:t xml:space="preserve"> of the duty of disclosure for eligible contracts of insurance (oral notices).</w:t>
      </w:r>
    </w:p>
    <w:p w14:paraId="3F133472" w14:textId="77777777" w:rsidR="000726AC" w:rsidRPr="00A10B4B" w:rsidRDefault="000726AC" w:rsidP="000726AC">
      <w:pPr>
        <w:rPr>
          <w:u w:val="single"/>
        </w:rPr>
      </w:pPr>
      <w:r w:rsidRPr="00A10B4B">
        <w:rPr>
          <w:u w:val="single"/>
        </w:rPr>
        <w:t xml:space="preserve">Schedule </w:t>
      </w:r>
      <w:r>
        <w:rPr>
          <w:u w:val="single"/>
        </w:rPr>
        <w:t>2</w:t>
      </w:r>
      <w:r w:rsidRPr="00A10B4B">
        <w:rPr>
          <w:u w:val="single"/>
        </w:rPr>
        <w:t xml:space="preserve"> – Amendments commencing </w:t>
      </w:r>
      <w:r>
        <w:rPr>
          <w:u w:val="single"/>
        </w:rPr>
        <w:t>on 28 December 2015</w:t>
      </w:r>
    </w:p>
    <w:p w14:paraId="5ECFE203" w14:textId="77777777" w:rsidR="000726AC" w:rsidRDefault="000726AC" w:rsidP="000726AC">
      <w:pPr>
        <w:pStyle w:val="Bullet"/>
        <w:numPr>
          <w:ilvl w:val="0"/>
          <w:numId w:val="0"/>
        </w:numPr>
      </w:pPr>
      <w:r w:rsidRPr="00F228DC">
        <w:rPr>
          <w:u w:val="single"/>
        </w:rPr>
        <w:t>Item 2</w:t>
      </w:r>
      <w:r>
        <w:t xml:space="preserve"> repeals regulation 3 in the Principal Regulations and substitutes: </w:t>
      </w:r>
    </w:p>
    <w:p w14:paraId="681E7CCE" w14:textId="3253AC82" w:rsidR="000726AC" w:rsidRDefault="000726AC" w:rsidP="000726AC">
      <w:pPr>
        <w:pStyle w:val="Bullet"/>
      </w:pPr>
      <w:r>
        <w:t xml:space="preserve">a new regulation 3, which provides that the new written notices in Parts 1, 2, 3 and 4 of Schedule 1 may be used by insurers for the purposes of subsection 22(1) of the </w:t>
      </w:r>
      <w:r w:rsidR="006F08C1">
        <w:t xml:space="preserve">Principal </w:t>
      </w:r>
      <w:r>
        <w:t>Act (as amended by the 2013 Amendment Act);</w:t>
      </w:r>
    </w:p>
    <w:p w14:paraId="74A6E45E" w14:textId="623B04A5" w:rsidR="000726AC" w:rsidRDefault="000726AC" w:rsidP="000726AC">
      <w:pPr>
        <w:pStyle w:val="Bullet"/>
      </w:pPr>
      <w:r>
        <w:t xml:space="preserve">regulation 3A, which provides that the new reminder notices in Parts 1, 2 and 3 of Schedule 1B may be used by insurers for the purposes of subsection 22(1) of the </w:t>
      </w:r>
      <w:r w:rsidR="006F08C1">
        <w:t xml:space="preserve">Principal </w:t>
      </w:r>
      <w:r>
        <w:t>Act (as amended by the 2013 Amendment Act); and</w:t>
      </w:r>
    </w:p>
    <w:p w14:paraId="4193DBD1" w14:textId="5FAFE795" w:rsidR="000726AC" w:rsidRDefault="000726AC" w:rsidP="000726AC">
      <w:pPr>
        <w:pStyle w:val="Bullet"/>
      </w:pPr>
      <w:r>
        <w:t xml:space="preserve">regulation 3B, which provides that the oral notice in Schedule 2 may be used by insurers for the purposes of subsection 22(1) of the </w:t>
      </w:r>
      <w:r w:rsidR="006F08C1">
        <w:t xml:space="preserve">Principal </w:t>
      </w:r>
      <w:r>
        <w:t>Act (as amended by the 2013 Amendment Act).</w:t>
      </w:r>
    </w:p>
    <w:p w14:paraId="6064A988" w14:textId="77777777" w:rsidR="000726AC" w:rsidRDefault="000726AC" w:rsidP="000726AC">
      <w:pPr>
        <w:pStyle w:val="Bullet"/>
        <w:numPr>
          <w:ilvl w:val="0"/>
          <w:numId w:val="0"/>
        </w:numPr>
      </w:pPr>
      <w:r w:rsidRPr="00661CDB">
        <w:rPr>
          <w:u w:val="single"/>
        </w:rPr>
        <w:t>Items 4 and 5</w:t>
      </w:r>
      <w:r>
        <w:t xml:space="preserve"> insert new written notices as below:</w:t>
      </w:r>
    </w:p>
    <w:p w14:paraId="10C8A0A0" w14:textId="77777777" w:rsidR="000726AC" w:rsidRDefault="000726AC" w:rsidP="000726AC">
      <w:pPr>
        <w:pStyle w:val="Bullet"/>
      </w:pPr>
      <w:r>
        <w:t xml:space="preserve"> Schedule 1 – renewal of eligible contracts of insurance</w:t>
      </w:r>
      <w:r w:rsidRPr="002A370C">
        <w:t xml:space="preserve"> </w:t>
      </w:r>
      <w:r>
        <w:t>(Part 4);</w:t>
      </w:r>
    </w:p>
    <w:p w14:paraId="7BC6C1E9" w14:textId="77777777" w:rsidR="000726AC" w:rsidRDefault="000726AC" w:rsidP="000726AC">
      <w:pPr>
        <w:pStyle w:val="Bullet"/>
      </w:pPr>
      <w:r>
        <w:t>Schedule1A – writing to inform persons to be insured by others;</w:t>
      </w:r>
    </w:p>
    <w:p w14:paraId="1309F2CC" w14:textId="77777777" w:rsidR="000726AC" w:rsidRDefault="000726AC" w:rsidP="000726AC">
      <w:pPr>
        <w:pStyle w:val="Bullet"/>
      </w:pPr>
      <w:r>
        <w:t>Schedule 1B – writing to remind of the duty of disclosure for:</w:t>
      </w:r>
    </w:p>
    <w:p w14:paraId="7FB425D7" w14:textId="77777777" w:rsidR="000726AC" w:rsidRDefault="000726AC" w:rsidP="000726AC">
      <w:pPr>
        <w:pStyle w:val="Dash"/>
      </w:pPr>
      <w:r>
        <w:t>contracts of general insurance</w:t>
      </w:r>
      <w:r w:rsidRPr="00E824D5">
        <w:t xml:space="preserve"> </w:t>
      </w:r>
      <w:r>
        <w:t>(Part 1);</w:t>
      </w:r>
    </w:p>
    <w:p w14:paraId="3D1CAFFA" w14:textId="77777777" w:rsidR="000726AC" w:rsidRDefault="000726AC" w:rsidP="000726AC">
      <w:pPr>
        <w:pStyle w:val="Dash"/>
      </w:pPr>
      <w:r>
        <w:t>contracts of life insurance (Part 2); and</w:t>
      </w:r>
    </w:p>
    <w:p w14:paraId="1097E1DD" w14:textId="77777777" w:rsidR="000726AC" w:rsidRDefault="000726AC" w:rsidP="000726AC">
      <w:pPr>
        <w:pStyle w:val="Dash"/>
      </w:pPr>
      <w:r>
        <w:t xml:space="preserve">eligible contracts of insurance (Part 3). </w:t>
      </w:r>
    </w:p>
    <w:p w14:paraId="2DC09F2C" w14:textId="77777777" w:rsidR="000726AC" w:rsidRDefault="000726AC" w:rsidP="000726AC">
      <w:pPr>
        <w:pStyle w:val="Bullet"/>
        <w:numPr>
          <w:ilvl w:val="0"/>
          <w:numId w:val="0"/>
        </w:numPr>
      </w:pPr>
      <w:r w:rsidRPr="00A5597F">
        <w:rPr>
          <w:u w:val="single"/>
        </w:rPr>
        <w:t>Item</w:t>
      </w:r>
      <w:r>
        <w:rPr>
          <w:u w:val="single"/>
        </w:rPr>
        <w:t>s</w:t>
      </w:r>
      <w:r w:rsidRPr="00A5597F">
        <w:rPr>
          <w:u w:val="single"/>
        </w:rPr>
        <w:t xml:space="preserve"> 1</w:t>
      </w:r>
      <w:r>
        <w:rPr>
          <w:u w:val="single"/>
        </w:rPr>
        <w:t>, 3 and 6</w:t>
      </w:r>
      <w:r w:rsidRPr="00661CDB">
        <w:t xml:space="preserve"> </w:t>
      </w:r>
      <w:r>
        <w:t>make consequential changes to headings and notes required by the amendments made in items 2, 4 and 5.</w:t>
      </w:r>
    </w:p>
    <w:p w14:paraId="35007B9A" w14:textId="3E4C8F64" w:rsidR="00F109D4" w:rsidRDefault="00F109D4">
      <w:pPr>
        <w:rPr>
          <w:i/>
        </w:rPr>
      </w:pPr>
    </w:p>
    <w:p w14:paraId="6E928F85" w14:textId="77777777" w:rsidR="00E4438C" w:rsidRDefault="00E4438C" w:rsidP="00E4438C">
      <w:pPr>
        <w:pStyle w:val="Heading3"/>
        <w:jc w:val="center"/>
      </w:pPr>
      <w:r>
        <w:t>Statement of Compatibility with Human Rights</w:t>
      </w:r>
    </w:p>
    <w:p w14:paraId="0798D396" w14:textId="77777777" w:rsidR="00E4438C" w:rsidRPr="00E4438C" w:rsidRDefault="00E4438C" w:rsidP="00E4438C">
      <w:pPr>
        <w:jc w:val="center"/>
        <w:rPr>
          <w:i/>
        </w:rPr>
      </w:pPr>
      <w:r w:rsidRPr="00E4438C">
        <w:rPr>
          <w:i/>
        </w:rPr>
        <w:t>Prepared in accordance with Part 3 of the Human Rights (Parliamentary Scrutiny) Act 2011</w:t>
      </w:r>
    </w:p>
    <w:p w14:paraId="0CF9D51F" w14:textId="32E48741" w:rsidR="00E4438C" w:rsidRPr="00E4438C" w:rsidRDefault="00177E0A" w:rsidP="00E4438C">
      <w:pPr>
        <w:jc w:val="center"/>
        <w:rPr>
          <w:b/>
        </w:rPr>
      </w:pPr>
      <w:r w:rsidRPr="00177E0A">
        <w:rPr>
          <w:b/>
        </w:rPr>
        <w:t>Insurance Contracts Amendment Regulation 2015 (No. 1)</w:t>
      </w:r>
    </w:p>
    <w:p w14:paraId="6771BF81" w14:textId="77777777" w:rsidR="00E4438C" w:rsidRDefault="00E4438C" w:rsidP="00E4438C">
      <w:r>
        <w:t xml:space="preserve">This Legislative Instrument is compatible with the human rights and freedoms recognised or declared in the international instruments listed in section 3 of the </w:t>
      </w:r>
      <w:r w:rsidRPr="00E4438C">
        <w:rPr>
          <w:i/>
        </w:rPr>
        <w:t>Human Rights (Parliamentary Scrutiny) Act 2011</w:t>
      </w:r>
      <w:r>
        <w:t>.</w:t>
      </w:r>
    </w:p>
    <w:p w14:paraId="11CCAF61" w14:textId="77777777" w:rsidR="00E4438C" w:rsidRDefault="00E4438C" w:rsidP="00E4438C">
      <w:pPr>
        <w:pStyle w:val="Heading4"/>
      </w:pPr>
      <w:r>
        <w:t xml:space="preserve">Overview of the </w:t>
      </w:r>
      <w:r w:rsidRPr="00E4438C">
        <w:t>Legislative</w:t>
      </w:r>
      <w:r>
        <w:t xml:space="preserve"> Instrument</w:t>
      </w:r>
    </w:p>
    <w:p w14:paraId="32A0DC22" w14:textId="77777777" w:rsidR="00177E0A" w:rsidRDefault="00177E0A" w:rsidP="00177E0A">
      <w:pPr>
        <w:spacing w:before="0" w:after="0"/>
      </w:pPr>
      <w:r>
        <w:t>The purpose of the Regulation is to amend the Principle Regulations to prescribe new notices which reflect the amendments made to the duty of disclosure by the 2013 Amendment Act.</w:t>
      </w:r>
    </w:p>
    <w:p w14:paraId="253CA3E8" w14:textId="77777777" w:rsidR="00E4438C" w:rsidRDefault="00E4438C" w:rsidP="00E4438C">
      <w:pPr>
        <w:pStyle w:val="Heading4"/>
      </w:pPr>
      <w:r>
        <w:t>Human rights implications</w:t>
      </w:r>
    </w:p>
    <w:p w14:paraId="2268C47D" w14:textId="77777777" w:rsidR="00E4438C" w:rsidRDefault="00E4438C" w:rsidP="00E4438C">
      <w:r>
        <w:t>This Legislative Instrument does not engage any of the applicable rights or freedoms.</w:t>
      </w:r>
    </w:p>
    <w:p w14:paraId="2846B4A5" w14:textId="77777777" w:rsidR="00E4438C" w:rsidRDefault="00E4438C" w:rsidP="00E4438C">
      <w:pPr>
        <w:pStyle w:val="Heading4"/>
      </w:pPr>
      <w:r>
        <w:t>Conclusion</w:t>
      </w:r>
    </w:p>
    <w:p w14:paraId="3B8CF17D" w14:textId="77777777" w:rsidR="00E4438C" w:rsidRDefault="00E4438C" w:rsidP="00E4438C">
      <w:r>
        <w:t>This Legislative Instrument is compatible with human rights as it does not raise any human rights issues.</w:t>
      </w:r>
    </w:p>
    <w:sectPr w:rsidR="00E4438C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B3"/>
    <w:multiLevelType w:val="multilevel"/>
    <w:tmpl w:val="3E3E4FDA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33583E4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69"/>
    <w:rsid w:val="00016EA2"/>
    <w:rsid w:val="000726AC"/>
    <w:rsid w:val="00076855"/>
    <w:rsid w:val="00095211"/>
    <w:rsid w:val="000C10DF"/>
    <w:rsid w:val="000D38A6"/>
    <w:rsid w:val="000E3918"/>
    <w:rsid w:val="00113B45"/>
    <w:rsid w:val="0017712A"/>
    <w:rsid w:val="00177E0A"/>
    <w:rsid w:val="001E6A74"/>
    <w:rsid w:val="001F41D0"/>
    <w:rsid w:val="00220F16"/>
    <w:rsid w:val="00254C5B"/>
    <w:rsid w:val="002F7963"/>
    <w:rsid w:val="003342CD"/>
    <w:rsid w:val="00335042"/>
    <w:rsid w:val="00392BBA"/>
    <w:rsid w:val="004C0A8C"/>
    <w:rsid w:val="004E39E1"/>
    <w:rsid w:val="00503E44"/>
    <w:rsid w:val="00515283"/>
    <w:rsid w:val="0055675D"/>
    <w:rsid w:val="005833BE"/>
    <w:rsid w:val="005D7D5A"/>
    <w:rsid w:val="0060130D"/>
    <w:rsid w:val="006244E7"/>
    <w:rsid w:val="0064129F"/>
    <w:rsid w:val="00676780"/>
    <w:rsid w:val="006F08C1"/>
    <w:rsid w:val="00761B69"/>
    <w:rsid w:val="007E018D"/>
    <w:rsid w:val="00807E7D"/>
    <w:rsid w:val="00831675"/>
    <w:rsid w:val="0088467C"/>
    <w:rsid w:val="008D16F7"/>
    <w:rsid w:val="00930844"/>
    <w:rsid w:val="00954215"/>
    <w:rsid w:val="009E2F86"/>
    <w:rsid w:val="00A12209"/>
    <w:rsid w:val="00A22AC1"/>
    <w:rsid w:val="00A36DF3"/>
    <w:rsid w:val="00A532DD"/>
    <w:rsid w:val="00A80BCF"/>
    <w:rsid w:val="00AC74F2"/>
    <w:rsid w:val="00B07B0C"/>
    <w:rsid w:val="00BD61A2"/>
    <w:rsid w:val="00BD6486"/>
    <w:rsid w:val="00BE484D"/>
    <w:rsid w:val="00C37E05"/>
    <w:rsid w:val="00C55D29"/>
    <w:rsid w:val="00C946E6"/>
    <w:rsid w:val="00D34626"/>
    <w:rsid w:val="00D4257A"/>
    <w:rsid w:val="00DC0CDE"/>
    <w:rsid w:val="00E0624D"/>
    <w:rsid w:val="00E4438C"/>
    <w:rsid w:val="00E457F3"/>
    <w:rsid w:val="00EB3F29"/>
    <w:rsid w:val="00EB7E71"/>
    <w:rsid w:val="00EC7FDE"/>
    <w:rsid w:val="00F109D4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F0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2014RG-86-12761</_dlc_DocId>
    <_dlc_DocIdUrl xmlns="9f7bc583-7cbe-45b9-a2bd-8bbb6543b37e">
      <Url>http://tweb/sites/rg/ldp/lmu/_layouts/15/DocIdRedir.aspx?ID=2014RG-86-12761</Url>
      <Description>2014RG-86-12761</Description>
    </_dlc_DocIdUrl>
  </documentManagement>
</p:properti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7" ma:contentTypeDescription=" " ma:contentTypeScope="" ma:versionID="8c2c2b48f8cdf5a516cff142e9fb3c11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targetNamespace="http://schemas.microsoft.com/office/2006/metadata/properties" ma:root="true" ma:fieldsID="dae03b1008b7399435e4a24fc1b987ab" ns1:_="" ns2:_="">
    <xsd:import namespace="http://schemas.microsoft.com/sharepoint/v3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C236-B162-4A20-BDE7-94D98FC4CA0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f7bc583-7cbe-45b9-a2bd-8bbb6543b37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0E633E-70F2-4AC0-8BB3-C907FFEEC6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8CE627-5C52-4354-98F7-735164F59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1BCAC-EAA6-44A1-985D-3296A66E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73AD6F-5F9D-4271-95BA-1CACD6B5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1</TotalTime>
  <Pages>5</Pages>
  <Words>1203</Words>
  <Characters>6465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Sutcliffe, Ward</dc:creator>
  <cp:lastModifiedBy>Alabaster, John</cp:lastModifiedBy>
  <cp:revision>2</cp:revision>
  <cp:lastPrinted>2011-09-27T02:53:00Z</cp:lastPrinted>
  <dcterms:created xsi:type="dcterms:W3CDTF">2015-04-14T03:52:00Z</dcterms:created>
  <dcterms:modified xsi:type="dcterms:W3CDTF">2015-04-14T03:52:00Z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1976330213</vt:i4>
  </property>
  <property fmtid="{D5CDD505-2E9C-101B-9397-08002B2CF9AE}" pid="3" name="_NewReviewCycle">
    <vt:lpwstr/>
  </property>
  <property fmtid="{D5CDD505-2E9C-101B-9397-08002B2CF9AE}" pid="4" name="_EmailSubject">
    <vt:lpwstr>Insurance - Duty of Disclosure</vt:lpwstr>
  </property>
  <property fmtid="{D5CDD505-2E9C-101B-9397-08002B2CF9AE}" pid="5" name="_AuthorEmail">
    <vt:lpwstr>Leron.Kwong@TREASURY.GOV.AU</vt:lpwstr>
  </property>
  <property fmtid="{D5CDD505-2E9C-101B-9397-08002B2CF9AE}" pid="6" name="_AuthorEmailDisplayName">
    <vt:lpwstr>Kwong, Leron</vt:lpwstr>
  </property>
  <property fmtid="{D5CDD505-2E9C-101B-9397-08002B2CF9AE}" pid="7" name="ContentTypeId">
    <vt:lpwstr>0x01010036BB8DE7EC542E42A8B2E98CC20CB69700A0A840AFAB52624689FA9AA81E9EF0D1</vt:lpwstr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_dlc_DocIdItemGuid">
    <vt:lpwstr>84ecb102-f959-4295-8c83-735cc4a917cf</vt:lpwstr>
  </property>
  <property fmtid="{D5CDD505-2E9C-101B-9397-08002B2CF9AE}" pid="10" name="_PreviousAdHocReviewCycleID">
    <vt:i4>-2119910230</vt:i4>
  </property>
  <property fmtid="{D5CDD505-2E9C-101B-9397-08002B2CF9AE}" pid="11" name="_ReviewingToolsShownOnce">
    <vt:lpwstr/>
  </property>
</Properties>
</file>