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21" w:rsidRPr="004A5FC6" w:rsidRDefault="003C3821" w:rsidP="003C3821">
      <w:pPr>
        <w:rPr>
          <w:sz w:val="28"/>
        </w:rPr>
      </w:pPr>
      <w:r w:rsidRPr="004A5FC6">
        <w:rPr>
          <w:noProof/>
          <w:lang w:eastAsia="en-AU"/>
        </w:rPr>
        <w:drawing>
          <wp:inline distT="0" distB="0" distL="0" distR="0">
            <wp:extent cx="1414145" cy="1105535"/>
            <wp:effectExtent l="0" t="0" r="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14145" cy="1105535"/>
                    </a:xfrm>
                    <a:prstGeom prst="rect">
                      <a:avLst/>
                    </a:prstGeom>
                    <a:noFill/>
                    <a:ln>
                      <a:noFill/>
                    </a:ln>
                  </pic:spPr>
                </pic:pic>
              </a:graphicData>
            </a:graphic>
          </wp:inline>
        </w:drawing>
      </w:r>
      <w:r w:rsidRPr="004A5FC6">
        <w:tab/>
      </w:r>
      <w:bookmarkStart w:id="0" w:name="Draft_and_version"/>
      <w:bookmarkEnd w:id="0"/>
    </w:p>
    <w:p w:rsidR="003C3821" w:rsidRPr="004A5FC6" w:rsidRDefault="003C3821" w:rsidP="003C3821">
      <w:pPr>
        <w:rPr>
          <w:sz w:val="19"/>
        </w:rPr>
      </w:pPr>
    </w:p>
    <w:p w:rsidR="003C3821" w:rsidRDefault="003C3821" w:rsidP="003C3821">
      <w:pPr>
        <w:rPr>
          <w:rFonts w:ascii="Arial" w:hAnsi="Arial"/>
          <w:color w:val="808080" w:themeColor="background1" w:themeShade="80"/>
        </w:rPr>
      </w:pPr>
    </w:p>
    <w:p w:rsidR="003C3821" w:rsidRPr="004A5FC6" w:rsidRDefault="003C3821" w:rsidP="003C3821">
      <w:pPr>
        <w:rPr>
          <w:rFonts w:ascii="Arial" w:hAnsi="Arial"/>
          <w:color w:val="808080" w:themeColor="background1" w:themeShade="80"/>
        </w:rPr>
      </w:pPr>
    </w:p>
    <w:p w:rsidR="003C3821" w:rsidRPr="004A5FC6" w:rsidRDefault="003C3821" w:rsidP="003C3821">
      <w:pPr>
        <w:pStyle w:val="ShortT"/>
      </w:pPr>
      <w:bookmarkStart w:id="1" w:name="Citation"/>
      <w:r w:rsidRPr="004A5FC6">
        <w:t>Carbon Credits (</w:t>
      </w:r>
      <w:r>
        <w:t>Carbon Farming Initiative</w:t>
      </w:r>
      <w:r w:rsidRPr="00DC4D05">
        <w:rPr>
          <w:i/>
          <w:noProof/>
          <w:color w:val="000000" w:themeColor="text1"/>
        </w:rPr>
        <w:t>—</w:t>
      </w:r>
      <w:r>
        <w:t>Reducing Greenhouse Gas Emissions from Fertiliser in Irrigated Cotton</w:t>
      </w:r>
      <w:r w:rsidRPr="004A5FC6">
        <w:t>) Methodology Determination 201</w:t>
      </w:r>
      <w:bookmarkEnd w:id="1"/>
      <w:r>
        <w:t>5</w:t>
      </w:r>
    </w:p>
    <w:p w:rsidR="003C3821" w:rsidRPr="00E85610" w:rsidRDefault="003C3821" w:rsidP="003C3821">
      <w:pPr>
        <w:pStyle w:val="SignCoverPageStart"/>
        <w:rPr>
          <w:szCs w:val="22"/>
        </w:rPr>
      </w:pPr>
      <w:r w:rsidRPr="00E85610">
        <w:rPr>
          <w:szCs w:val="22"/>
        </w:rPr>
        <w:t>I, Greg Hunt, Minister for the Environment, make the following determination.</w:t>
      </w:r>
    </w:p>
    <w:p w:rsidR="003C3821" w:rsidRPr="004A5FC6" w:rsidRDefault="003C3821" w:rsidP="003C3821">
      <w:pPr>
        <w:tabs>
          <w:tab w:val="left" w:pos="3119"/>
        </w:tabs>
        <w:spacing w:before="300" w:after="600" w:line="300" w:lineRule="atLeast"/>
      </w:pPr>
      <w:r w:rsidRPr="004A5FC6">
        <w:t>Dated</w:t>
      </w:r>
      <w:bookmarkStart w:id="2" w:name="BKCheck15B_1"/>
      <w:bookmarkEnd w:id="2"/>
      <w:r w:rsidR="003A36E6">
        <w:t xml:space="preserve">      </w:t>
      </w:r>
      <w:r w:rsidR="003A36E6">
        <w:rPr>
          <w:szCs w:val="22"/>
        </w:rPr>
        <w:t xml:space="preserve">21      April        </w:t>
      </w:r>
      <w:r>
        <w:rPr>
          <w:szCs w:val="22"/>
        </w:rPr>
        <w:t>2015</w:t>
      </w:r>
      <w:r w:rsidRPr="004A5FC6">
        <w:t xml:space="preserve">   </w:t>
      </w:r>
      <w:r>
        <w:t xml:space="preserve">   </w:t>
      </w:r>
    </w:p>
    <w:p w:rsidR="003A36E6" w:rsidRDefault="003A36E6" w:rsidP="003A36E6">
      <w:pPr>
        <w:tabs>
          <w:tab w:val="left" w:pos="3119"/>
        </w:tabs>
        <w:spacing w:before="300" w:line="300" w:lineRule="atLeast"/>
      </w:pPr>
      <w:r>
        <w:t>Greg Hunt</w:t>
      </w:r>
    </w:p>
    <w:p w:rsidR="003C3821" w:rsidRPr="004A5FC6" w:rsidRDefault="003C3821" w:rsidP="003C3821">
      <w:pPr>
        <w:tabs>
          <w:tab w:val="left" w:pos="3119"/>
        </w:tabs>
        <w:spacing w:before="300" w:after="600" w:line="300" w:lineRule="atLeast"/>
      </w:pPr>
      <w:r>
        <w:t>Greg Hunt</w:t>
      </w:r>
    </w:p>
    <w:p w:rsidR="003C3821" w:rsidRPr="004A5FC6" w:rsidRDefault="003C3821" w:rsidP="003C3821">
      <w:pPr>
        <w:pBdr>
          <w:bottom w:val="single" w:sz="4" w:space="12" w:color="auto"/>
        </w:pBdr>
        <w:tabs>
          <w:tab w:val="left" w:pos="3119"/>
        </w:tabs>
        <w:spacing w:after="240" w:line="300" w:lineRule="atLeast"/>
      </w:pPr>
      <w:r w:rsidRPr="004A5FC6">
        <w:t xml:space="preserve">Minister for the Environment </w:t>
      </w:r>
    </w:p>
    <w:p w:rsidR="003C3821" w:rsidRDefault="003C3821" w:rsidP="003C3821">
      <w:pPr>
        <w:rPr>
          <w:rFonts w:ascii="Arial" w:hAnsi="Arial" w:cs="Arial"/>
          <w:b/>
          <w:iCs/>
          <w:sz w:val="36"/>
          <w:szCs w:val="22"/>
        </w:rPr>
      </w:pPr>
      <w:r>
        <w:br w:type="page"/>
      </w:r>
    </w:p>
    <w:p w:rsidR="003C3821" w:rsidRPr="002A0313" w:rsidRDefault="003C3821" w:rsidP="003C3821">
      <w:pPr>
        <w:rPr>
          <w:sz w:val="36"/>
        </w:rPr>
      </w:pPr>
      <w:r w:rsidRPr="002A0313">
        <w:rPr>
          <w:sz w:val="36"/>
        </w:rPr>
        <w:lastRenderedPageBreak/>
        <w:t>Contents</w:t>
      </w:r>
    </w:p>
    <w:p w:rsidR="003C3821" w:rsidRDefault="003C3821" w:rsidP="003C3821"/>
    <w:p w:rsidR="00E424CB" w:rsidRDefault="008E4033">
      <w:pPr>
        <w:pStyle w:val="TOC2"/>
        <w:rPr>
          <w:rFonts w:asciiTheme="minorHAnsi" w:eastAsiaTheme="minorEastAsia" w:hAnsiTheme="minorHAnsi" w:cstheme="minorBidi"/>
          <w:b w:val="0"/>
          <w:noProof/>
          <w:kern w:val="0"/>
          <w:sz w:val="22"/>
          <w:szCs w:val="22"/>
        </w:rPr>
      </w:pPr>
      <w:r w:rsidRPr="008E4033">
        <w:fldChar w:fldCharType="begin"/>
      </w:r>
      <w:r w:rsidR="003C3821">
        <w:instrText xml:space="preserve"> TOC \o1-9 </w:instrText>
      </w:r>
      <w:r w:rsidRPr="008E4033">
        <w:fldChar w:fldCharType="separate"/>
      </w:r>
      <w:r w:rsidR="00E424CB">
        <w:rPr>
          <w:noProof/>
        </w:rPr>
        <w:t>Part 1 —Preliminary</w:t>
      </w:r>
      <w:r w:rsidR="00E424CB">
        <w:rPr>
          <w:noProof/>
        </w:rPr>
        <w:tab/>
      </w:r>
      <w:r>
        <w:rPr>
          <w:noProof/>
        </w:rPr>
        <w:fldChar w:fldCharType="begin"/>
      </w:r>
      <w:r w:rsidR="00E424CB">
        <w:rPr>
          <w:noProof/>
        </w:rPr>
        <w:instrText xml:space="preserve"> PAGEREF _Toc416182696 \h </w:instrText>
      </w:r>
      <w:r>
        <w:rPr>
          <w:noProof/>
        </w:rPr>
      </w:r>
      <w:r>
        <w:rPr>
          <w:noProof/>
        </w:rPr>
        <w:fldChar w:fldCharType="separate"/>
      </w:r>
      <w:r w:rsidR="00E424CB">
        <w:rPr>
          <w:noProof/>
        </w:rPr>
        <w:t>4</w:t>
      </w:r>
      <w:r>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  Name</w:t>
      </w:r>
      <w:r>
        <w:rPr>
          <w:noProof/>
        </w:rPr>
        <w:tab/>
      </w:r>
      <w:r w:rsidR="008E4033">
        <w:rPr>
          <w:noProof/>
        </w:rPr>
        <w:fldChar w:fldCharType="begin"/>
      </w:r>
      <w:r>
        <w:rPr>
          <w:noProof/>
        </w:rPr>
        <w:instrText xml:space="preserve"> PAGEREF _Toc416182697 \h </w:instrText>
      </w:r>
      <w:r w:rsidR="008E4033">
        <w:rPr>
          <w:noProof/>
        </w:rPr>
      </w:r>
      <w:r w:rsidR="008E4033">
        <w:rPr>
          <w:noProof/>
        </w:rPr>
        <w:fldChar w:fldCharType="separate"/>
      </w:r>
      <w:r>
        <w:rPr>
          <w:noProof/>
        </w:rPr>
        <w:t>4</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  Commencement</w:t>
      </w:r>
      <w:r>
        <w:rPr>
          <w:noProof/>
        </w:rPr>
        <w:tab/>
      </w:r>
      <w:r w:rsidR="008E4033">
        <w:rPr>
          <w:noProof/>
        </w:rPr>
        <w:fldChar w:fldCharType="begin"/>
      </w:r>
      <w:r>
        <w:rPr>
          <w:noProof/>
        </w:rPr>
        <w:instrText xml:space="preserve"> PAGEREF _Toc416182698 \h </w:instrText>
      </w:r>
      <w:r w:rsidR="008E4033">
        <w:rPr>
          <w:noProof/>
        </w:rPr>
      </w:r>
      <w:r w:rsidR="008E4033">
        <w:rPr>
          <w:noProof/>
        </w:rPr>
        <w:fldChar w:fldCharType="separate"/>
      </w:r>
      <w:r>
        <w:rPr>
          <w:noProof/>
        </w:rPr>
        <w:t>4</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3  Authority</w:t>
      </w:r>
      <w:r>
        <w:rPr>
          <w:noProof/>
        </w:rPr>
        <w:tab/>
      </w:r>
      <w:r w:rsidR="008E4033">
        <w:rPr>
          <w:noProof/>
        </w:rPr>
        <w:fldChar w:fldCharType="begin"/>
      </w:r>
      <w:r>
        <w:rPr>
          <w:noProof/>
        </w:rPr>
        <w:instrText xml:space="preserve"> PAGEREF _Toc416182699 \h </w:instrText>
      </w:r>
      <w:r w:rsidR="008E4033">
        <w:rPr>
          <w:noProof/>
        </w:rPr>
      </w:r>
      <w:r w:rsidR="008E4033">
        <w:rPr>
          <w:noProof/>
        </w:rPr>
        <w:fldChar w:fldCharType="separate"/>
      </w:r>
      <w:r>
        <w:rPr>
          <w:noProof/>
        </w:rPr>
        <w:t>4</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4  Duration</w:t>
      </w:r>
      <w:r>
        <w:rPr>
          <w:noProof/>
        </w:rPr>
        <w:tab/>
      </w:r>
      <w:r w:rsidR="008E4033">
        <w:rPr>
          <w:noProof/>
        </w:rPr>
        <w:fldChar w:fldCharType="begin"/>
      </w:r>
      <w:r>
        <w:rPr>
          <w:noProof/>
        </w:rPr>
        <w:instrText xml:space="preserve"> PAGEREF _Toc416182700 \h </w:instrText>
      </w:r>
      <w:r w:rsidR="008E4033">
        <w:rPr>
          <w:noProof/>
        </w:rPr>
      </w:r>
      <w:r w:rsidR="008E4033">
        <w:rPr>
          <w:noProof/>
        </w:rPr>
        <w:fldChar w:fldCharType="separate"/>
      </w:r>
      <w:r>
        <w:rPr>
          <w:noProof/>
        </w:rPr>
        <w:t>4</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5  Definitions</w:t>
      </w:r>
      <w:r>
        <w:rPr>
          <w:noProof/>
        </w:rPr>
        <w:tab/>
      </w:r>
      <w:r w:rsidR="008E4033">
        <w:rPr>
          <w:noProof/>
        </w:rPr>
        <w:fldChar w:fldCharType="begin"/>
      </w:r>
      <w:r>
        <w:rPr>
          <w:noProof/>
        </w:rPr>
        <w:instrText xml:space="preserve"> PAGEREF _Toc416182701 \h </w:instrText>
      </w:r>
      <w:r w:rsidR="008E4033">
        <w:rPr>
          <w:noProof/>
        </w:rPr>
      </w:r>
      <w:r w:rsidR="008E4033">
        <w:rPr>
          <w:noProof/>
        </w:rPr>
        <w:fldChar w:fldCharType="separate"/>
      </w:r>
      <w:r>
        <w:rPr>
          <w:noProof/>
        </w:rPr>
        <w:t>4</w:t>
      </w:r>
      <w:r w:rsidR="008E4033">
        <w:rPr>
          <w:noProof/>
        </w:rPr>
        <w:fldChar w:fldCharType="end"/>
      </w:r>
    </w:p>
    <w:p w:rsidR="00E424CB" w:rsidRDefault="00E424CB">
      <w:pPr>
        <w:pStyle w:val="TOC2"/>
        <w:rPr>
          <w:rFonts w:asciiTheme="minorHAnsi" w:eastAsiaTheme="minorEastAsia" w:hAnsiTheme="minorHAnsi" w:cstheme="minorBidi"/>
          <w:b w:val="0"/>
          <w:noProof/>
          <w:kern w:val="0"/>
          <w:sz w:val="22"/>
          <w:szCs w:val="22"/>
        </w:rPr>
      </w:pPr>
      <w:r>
        <w:rPr>
          <w:noProof/>
        </w:rPr>
        <w:t>Part 2 —Irrigated cotton projects</w:t>
      </w:r>
      <w:r>
        <w:rPr>
          <w:noProof/>
        </w:rPr>
        <w:tab/>
      </w:r>
      <w:r w:rsidR="008E4033">
        <w:rPr>
          <w:noProof/>
        </w:rPr>
        <w:fldChar w:fldCharType="begin"/>
      </w:r>
      <w:r>
        <w:rPr>
          <w:noProof/>
        </w:rPr>
        <w:instrText xml:space="preserve"> PAGEREF _Toc416182702 \h </w:instrText>
      </w:r>
      <w:r w:rsidR="008E4033">
        <w:rPr>
          <w:noProof/>
        </w:rPr>
      </w:r>
      <w:r w:rsidR="008E4033">
        <w:rPr>
          <w:noProof/>
        </w:rPr>
        <w:fldChar w:fldCharType="separate"/>
      </w:r>
      <w:r>
        <w:rPr>
          <w:noProof/>
        </w:rPr>
        <w:t>7</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6  Irrigated cotton projects</w:t>
      </w:r>
      <w:r>
        <w:rPr>
          <w:noProof/>
        </w:rPr>
        <w:tab/>
      </w:r>
      <w:r w:rsidR="008E4033">
        <w:rPr>
          <w:noProof/>
        </w:rPr>
        <w:fldChar w:fldCharType="begin"/>
      </w:r>
      <w:r>
        <w:rPr>
          <w:noProof/>
        </w:rPr>
        <w:instrText xml:space="preserve"> PAGEREF _Toc416182703 \h </w:instrText>
      </w:r>
      <w:r w:rsidR="008E4033">
        <w:rPr>
          <w:noProof/>
        </w:rPr>
      </w:r>
      <w:r w:rsidR="008E4033">
        <w:rPr>
          <w:noProof/>
        </w:rPr>
        <w:fldChar w:fldCharType="separate"/>
      </w:r>
      <w:r>
        <w:rPr>
          <w:noProof/>
        </w:rPr>
        <w:t>7</w:t>
      </w:r>
      <w:r w:rsidR="008E4033">
        <w:rPr>
          <w:noProof/>
        </w:rPr>
        <w:fldChar w:fldCharType="end"/>
      </w:r>
    </w:p>
    <w:p w:rsidR="00E424CB" w:rsidRDefault="00E424CB">
      <w:pPr>
        <w:pStyle w:val="TOC2"/>
        <w:rPr>
          <w:rFonts w:asciiTheme="minorHAnsi" w:eastAsiaTheme="minorEastAsia" w:hAnsiTheme="minorHAnsi" w:cstheme="minorBidi"/>
          <w:b w:val="0"/>
          <w:noProof/>
          <w:kern w:val="0"/>
          <w:sz w:val="22"/>
          <w:szCs w:val="22"/>
        </w:rPr>
      </w:pPr>
      <w:r>
        <w:rPr>
          <w:noProof/>
        </w:rPr>
        <w:t>Part 3 —Project requirements</w:t>
      </w:r>
      <w:r>
        <w:rPr>
          <w:noProof/>
        </w:rPr>
        <w:tab/>
      </w:r>
      <w:r w:rsidR="008E4033">
        <w:rPr>
          <w:noProof/>
        </w:rPr>
        <w:fldChar w:fldCharType="begin"/>
      </w:r>
      <w:r>
        <w:rPr>
          <w:noProof/>
        </w:rPr>
        <w:instrText xml:space="preserve"> PAGEREF _Toc416182704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1 —Eligible projects</w:t>
      </w:r>
      <w:r>
        <w:rPr>
          <w:noProof/>
        </w:rPr>
        <w:tab/>
      </w:r>
      <w:r w:rsidR="008E4033">
        <w:rPr>
          <w:noProof/>
        </w:rPr>
        <w:fldChar w:fldCharType="begin"/>
      </w:r>
      <w:r>
        <w:rPr>
          <w:noProof/>
        </w:rPr>
        <w:instrText xml:space="preserve"> PAGEREF _Toc416182705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7  Operation of this Part</w:t>
      </w:r>
      <w:r>
        <w:rPr>
          <w:noProof/>
        </w:rPr>
        <w:tab/>
      </w:r>
      <w:r w:rsidR="008E4033">
        <w:rPr>
          <w:noProof/>
        </w:rPr>
        <w:fldChar w:fldCharType="begin"/>
      </w:r>
      <w:r>
        <w:rPr>
          <w:noProof/>
        </w:rPr>
        <w:instrText xml:space="preserve"> PAGEREF _Toc416182706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2 —Application for declaration</w:t>
      </w:r>
      <w:r>
        <w:rPr>
          <w:noProof/>
        </w:rPr>
        <w:tab/>
      </w:r>
      <w:r w:rsidR="008E4033">
        <w:rPr>
          <w:noProof/>
        </w:rPr>
        <w:fldChar w:fldCharType="begin"/>
      </w:r>
      <w:r>
        <w:rPr>
          <w:noProof/>
        </w:rPr>
        <w:instrText xml:space="preserve"> PAGEREF _Toc416182707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8  Emissions intensity reference period maps</w:t>
      </w:r>
      <w:r>
        <w:rPr>
          <w:noProof/>
        </w:rPr>
        <w:tab/>
      </w:r>
      <w:r w:rsidR="008E4033">
        <w:rPr>
          <w:noProof/>
        </w:rPr>
        <w:fldChar w:fldCharType="begin"/>
      </w:r>
      <w:r>
        <w:rPr>
          <w:noProof/>
        </w:rPr>
        <w:instrText xml:space="preserve"> PAGEREF _Toc416182708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3 —Management action</w:t>
      </w:r>
      <w:r>
        <w:rPr>
          <w:noProof/>
        </w:rPr>
        <w:tab/>
      </w:r>
      <w:r w:rsidR="008E4033">
        <w:rPr>
          <w:noProof/>
        </w:rPr>
        <w:fldChar w:fldCharType="begin"/>
      </w:r>
      <w:r>
        <w:rPr>
          <w:noProof/>
        </w:rPr>
        <w:instrText xml:space="preserve"> PAGEREF _Toc416182709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9  Management actions</w:t>
      </w:r>
      <w:r>
        <w:rPr>
          <w:noProof/>
        </w:rPr>
        <w:tab/>
      </w:r>
      <w:r w:rsidR="008E4033">
        <w:rPr>
          <w:noProof/>
        </w:rPr>
        <w:fldChar w:fldCharType="begin"/>
      </w:r>
      <w:r>
        <w:rPr>
          <w:noProof/>
        </w:rPr>
        <w:instrText xml:space="preserve"> PAGEREF _Toc416182710 \h </w:instrText>
      </w:r>
      <w:r w:rsidR="008E4033">
        <w:rPr>
          <w:noProof/>
        </w:rPr>
      </w:r>
      <w:r w:rsidR="008E4033">
        <w:rPr>
          <w:noProof/>
        </w:rPr>
        <w:fldChar w:fldCharType="separate"/>
      </w:r>
      <w:r>
        <w:rPr>
          <w:noProof/>
        </w:rPr>
        <w:t>8</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10  New management actions</w:t>
      </w:r>
      <w:r>
        <w:rPr>
          <w:noProof/>
        </w:rPr>
        <w:tab/>
      </w:r>
      <w:r w:rsidR="008E4033">
        <w:rPr>
          <w:noProof/>
        </w:rPr>
        <w:fldChar w:fldCharType="begin"/>
      </w:r>
      <w:r>
        <w:rPr>
          <w:noProof/>
        </w:rPr>
        <w:instrText xml:space="preserve"> PAGEREF _Toc416182711 \h </w:instrText>
      </w:r>
      <w:r w:rsidR="008E4033">
        <w:rPr>
          <w:noProof/>
        </w:rPr>
      </w:r>
      <w:r w:rsidR="008E4033">
        <w:rPr>
          <w:noProof/>
        </w:rPr>
        <w:fldChar w:fldCharType="separate"/>
      </w:r>
      <w:r>
        <w:rPr>
          <w:noProof/>
        </w:rPr>
        <w:t>9</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4 —Emissions intensity reference period</w:t>
      </w:r>
      <w:r>
        <w:rPr>
          <w:noProof/>
        </w:rPr>
        <w:tab/>
      </w:r>
      <w:r w:rsidR="008E4033">
        <w:rPr>
          <w:noProof/>
        </w:rPr>
        <w:fldChar w:fldCharType="begin"/>
      </w:r>
      <w:r>
        <w:rPr>
          <w:noProof/>
        </w:rPr>
        <w:instrText xml:space="preserve"> PAGEREF _Toc416182712 \h </w:instrText>
      </w:r>
      <w:r w:rsidR="008E4033">
        <w:rPr>
          <w:noProof/>
        </w:rPr>
      </w:r>
      <w:r w:rsidR="008E4033">
        <w:rPr>
          <w:noProof/>
        </w:rPr>
        <w:fldChar w:fldCharType="separate"/>
      </w:r>
      <w:r>
        <w:rPr>
          <w:noProof/>
        </w:rPr>
        <w:t>9</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11  Determining the emissions intensity reference period</w:t>
      </w:r>
      <w:r>
        <w:rPr>
          <w:noProof/>
        </w:rPr>
        <w:tab/>
      </w:r>
      <w:r w:rsidR="008E4033">
        <w:rPr>
          <w:noProof/>
        </w:rPr>
        <w:fldChar w:fldCharType="begin"/>
      </w:r>
      <w:r>
        <w:rPr>
          <w:noProof/>
        </w:rPr>
        <w:instrText xml:space="preserve"> PAGEREF _Toc416182713 \h </w:instrText>
      </w:r>
      <w:r w:rsidR="008E4033">
        <w:rPr>
          <w:noProof/>
        </w:rPr>
      </w:r>
      <w:r w:rsidR="008E4033">
        <w:rPr>
          <w:noProof/>
        </w:rPr>
        <w:fldChar w:fldCharType="separate"/>
      </w:r>
      <w:r>
        <w:rPr>
          <w:noProof/>
        </w:rPr>
        <w:t>9</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5 —Project area requirements</w:t>
      </w:r>
      <w:r>
        <w:rPr>
          <w:noProof/>
        </w:rPr>
        <w:tab/>
      </w:r>
      <w:r w:rsidR="008E4033">
        <w:rPr>
          <w:noProof/>
        </w:rPr>
        <w:fldChar w:fldCharType="begin"/>
      </w:r>
      <w:r>
        <w:rPr>
          <w:noProof/>
        </w:rPr>
        <w:instrText xml:space="preserve"> PAGEREF _Toc416182714 \h </w:instrText>
      </w:r>
      <w:r w:rsidR="008E4033">
        <w:rPr>
          <w:noProof/>
        </w:rPr>
      </w:r>
      <w:r w:rsidR="008E4033">
        <w:rPr>
          <w:noProof/>
        </w:rPr>
        <w:fldChar w:fldCharType="separate"/>
      </w:r>
      <w:r>
        <w:rPr>
          <w:noProof/>
        </w:rPr>
        <w:t>10</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12  Project area</w:t>
      </w:r>
      <w:r>
        <w:rPr>
          <w:noProof/>
        </w:rPr>
        <w:tab/>
      </w:r>
      <w:r w:rsidR="008E4033">
        <w:rPr>
          <w:noProof/>
        </w:rPr>
        <w:fldChar w:fldCharType="begin"/>
      </w:r>
      <w:r>
        <w:rPr>
          <w:noProof/>
        </w:rPr>
        <w:instrText xml:space="preserve"> PAGEREF _Toc416182715 \h </w:instrText>
      </w:r>
      <w:r w:rsidR="008E4033">
        <w:rPr>
          <w:noProof/>
        </w:rPr>
      </w:r>
      <w:r w:rsidR="008E4033">
        <w:rPr>
          <w:noProof/>
        </w:rPr>
        <w:fldChar w:fldCharType="separate"/>
      </w:r>
      <w:r>
        <w:rPr>
          <w:noProof/>
        </w:rPr>
        <w:t>10</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13  Stratification</w:t>
      </w:r>
      <w:r>
        <w:rPr>
          <w:noProof/>
        </w:rPr>
        <w:tab/>
      </w:r>
      <w:r w:rsidR="008E4033">
        <w:rPr>
          <w:noProof/>
        </w:rPr>
        <w:fldChar w:fldCharType="begin"/>
      </w:r>
      <w:r>
        <w:rPr>
          <w:noProof/>
        </w:rPr>
        <w:instrText xml:space="preserve"> PAGEREF _Toc416182716 \h </w:instrText>
      </w:r>
      <w:r w:rsidR="008E4033">
        <w:rPr>
          <w:noProof/>
        </w:rPr>
      </w:r>
      <w:r w:rsidR="008E4033">
        <w:rPr>
          <w:noProof/>
        </w:rPr>
        <w:fldChar w:fldCharType="separate"/>
      </w:r>
      <w:r>
        <w:rPr>
          <w:noProof/>
        </w:rPr>
        <w:t>10</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14  Mapping format and precision</w:t>
      </w:r>
      <w:r>
        <w:rPr>
          <w:noProof/>
        </w:rPr>
        <w:tab/>
      </w:r>
      <w:r w:rsidR="008E4033">
        <w:rPr>
          <w:noProof/>
        </w:rPr>
        <w:fldChar w:fldCharType="begin"/>
      </w:r>
      <w:r>
        <w:rPr>
          <w:noProof/>
        </w:rPr>
        <w:instrText xml:space="preserve"> PAGEREF _Toc416182717 \h </w:instrText>
      </w:r>
      <w:r w:rsidR="008E4033">
        <w:rPr>
          <w:noProof/>
        </w:rPr>
      </w:r>
      <w:r w:rsidR="008E4033">
        <w:rPr>
          <w:noProof/>
        </w:rPr>
        <w:fldChar w:fldCharType="separate"/>
      </w:r>
      <w:r>
        <w:rPr>
          <w:noProof/>
        </w:rPr>
        <w:t>10</w:t>
      </w:r>
      <w:r w:rsidR="008E4033">
        <w:rPr>
          <w:noProof/>
        </w:rPr>
        <w:fldChar w:fldCharType="end"/>
      </w:r>
    </w:p>
    <w:p w:rsidR="00E424CB" w:rsidRDefault="00E424CB">
      <w:pPr>
        <w:pStyle w:val="TOC2"/>
        <w:rPr>
          <w:rFonts w:asciiTheme="minorHAnsi" w:eastAsiaTheme="minorEastAsia" w:hAnsiTheme="minorHAnsi" w:cstheme="minorBidi"/>
          <w:b w:val="0"/>
          <w:noProof/>
          <w:kern w:val="0"/>
          <w:sz w:val="22"/>
          <w:szCs w:val="22"/>
        </w:rPr>
      </w:pPr>
      <w:r>
        <w:rPr>
          <w:noProof/>
        </w:rPr>
        <w:t>Part 4 —Net abatement amount</w:t>
      </w:r>
      <w:r>
        <w:rPr>
          <w:noProof/>
        </w:rPr>
        <w:tab/>
      </w:r>
      <w:r w:rsidR="008E4033">
        <w:rPr>
          <w:noProof/>
        </w:rPr>
        <w:fldChar w:fldCharType="begin"/>
      </w:r>
      <w:r>
        <w:rPr>
          <w:noProof/>
        </w:rPr>
        <w:instrText xml:space="preserve"> PAGEREF _Toc416182718 \h </w:instrText>
      </w:r>
      <w:r w:rsidR="008E4033">
        <w:rPr>
          <w:noProof/>
        </w:rPr>
      </w:r>
      <w:r w:rsidR="008E4033">
        <w:rPr>
          <w:noProof/>
        </w:rPr>
        <w:fldChar w:fldCharType="separate"/>
      </w:r>
      <w:r>
        <w:rPr>
          <w:noProof/>
        </w:rPr>
        <w:t>12</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1 —The net abatement amount</w:t>
      </w:r>
      <w:r>
        <w:rPr>
          <w:noProof/>
        </w:rPr>
        <w:tab/>
      </w:r>
      <w:r w:rsidR="008E4033">
        <w:rPr>
          <w:noProof/>
        </w:rPr>
        <w:fldChar w:fldCharType="begin"/>
      </w:r>
      <w:r>
        <w:rPr>
          <w:noProof/>
        </w:rPr>
        <w:instrText xml:space="preserve"> PAGEREF _Toc416182719 \h </w:instrText>
      </w:r>
      <w:r w:rsidR="008E4033">
        <w:rPr>
          <w:noProof/>
        </w:rPr>
      </w:r>
      <w:r w:rsidR="008E4033">
        <w:rPr>
          <w:noProof/>
        </w:rPr>
        <w:fldChar w:fldCharType="separate"/>
      </w:r>
      <w:r>
        <w:rPr>
          <w:noProof/>
        </w:rPr>
        <w:t>12</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15  Method for calculating the net abatement amount</w:t>
      </w:r>
      <w:r>
        <w:rPr>
          <w:noProof/>
        </w:rPr>
        <w:tab/>
      </w:r>
      <w:r w:rsidR="008E4033">
        <w:rPr>
          <w:noProof/>
        </w:rPr>
        <w:fldChar w:fldCharType="begin"/>
      </w:r>
      <w:r>
        <w:rPr>
          <w:noProof/>
        </w:rPr>
        <w:instrText xml:space="preserve"> PAGEREF _Toc416182720 \h </w:instrText>
      </w:r>
      <w:r w:rsidR="008E4033">
        <w:rPr>
          <w:noProof/>
        </w:rPr>
      </w:r>
      <w:r w:rsidR="008E4033">
        <w:rPr>
          <w:noProof/>
        </w:rPr>
        <w:fldChar w:fldCharType="separate"/>
      </w:r>
      <w:r>
        <w:rPr>
          <w:noProof/>
        </w:rPr>
        <w:t>12</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16  Gases accounted for in abatement calculations</w:t>
      </w:r>
      <w:r>
        <w:rPr>
          <w:noProof/>
        </w:rPr>
        <w:tab/>
      </w:r>
      <w:r w:rsidR="008E4033">
        <w:rPr>
          <w:noProof/>
        </w:rPr>
        <w:fldChar w:fldCharType="begin"/>
      </w:r>
      <w:r>
        <w:rPr>
          <w:noProof/>
        </w:rPr>
        <w:instrText xml:space="preserve"> PAGEREF _Toc416182721 \h </w:instrText>
      </w:r>
      <w:r w:rsidR="008E4033">
        <w:rPr>
          <w:noProof/>
        </w:rPr>
      </w:r>
      <w:r w:rsidR="008E4033">
        <w:rPr>
          <w:noProof/>
        </w:rPr>
        <w:fldChar w:fldCharType="separate"/>
      </w:r>
      <w:r>
        <w:rPr>
          <w:noProof/>
        </w:rPr>
        <w:t>12</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2 —The baseline emissions</w:t>
      </w:r>
      <w:r>
        <w:rPr>
          <w:noProof/>
        </w:rPr>
        <w:tab/>
      </w:r>
      <w:r w:rsidR="008E4033">
        <w:rPr>
          <w:noProof/>
        </w:rPr>
        <w:fldChar w:fldCharType="begin"/>
      </w:r>
      <w:r>
        <w:rPr>
          <w:noProof/>
        </w:rPr>
        <w:instrText xml:space="preserve"> PAGEREF _Toc416182722 \h </w:instrText>
      </w:r>
      <w:r w:rsidR="008E4033">
        <w:rPr>
          <w:noProof/>
        </w:rPr>
      </w:r>
      <w:r w:rsidR="008E4033">
        <w:rPr>
          <w:noProof/>
        </w:rPr>
        <w:fldChar w:fldCharType="separate"/>
      </w:r>
      <w:r>
        <w:rPr>
          <w:noProof/>
        </w:rPr>
        <w:t>13</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17  The baseline emissions</w:t>
      </w:r>
      <w:r>
        <w:rPr>
          <w:noProof/>
        </w:rPr>
        <w:tab/>
      </w:r>
      <w:r w:rsidR="008E4033">
        <w:rPr>
          <w:noProof/>
        </w:rPr>
        <w:fldChar w:fldCharType="begin"/>
      </w:r>
      <w:r>
        <w:rPr>
          <w:noProof/>
        </w:rPr>
        <w:instrText xml:space="preserve"> PAGEREF _Toc416182723 \h </w:instrText>
      </w:r>
      <w:r w:rsidR="008E4033">
        <w:rPr>
          <w:noProof/>
        </w:rPr>
      </w:r>
      <w:r w:rsidR="008E4033">
        <w:rPr>
          <w:noProof/>
        </w:rPr>
        <w:fldChar w:fldCharType="separate"/>
      </w:r>
      <w:r>
        <w:rPr>
          <w:noProof/>
        </w:rPr>
        <w:t>13</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18  The variance discount</w:t>
      </w:r>
      <w:r>
        <w:rPr>
          <w:noProof/>
        </w:rPr>
        <w:tab/>
      </w:r>
      <w:r w:rsidR="008E4033">
        <w:rPr>
          <w:noProof/>
        </w:rPr>
        <w:fldChar w:fldCharType="begin"/>
      </w:r>
      <w:r>
        <w:rPr>
          <w:noProof/>
        </w:rPr>
        <w:instrText xml:space="preserve"> PAGEREF _Toc416182724 \h </w:instrText>
      </w:r>
      <w:r w:rsidR="008E4033">
        <w:rPr>
          <w:noProof/>
        </w:rPr>
      </w:r>
      <w:r w:rsidR="008E4033">
        <w:rPr>
          <w:noProof/>
        </w:rPr>
        <w:fldChar w:fldCharType="separate"/>
      </w:r>
      <w:r>
        <w:rPr>
          <w:noProof/>
        </w:rPr>
        <w:t>13</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3 —The project emissions</w:t>
      </w:r>
      <w:r>
        <w:rPr>
          <w:noProof/>
        </w:rPr>
        <w:tab/>
      </w:r>
      <w:r w:rsidR="008E4033">
        <w:rPr>
          <w:noProof/>
        </w:rPr>
        <w:fldChar w:fldCharType="begin"/>
      </w:r>
      <w:r>
        <w:rPr>
          <w:noProof/>
        </w:rPr>
        <w:instrText xml:space="preserve"> PAGEREF _Toc416182725 \h </w:instrText>
      </w:r>
      <w:r w:rsidR="008E4033">
        <w:rPr>
          <w:noProof/>
        </w:rPr>
      </w:r>
      <w:r w:rsidR="008E4033">
        <w:rPr>
          <w:noProof/>
        </w:rPr>
        <w:fldChar w:fldCharType="separate"/>
      </w:r>
      <w:r>
        <w:rPr>
          <w:noProof/>
        </w:rPr>
        <w:t>13</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19  The project emissions</w:t>
      </w:r>
      <w:r>
        <w:rPr>
          <w:noProof/>
        </w:rPr>
        <w:tab/>
      </w:r>
      <w:r w:rsidR="008E4033">
        <w:rPr>
          <w:noProof/>
        </w:rPr>
        <w:fldChar w:fldCharType="begin"/>
      </w:r>
      <w:r>
        <w:rPr>
          <w:noProof/>
        </w:rPr>
        <w:instrText xml:space="preserve"> PAGEREF _Toc416182726 \h </w:instrText>
      </w:r>
      <w:r w:rsidR="008E4033">
        <w:rPr>
          <w:noProof/>
        </w:rPr>
      </w:r>
      <w:r w:rsidR="008E4033">
        <w:rPr>
          <w:noProof/>
        </w:rPr>
        <w:fldChar w:fldCharType="separate"/>
      </w:r>
      <w:r>
        <w:rPr>
          <w:noProof/>
        </w:rPr>
        <w:t>14</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4 —Use of Irrigated Cotton Calculator</w:t>
      </w:r>
      <w:r>
        <w:rPr>
          <w:noProof/>
        </w:rPr>
        <w:tab/>
      </w:r>
      <w:r w:rsidR="008E4033">
        <w:rPr>
          <w:noProof/>
        </w:rPr>
        <w:fldChar w:fldCharType="begin"/>
      </w:r>
      <w:r>
        <w:rPr>
          <w:noProof/>
        </w:rPr>
        <w:instrText xml:space="preserve"> PAGEREF _Toc416182727 \h </w:instrText>
      </w:r>
      <w:r w:rsidR="008E4033">
        <w:rPr>
          <w:noProof/>
        </w:rPr>
      </w:r>
      <w:r w:rsidR="008E4033">
        <w:rPr>
          <w:noProof/>
        </w:rPr>
        <w:fldChar w:fldCharType="separate"/>
      </w:r>
      <w:r>
        <w:rPr>
          <w:noProof/>
        </w:rPr>
        <w:t>14</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20  Requirement to use Irrigated Cotton Calculator</w:t>
      </w:r>
      <w:r>
        <w:rPr>
          <w:noProof/>
        </w:rPr>
        <w:tab/>
      </w:r>
      <w:r w:rsidR="008E4033">
        <w:rPr>
          <w:noProof/>
        </w:rPr>
        <w:fldChar w:fldCharType="begin"/>
      </w:r>
      <w:r>
        <w:rPr>
          <w:noProof/>
        </w:rPr>
        <w:instrText xml:space="preserve"> PAGEREF _Toc416182728 \h </w:instrText>
      </w:r>
      <w:r w:rsidR="008E4033">
        <w:rPr>
          <w:noProof/>
        </w:rPr>
      </w:r>
      <w:r w:rsidR="008E4033">
        <w:rPr>
          <w:noProof/>
        </w:rPr>
        <w:fldChar w:fldCharType="separate"/>
      </w:r>
      <w:r>
        <w:rPr>
          <w:noProof/>
        </w:rPr>
        <w:t>14</w:t>
      </w:r>
      <w:r w:rsidR="008E4033">
        <w:rPr>
          <w:noProof/>
        </w:rPr>
        <w:fldChar w:fldCharType="end"/>
      </w:r>
    </w:p>
    <w:p w:rsidR="00E424CB" w:rsidRDefault="00E424CB">
      <w:pPr>
        <w:pStyle w:val="TOC2"/>
        <w:rPr>
          <w:rFonts w:asciiTheme="minorHAnsi" w:eastAsiaTheme="minorEastAsia" w:hAnsiTheme="minorHAnsi" w:cstheme="minorBidi"/>
          <w:b w:val="0"/>
          <w:noProof/>
          <w:kern w:val="0"/>
          <w:sz w:val="22"/>
          <w:szCs w:val="22"/>
        </w:rPr>
      </w:pPr>
      <w:r>
        <w:rPr>
          <w:noProof/>
        </w:rPr>
        <w:t>Part 5 —Reporting, record-keeping and monitoring requirements</w:t>
      </w:r>
      <w:r>
        <w:rPr>
          <w:noProof/>
        </w:rPr>
        <w:tab/>
      </w:r>
      <w:r w:rsidR="008E4033">
        <w:rPr>
          <w:noProof/>
        </w:rPr>
        <w:fldChar w:fldCharType="begin"/>
      </w:r>
      <w:r>
        <w:rPr>
          <w:noProof/>
        </w:rPr>
        <w:instrText xml:space="preserve"> PAGEREF _Toc416182729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1 —Operation of this Part</w:t>
      </w:r>
      <w:r>
        <w:rPr>
          <w:noProof/>
        </w:rPr>
        <w:tab/>
      </w:r>
      <w:r w:rsidR="008E4033">
        <w:rPr>
          <w:noProof/>
        </w:rPr>
        <w:fldChar w:fldCharType="begin"/>
      </w:r>
      <w:r>
        <w:rPr>
          <w:noProof/>
        </w:rPr>
        <w:instrText xml:space="preserve"> PAGEREF _Toc416182730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21  Application</w:t>
      </w:r>
      <w:r>
        <w:rPr>
          <w:noProof/>
        </w:rPr>
        <w:tab/>
      </w:r>
      <w:r w:rsidR="008E4033">
        <w:rPr>
          <w:noProof/>
        </w:rPr>
        <w:fldChar w:fldCharType="begin"/>
      </w:r>
      <w:r>
        <w:rPr>
          <w:noProof/>
        </w:rPr>
        <w:instrText xml:space="preserve"> PAGEREF _Toc416182731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2 —Offsets report requirements</w:t>
      </w:r>
      <w:r>
        <w:rPr>
          <w:noProof/>
        </w:rPr>
        <w:tab/>
      </w:r>
      <w:r w:rsidR="008E4033">
        <w:rPr>
          <w:noProof/>
        </w:rPr>
        <w:fldChar w:fldCharType="begin"/>
      </w:r>
      <w:r>
        <w:rPr>
          <w:noProof/>
        </w:rPr>
        <w:instrText xml:space="preserve"> PAGEREF _Toc416182732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22  Information in each offsets report</w:t>
      </w:r>
      <w:r>
        <w:rPr>
          <w:noProof/>
        </w:rPr>
        <w:tab/>
      </w:r>
      <w:r w:rsidR="008E4033">
        <w:rPr>
          <w:noProof/>
        </w:rPr>
        <w:fldChar w:fldCharType="begin"/>
      </w:r>
      <w:r>
        <w:rPr>
          <w:noProof/>
        </w:rPr>
        <w:instrText xml:space="preserve"> PAGEREF _Toc416182733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3 —Record-keeping requirements</w:t>
      </w:r>
      <w:r>
        <w:rPr>
          <w:noProof/>
        </w:rPr>
        <w:tab/>
      </w:r>
      <w:r w:rsidR="008E4033">
        <w:rPr>
          <w:noProof/>
        </w:rPr>
        <w:fldChar w:fldCharType="begin"/>
      </w:r>
      <w:r>
        <w:rPr>
          <w:noProof/>
        </w:rPr>
        <w:instrText xml:space="preserve"> PAGEREF _Toc416182734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23  Records that must be created and kept</w:t>
      </w:r>
      <w:r>
        <w:rPr>
          <w:noProof/>
        </w:rPr>
        <w:tab/>
      </w:r>
      <w:r w:rsidR="008E4033">
        <w:rPr>
          <w:noProof/>
        </w:rPr>
        <w:fldChar w:fldCharType="begin"/>
      </w:r>
      <w:r>
        <w:rPr>
          <w:noProof/>
        </w:rPr>
        <w:instrText xml:space="preserve"> PAGEREF _Toc416182735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4 —Data and monitoring requirements</w:t>
      </w:r>
      <w:r>
        <w:rPr>
          <w:noProof/>
        </w:rPr>
        <w:tab/>
      </w:r>
      <w:r w:rsidR="008E4033">
        <w:rPr>
          <w:noProof/>
        </w:rPr>
        <w:fldChar w:fldCharType="begin"/>
      </w:r>
      <w:r>
        <w:rPr>
          <w:noProof/>
        </w:rPr>
        <w:instrText xml:space="preserve"> PAGEREF _Toc416182736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24  Monitoring requirement</w:t>
      </w:r>
      <w:r>
        <w:rPr>
          <w:noProof/>
        </w:rPr>
        <w:tab/>
      </w:r>
      <w:r w:rsidR="008E4033">
        <w:rPr>
          <w:noProof/>
        </w:rPr>
        <w:fldChar w:fldCharType="begin"/>
      </w:r>
      <w:r>
        <w:rPr>
          <w:noProof/>
        </w:rPr>
        <w:instrText xml:space="preserve"> PAGEREF _Toc416182737 \h </w:instrText>
      </w:r>
      <w:r w:rsidR="008E4033">
        <w:rPr>
          <w:noProof/>
        </w:rPr>
      </w:r>
      <w:r w:rsidR="008E4033">
        <w:rPr>
          <w:noProof/>
        </w:rPr>
        <w:fldChar w:fldCharType="separate"/>
      </w:r>
      <w:r>
        <w:rPr>
          <w:noProof/>
        </w:rPr>
        <w:t>16</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25  Cotton area</w:t>
      </w:r>
      <w:r>
        <w:rPr>
          <w:noProof/>
        </w:rPr>
        <w:tab/>
      </w:r>
      <w:r w:rsidR="008E4033">
        <w:rPr>
          <w:noProof/>
        </w:rPr>
        <w:fldChar w:fldCharType="begin"/>
      </w:r>
      <w:r>
        <w:rPr>
          <w:noProof/>
        </w:rPr>
        <w:instrText xml:space="preserve"> PAGEREF _Toc416182738 \h </w:instrText>
      </w:r>
      <w:r w:rsidR="008E4033">
        <w:rPr>
          <w:noProof/>
        </w:rPr>
      </w:r>
      <w:r w:rsidR="008E4033">
        <w:rPr>
          <w:noProof/>
        </w:rPr>
        <w:fldChar w:fldCharType="separate"/>
      </w:r>
      <w:r>
        <w:rPr>
          <w:noProof/>
        </w:rPr>
        <w:t>17</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26  Lint yield</w:t>
      </w:r>
      <w:r>
        <w:rPr>
          <w:noProof/>
        </w:rPr>
        <w:tab/>
      </w:r>
      <w:r w:rsidR="008E4033">
        <w:rPr>
          <w:noProof/>
        </w:rPr>
        <w:fldChar w:fldCharType="begin"/>
      </w:r>
      <w:r>
        <w:rPr>
          <w:noProof/>
        </w:rPr>
        <w:instrText xml:space="preserve"> PAGEREF _Toc416182739 \h </w:instrText>
      </w:r>
      <w:r w:rsidR="008E4033">
        <w:rPr>
          <w:noProof/>
        </w:rPr>
      </w:r>
      <w:r w:rsidR="008E4033">
        <w:rPr>
          <w:noProof/>
        </w:rPr>
        <w:fldChar w:fldCharType="separate"/>
      </w:r>
      <w:r>
        <w:rPr>
          <w:noProof/>
        </w:rPr>
        <w:t>17</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lastRenderedPageBreak/>
        <w:t>27  Synthetic fertiliser</w:t>
      </w:r>
      <w:r>
        <w:rPr>
          <w:noProof/>
        </w:rPr>
        <w:tab/>
      </w:r>
      <w:r w:rsidR="008E4033">
        <w:rPr>
          <w:noProof/>
        </w:rPr>
        <w:fldChar w:fldCharType="begin"/>
      </w:r>
      <w:r>
        <w:rPr>
          <w:noProof/>
        </w:rPr>
        <w:instrText xml:space="preserve"> PAGEREF _Toc416182740 \h </w:instrText>
      </w:r>
      <w:r w:rsidR="008E4033">
        <w:rPr>
          <w:noProof/>
        </w:rPr>
      </w:r>
      <w:r w:rsidR="008E4033">
        <w:rPr>
          <w:noProof/>
        </w:rPr>
        <w:fldChar w:fldCharType="separate"/>
      </w:r>
      <w:r>
        <w:rPr>
          <w:noProof/>
        </w:rPr>
        <w:t>17</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28  Green manure</w:t>
      </w:r>
      <w:r>
        <w:rPr>
          <w:noProof/>
        </w:rPr>
        <w:tab/>
      </w:r>
      <w:r w:rsidR="008E4033">
        <w:rPr>
          <w:noProof/>
        </w:rPr>
        <w:fldChar w:fldCharType="begin"/>
      </w:r>
      <w:r>
        <w:rPr>
          <w:noProof/>
        </w:rPr>
        <w:instrText xml:space="preserve"> PAGEREF _Toc416182741 \h </w:instrText>
      </w:r>
      <w:r w:rsidR="008E4033">
        <w:rPr>
          <w:noProof/>
        </w:rPr>
      </w:r>
      <w:r w:rsidR="008E4033">
        <w:rPr>
          <w:noProof/>
        </w:rPr>
        <w:fldChar w:fldCharType="separate"/>
      </w:r>
      <w:r>
        <w:rPr>
          <w:noProof/>
        </w:rPr>
        <w:t>17</w:t>
      </w:r>
      <w:r w:rsidR="008E4033">
        <w:rPr>
          <w:noProof/>
        </w:rPr>
        <w:fldChar w:fldCharType="end"/>
      </w:r>
    </w:p>
    <w:p w:rsidR="00E424CB" w:rsidRDefault="00E424CB">
      <w:pPr>
        <w:pStyle w:val="TOC3"/>
        <w:rPr>
          <w:rFonts w:asciiTheme="minorHAnsi" w:eastAsiaTheme="minorEastAsia" w:hAnsiTheme="minorHAnsi" w:cstheme="minorBidi"/>
          <w:b w:val="0"/>
          <w:noProof/>
          <w:kern w:val="0"/>
          <w:szCs w:val="22"/>
        </w:rPr>
      </w:pPr>
      <w:r>
        <w:rPr>
          <w:noProof/>
        </w:rPr>
        <w:t>Division 5 —Reporting under section 77A of the Act</w:t>
      </w:r>
      <w:r>
        <w:rPr>
          <w:noProof/>
        </w:rPr>
        <w:tab/>
      </w:r>
      <w:r w:rsidR="008E4033">
        <w:rPr>
          <w:noProof/>
        </w:rPr>
        <w:fldChar w:fldCharType="begin"/>
      </w:r>
      <w:r>
        <w:rPr>
          <w:noProof/>
        </w:rPr>
        <w:instrText xml:space="preserve"> PAGEREF _Toc416182742 \h </w:instrText>
      </w:r>
      <w:r w:rsidR="008E4033">
        <w:rPr>
          <w:noProof/>
        </w:rPr>
      </w:r>
      <w:r w:rsidR="008E4033">
        <w:rPr>
          <w:noProof/>
        </w:rPr>
        <w:fldChar w:fldCharType="separate"/>
      </w:r>
      <w:r>
        <w:rPr>
          <w:noProof/>
        </w:rPr>
        <w:t>17</w:t>
      </w:r>
      <w:r w:rsidR="008E4033">
        <w:rPr>
          <w:noProof/>
        </w:rPr>
        <w:fldChar w:fldCharType="end"/>
      </w:r>
    </w:p>
    <w:p w:rsidR="00E424CB" w:rsidRDefault="00E424CB">
      <w:pPr>
        <w:pStyle w:val="TOC5"/>
        <w:rPr>
          <w:rFonts w:asciiTheme="minorHAnsi" w:eastAsiaTheme="minorEastAsia" w:hAnsiTheme="minorHAnsi" w:cstheme="minorBidi"/>
          <w:noProof/>
          <w:kern w:val="0"/>
          <w:sz w:val="22"/>
          <w:szCs w:val="22"/>
        </w:rPr>
      </w:pPr>
      <w:r>
        <w:rPr>
          <w:noProof/>
        </w:rPr>
        <w:t>29  No division of project area</w:t>
      </w:r>
      <w:r>
        <w:rPr>
          <w:noProof/>
        </w:rPr>
        <w:tab/>
      </w:r>
      <w:r w:rsidR="008E4033">
        <w:rPr>
          <w:noProof/>
        </w:rPr>
        <w:fldChar w:fldCharType="begin"/>
      </w:r>
      <w:r>
        <w:rPr>
          <w:noProof/>
        </w:rPr>
        <w:instrText xml:space="preserve"> PAGEREF _Toc416182743 \h </w:instrText>
      </w:r>
      <w:r w:rsidR="008E4033">
        <w:rPr>
          <w:noProof/>
        </w:rPr>
      </w:r>
      <w:r w:rsidR="008E4033">
        <w:rPr>
          <w:noProof/>
        </w:rPr>
        <w:fldChar w:fldCharType="separate"/>
      </w:r>
      <w:r>
        <w:rPr>
          <w:noProof/>
        </w:rPr>
        <w:t>17</w:t>
      </w:r>
      <w:r w:rsidR="008E4033">
        <w:rPr>
          <w:noProof/>
        </w:rPr>
        <w:fldChar w:fldCharType="end"/>
      </w:r>
    </w:p>
    <w:p w:rsidR="003C3821" w:rsidRDefault="008E4033" w:rsidP="003C3821">
      <w:r>
        <w:fldChar w:fldCharType="end"/>
      </w:r>
      <w:r w:rsidR="003C3821">
        <w:br w:type="page"/>
      </w:r>
    </w:p>
    <w:p w:rsidR="003C3821" w:rsidRPr="004A5FC6" w:rsidRDefault="00746173" w:rsidP="003C3821">
      <w:pPr>
        <w:pStyle w:val="h2Part"/>
      </w:pPr>
      <w:bookmarkStart w:id="3" w:name="_Toc405896451"/>
      <w:bookmarkStart w:id="4" w:name="_Toc413343184"/>
      <w:bookmarkStart w:id="5" w:name="_Toc413343277"/>
      <w:bookmarkStart w:id="6" w:name="_Toc413343323"/>
      <w:bookmarkStart w:id="7" w:name="_Toc416182696"/>
      <w:r>
        <w:lastRenderedPageBreak/>
        <w:t>Part 1</w:t>
      </w:r>
      <w:r w:rsidR="003C3821">
        <w:t>—</w:t>
      </w:r>
      <w:r w:rsidR="003C3821" w:rsidRPr="004A5FC6">
        <w:t>Preliminary</w:t>
      </w:r>
      <w:bookmarkEnd w:id="3"/>
      <w:bookmarkEnd w:id="4"/>
      <w:bookmarkEnd w:id="5"/>
      <w:bookmarkEnd w:id="6"/>
      <w:bookmarkEnd w:id="7"/>
    </w:p>
    <w:p w:rsidR="003C3821" w:rsidRPr="004A5FC6" w:rsidRDefault="00746173" w:rsidP="003C3821">
      <w:pPr>
        <w:pStyle w:val="h5Section"/>
      </w:pPr>
      <w:bookmarkStart w:id="8" w:name="_Toc405896452"/>
      <w:bookmarkStart w:id="9" w:name="_Toc413343185"/>
      <w:bookmarkStart w:id="10" w:name="_Toc413343278"/>
      <w:bookmarkStart w:id="11" w:name="_Toc413343324"/>
      <w:bookmarkStart w:id="12" w:name="_Toc416182697"/>
      <w:proofErr w:type="gramStart"/>
      <w:r>
        <w:t>1</w:t>
      </w:r>
      <w:r w:rsidR="003C3821">
        <w:t xml:space="preserve">  </w:t>
      </w:r>
      <w:r w:rsidR="003C3821" w:rsidRPr="004A5FC6">
        <w:t>Name</w:t>
      </w:r>
      <w:bookmarkEnd w:id="8"/>
      <w:bookmarkEnd w:id="9"/>
      <w:bookmarkEnd w:id="10"/>
      <w:bookmarkEnd w:id="11"/>
      <w:bookmarkEnd w:id="12"/>
      <w:proofErr w:type="gramEnd"/>
    </w:p>
    <w:p w:rsidR="003C3821" w:rsidRPr="004A5FC6" w:rsidRDefault="003C3821" w:rsidP="003C3821">
      <w:pPr>
        <w:pStyle w:val="tMain"/>
        <w:rPr>
          <w:i/>
          <w:color w:val="000000" w:themeColor="text1"/>
        </w:rPr>
      </w:pPr>
      <w:r w:rsidRPr="004A5FC6">
        <w:tab/>
      </w:r>
      <w:r w:rsidRPr="004A5FC6">
        <w:tab/>
      </w:r>
      <w:r w:rsidRPr="004A5FC6">
        <w:rPr>
          <w:color w:val="000000" w:themeColor="text1"/>
        </w:rPr>
        <w:t xml:space="preserve">This determination is the </w:t>
      </w:r>
      <w:r w:rsidR="00E424CB" w:rsidRPr="00E424CB">
        <w:rPr>
          <w:i/>
          <w:noProof/>
          <w:color w:val="000000" w:themeColor="text1"/>
        </w:rPr>
        <w:t>Carbon Credits (Carbon Farming Initiative—Reducing Greenhouse Gas Emissions from Fertiliser in Irrigated Cotton) Methodology Determination 2015</w:t>
      </w:r>
      <w:r w:rsidRPr="007F762E">
        <w:rPr>
          <w:color w:val="000000" w:themeColor="text1"/>
        </w:rPr>
        <w:t>.</w:t>
      </w:r>
    </w:p>
    <w:p w:rsidR="003C3821" w:rsidRDefault="00746173" w:rsidP="003C3821">
      <w:pPr>
        <w:pStyle w:val="h5Section"/>
      </w:pPr>
      <w:bookmarkStart w:id="13" w:name="_Toc405896453"/>
      <w:bookmarkStart w:id="14" w:name="_Toc413343186"/>
      <w:bookmarkStart w:id="15" w:name="_Toc413343279"/>
      <w:bookmarkStart w:id="16" w:name="_Toc413343325"/>
      <w:bookmarkStart w:id="17" w:name="_Toc416182698"/>
      <w:proofErr w:type="gramStart"/>
      <w:r>
        <w:t>2</w:t>
      </w:r>
      <w:r w:rsidR="003C3821">
        <w:t xml:space="preserve">  Commencement</w:t>
      </w:r>
      <w:bookmarkEnd w:id="13"/>
      <w:bookmarkEnd w:id="14"/>
      <w:bookmarkEnd w:id="15"/>
      <w:bookmarkEnd w:id="16"/>
      <w:bookmarkEnd w:id="17"/>
      <w:proofErr w:type="gramEnd"/>
    </w:p>
    <w:p w:rsidR="003C3821" w:rsidRPr="006C15B7" w:rsidRDefault="003C3821" w:rsidP="003C3821">
      <w:pPr>
        <w:pStyle w:val="tMain"/>
      </w:pPr>
      <w:r>
        <w:tab/>
      </w:r>
      <w:r>
        <w:tab/>
        <w:t>This determination commences on the day after it is registered.</w:t>
      </w:r>
    </w:p>
    <w:p w:rsidR="003C3821" w:rsidRPr="004A5FC6" w:rsidRDefault="00746173" w:rsidP="003C3821">
      <w:pPr>
        <w:pStyle w:val="h5Section"/>
      </w:pPr>
      <w:bookmarkStart w:id="18" w:name="_Toc405896454"/>
      <w:bookmarkStart w:id="19" w:name="_Toc413343187"/>
      <w:bookmarkStart w:id="20" w:name="_Toc413343280"/>
      <w:bookmarkStart w:id="21" w:name="_Toc413343326"/>
      <w:bookmarkStart w:id="22" w:name="_Toc416182699"/>
      <w:proofErr w:type="gramStart"/>
      <w:r>
        <w:t>3</w:t>
      </w:r>
      <w:r w:rsidR="003C3821">
        <w:t xml:space="preserve">  </w:t>
      </w:r>
      <w:r w:rsidR="003C3821" w:rsidRPr="004A5FC6">
        <w:t>Authority</w:t>
      </w:r>
      <w:bookmarkEnd w:id="18"/>
      <w:bookmarkEnd w:id="19"/>
      <w:bookmarkEnd w:id="20"/>
      <w:bookmarkEnd w:id="21"/>
      <w:bookmarkEnd w:id="22"/>
      <w:proofErr w:type="gramEnd"/>
    </w:p>
    <w:p w:rsidR="003C3821" w:rsidRPr="004A5FC6" w:rsidRDefault="003C3821" w:rsidP="003C3821">
      <w:pPr>
        <w:pStyle w:val="tMain"/>
      </w:pPr>
      <w:r w:rsidRPr="004A5FC6">
        <w:tab/>
      </w:r>
      <w:r w:rsidRPr="004A5FC6">
        <w:tab/>
        <w:t xml:space="preserve">This determination is made under subsection 106(1) of the </w:t>
      </w:r>
      <w:r w:rsidRPr="004A5FC6">
        <w:rPr>
          <w:i/>
        </w:rPr>
        <w:t>Carbon Credits (Carbon Farming Initiative) Act 2011</w:t>
      </w:r>
      <w:r w:rsidRPr="004A5FC6">
        <w:t>.</w:t>
      </w:r>
    </w:p>
    <w:p w:rsidR="003C3821" w:rsidRPr="004A5FC6" w:rsidRDefault="00746173" w:rsidP="003C3821">
      <w:pPr>
        <w:pStyle w:val="h5Section"/>
      </w:pPr>
      <w:bookmarkStart w:id="23" w:name="_Toc405896455"/>
      <w:bookmarkStart w:id="24" w:name="_Toc413343188"/>
      <w:bookmarkStart w:id="25" w:name="_Toc413343281"/>
      <w:bookmarkStart w:id="26" w:name="_Toc413343327"/>
      <w:bookmarkStart w:id="27" w:name="_Toc416182700"/>
      <w:proofErr w:type="gramStart"/>
      <w:r>
        <w:t>4</w:t>
      </w:r>
      <w:r w:rsidR="003C3821">
        <w:t xml:space="preserve">  </w:t>
      </w:r>
      <w:r w:rsidR="003C3821" w:rsidRPr="004A5FC6">
        <w:t>Duration</w:t>
      </w:r>
      <w:bookmarkEnd w:id="23"/>
      <w:bookmarkEnd w:id="24"/>
      <w:bookmarkEnd w:id="25"/>
      <w:bookmarkEnd w:id="26"/>
      <w:bookmarkEnd w:id="27"/>
      <w:proofErr w:type="gramEnd"/>
    </w:p>
    <w:p w:rsidR="003C3821" w:rsidRPr="003C281B" w:rsidRDefault="003C3821" w:rsidP="003C3821">
      <w:pPr>
        <w:pStyle w:val="tMain"/>
      </w:pPr>
      <w:r w:rsidRPr="003C281B">
        <w:tab/>
      </w:r>
      <w:r w:rsidRPr="003C281B">
        <w:tab/>
        <w:t>This determination remains in force for the period that:</w:t>
      </w:r>
    </w:p>
    <w:p w:rsidR="003C3821" w:rsidRPr="003C281B" w:rsidRDefault="003C3821" w:rsidP="003C3821">
      <w:pPr>
        <w:pStyle w:val="tPara"/>
      </w:pPr>
      <w:r w:rsidRPr="003C281B">
        <w:tab/>
      </w:r>
      <w:r w:rsidR="00746173">
        <w:t>(a)</w:t>
      </w:r>
      <w:r w:rsidRPr="003C281B">
        <w:tab/>
      </w:r>
      <w:proofErr w:type="gramStart"/>
      <w:r w:rsidRPr="003C281B">
        <w:t>begins</w:t>
      </w:r>
      <w:proofErr w:type="gramEnd"/>
      <w:r w:rsidRPr="003C281B">
        <w:t xml:space="preserve"> when this determination commences; and</w:t>
      </w:r>
    </w:p>
    <w:p w:rsidR="003C3821" w:rsidRPr="003C281B" w:rsidRDefault="003C3821" w:rsidP="003C3821">
      <w:pPr>
        <w:pStyle w:val="tPara"/>
      </w:pPr>
      <w:r w:rsidRPr="003C281B">
        <w:tab/>
      </w:r>
      <w:r w:rsidR="00746173">
        <w:t>(b)</w:t>
      </w:r>
      <w:r w:rsidRPr="003C281B">
        <w:tab/>
      </w:r>
      <w:proofErr w:type="gramStart"/>
      <w:r w:rsidRPr="003C281B">
        <w:t>ends</w:t>
      </w:r>
      <w:proofErr w:type="gramEnd"/>
      <w:r w:rsidRPr="003C281B">
        <w:t xml:space="preserve"> on the day before this instrument would otherwise be repealed under subsection 50(1) of the </w:t>
      </w:r>
      <w:r w:rsidRPr="003C281B">
        <w:rPr>
          <w:i/>
        </w:rPr>
        <w:t>Legislative Instruments Act 2003</w:t>
      </w:r>
      <w:r w:rsidRPr="003C281B">
        <w:t>.</w:t>
      </w:r>
    </w:p>
    <w:p w:rsidR="003C3821" w:rsidRPr="004A5FC6" w:rsidRDefault="00746173" w:rsidP="003C3821">
      <w:pPr>
        <w:pStyle w:val="h5Section"/>
      </w:pPr>
      <w:bookmarkStart w:id="28" w:name="_Toc405896456"/>
      <w:bookmarkStart w:id="29" w:name="_Toc413343189"/>
      <w:bookmarkStart w:id="30" w:name="_Toc413343282"/>
      <w:bookmarkStart w:id="31" w:name="_Toc413343328"/>
      <w:bookmarkStart w:id="32" w:name="_Toc416182701"/>
      <w:proofErr w:type="gramStart"/>
      <w:r>
        <w:t>5</w:t>
      </w:r>
      <w:r w:rsidR="003C3821">
        <w:t xml:space="preserve">  </w:t>
      </w:r>
      <w:r w:rsidR="003C3821" w:rsidRPr="004A5FC6">
        <w:t>Definitions</w:t>
      </w:r>
      <w:bookmarkEnd w:id="28"/>
      <w:bookmarkEnd w:id="29"/>
      <w:bookmarkEnd w:id="30"/>
      <w:bookmarkEnd w:id="31"/>
      <w:bookmarkEnd w:id="32"/>
      <w:proofErr w:type="gramEnd"/>
    </w:p>
    <w:p w:rsidR="003C3821" w:rsidRPr="004A5FC6" w:rsidRDefault="003C3821" w:rsidP="003C3821">
      <w:pPr>
        <w:pStyle w:val="tMain"/>
        <w:rPr>
          <w:rStyle w:val="CharSectno"/>
          <w:color w:val="000000" w:themeColor="text1"/>
        </w:rPr>
      </w:pPr>
      <w:r w:rsidRPr="004A5FC6">
        <w:rPr>
          <w:rStyle w:val="CharSectno"/>
          <w:color w:val="000000" w:themeColor="text1"/>
        </w:rPr>
        <w:tab/>
      </w:r>
      <w:r w:rsidRPr="004A5FC6">
        <w:rPr>
          <w:rStyle w:val="CharSectno"/>
          <w:color w:val="000000" w:themeColor="text1"/>
        </w:rPr>
        <w:tab/>
        <w:t>In this determination:</w:t>
      </w:r>
    </w:p>
    <w:p w:rsidR="003C3821" w:rsidRPr="00B2511B" w:rsidRDefault="003C3821" w:rsidP="003C3821">
      <w:pPr>
        <w:pStyle w:val="tDefn"/>
        <w:rPr>
          <w:b/>
          <w:i/>
          <w:color w:val="000000" w:themeColor="text1"/>
        </w:rPr>
      </w:pPr>
      <w:r w:rsidRPr="004A5FC6">
        <w:rPr>
          <w:b/>
          <w:i/>
          <w:color w:val="000000" w:themeColor="text1"/>
        </w:rPr>
        <w:t>Act</w:t>
      </w:r>
      <w:r w:rsidRPr="004A5FC6">
        <w:rPr>
          <w:color w:val="000000" w:themeColor="text1"/>
        </w:rPr>
        <w:t xml:space="preserve"> means the </w:t>
      </w:r>
      <w:r w:rsidRPr="004A5FC6">
        <w:rPr>
          <w:i/>
          <w:color w:val="000000" w:themeColor="text1"/>
        </w:rPr>
        <w:t>Carbon Credits (Carbon Farming Initiative) Act 2011</w:t>
      </w:r>
      <w:r w:rsidRPr="004A5FC6">
        <w:rPr>
          <w:color w:val="000000" w:themeColor="text1"/>
        </w:rPr>
        <w:t>.</w:t>
      </w:r>
    </w:p>
    <w:p w:rsidR="003C3821" w:rsidRPr="00B2511B" w:rsidRDefault="003C3821" w:rsidP="003C3821">
      <w:pPr>
        <w:pStyle w:val="tDefn"/>
      </w:pPr>
      <w:proofErr w:type="gramStart"/>
      <w:r>
        <w:rPr>
          <w:b/>
          <w:i/>
          <w:color w:val="000000" w:themeColor="text1"/>
        </w:rPr>
        <w:t>baseline</w:t>
      </w:r>
      <w:proofErr w:type="gramEnd"/>
      <w:r>
        <w:rPr>
          <w:b/>
          <w:i/>
          <w:color w:val="000000" w:themeColor="text1"/>
        </w:rPr>
        <w:t xml:space="preserve"> emissions</w:t>
      </w:r>
      <w:r>
        <w:t xml:space="preserve"> has the meaning given by </w:t>
      </w:r>
      <w:r w:rsidRPr="00B2511B">
        <w:rPr>
          <w:lang w:eastAsia="en-NZ"/>
        </w:rPr>
        <w:t>subsection 17(</w:t>
      </w:r>
      <w:r>
        <w:rPr>
          <w:lang w:eastAsia="en-NZ"/>
        </w:rPr>
        <w:t>1</w:t>
      </w:r>
      <w:r w:rsidRPr="00B2511B">
        <w:rPr>
          <w:lang w:eastAsia="en-NZ"/>
        </w:rPr>
        <w:t>)</w:t>
      </w:r>
      <w:r>
        <w:rPr>
          <w:lang w:eastAsia="en-NZ"/>
        </w:rPr>
        <w:t>.</w:t>
      </w:r>
    </w:p>
    <w:p w:rsidR="003C3821" w:rsidRPr="00B2511B" w:rsidRDefault="003C3821" w:rsidP="003C3821">
      <w:pPr>
        <w:pStyle w:val="tDefn"/>
        <w:rPr>
          <w:lang w:eastAsia="en-NZ"/>
        </w:rPr>
      </w:pPr>
      <w:proofErr w:type="gramStart"/>
      <w:r>
        <w:rPr>
          <w:b/>
          <w:i/>
          <w:color w:val="000000" w:themeColor="text1"/>
        </w:rPr>
        <w:t>b</w:t>
      </w:r>
      <w:r w:rsidRPr="00B2511B">
        <w:rPr>
          <w:b/>
          <w:i/>
          <w:color w:val="000000" w:themeColor="text1"/>
        </w:rPr>
        <w:t>aseline</w:t>
      </w:r>
      <w:proofErr w:type="gramEnd"/>
      <w:r w:rsidRPr="00B2511B">
        <w:rPr>
          <w:b/>
          <w:i/>
          <w:color w:val="000000" w:themeColor="text1"/>
        </w:rPr>
        <w:t xml:space="preserve"> emissions intensity </w:t>
      </w:r>
      <w:r w:rsidRPr="00B2511B">
        <w:rPr>
          <w:lang w:eastAsia="en-NZ"/>
        </w:rPr>
        <w:t xml:space="preserve">has the meaning given </w:t>
      </w:r>
      <w:r>
        <w:t xml:space="preserve">by </w:t>
      </w:r>
      <w:r w:rsidRPr="00B2511B">
        <w:rPr>
          <w:lang w:eastAsia="en-NZ"/>
        </w:rPr>
        <w:t>subsection 17(2)</w:t>
      </w:r>
      <w:r>
        <w:rPr>
          <w:lang w:eastAsia="en-NZ"/>
        </w:rPr>
        <w:t>.</w:t>
      </w:r>
    </w:p>
    <w:p w:rsidR="003C3821" w:rsidRPr="003C281B" w:rsidRDefault="003C3821" w:rsidP="003C3821">
      <w:pPr>
        <w:pStyle w:val="tDefn"/>
        <w:rPr>
          <w:lang w:eastAsia="en-NZ"/>
        </w:rPr>
      </w:pPr>
      <w:proofErr w:type="gramStart"/>
      <w:r w:rsidRPr="003C281B">
        <w:rPr>
          <w:b/>
          <w:i/>
          <w:lang w:eastAsia="en-NZ"/>
        </w:rPr>
        <w:t>cotton</w:t>
      </w:r>
      <w:proofErr w:type="gramEnd"/>
      <w:r w:rsidRPr="003C281B">
        <w:rPr>
          <w:b/>
          <w:i/>
          <w:lang w:eastAsia="en-NZ"/>
        </w:rPr>
        <w:t xml:space="preserve"> area</w:t>
      </w:r>
      <w:r w:rsidRPr="003C281B">
        <w:rPr>
          <w:lang w:eastAsia="en-NZ"/>
        </w:rPr>
        <w:t>, in relation to given year and project area:</w:t>
      </w:r>
    </w:p>
    <w:p w:rsidR="003C3821" w:rsidRPr="003C281B" w:rsidRDefault="003C3821" w:rsidP="003C3821">
      <w:pPr>
        <w:pStyle w:val="tPara"/>
        <w:rPr>
          <w:lang w:eastAsia="en-NZ"/>
        </w:rPr>
      </w:pPr>
      <w:r w:rsidRPr="003C281B">
        <w:rPr>
          <w:lang w:eastAsia="en-NZ"/>
        </w:rPr>
        <w:tab/>
        <w:t>(a)</w:t>
      </w:r>
      <w:r w:rsidRPr="003C281B">
        <w:rPr>
          <w:lang w:eastAsia="en-NZ"/>
        </w:rPr>
        <w:tab/>
      </w:r>
      <w:proofErr w:type="gramStart"/>
      <w:r w:rsidRPr="003C281B">
        <w:rPr>
          <w:lang w:eastAsia="en-NZ"/>
        </w:rPr>
        <w:t>means</w:t>
      </w:r>
      <w:proofErr w:type="gramEnd"/>
      <w:r w:rsidRPr="003C281B">
        <w:rPr>
          <w:lang w:eastAsia="en-NZ"/>
        </w:rPr>
        <w:t xml:space="preserve"> the area of land within the project area that is the aggregate of the fields </w:t>
      </w:r>
      <w:r w:rsidRPr="00036A12">
        <w:rPr>
          <w:lang w:eastAsia="en-NZ"/>
        </w:rPr>
        <w:t>that</w:t>
      </w:r>
      <w:r w:rsidRPr="00E424CB">
        <w:rPr>
          <w:lang w:eastAsia="en-NZ"/>
        </w:rPr>
        <w:t xml:space="preserve"> </w:t>
      </w:r>
      <w:r w:rsidRPr="00036A12">
        <w:rPr>
          <w:lang w:eastAsia="en-NZ"/>
        </w:rPr>
        <w:t>were fully planted with cotton</w:t>
      </w:r>
      <w:r w:rsidRPr="003C281B">
        <w:rPr>
          <w:lang w:eastAsia="en-NZ"/>
        </w:rPr>
        <w:t xml:space="preserve"> and irrigated; and</w:t>
      </w:r>
    </w:p>
    <w:p w:rsidR="003C3821" w:rsidRPr="003C281B" w:rsidRDefault="003C3821" w:rsidP="003C3821">
      <w:pPr>
        <w:pStyle w:val="tPara"/>
        <w:rPr>
          <w:lang w:eastAsia="en-NZ"/>
        </w:rPr>
      </w:pPr>
      <w:r w:rsidRPr="003C281B">
        <w:rPr>
          <w:lang w:eastAsia="en-NZ"/>
        </w:rPr>
        <w:tab/>
        <w:t>(b)</w:t>
      </w:r>
      <w:r w:rsidRPr="003C281B">
        <w:rPr>
          <w:lang w:eastAsia="en-NZ"/>
        </w:rPr>
        <w:tab/>
      </w:r>
      <w:proofErr w:type="gramStart"/>
      <w:r w:rsidRPr="003C281B">
        <w:rPr>
          <w:lang w:eastAsia="en-NZ"/>
        </w:rPr>
        <w:t>for</w:t>
      </w:r>
      <w:proofErr w:type="gramEnd"/>
      <w:r w:rsidRPr="003C281B">
        <w:rPr>
          <w:lang w:eastAsia="en-NZ"/>
        </w:rPr>
        <w:t xml:space="preserve"> a year in the crediting period—does not include any area of land on which </w:t>
      </w:r>
      <w:r w:rsidRPr="003C281B">
        <w:t>the residue remaining in the field after the harvest of cotton is burnt.</w:t>
      </w:r>
    </w:p>
    <w:p w:rsidR="003C3821" w:rsidRDefault="003C3821" w:rsidP="003C3821">
      <w:pPr>
        <w:pStyle w:val="nMain"/>
        <w:rPr>
          <w:lang w:eastAsia="en-NZ"/>
        </w:rPr>
      </w:pPr>
      <w:r>
        <w:rPr>
          <w:lang w:eastAsia="en-NZ"/>
        </w:rPr>
        <w:t>Note:</w:t>
      </w:r>
      <w:r>
        <w:rPr>
          <w:lang w:eastAsia="en-NZ"/>
        </w:rPr>
        <w:tab/>
        <w:t xml:space="preserve">The cotton area is a subset of the project area and is expected to change on an annual basis due to a range of factors, including water availability and rotational cropping. The cotton area does not include parts of the project area on which cotton was not planted in a given year. </w:t>
      </w:r>
      <w:r w:rsidRPr="006903E1">
        <w:rPr>
          <w:lang w:eastAsia="en-NZ"/>
        </w:rPr>
        <w:t>The cotton area must include all fields that were fully planted with cotton and irrigated. This does not mean that partly planted fields must be excluded from the cotton area: the project area can be re-stratified to ensure that all parts of the project area on which cotton was planted and irrigated are included in the cotton area.</w:t>
      </w:r>
      <w:r>
        <w:rPr>
          <w:lang w:eastAsia="en-NZ"/>
        </w:rPr>
        <w:t xml:space="preserve"> The cotton area does not need to have a single boundary.</w:t>
      </w:r>
    </w:p>
    <w:p w:rsidR="003C3821" w:rsidRDefault="003C3821" w:rsidP="003C3821">
      <w:pPr>
        <w:pStyle w:val="tDefn"/>
      </w:pPr>
      <w:proofErr w:type="gramStart"/>
      <w:r>
        <w:rPr>
          <w:b/>
          <w:i/>
          <w:lang w:eastAsia="en-NZ"/>
        </w:rPr>
        <w:t>cotton</w:t>
      </w:r>
      <w:proofErr w:type="gramEnd"/>
      <w:r>
        <w:rPr>
          <w:b/>
          <w:i/>
          <w:lang w:eastAsia="en-NZ"/>
        </w:rPr>
        <w:t xml:space="preserve"> gin </w:t>
      </w:r>
      <w:r>
        <w:t xml:space="preserve">means a facility for separating lint, cottonseed and </w:t>
      </w:r>
      <w:r w:rsidRPr="00A83DB7">
        <w:t>trash</w:t>
      </w:r>
      <w:r>
        <w:t>.</w:t>
      </w:r>
    </w:p>
    <w:p w:rsidR="003C3821" w:rsidRPr="001A08B1" w:rsidRDefault="003C3821" w:rsidP="003C3821">
      <w:pPr>
        <w:pStyle w:val="tDefn"/>
        <w:rPr>
          <w:lang w:eastAsia="en-NZ"/>
        </w:rPr>
      </w:pPr>
      <w:r w:rsidRPr="001A08B1">
        <w:rPr>
          <w:b/>
          <w:i/>
          <w:lang w:eastAsia="en-NZ"/>
        </w:rPr>
        <w:t>Cotton Research and Development Corporation</w:t>
      </w:r>
      <w:r>
        <w:rPr>
          <w:b/>
          <w:i/>
          <w:lang w:eastAsia="en-NZ"/>
        </w:rPr>
        <w:t xml:space="preserve"> </w:t>
      </w:r>
      <w:r w:rsidRPr="00D36258">
        <w:rPr>
          <w:lang w:eastAsia="en-NZ"/>
        </w:rPr>
        <w:t>means the</w:t>
      </w:r>
      <w:r>
        <w:rPr>
          <w:b/>
          <w:i/>
          <w:lang w:eastAsia="en-NZ"/>
        </w:rPr>
        <w:t xml:space="preserve"> </w:t>
      </w:r>
      <w:r w:rsidRPr="00D36258">
        <w:rPr>
          <w:lang w:eastAsia="en-NZ"/>
        </w:rPr>
        <w:t xml:space="preserve">statutory authority </w:t>
      </w:r>
      <w:r>
        <w:rPr>
          <w:lang w:eastAsia="en-NZ"/>
        </w:rPr>
        <w:t xml:space="preserve">of that name, </w:t>
      </w:r>
      <w:r w:rsidRPr="00D36258">
        <w:rPr>
          <w:lang w:eastAsia="en-NZ"/>
        </w:rPr>
        <w:t xml:space="preserve">established under </w:t>
      </w:r>
      <w:r>
        <w:rPr>
          <w:lang w:eastAsia="en-NZ"/>
        </w:rPr>
        <w:t xml:space="preserve">section 8 of </w:t>
      </w:r>
      <w:r w:rsidRPr="00D36258">
        <w:rPr>
          <w:lang w:eastAsia="en-NZ"/>
        </w:rPr>
        <w:t xml:space="preserve">the </w:t>
      </w:r>
      <w:r w:rsidRPr="00D36258">
        <w:rPr>
          <w:i/>
          <w:lang w:eastAsia="en-NZ"/>
        </w:rPr>
        <w:t>Primary Industries Research and Development Act 1989</w:t>
      </w:r>
      <w:r>
        <w:rPr>
          <w:lang w:eastAsia="en-NZ"/>
        </w:rPr>
        <w:t>.</w:t>
      </w:r>
    </w:p>
    <w:p w:rsidR="003C3821" w:rsidRDefault="003C3821" w:rsidP="003C3821">
      <w:pPr>
        <w:pStyle w:val="tDefn"/>
        <w:rPr>
          <w:color w:val="000000" w:themeColor="text1"/>
        </w:rPr>
      </w:pPr>
      <w:proofErr w:type="gramStart"/>
      <w:r w:rsidRPr="00865459">
        <w:rPr>
          <w:b/>
          <w:i/>
          <w:color w:val="000000" w:themeColor="text1"/>
        </w:rPr>
        <w:t>emissions</w:t>
      </w:r>
      <w:proofErr w:type="gramEnd"/>
      <w:r w:rsidRPr="00865459">
        <w:rPr>
          <w:b/>
          <w:i/>
          <w:color w:val="000000" w:themeColor="text1"/>
        </w:rPr>
        <w:t xml:space="preserve"> intensity reference period</w:t>
      </w:r>
      <w:r w:rsidRPr="00865459">
        <w:rPr>
          <w:color w:val="000000" w:themeColor="text1"/>
        </w:rPr>
        <w:t xml:space="preserve"> is </w:t>
      </w:r>
      <w:r>
        <w:rPr>
          <w:color w:val="000000" w:themeColor="text1"/>
        </w:rPr>
        <w:t>the period determined in accordance with section 11</w:t>
      </w:r>
      <w:r w:rsidRPr="00865459">
        <w:rPr>
          <w:color w:val="000000" w:themeColor="text1"/>
        </w:rPr>
        <w:t>.</w:t>
      </w:r>
    </w:p>
    <w:p w:rsidR="003C3821" w:rsidRDefault="003C3821" w:rsidP="003C3821">
      <w:pPr>
        <w:pStyle w:val="tMain"/>
      </w:pPr>
      <w:r>
        <w:rPr>
          <w:b/>
          <w:i/>
        </w:rPr>
        <w:lastRenderedPageBreak/>
        <w:tab/>
      </w:r>
      <w:r>
        <w:rPr>
          <w:b/>
          <w:i/>
        </w:rPr>
        <w:tab/>
      </w:r>
      <w:proofErr w:type="gramStart"/>
      <w:r>
        <w:rPr>
          <w:b/>
          <w:i/>
        </w:rPr>
        <w:t>field</w:t>
      </w:r>
      <w:proofErr w:type="gramEnd"/>
      <w:r w:rsidRPr="00D435CF">
        <w:t xml:space="preserve"> means </w:t>
      </w:r>
      <w:r>
        <w:t>a defined area of land with a single boundary within a project area on which cotton could be grown during the emissions intensity reference period, or the crediting period, or both.</w:t>
      </w:r>
    </w:p>
    <w:p w:rsidR="003C3821" w:rsidRPr="00BD5F70" w:rsidRDefault="003C3821" w:rsidP="003C3821">
      <w:pPr>
        <w:pStyle w:val="tDefn"/>
      </w:pPr>
      <w:proofErr w:type="gramStart"/>
      <w:r>
        <w:rPr>
          <w:b/>
          <w:i/>
          <w:color w:val="000000" w:themeColor="text1"/>
        </w:rPr>
        <w:t>green</w:t>
      </w:r>
      <w:proofErr w:type="gramEnd"/>
      <w:r>
        <w:rPr>
          <w:b/>
          <w:i/>
          <w:color w:val="000000" w:themeColor="text1"/>
        </w:rPr>
        <w:t xml:space="preserve"> manure </w:t>
      </w:r>
      <w:r>
        <w:rPr>
          <w:color w:val="000000" w:themeColor="text1"/>
        </w:rPr>
        <w:t xml:space="preserve">means a legume that is planted, but not harvested, on a given field in order to improve the soil for a subsequent cotton crop. </w:t>
      </w:r>
      <w:r>
        <w:tab/>
      </w:r>
    </w:p>
    <w:p w:rsidR="003C3821" w:rsidRDefault="003C3821" w:rsidP="003C3821">
      <w:pPr>
        <w:pStyle w:val="tDefn"/>
        <w:rPr>
          <w:color w:val="000000" w:themeColor="text1"/>
        </w:rPr>
      </w:pPr>
      <w:proofErr w:type="gramStart"/>
      <w:r>
        <w:rPr>
          <w:b/>
          <w:i/>
          <w:color w:val="000000" w:themeColor="text1"/>
        </w:rPr>
        <w:t>historical</w:t>
      </w:r>
      <w:proofErr w:type="gramEnd"/>
      <w:r w:rsidRPr="006420CE">
        <w:rPr>
          <w:b/>
          <w:i/>
          <w:color w:val="000000" w:themeColor="text1"/>
        </w:rPr>
        <w:t xml:space="preserve"> management action </w:t>
      </w:r>
      <w:r w:rsidRPr="006420CE">
        <w:rPr>
          <w:color w:val="000000" w:themeColor="text1"/>
        </w:rPr>
        <w:t xml:space="preserve">means a management practice undertaken </w:t>
      </w:r>
      <w:r>
        <w:rPr>
          <w:color w:val="000000" w:themeColor="text1"/>
        </w:rPr>
        <w:t>with respect to a project area during the emissions intensity reference period that could impact on nitrogen fertiliser use efficiency</w:t>
      </w:r>
      <w:r w:rsidRPr="006420CE">
        <w:rPr>
          <w:color w:val="000000" w:themeColor="text1"/>
        </w:rPr>
        <w:t>.</w:t>
      </w:r>
    </w:p>
    <w:p w:rsidR="003C3821" w:rsidRPr="008F33EC" w:rsidRDefault="003C3821" w:rsidP="003C3821">
      <w:pPr>
        <w:pStyle w:val="nMain"/>
        <w:rPr>
          <w:highlight w:val="yellow"/>
        </w:rPr>
      </w:pPr>
      <w:r>
        <w:t>Note:</w:t>
      </w:r>
      <w:r>
        <w:tab/>
      </w:r>
      <w:r w:rsidRPr="006A423A">
        <w:t>Management practices that could impact on nitrogen fertiliser use efficiency are described in subsection 10(4).</w:t>
      </w:r>
      <w:r>
        <w:t xml:space="preserve"> Subsection 10(4) is not intended to be an exhaustive list.</w:t>
      </w:r>
    </w:p>
    <w:p w:rsidR="003C3821" w:rsidRDefault="003C3821" w:rsidP="003C3821">
      <w:pPr>
        <w:pStyle w:val="tDefn"/>
        <w:rPr>
          <w:lang w:eastAsia="en-NZ"/>
        </w:rPr>
      </w:pPr>
      <w:r>
        <w:rPr>
          <w:b/>
          <w:i/>
          <w:lang w:eastAsia="en-NZ"/>
        </w:rPr>
        <w:t>Irrigated Cotton</w:t>
      </w:r>
      <w:r w:rsidRPr="00B837CB">
        <w:rPr>
          <w:b/>
          <w:i/>
          <w:lang w:eastAsia="en-NZ"/>
        </w:rPr>
        <w:t xml:space="preserve"> Calculator </w:t>
      </w:r>
      <w:r>
        <w:rPr>
          <w:lang w:eastAsia="en-NZ"/>
        </w:rPr>
        <w:t>means the calculator that is published from time to time on the Department’s website with a statement that:</w:t>
      </w:r>
    </w:p>
    <w:p w:rsidR="003C3821" w:rsidRDefault="003C3821" w:rsidP="003C3821">
      <w:pPr>
        <w:pStyle w:val="tPara"/>
        <w:rPr>
          <w:lang w:eastAsia="en-NZ"/>
        </w:rPr>
      </w:pPr>
      <w:r>
        <w:rPr>
          <w:lang w:eastAsia="en-NZ"/>
        </w:rPr>
        <w:tab/>
        <w:t>(a)</w:t>
      </w:r>
      <w:r>
        <w:rPr>
          <w:lang w:eastAsia="en-NZ"/>
        </w:rPr>
        <w:tab/>
      </w:r>
      <w:proofErr w:type="gramStart"/>
      <w:r>
        <w:rPr>
          <w:lang w:eastAsia="en-NZ"/>
        </w:rPr>
        <w:t>it</w:t>
      </w:r>
      <w:proofErr w:type="gramEnd"/>
      <w:r>
        <w:rPr>
          <w:lang w:eastAsia="en-NZ"/>
        </w:rPr>
        <w:t xml:space="preserve"> is the Irrigated Cotton Calculator for this determination; and</w:t>
      </w:r>
    </w:p>
    <w:p w:rsidR="003C3821" w:rsidRDefault="003C3821" w:rsidP="003C3821">
      <w:pPr>
        <w:pStyle w:val="tPara"/>
        <w:rPr>
          <w:lang w:eastAsia="en-NZ"/>
        </w:rPr>
      </w:pPr>
      <w:r>
        <w:rPr>
          <w:lang w:eastAsia="en-NZ"/>
        </w:rPr>
        <w:tab/>
        <w:t>(b)</w:t>
      </w:r>
      <w:r>
        <w:rPr>
          <w:lang w:eastAsia="en-NZ"/>
        </w:rPr>
        <w:tab/>
      </w:r>
      <w:proofErr w:type="gramStart"/>
      <w:r>
        <w:rPr>
          <w:lang w:eastAsia="en-NZ"/>
        </w:rPr>
        <w:t>if</w:t>
      </w:r>
      <w:proofErr w:type="gramEnd"/>
      <w:r>
        <w:rPr>
          <w:lang w:eastAsia="en-NZ"/>
        </w:rPr>
        <w:t xml:space="preserve"> it differs from the version that was on the website at the time of commencement of this determination—the differences consist only of one or more of the following:</w:t>
      </w:r>
    </w:p>
    <w:p w:rsidR="003C3821" w:rsidRDefault="003C3821" w:rsidP="003C3821">
      <w:pPr>
        <w:pStyle w:val="tSubpara"/>
        <w:rPr>
          <w:lang w:eastAsia="en-NZ"/>
        </w:rPr>
      </w:pPr>
      <w:r>
        <w:rPr>
          <w:lang w:eastAsia="en-NZ"/>
        </w:rPr>
        <w:tab/>
        <w:t>(</w:t>
      </w:r>
      <w:proofErr w:type="spellStart"/>
      <w:r>
        <w:rPr>
          <w:lang w:eastAsia="en-NZ"/>
        </w:rPr>
        <w:t>i</w:t>
      </w:r>
      <w:proofErr w:type="spellEnd"/>
      <w:r>
        <w:rPr>
          <w:lang w:eastAsia="en-NZ"/>
        </w:rPr>
        <w:t>)</w:t>
      </w:r>
      <w:r>
        <w:rPr>
          <w:lang w:eastAsia="en-NZ"/>
        </w:rPr>
        <w:tab/>
      </w:r>
      <w:proofErr w:type="gramStart"/>
      <w:r>
        <w:rPr>
          <w:lang w:eastAsia="en-NZ"/>
        </w:rPr>
        <w:t>updates</w:t>
      </w:r>
      <w:proofErr w:type="gramEnd"/>
      <w:r>
        <w:rPr>
          <w:lang w:eastAsia="en-NZ"/>
        </w:rPr>
        <w:t xml:space="preserve"> to inputs and variables used by </w:t>
      </w:r>
      <w:r w:rsidRPr="00DD64D2">
        <w:rPr>
          <w:lang w:eastAsia="en-NZ"/>
        </w:rPr>
        <w:t xml:space="preserve">the </w:t>
      </w:r>
      <w:r>
        <w:rPr>
          <w:lang w:eastAsia="en-NZ"/>
        </w:rPr>
        <w:t>calculator which are consistent with:</w:t>
      </w:r>
    </w:p>
    <w:p w:rsidR="003C3821" w:rsidRPr="00E424CB" w:rsidRDefault="003C3821" w:rsidP="003C3821">
      <w:pPr>
        <w:pStyle w:val="tSubsub"/>
        <w:rPr>
          <w:lang w:eastAsia="en-NZ"/>
        </w:rPr>
      </w:pPr>
      <w:r>
        <w:rPr>
          <w:lang w:eastAsia="en-NZ"/>
        </w:rPr>
        <w:tab/>
        <w:t>(A)</w:t>
      </w:r>
      <w:r>
        <w:rPr>
          <w:lang w:eastAsia="en-NZ"/>
        </w:rPr>
        <w:tab/>
      </w:r>
      <w:proofErr w:type="gramStart"/>
      <w:r>
        <w:rPr>
          <w:lang w:eastAsia="en-NZ"/>
        </w:rPr>
        <w:t>the</w:t>
      </w:r>
      <w:proofErr w:type="gramEnd"/>
      <w:r>
        <w:rPr>
          <w:lang w:eastAsia="en-NZ"/>
        </w:rPr>
        <w:t xml:space="preserve"> National Inventory Report; </w:t>
      </w:r>
      <w:r w:rsidRPr="00FE4609">
        <w:rPr>
          <w:lang w:eastAsia="en-NZ"/>
        </w:rPr>
        <w:t>or</w:t>
      </w:r>
    </w:p>
    <w:p w:rsidR="003C3821" w:rsidRDefault="003C3821" w:rsidP="003C3821">
      <w:pPr>
        <w:pStyle w:val="tSubsub"/>
        <w:rPr>
          <w:lang w:eastAsia="en-NZ"/>
        </w:rPr>
      </w:pPr>
      <w:r>
        <w:rPr>
          <w:lang w:eastAsia="en-NZ"/>
        </w:rPr>
        <w:tab/>
        <w:t>(B)</w:t>
      </w:r>
      <w:r>
        <w:rPr>
          <w:lang w:eastAsia="en-NZ"/>
        </w:rPr>
        <w:tab/>
      </w:r>
      <w:proofErr w:type="gramStart"/>
      <w:r>
        <w:rPr>
          <w:lang w:eastAsia="en-NZ"/>
        </w:rPr>
        <w:t>the</w:t>
      </w:r>
      <w:proofErr w:type="gramEnd"/>
      <w:r>
        <w:rPr>
          <w:lang w:eastAsia="en-NZ"/>
        </w:rPr>
        <w:t xml:space="preserve"> carbon dioxide equivalence and applicable methods under subsection 10(3) of the </w:t>
      </w:r>
      <w:r w:rsidRPr="00592F5B">
        <w:rPr>
          <w:i/>
          <w:lang w:eastAsia="en-NZ"/>
        </w:rPr>
        <w:t>National Greenhouse and Energy Reporting Act 2007</w:t>
      </w:r>
      <w:r>
        <w:rPr>
          <w:lang w:eastAsia="en-NZ"/>
        </w:rPr>
        <w:t xml:space="preserve">; </w:t>
      </w:r>
    </w:p>
    <w:p w:rsidR="003C3821" w:rsidRDefault="003C3821" w:rsidP="003C3821">
      <w:pPr>
        <w:pStyle w:val="tSubpara"/>
        <w:rPr>
          <w:lang w:eastAsia="en-NZ"/>
        </w:rPr>
      </w:pPr>
      <w:r>
        <w:rPr>
          <w:lang w:eastAsia="en-NZ"/>
        </w:rPr>
        <w:tab/>
        <w:t>(</w:t>
      </w:r>
      <w:proofErr w:type="gramStart"/>
      <w:r>
        <w:rPr>
          <w:lang w:eastAsia="en-NZ"/>
        </w:rPr>
        <w:t>ii</w:t>
      </w:r>
      <w:proofErr w:type="gramEnd"/>
      <w:r>
        <w:rPr>
          <w:lang w:eastAsia="en-NZ"/>
        </w:rPr>
        <w:t>)</w:t>
      </w:r>
      <w:r>
        <w:rPr>
          <w:lang w:eastAsia="en-NZ"/>
        </w:rPr>
        <w:tab/>
        <w:t xml:space="preserve">updates which are of a minor nature; </w:t>
      </w:r>
    </w:p>
    <w:p w:rsidR="003C3821" w:rsidRDefault="003C3821" w:rsidP="003C3821">
      <w:pPr>
        <w:pStyle w:val="tSubpara"/>
        <w:rPr>
          <w:lang w:eastAsia="en-NZ"/>
        </w:rPr>
      </w:pPr>
      <w:r>
        <w:rPr>
          <w:lang w:eastAsia="en-NZ"/>
        </w:rPr>
        <w:tab/>
        <w:t>(iii)</w:t>
      </w:r>
      <w:r>
        <w:rPr>
          <w:lang w:eastAsia="en-NZ"/>
        </w:rPr>
        <w:tab/>
      </w:r>
      <w:proofErr w:type="gramStart"/>
      <w:r>
        <w:rPr>
          <w:lang w:eastAsia="en-NZ"/>
        </w:rPr>
        <w:t>updates</w:t>
      </w:r>
      <w:proofErr w:type="gramEnd"/>
      <w:r>
        <w:rPr>
          <w:lang w:eastAsia="en-NZ"/>
        </w:rPr>
        <w:t xml:space="preserve"> which are necessary or incidental to updates referred to in subparagraph (</w:t>
      </w:r>
      <w:proofErr w:type="spellStart"/>
      <w:r>
        <w:rPr>
          <w:lang w:eastAsia="en-NZ"/>
        </w:rPr>
        <w:t>i</w:t>
      </w:r>
      <w:proofErr w:type="spellEnd"/>
      <w:r>
        <w:rPr>
          <w:lang w:eastAsia="en-NZ"/>
        </w:rPr>
        <w:t xml:space="preserve">) or (ii). </w:t>
      </w:r>
    </w:p>
    <w:p w:rsidR="003C3821" w:rsidRPr="00830A7A" w:rsidRDefault="003C3821" w:rsidP="003C3821">
      <w:pPr>
        <w:pStyle w:val="tDefn"/>
      </w:pPr>
      <w:proofErr w:type="gramStart"/>
      <w:r>
        <w:rPr>
          <w:b/>
          <w:i/>
        </w:rPr>
        <w:t>irrigation</w:t>
      </w:r>
      <w:proofErr w:type="gramEnd"/>
      <w:r>
        <w:rPr>
          <w:b/>
          <w:i/>
        </w:rPr>
        <w:t xml:space="preserve"> status</w:t>
      </w:r>
      <w:r w:rsidRPr="00830A7A">
        <w:t>,</w:t>
      </w:r>
      <w:r>
        <w:rPr>
          <w:b/>
          <w:i/>
        </w:rPr>
        <w:t xml:space="preserve"> </w:t>
      </w:r>
      <w:r w:rsidRPr="00830A7A">
        <w:t xml:space="preserve">in relation to a </w:t>
      </w:r>
      <w:r>
        <w:t>field</w:t>
      </w:r>
      <w:r w:rsidRPr="00830A7A">
        <w:t xml:space="preserve">, </w:t>
      </w:r>
      <w:r>
        <w:t>means whether water was applied to the whole area of the field at least once.</w:t>
      </w:r>
    </w:p>
    <w:p w:rsidR="003C3821" w:rsidRDefault="003C3821" w:rsidP="003C3821">
      <w:pPr>
        <w:pStyle w:val="tDefn"/>
        <w:rPr>
          <w:color w:val="000000" w:themeColor="text1"/>
        </w:rPr>
      </w:pPr>
      <w:proofErr w:type="gramStart"/>
      <w:r w:rsidRPr="00941D05">
        <w:rPr>
          <w:b/>
          <w:i/>
        </w:rPr>
        <w:t>lint</w:t>
      </w:r>
      <w:proofErr w:type="gramEnd"/>
      <w:r w:rsidRPr="00941D05">
        <w:t xml:space="preserve"> means unprocessed</w:t>
      </w:r>
      <w:r>
        <w:t xml:space="preserve"> cotton; </w:t>
      </w:r>
      <w:r w:rsidRPr="00941D05">
        <w:rPr>
          <w:color w:val="000000" w:themeColor="text1"/>
        </w:rPr>
        <w:t xml:space="preserve">the fibrous material of a cotton </w:t>
      </w:r>
      <w:proofErr w:type="spellStart"/>
      <w:r w:rsidRPr="00941D05">
        <w:rPr>
          <w:color w:val="000000" w:themeColor="text1"/>
        </w:rPr>
        <w:t>boll</w:t>
      </w:r>
      <w:proofErr w:type="spellEnd"/>
      <w:r w:rsidRPr="00941D05">
        <w:rPr>
          <w:color w:val="000000" w:themeColor="text1"/>
        </w:rPr>
        <w:t>.</w:t>
      </w:r>
    </w:p>
    <w:p w:rsidR="003C3821" w:rsidRPr="00941D05" w:rsidRDefault="003C3821" w:rsidP="003C3821">
      <w:pPr>
        <w:pStyle w:val="tDefn"/>
        <w:rPr>
          <w:color w:val="000000" w:themeColor="text1"/>
        </w:rPr>
      </w:pPr>
      <w:proofErr w:type="gramStart"/>
      <w:r w:rsidRPr="00070A15">
        <w:rPr>
          <w:b/>
          <w:i/>
          <w:color w:val="000000" w:themeColor="text1"/>
        </w:rPr>
        <w:t>lint</w:t>
      </w:r>
      <w:proofErr w:type="gramEnd"/>
      <w:r w:rsidRPr="00070A15">
        <w:rPr>
          <w:b/>
          <w:i/>
          <w:color w:val="000000" w:themeColor="text1"/>
        </w:rPr>
        <w:t xml:space="preserve"> yield</w:t>
      </w:r>
      <w:r>
        <w:rPr>
          <w:color w:val="000000" w:themeColor="text1"/>
        </w:rPr>
        <w:t xml:space="preserve"> has the meaning </w:t>
      </w:r>
      <w:r w:rsidRPr="00B728B6">
        <w:rPr>
          <w:color w:val="000000" w:themeColor="text1"/>
        </w:rPr>
        <w:t>given by</w:t>
      </w:r>
      <w:r>
        <w:rPr>
          <w:color w:val="000000" w:themeColor="text1"/>
        </w:rPr>
        <w:t xml:space="preserve"> subsection 26(2).</w:t>
      </w:r>
    </w:p>
    <w:p w:rsidR="003C3821" w:rsidRDefault="003C3821" w:rsidP="003C3821">
      <w:pPr>
        <w:pStyle w:val="tDefn"/>
      </w:pPr>
      <w:r>
        <w:rPr>
          <w:b/>
          <w:i/>
        </w:rPr>
        <w:t>National Inventory Report</w:t>
      </w:r>
      <w:r w:rsidRPr="009900AA">
        <w:rPr>
          <w:b/>
          <w:i/>
        </w:rPr>
        <w:t xml:space="preserve"> </w:t>
      </w:r>
      <w:r w:rsidRPr="009900AA">
        <w:t>means the</w:t>
      </w:r>
      <w:r>
        <w:t xml:space="preserve"> most recently published document of that name that is prepared by the Department in fulfilment of obligations that Australia has under the Climate Change Convention.</w:t>
      </w:r>
    </w:p>
    <w:p w:rsidR="003C3821" w:rsidRPr="006420CE" w:rsidRDefault="003C3821" w:rsidP="003C3821">
      <w:pPr>
        <w:pStyle w:val="tDefn"/>
      </w:pPr>
      <w:proofErr w:type="gramStart"/>
      <w:r w:rsidRPr="00941D05">
        <w:rPr>
          <w:b/>
          <w:i/>
        </w:rPr>
        <w:t>new</w:t>
      </w:r>
      <w:proofErr w:type="gramEnd"/>
      <w:r w:rsidRPr="00941D05">
        <w:rPr>
          <w:b/>
          <w:i/>
        </w:rPr>
        <w:t xml:space="preserve"> management action</w:t>
      </w:r>
      <w:r w:rsidRPr="00941D05">
        <w:t xml:space="preserve"> </w:t>
      </w:r>
      <w:r>
        <w:t>means a management practice</w:t>
      </w:r>
      <w:r w:rsidRPr="006420CE">
        <w:t xml:space="preserve"> </w:t>
      </w:r>
      <w:r>
        <w:t>that is undertaken during the crediting period and that</w:t>
      </w:r>
      <w:r w:rsidRPr="006420CE">
        <w:t xml:space="preserve">: </w:t>
      </w:r>
    </w:p>
    <w:p w:rsidR="003C3821" w:rsidRPr="006420CE" w:rsidRDefault="00731C68" w:rsidP="00731C68">
      <w:pPr>
        <w:pStyle w:val="tPara"/>
      </w:pPr>
      <w:r>
        <w:tab/>
        <w:t>(a)</w:t>
      </w:r>
      <w:r>
        <w:tab/>
      </w:r>
      <w:proofErr w:type="gramStart"/>
      <w:r w:rsidR="003C3821" w:rsidRPr="006420CE">
        <w:t>is</w:t>
      </w:r>
      <w:proofErr w:type="gramEnd"/>
      <w:r w:rsidR="003C3821" w:rsidRPr="006420CE">
        <w:t xml:space="preserve"> undertaken </w:t>
      </w:r>
      <w:r w:rsidR="003C3821">
        <w:t>with respect to a cotton area</w:t>
      </w:r>
      <w:r w:rsidR="003C3821" w:rsidRPr="006420CE">
        <w:t xml:space="preserve">; and </w:t>
      </w:r>
    </w:p>
    <w:p w:rsidR="003C3821" w:rsidRDefault="00731C68" w:rsidP="00731C68">
      <w:pPr>
        <w:pStyle w:val="tPara"/>
      </w:pPr>
      <w:r>
        <w:tab/>
        <w:t>(b)</w:t>
      </w:r>
      <w:r>
        <w:tab/>
      </w:r>
      <w:proofErr w:type="gramStart"/>
      <w:r w:rsidR="003C3821" w:rsidRPr="006420CE">
        <w:t>differs</w:t>
      </w:r>
      <w:proofErr w:type="gramEnd"/>
      <w:r w:rsidR="003C3821" w:rsidRPr="006420CE">
        <w:t xml:space="preserve"> f</w:t>
      </w:r>
      <w:r w:rsidR="003C3821">
        <w:t xml:space="preserve">rom historical management actions. </w:t>
      </w:r>
    </w:p>
    <w:p w:rsidR="003C3821" w:rsidRDefault="003C3821" w:rsidP="003C3821">
      <w:pPr>
        <w:pStyle w:val="nMain"/>
      </w:pPr>
      <w:r>
        <w:t>Note 1:</w:t>
      </w:r>
      <w:r>
        <w:tab/>
        <w:t>A new management action may include an enhancement, improvement or variation to an historical management action.</w:t>
      </w:r>
    </w:p>
    <w:p w:rsidR="003C3821" w:rsidRPr="006420CE" w:rsidRDefault="003C3821" w:rsidP="003C3821">
      <w:pPr>
        <w:pStyle w:val="nMain"/>
      </w:pPr>
      <w:r>
        <w:t>Note 2:</w:t>
      </w:r>
      <w:r>
        <w:tab/>
        <w:t>The requirements for new management actions are set out in section 10.</w:t>
      </w:r>
    </w:p>
    <w:p w:rsidR="003C3821" w:rsidRDefault="003C3821" w:rsidP="003C3821">
      <w:pPr>
        <w:pStyle w:val="tDefn"/>
      </w:pPr>
      <w:proofErr w:type="gramStart"/>
      <w:r>
        <w:rPr>
          <w:b/>
          <w:i/>
        </w:rPr>
        <w:t>nitrogen</w:t>
      </w:r>
      <w:proofErr w:type="gramEnd"/>
      <w:r>
        <w:rPr>
          <w:b/>
          <w:i/>
        </w:rPr>
        <w:t xml:space="preserve"> fertiliser use efficiency</w:t>
      </w:r>
      <w:r>
        <w:t xml:space="preserve"> means the ratio of lint yield to nitrogen, applied via synthetic fertiliser.</w:t>
      </w:r>
    </w:p>
    <w:p w:rsidR="00C937DE" w:rsidRPr="00C937DE" w:rsidRDefault="00C937DE" w:rsidP="003C3821">
      <w:pPr>
        <w:pStyle w:val="tDefn"/>
      </w:pPr>
      <w:proofErr w:type="gramStart"/>
      <w:r>
        <w:rPr>
          <w:b/>
          <w:i/>
        </w:rPr>
        <w:t>project</w:t>
      </w:r>
      <w:proofErr w:type="gramEnd"/>
      <w:r>
        <w:rPr>
          <w:b/>
          <w:i/>
        </w:rPr>
        <w:t xml:space="preserve"> emissions </w:t>
      </w:r>
      <w:r>
        <w:t>has the meaning given by subsection </w:t>
      </w:r>
      <w:r w:rsidR="00E424CB">
        <w:t>19(1)</w:t>
      </w:r>
      <w:r>
        <w:t>.</w:t>
      </w:r>
    </w:p>
    <w:p w:rsidR="003C3821" w:rsidRDefault="003C3821" w:rsidP="003C3821">
      <w:pPr>
        <w:pStyle w:val="tDefn"/>
        <w:rPr>
          <w:b/>
          <w:i/>
        </w:rPr>
      </w:pPr>
      <w:proofErr w:type="gramStart"/>
      <w:r>
        <w:rPr>
          <w:b/>
          <w:i/>
        </w:rPr>
        <w:t>seed</w:t>
      </w:r>
      <w:proofErr w:type="gramEnd"/>
      <w:r>
        <w:rPr>
          <w:b/>
          <w:i/>
        </w:rPr>
        <w:t xml:space="preserve"> cotton </w:t>
      </w:r>
      <w:r>
        <w:t>means unprocessed harvested cotton consisting of lint, cottonseed and trash.</w:t>
      </w:r>
    </w:p>
    <w:p w:rsidR="003C3821" w:rsidRPr="00D435CF" w:rsidRDefault="003C3821" w:rsidP="003C3821">
      <w:pPr>
        <w:pStyle w:val="tDefn"/>
        <w:rPr>
          <w:szCs w:val="18"/>
        </w:rPr>
      </w:pPr>
      <w:proofErr w:type="gramStart"/>
      <w:r w:rsidRPr="00D435CF">
        <w:rPr>
          <w:b/>
          <w:i/>
        </w:rPr>
        <w:t>stratification</w:t>
      </w:r>
      <w:proofErr w:type="gramEnd"/>
      <w:r w:rsidRPr="00D435CF">
        <w:rPr>
          <w:b/>
          <w:i/>
        </w:rPr>
        <w:t xml:space="preserve"> </w:t>
      </w:r>
      <w:r w:rsidRPr="00D435CF">
        <w:t xml:space="preserve">means the </w:t>
      </w:r>
      <w:r w:rsidRPr="00D435CF">
        <w:rPr>
          <w:szCs w:val="18"/>
        </w:rPr>
        <w:t xml:space="preserve">division of </w:t>
      </w:r>
      <w:r>
        <w:rPr>
          <w:szCs w:val="18"/>
        </w:rPr>
        <w:t xml:space="preserve">a project area </w:t>
      </w:r>
      <w:r w:rsidRPr="00D435CF">
        <w:rPr>
          <w:szCs w:val="18"/>
        </w:rPr>
        <w:t xml:space="preserve">into one or more </w:t>
      </w:r>
      <w:r>
        <w:rPr>
          <w:szCs w:val="18"/>
        </w:rPr>
        <w:t>fields</w:t>
      </w:r>
      <w:r w:rsidRPr="00D435CF">
        <w:rPr>
          <w:szCs w:val="18"/>
        </w:rPr>
        <w:t xml:space="preserve">. </w:t>
      </w:r>
    </w:p>
    <w:p w:rsidR="003C3821" w:rsidRDefault="003C3821" w:rsidP="003C3821">
      <w:pPr>
        <w:pStyle w:val="tDefn"/>
        <w:rPr>
          <w:iCs/>
          <w:color w:val="000000" w:themeColor="text1"/>
        </w:rPr>
      </w:pPr>
      <w:proofErr w:type="gramStart"/>
      <w:r>
        <w:rPr>
          <w:b/>
          <w:i/>
          <w:iCs/>
          <w:color w:val="000000" w:themeColor="text1"/>
        </w:rPr>
        <w:lastRenderedPageBreak/>
        <w:t>synthetic</w:t>
      </w:r>
      <w:proofErr w:type="gramEnd"/>
      <w:r>
        <w:rPr>
          <w:b/>
          <w:i/>
          <w:iCs/>
          <w:color w:val="000000" w:themeColor="text1"/>
        </w:rPr>
        <w:t xml:space="preserve"> fertiliser </w:t>
      </w:r>
      <w:r>
        <w:rPr>
          <w:iCs/>
          <w:color w:val="000000" w:themeColor="text1"/>
        </w:rPr>
        <w:t>means a product, including urea, applied to soil to enhance soil fertility and which has a manufacturer’s label that guarantees minimum nitrogen content that is:</w:t>
      </w:r>
    </w:p>
    <w:p w:rsidR="003C3821" w:rsidRDefault="00731C68" w:rsidP="00731C68">
      <w:pPr>
        <w:pStyle w:val="tPara"/>
      </w:pPr>
      <w:r>
        <w:tab/>
        <w:t>(a)</w:t>
      </w:r>
      <w:r>
        <w:tab/>
      </w:r>
      <w:proofErr w:type="gramStart"/>
      <w:r w:rsidR="003C3821">
        <w:t>for</w:t>
      </w:r>
      <w:proofErr w:type="gramEnd"/>
      <w:r w:rsidR="003C3821">
        <w:t xml:space="preserve"> solid fertilisers</w:t>
      </w:r>
      <w:r w:rsidR="003C3821" w:rsidRPr="009E06C0">
        <w:t>—</w:t>
      </w:r>
      <w:r w:rsidR="003C3821">
        <w:t>greater than or equal to 0.5%; or</w:t>
      </w:r>
    </w:p>
    <w:p w:rsidR="003C3821" w:rsidRDefault="00731C68" w:rsidP="00731C68">
      <w:pPr>
        <w:pStyle w:val="tPara"/>
      </w:pPr>
      <w:r>
        <w:tab/>
        <w:t>(b)</w:t>
      </w:r>
      <w:r>
        <w:tab/>
      </w:r>
      <w:proofErr w:type="gramStart"/>
      <w:r w:rsidR="003C3821">
        <w:t>for</w:t>
      </w:r>
      <w:proofErr w:type="gramEnd"/>
      <w:r w:rsidR="003C3821">
        <w:t xml:space="preserve"> liquid fertiliser and solid fertiliser applied in solution</w:t>
      </w:r>
      <w:r w:rsidR="003C3821" w:rsidRPr="009E06C0">
        <w:t>—</w:t>
      </w:r>
      <w:r w:rsidR="003C3821">
        <w:t>greater than or equal to 0.1%.</w:t>
      </w:r>
    </w:p>
    <w:p w:rsidR="003C3821" w:rsidRDefault="003C3821" w:rsidP="003C3821">
      <w:pPr>
        <w:pStyle w:val="nMain"/>
      </w:pPr>
      <w:r>
        <w:t>Note:</w:t>
      </w:r>
      <w:r>
        <w:tab/>
      </w:r>
      <w:r w:rsidRPr="00F960FB">
        <w:t xml:space="preserve">Synthetic </w:t>
      </w:r>
      <w:r>
        <w:t>fertiliser</w:t>
      </w:r>
      <w:r w:rsidRPr="00F960FB">
        <w:t>s may include pro</w:t>
      </w:r>
      <w:r>
        <w:t>ducts with an</w:t>
      </w:r>
      <w:r w:rsidRPr="00F960FB">
        <w:t xml:space="preserve"> organic base that </w:t>
      </w:r>
      <w:r>
        <w:t>are supplemented, where necessary</w:t>
      </w:r>
      <w:r w:rsidRPr="00417D3F">
        <w:t xml:space="preserve"> </w:t>
      </w:r>
      <w:r w:rsidRPr="00F960FB">
        <w:t xml:space="preserve">to </w:t>
      </w:r>
      <w:r>
        <w:t>meet the applicable minimum nitrogen contents, with inorganic nitrogenous compounds.</w:t>
      </w:r>
    </w:p>
    <w:p w:rsidR="003C3821" w:rsidRDefault="003C3821" w:rsidP="003C3821">
      <w:pPr>
        <w:pStyle w:val="tDefn"/>
        <w:rPr>
          <w:iCs/>
          <w:color w:val="000000" w:themeColor="text1"/>
        </w:rPr>
      </w:pPr>
      <w:proofErr w:type="gramStart"/>
      <w:r>
        <w:rPr>
          <w:b/>
          <w:i/>
          <w:iCs/>
          <w:color w:val="000000" w:themeColor="text1"/>
        </w:rPr>
        <w:t>t</w:t>
      </w:r>
      <w:proofErr w:type="gramEnd"/>
      <w:r>
        <w:rPr>
          <w:b/>
          <w:i/>
          <w:iCs/>
          <w:color w:val="000000" w:themeColor="text1"/>
        </w:rPr>
        <w:t xml:space="preserve"> </w:t>
      </w:r>
      <w:r w:rsidRPr="004A5FC6">
        <w:rPr>
          <w:b/>
          <w:i/>
          <w:iCs/>
          <w:color w:val="000000" w:themeColor="text1"/>
        </w:rPr>
        <w:t>CO</w:t>
      </w:r>
      <w:r w:rsidRPr="004A5FC6">
        <w:rPr>
          <w:b/>
          <w:i/>
          <w:iCs/>
          <w:color w:val="000000" w:themeColor="text1"/>
          <w:vertAlign w:val="subscript"/>
        </w:rPr>
        <w:t>2</w:t>
      </w:r>
      <w:r w:rsidRPr="004A5FC6">
        <w:rPr>
          <w:b/>
          <w:i/>
          <w:iCs/>
          <w:color w:val="000000" w:themeColor="text1"/>
        </w:rPr>
        <w:noBreakHyphen/>
        <w:t>e</w:t>
      </w:r>
      <w:r w:rsidRPr="004A5FC6">
        <w:rPr>
          <w:iCs/>
          <w:color w:val="000000" w:themeColor="text1"/>
        </w:rPr>
        <w:t xml:space="preserve"> means </w:t>
      </w:r>
      <w:r>
        <w:rPr>
          <w:iCs/>
          <w:color w:val="000000" w:themeColor="text1"/>
        </w:rPr>
        <w:t xml:space="preserve">tonnes of </w:t>
      </w:r>
      <w:r w:rsidRPr="004A5FC6">
        <w:rPr>
          <w:iCs/>
          <w:color w:val="000000" w:themeColor="text1"/>
        </w:rPr>
        <w:t>carbon dioxide equivalent.</w:t>
      </w:r>
    </w:p>
    <w:p w:rsidR="003C3821" w:rsidRDefault="003C3821" w:rsidP="003C3821">
      <w:pPr>
        <w:pStyle w:val="tDefn"/>
        <w:rPr>
          <w:iCs/>
          <w:color w:val="000000" w:themeColor="text1"/>
        </w:rPr>
      </w:pPr>
      <w:bookmarkStart w:id="33" w:name="OLE_LINK1"/>
      <w:bookmarkStart w:id="34" w:name="OLE_LINK2"/>
      <w:proofErr w:type="gramStart"/>
      <w:r w:rsidRPr="00784729">
        <w:rPr>
          <w:b/>
          <w:i/>
          <w:iCs/>
          <w:color w:val="000000" w:themeColor="text1"/>
        </w:rPr>
        <w:t>trash</w:t>
      </w:r>
      <w:proofErr w:type="gramEnd"/>
      <w:r w:rsidRPr="00784729">
        <w:rPr>
          <w:b/>
          <w:i/>
          <w:iCs/>
          <w:color w:val="000000" w:themeColor="text1"/>
        </w:rPr>
        <w:t xml:space="preserve"> </w:t>
      </w:r>
      <w:r w:rsidRPr="00784729">
        <w:rPr>
          <w:iCs/>
          <w:color w:val="000000" w:themeColor="text1"/>
        </w:rPr>
        <w:t>means the parts of harvested cotton that are not lint or cottonseed</w:t>
      </w:r>
      <w:r>
        <w:rPr>
          <w:iCs/>
          <w:color w:val="000000" w:themeColor="text1"/>
        </w:rPr>
        <w:t>, including material such as leaves, bracts and stems</w:t>
      </w:r>
      <w:r w:rsidRPr="00784729">
        <w:rPr>
          <w:iCs/>
          <w:color w:val="000000" w:themeColor="text1"/>
        </w:rPr>
        <w:t>.</w:t>
      </w:r>
    </w:p>
    <w:bookmarkEnd w:id="33"/>
    <w:bookmarkEnd w:id="34"/>
    <w:p w:rsidR="003C3821" w:rsidRDefault="003C3821" w:rsidP="003C3821">
      <w:pPr>
        <w:pStyle w:val="tDefn"/>
        <w:rPr>
          <w:iCs/>
          <w:color w:val="000000" w:themeColor="text1"/>
        </w:rPr>
      </w:pPr>
      <w:proofErr w:type="gramStart"/>
      <w:r w:rsidRPr="00941D05">
        <w:rPr>
          <w:b/>
          <w:i/>
          <w:iCs/>
          <w:color w:val="000000" w:themeColor="text1"/>
        </w:rPr>
        <w:t>yield</w:t>
      </w:r>
      <w:proofErr w:type="gramEnd"/>
      <w:r>
        <w:rPr>
          <w:iCs/>
          <w:color w:val="000000" w:themeColor="text1"/>
        </w:rPr>
        <w:t>, with reference to cotton lint,</w:t>
      </w:r>
      <w:r w:rsidRPr="00941D05">
        <w:rPr>
          <w:b/>
          <w:i/>
          <w:iCs/>
          <w:color w:val="000000" w:themeColor="text1"/>
        </w:rPr>
        <w:t xml:space="preserve"> </w:t>
      </w:r>
      <w:r w:rsidRPr="00941D05">
        <w:rPr>
          <w:iCs/>
          <w:color w:val="000000" w:themeColor="text1"/>
        </w:rPr>
        <w:t>means</w:t>
      </w:r>
      <w:r>
        <w:rPr>
          <w:iCs/>
          <w:color w:val="000000" w:themeColor="text1"/>
        </w:rPr>
        <w:t xml:space="preserve"> the amount (mass) produced.</w:t>
      </w:r>
    </w:p>
    <w:p w:rsidR="003C3821" w:rsidRDefault="003C3821" w:rsidP="003C3821">
      <w:pPr>
        <w:rPr>
          <w:iCs/>
          <w:color w:val="000000" w:themeColor="text1"/>
        </w:rPr>
      </w:pPr>
      <w:r>
        <w:rPr>
          <w:iCs/>
          <w:color w:val="000000" w:themeColor="text1"/>
        </w:rPr>
        <w:br w:type="page"/>
      </w:r>
    </w:p>
    <w:p w:rsidR="003C3821" w:rsidRDefault="00746173" w:rsidP="003C3821">
      <w:pPr>
        <w:pStyle w:val="h2Part"/>
      </w:pPr>
      <w:bookmarkStart w:id="35" w:name="_Toc405896457"/>
      <w:bookmarkStart w:id="36" w:name="_Toc413343190"/>
      <w:bookmarkStart w:id="37" w:name="_Toc413343283"/>
      <w:bookmarkStart w:id="38" w:name="_Toc413343329"/>
      <w:bookmarkStart w:id="39" w:name="_Toc416182702"/>
      <w:r>
        <w:lastRenderedPageBreak/>
        <w:t>Part 2</w:t>
      </w:r>
      <w:r w:rsidR="003C3821">
        <w:t>—Irrigated cotton projects</w:t>
      </w:r>
      <w:bookmarkEnd w:id="35"/>
      <w:bookmarkEnd w:id="36"/>
      <w:bookmarkEnd w:id="37"/>
      <w:bookmarkEnd w:id="38"/>
      <w:bookmarkEnd w:id="39"/>
    </w:p>
    <w:p w:rsidR="003C3821" w:rsidRPr="008B3681" w:rsidRDefault="00746173" w:rsidP="003C3821">
      <w:pPr>
        <w:pStyle w:val="h5Section"/>
      </w:pPr>
      <w:bookmarkStart w:id="40" w:name="_Toc405896458"/>
      <w:bookmarkStart w:id="41" w:name="_Toc413343191"/>
      <w:bookmarkStart w:id="42" w:name="_Toc413343284"/>
      <w:bookmarkStart w:id="43" w:name="_Toc413343330"/>
      <w:bookmarkStart w:id="44" w:name="_Toc416182703"/>
      <w:proofErr w:type="gramStart"/>
      <w:r>
        <w:t>6</w:t>
      </w:r>
      <w:r w:rsidR="003C3821">
        <w:t xml:space="preserve">  Irrigated</w:t>
      </w:r>
      <w:proofErr w:type="gramEnd"/>
      <w:r w:rsidR="003C3821">
        <w:t xml:space="preserve"> cotton projects</w:t>
      </w:r>
      <w:bookmarkEnd w:id="40"/>
      <w:bookmarkEnd w:id="41"/>
      <w:bookmarkEnd w:id="42"/>
      <w:bookmarkEnd w:id="43"/>
      <w:bookmarkEnd w:id="44"/>
    </w:p>
    <w:p w:rsidR="003C3821" w:rsidRDefault="003C3821" w:rsidP="003C3821">
      <w:pPr>
        <w:pStyle w:val="tMain"/>
      </w:pPr>
      <w:r>
        <w:tab/>
      </w:r>
      <w:r w:rsidR="00746173">
        <w:t>(1)</w:t>
      </w:r>
      <w:r>
        <w:tab/>
      </w:r>
      <w:r w:rsidRPr="004A5FC6">
        <w:t>For paragraph 106(1)(a) of the Act, this determination applies to</w:t>
      </w:r>
      <w:r>
        <w:t xml:space="preserve"> an emissions avoidance offsets project which aims to avoid emissions from the cultivation of irrigated cotton by increasing the nitrogen fertiliser use efficiency of that process.</w:t>
      </w:r>
    </w:p>
    <w:p w:rsidR="003C3821" w:rsidRDefault="003C3821" w:rsidP="003C3821">
      <w:pPr>
        <w:pStyle w:val="tMain"/>
      </w:pPr>
      <w:r>
        <w:tab/>
      </w:r>
      <w:r w:rsidR="00746173">
        <w:t>(2)</w:t>
      </w:r>
      <w:r>
        <w:tab/>
        <w:t xml:space="preserve">A project covered by subsection (1) is an </w:t>
      </w:r>
      <w:r>
        <w:rPr>
          <w:b/>
          <w:i/>
        </w:rPr>
        <w:t>irrigated cotton project</w:t>
      </w:r>
      <w:r>
        <w:t>.</w:t>
      </w:r>
    </w:p>
    <w:p w:rsidR="003C3821" w:rsidRDefault="003C3821" w:rsidP="003C3821">
      <w:r>
        <w:br w:type="page"/>
      </w:r>
    </w:p>
    <w:p w:rsidR="003C3821" w:rsidRPr="004A5FC6" w:rsidRDefault="00746173" w:rsidP="003C3821">
      <w:pPr>
        <w:pStyle w:val="h2Part"/>
      </w:pPr>
      <w:bookmarkStart w:id="45" w:name="_Toc405896459"/>
      <w:bookmarkStart w:id="46" w:name="_Toc413343192"/>
      <w:bookmarkStart w:id="47" w:name="_Toc413343285"/>
      <w:bookmarkStart w:id="48" w:name="_Toc413343331"/>
      <w:bookmarkStart w:id="49" w:name="_Toc416182704"/>
      <w:r>
        <w:lastRenderedPageBreak/>
        <w:t>Part 3</w:t>
      </w:r>
      <w:r w:rsidR="003C3821">
        <w:t>—Project requirements</w:t>
      </w:r>
      <w:bookmarkEnd w:id="45"/>
      <w:bookmarkEnd w:id="46"/>
      <w:bookmarkEnd w:id="47"/>
      <w:bookmarkEnd w:id="48"/>
      <w:bookmarkEnd w:id="49"/>
    </w:p>
    <w:p w:rsidR="003C3821" w:rsidRPr="004A5FC6" w:rsidRDefault="00746173" w:rsidP="003C3821">
      <w:pPr>
        <w:pStyle w:val="h3Div"/>
      </w:pPr>
      <w:bookmarkStart w:id="50" w:name="_Toc405896460"/>
      <w:bookmarkStart w:id="51" w:name="_Toc413343193"/>
      <w:bookmarkStart w:id="52" w:name="_Toc413343286"/>
      <w:bookmarkStart w:id="53" w:name="_Toc413343332"/>
      <w:bookmarkStart w:id="54" w:name="_Toc416182705"/>
      <w:r>
        <w:t>Division 1</w:t>
      </w:r>
      <w:r w:rsidR="003C3821">
        <w:t>—</w:t>
      </w:r>
      <w:r w:rsidR="003C3821" w:rsidRPr="004A5FC6">
        <w:t>Eligible projects</w:t>
      </w:r>
      <w:bookmarkEnd w:id="50"/>
      <w:bookmarkEnd w:id="51"/>
      <w:bookmarkEnd w:id="52"/>
      <w:bookmarkEnd w:id="53"/>
      <w:bookmarkEnd w:id="54"/>
      <w:r w:rsidR="003C3821" w:rsidRPr="004A5FC6">
        <w:tab/>
      </w:r>
    </w:p>
    <w:p w:rsidR="003C3821" w:rsidRPr="004A5FC6" w:rsidRDefault="00746173" w:rsidP="003C3821">
      <w:pPr>
        <w:pStyle w:val="h5Section"/>
      </w:pPr>
      <w:bookmarkStart w:id="55" w:name="_Toc405896461"/>
      <w:bookmarkStart w:id="56" w:name="_Toc413343194"/>
      <w:bookmarkStart w:id="57" w:name="_Toc413343287"/>
      <w:bookmarkStart w:id="58" w:name="_Toc413343333"/>
      <w:bookmarkStart w:id="59" w:name="_Toc416182706"/>
      <w:proofErr w:type="gramStart"/>
      <w:r>
        <w:t>7</w:t>
      </w:r>
      <w:r w:rsidR="003C3821">
        <w:t xml:space="preserve">  Operation</w:t>
      </w:r>
      <w:proofErr w:type="gramEnd"/>
      <w:r w:rsidR="003C3821">
        <w:t xml:space="preserve"> of this Part</w:t>
      </w:r>
      <w:bookmarkEnd w:id="55"/>
      <w:bookmarkEnd w:id="56"/>
      <w:bookmarkEnd w:id="57"/>
      <w:bookmarkEnd w:id="58"/>
      <w:bookmarkEnd w:id="59"/>
    </w:p>
    <w:p w:rsidR="003C3821" w:rsidRPr="00036A12" w:rsidRDefault="003C3821" w:rsidP="003C3821">
      <w:pPr>
        <w:pStyle w:val="tMain"/>
      </w:pPr>
      <w:r w:rsidRPr="004A5FC6">
        <w:tab/>
      </w:r>
      <w:r w:rsidRPr="004A5FC6">
        <w:tab/>
        <w:t>For</w:t>
      </w:r>
      <w:r>
        <w:t xml:space="preserve"> paragraph 106(1</w:t>
      </w:r>
      <w:proofErr w:type="gramStart"/>
      <w:r>
        <w:t>)(</w:t>
      </w:r>
      <w:proofErr w:type="gramEnd"/>
      <w:r>
        <w:t xml:space="preserve">b) of the Act, this Part sets out requirements that must be met for an irrigated cotton </w:t>
      </w:r>
      <w:r w:rsidRPr="00036A12">
        <w:t>project on one or more project areas specified in the application to be an eligible offsets project.</w:t>
      </w:r>
    </w:p>
    <w:p w:rsidR="003C3821" w:rsidRPr="00036A12" w:rsidRDefault="00746173" w:rsidP="003C3821">
      <w:pPr>
        <w:pStyle w:val="h3Div"/>
      </w:pPr>
      <w:bookmarkStart w:id="60" w:name="_Toc405896462"/>
      <w:bookmarkStart w:id="61" w:name="_Toc413343195"/>
      <w:bookmarkStart w:id="62" w:name="_Toc413343288"/>
      <w:bookmarkStart w:id="63" w:name="_Toc413343334"/>
      <w:bookmarkStart w:id="64" w:name="_Toc416182707"/>
      <w:r>
        <w:t>Division 2</w:t>
      </w:r>
      <w:r w:rsidR="003C3821" w:rsidRPr="00036A12">
        <w:t>—Application for declaration</w:t>
      </w:r>
      <w:bookmarkEnd w:id="60"/>
      <w:bookmarkEnd w:id="61"/>
      <w:bookmarkEnd w:id="62"/>
      <w:bookmarkEnd w:id="63"/>
      <w:bookmarkEnd w:id="64"/>
    </w:p>
    <w:p w:rsidR="003C3821" w:rsidRPr="00036A12" w:rsidRDefault="00746173" w:rsidP="003C3821">
      <w:pPr>
        <w:pStyle w:val="h5Section"/>
      </w:pPr>
      <w:bookmarkStart w:id="65" w:name="_Toc405896463"/>
      <w:bookmarkStart w:id="66" w:name="_Toc413343196"/>
      <w:bookmarkStart w:id="67" w:name="_Toc413343289"/>
      <w:bookmarkStart w:id="68" w:name="_Toc413343335"/>
      <w:bookmarkStart w:id="69" w:name="_Toc416182708"/>
      <w:proofErr w:type="gramStart"/>
      <w:r>
        <w:t>8</w:t>
      </w:r>
      <w:r w:rsidR="003C3821" w:rsidRPr="00036A12">
        <w:t xml:space="preserve">  Emissions</w:t>
      </w:r>
      <w:proofErr w:type="gramEnd"/>
      <w:r w:rsidR="003C3821" w:rsidRPr="00036A12">
        <w:t xml:space="preserve"> intensity reference period maps</w:t>
      </w:r>
      <w:bookmarkEnd w:id="65"/>
      <w:bookmarkEnd w:id="66"/>
      <w:bookmarkEnd w:id="67"/>
      <w:bookmarkEnd w:id="68"/>
      <w:bookmarkEnd w:id="69"/>
    </w:p>
    <w:p w:rsidR="003C3821" w:rsidRPr="00036A12" w:rsidRDefault="003C3821" w:rsidP="003C3821">
      <w:pPr>
        <w:pStyle w:val="tMain"/>
      </w:pPr>
      <w:r w:rsidRPr="00036A12">
        <w:tab/>
      </w:r>
      <w:r w:rsidRPr="00036A12">
        <w:tab/>
        <w:t>For each project area, the project proponent must provide the Regulator with a map:</w:t>
      </w:r>
    </w:p>
    <w:p w:rsidR="003C3821" w:rsidRPr="00036A12" w:rsidRDefault="003C3821" w:rsidP="003C3821">
      <w:pPr>
        <w:pStyle w:val="tPara"/>
      </w:pPr>
      <w:r w:rsidRPr="00036A12">
        <w:tab/>
      </w:r>
      <w:r w:rsidR="00746173">
        <w:t>(a)</w:t>
      </w:r>
      <w:r w:rsidRPr="00036A12">
        <w:tab/>
      </w:r>
      <w:proofErr w:type="gramStart"/>
      <w:r w:rsidRPr="00036A12">
        <w:t>specifying</w:t>
      </w:r>
      <w:proofErr w:type="gramEnd"/>
      <w:r w:rsidRPr="00036A12">
        <w:t xml:space="preserve"> the boundaries of the project area; and</w:t>
      </w:r>
    </w:p>
    <w:p w:rsidR="003C3821" w:rsidRDefault="003C3821" w:rsidP="003C3821">
      <w:pPr>
        <w:pStyle w:val="tPara"/>
      </w:pPr>
      <w:r w:rsidRPr="00036A12">
        <w:tab/>
      </w:r>
      <w:r w:rsidR="00746173">
        <w:t>(b)</w:t>
      </w:r>
      <w:r w:rsidRPr="00036A12">
        <w:tab/>
      </w:r>
      <w:proofErr w:type="gramStart"/>
      <w:r w:rsidRPr="00036A12">
        <w:t>for</w:t>
      </w:r>
      <w:proofErr w:type="gramEnd"/>
      <w:r w:rsidRPr="00036A12">
        <w:t xml:space="preserve"> each year in the emissions intensity reference period in which there was a cotton area in that area—showing stratification in accordance with</w:t>
      </w:r>
      <w:r>
        <w:t xml:space="preserve"> section 13;</w:t>
      </w:r>
    </w:p>
    <w:p w:rsidR="003C3821" w:rsidRDefault="003C3821" w:rsidP="003C3821">
      <w:pPr>
        <w:pStyle w:val="tMain"/>
      </w:pPr>
      <w:r>
        <w:tab/>
      </w:r>
      <w:r>
        <w:tab/>
      </w:r>
      <w:proofErr w:type="gramStart"/>
      <w:r>
        <w:t>a</w:t>
      </w:r>
      <w:r w:rsidRPr="00D435CF">
        <w:t>t</w:t>
      </w:r>
      <w:proofErr w:type="gramEnd"/>
      <w:r w:rsidRPr="00D435CF">
        <w:t xml:space="preserve"> the time of the application</w:t>
      </w:r>
      <w:r>
        <w:t>:</w:t>
      </w:r>
    </w:p>
    <w:p w:rsidR="003C3821" w:rsidRDefault="003C3821" w:rsidP="003C3821">
      <w:pPr>
        <w:pStyle w:val="tPara"/>
      </w:pPr>
      <w:r>
        <w:tab/>
      </w:r>
      <w:r w:rsidR="00746173">
        <w:t>(c)</w:t>
      </w:r>
      <w:r>
        <w:tab/>
      </w:r>
      <w:proofErr w:type="gramStart"/>
      <w:r w:rsidRPr="00D435CF">
        <w:t>under</w:t>
      </w:r>
      <w:proofErr w:type="gramEnd"/>
      <w:r w:rsidRPr="00D435CF">
        <w:t xml:space="preserve"> sectio</w:t>
      </w:r>
      <w:r>
        <w:t>n 22 of the Act; and</w:t>
      </w:r>
    </w:p>
    <w:p w:rsidR="003C3821" w:rsidRDefault="003C3821" w:rsidP="003C3821">
      <w:pPr>
        <w:pStyle w:val="tPara"/>
      </w:pPr>
      <w:r>
        <w:tab/>
      </w:r>
      <w:r w:rsidR="00746173">
        <w:t>(d)</w:t>
      </w:r>
      <w:r>
        <w:tab/>
      </w:r>
      <w:proofErr w:type="gramStart"/>
      <w:r>
        <w:t>under</w:t>
      </w:r>
      <w:proofErr w:type="gramEnd"/>
      <w:r>
        <w:t xml:space="preserve"> </w:t>
      </w:r>
      <w:r w:rsidRPr="00934BA2">
        <w:t xml:space="preserve">regulations or legislative rules made for the purpose of </w:t>
      </w:r>
      <w:r>
        <w:t>section 29 of the Act, if relevant.</w:t>
      </w:r>
    </w:p>
    <w:p w:rsidR="003C3821" w:rsidRDefault="003C3821" w:rsidP="003C3821">
      <w:pPr>
        <w:pStyle w:val="nMain"/>
      </w:pPr>
      <w:r>
        <w:t>Note:</w:t>
      </w:r>
      <w:r>
        <w:tab/>
      </w:r>
      <w:r w:rsidRPr="00934BA2">
        <w:t>Paragraph 8</w:t>
      </w:r>
      <w:r w:rsidRPr="00CA7F0D">
        <w:t>(d)</w:t>
      </w:r>
      <w:r w:rsidRPr="00934BA2">
        <w:t xml:space="preserve"> is relevant for applications to vary the project area made under regulations or legislative rules made for the purposes of section 29 of the Act (variation of a declaration of eligible offsets project in relation to the project area or project areas).</w:t>
      </w:r>
    </w:p>
    <w:p w:rsidR="003C3821" w:rsidRDefault="00746173" w:rsidP="003C3821">
      <w:pPr>
        <w:pStyle w:val="h3Div"/>
      </w:pPr>
      <w:bookmarkStart w:id="70" w:name="_Toc405896464"/>
      <w:bookmarkStart w:id="71" w:name="_Toc413343197"/>
      <w:bookmarkStart w:id="72" w:name="_Toc413343290"/>
      <w:bookmarkStart w:id="73" w:name="_Toc413343336"/>
      <w:bookmarkStart w:id="74" w:name="_Toc416182709"/>
      <w:r>
        <w:t>Division 3</w:t>
      </w:r>
      <w:r w:rsidR="003C3821">
        <w:t>—Management action</w:t>
      </w:r>
      <w:bookmarkEnd w:id="70"/>
      <w:bookmarkEnd w:id="71"/>
      <w:bookmarkEnd w:id="72"/>
      <w:bookmarkEnd w:id="73"/>
      <w:bookmarkEnd w:id="74"/>
    </w:p>
    <w:p w:rsidR="003C3821" w:rsidRDefault="00746173" w:rsidP="003C3821">
      <w:pPr>
        <w:pStyle w:val="h5Section"/>
      </w:pPr>
      <w:bookmarkStart w:id="75" w:name="_Toc405896465"/>
      <w:bookmarkStart w:id="76" w:name="_Toc413343198"/>
      <w:bookmarkStart w:id="77" w:name="_Toc413343291"/>
      <w:bookmarkStart w:id="78" w:name="_Toc413343337"/>
      <w:bookmarkStart w:id="79" w:name="_Toc416182710"/>
      <w:proofErr w:type="gramStart"/>
      <w:r>
        <w:t>9</w:t>
      </w:r>
      <w:r w:rsidR="003C3821">
        <w:t xml:space="preserve">  Management</w:t>
      </w:r>
      <w:proofErr w:type="gramEnd"/>
      <w:r w:rsidR="003C3821">
        <w:t xml:space="preserve"> actions</w:t>
      </w:r>
      <w:bookmarkEnd w:id="75"/>
      <w:bookmarkEnd w:id="76"/>
      <w:bookmarkEnd w:id="77"/>
      <w:bookmarkEnd w:id="78"/>
      <w:bookmarkEnd w:id="79"/>
    </w:p>
    <w:p w:rsidR="003C3821" w:rsidRDefault="003C3821" w:rsidP="003C3821">
      <w:pPr>
        <w:pStyle w:val="tMain"/>
      </w:pPr>
      <w:r>
        <w:tab/>
      </w:r>
      <w:r w:rsidR="00746173">
        <w:t>(1)</w:t>
      </w:r>
      <w:r>
        <w:tab/>
        <w:t xml:space="preserve">For each year in the crediting period in which there is a cotton area, at least one new management action must be </w:t>
      </w:r>
      <w:r w:rsidRPr="00CB7275">
        <w:t xml:space="preserve">undertaken either before or during the year which aims to increase the nitrogen </w:t>
      </w:r>
      <w:r>
        <w:t>fertiliser</w:t>
      </w:r>
      <w:r w:rsidRPr="00CB7275">
        <w:t xml:space="preserve"> use efficiency of the cotton area in respect of that year</w:t>
      </w:r>
      <w:r>
        <w:t>.</w:t>
      </w:r>
    </w:p>
    <w:p w:rsidR="003C3821" w:rsidRDefault="003C3821" w:rsidP="003C3821">
      <w:pPr>
        <w:pStyle w:val="nMain"/>
      </w:pPr>
      <w:r>
        <w:t>Note:</w:t>
      </w:r>
      <w:r>
        <w:tab/>
        <w:t xml:space="preserve">See definition of </w:t>
      </w:r>
      <w:r w:rsidRPr="001D49DB">
        <w:rPr>
          <w:b/>
          <w:i/>
        </w:rPr>
        <w:t>new management action</w:t>
      </w:r>
      <w:r>
        <w:t xml:space="preserve">. For example, a project would meet this requirement if: </w:t>
      </w:r>
    </w:p>
    <w:p w:rsidR="003C3821" w:rsidRDefault="003C3821" w:rsidP="00753A2D">
      <w:pPr>
        <w:pStyle w:val="nPara"/>
        <w:ind w:hanging="283"/>
      </w:pPr>
      <w:r>
        <w:t>(a)</w:t>
      </w:r>
      <w:r>
        <w:tab/>
      </w:r>
      <w:proofErr w:type="gramStart"/>
      <w:r>
        <w:t>in</w:t>
      </w:r>
      <w:proofErr w:type="gramEnd"/>
      <w:r>
        <w:t xml:space="preserve"> the emissions intensity reference period, synthetic fertiliser was spread on the surface of the soil in the cotton area; and </w:t>
      </w:r>
    </w:p>
    <w:p w:rsidR="003C3821" w:rsidRPr="00CB7275" w:rsidRDefault="003C3821" w:rsidP="00753A2D">
      <w:pPr>
        <w:pStyle w:val="nPara"/>
        <w:ind w:hanging="283"/>
      </w:pPr>
      <w:r>
        <w:t>(b)</w:t>
      </w:r>
      <w:r>
        <w:tab/>
      </w:r>
      <w:proofErr w:type="gramStart"/>
      <w:r>
        <w:t>in</w:t>
      </w:r>
      <w:proofErr w:type="gramEnd"/>
      <w:r>
        <w:t xml:space="preserve"> each year in the crediting period, synthetic fertiliser was placed at depth in the soil in the cotton area.</w:t>
      </w:r>
    </w:p>
    <w:p w:rsidR="003C3821" w:rsidRPr="001E066E" w:rsidRDefault="003C3821" w:rsidP="003C3821">
      <w:pPr>
        <w:pStyle w:val="tMain"/>
      </w:pPr>
      <w:r>
        <w:tab/>
      </w:r>
      <w:r w:rsidR="00746173">
        <w:t>(2)</w:t>
      </w:r>
      <w:r>
        <w:tab/>
        <w:t>For each project area, a project proponent must provide the Regulator</w:t>
      </w:r>
      <w:r w:rsidRPr="00707B7A">
        <w:t>,</w:t>
      </w:r>
      <w:r>
        <w:t xml:space="preserve"> at the time of application under section 22 of the Act </w:t>
      </w:r>
      <w:r w:rsidRPr="00CA7F0D">
        <w:t>and at the time of any application to vary the project to add further project areas, with</w:t>
      </w:r>
      <w:r>
        <w:t xml:space="preserve"> the following: </w:t>
      </w:r>
    </w:p>
    <w:p w:rsidR="003C3821" w:rsidRDefault="003C3821" w:rsidP="003C3821">
      <w:pPr>
        <w:pStyle w:val="tPara"/>
      </w:pPr>
      <w:r>
        <w:tab/>
      </w:r>
      <w:r w:rsidR="00746173">
        <w:t>(a)</w:t>
      </w:r>
      <w:r>
        <w:tab/>
      </w:r>
      <w:proofErr w:type="gramStart"/>
      <w:r>
        <w:t>a</w:t>
      </w:r>
      <w:proofErr w:type="gramEnd"/>
      <w:r>
        <w:t xml:space="preserve"> description of the historical management actions undertaken during the emissions intensity reference period;</w:t>
      </w:r>
    </w:p>
    <w:p w:rsidR="003C3821" w:rsidRDefault="003C3821" w:rsidP="003C3821">
      <w:pPr>
        <w:pStyle w:val="tPara"/>
      </w:pPr>
      <w:r>
        <w:tab/>
      </w:r>
      <w:r w:rsidR="00746173">
        <w:t>(b)</w:t>
      </w:r>
      <w:r>
        <w:tab/>
      </w:r>
      <w:proofErr w:type="gramStart"/>
      <w:r>
        <w:t>a</w:t>
      </w:r>
      <w:proofErr w:type="gramEnd"/>
      <w:r>
        <w:t xml:space="preserve"> description of each proposed new management action to be undertaken during the crediting period;</w:t>
      </w:r>
    </w:p>
    <w:p w:rsidR="003C3821" w:rsidRPr="00EB64E2" w:rsidRDefault="003C3821" w:rsidP="003C3821">
      <w:pPr>
        <w:pStyle w:val="tPara"/>
      </w:pPr>
      <w:r>
        <w:tab/>
      </w:r>
      <w:r w:rsidR="00746173">
        <w:t>(c)</w:t>
      </w:r>
      <w:r>
        <w:tab/>
      </w:r>
      <w:proofErr w:type="gramStart"/>
      <w:r>
        <w:t>an</w:t>
      </w:r>
      <w:proofErr w:type="gramEnd"/>
      <w:r>
        <w:t xml:space="preserve"> explanation of how the proposed new management actions are consistent with the requirements in section 10. </w:t>
      </w:r>
    </w:p>
    <w:p w:rsidR="003C3821" w:rsidRDefault="00746173" w:rsidP="003C3821">
      <w:pPr>
        <w:pStyle w:val="h5Section"/>
      </w:pPr>
      <w:bookmarkStart w:id="80" w:name="_Toc405896466"/>
      <w:bookmarkStart w:id="81" w:name="_Toc413343199"/>
      <w:bookmarkStart w:id="82" w:name="_Toc413343292"/>
      <w:bookmarkStart w:id="83" w:name="_Toc413343338"/>
      <w:bookmarkStart w:id="84" w:name="_Toc416182711"/>
      <w:proofErr w:type="gramStart"/>
      <w:r>
        <w:lastRenderedPageBreak/>
        <w:t>10</w:t>
      </w:r>
      <w:r w:rsidR="003C3821">
        <w:t xml:space="preserve">  New</w:t>
      </w:r>
      <w:proofErr w:type="gramEnd"/>
      <w:r w:rsidR="003C3821">
        <w:t xml:space="preserve"> management actions</w:t>
      </w:r>
      <w:bookmarkEnd w:id="80"/>
      <w:bookmarkEnd w:id="81"/>
      <w:bookmarkEnd w:id="82"/>
      <w:bookmarkEnd w:id="83"/>
      <w:bookmarkEnd w:id="84"/>
    </w:p>
    <w:p w:rsidR="003C3821" w:rsidRDefault="003C3821" w:rsidP="003C3821">
      <w:pPr>
        <w:pStyle w:val="tMain"/>
      </w:pPr>
      <w:r>
        <w:tab/>
      </w:r>
      <w:r w:rsidR="00746173">
        <w:t>(1)</w:t>
      </w:r>
      <w:r>
        <w:tab/>
        <w:t xml:space="preserve">New management actions must not be inconsistent with the relevant </w:t>
      </w:r>
      <w:proofErr w:type="spellStart"/>
      <w:r>
        <w:t>myBMP</w:t>
      </w:r>
      <w:proofErr w:type="spellEnd"/>
      <w:r>
        <w:t xml:space="preserve"> (Best Management Practice) standard for the action, as published from time to time by the Cotton Research and Development Corporation.</w:t>
      </w:r>
    </w:p>
    <w:p w:rsidR="003C3821" w:rsidRDefault="003C3821" w:rsidP="003C3821">
      <w:pPr>
        <w:pStyle w:val="nMain"/>
      </w:pPr>
      <w:r>
        <w:t>Note:</w:t>
      </w:r>
      <w:r>
        <w:tab/>
        <w:t xml:space="preserve">The Cotton Research and Development Corporation’s Best Management Practice standards are available at: </w:t>
      </w:r>
      <w:r w:rsidRPr="007D1BDB">
        <w:t>www.mybmp.com.au</w:t>
      </w:r>
      <w:r>
        <w:t xml:space="preserve">. </w:t>
      </w:r>
    </w:p>
    <w:p w:rsidR="003C3821" w:rsidRDefault="003C3821" w:rsidP="003C3821">
      <w:pPr>
        <w:pStyle w:val="tMain"/>
      </w:pPr>
      <w:r>
        <w:tab/>
      </w:r>
      <w:r w:rsidR="00746173">
        <w:t>(2)</w:t>
      </w:r>
      <w:r>
        <w:tab/>
        <w:t>At least one new management action undertaken for the purposes of subsection 9(1) must be demonstrated to</w:t>
      </w:r>
      <w:r w:rsidRPr="007B1AA2">
        <w:t xml:space="preserve"> </w:t>
      </w:r>
      <w:r>
        <w:t>have the potential to increase the nitrogen fertiliser use efficiency of the cotton area.</w:t>
      </w:r>
    </w:p>
    <w:p w:rsidR="003C3821" w:rsidRPr="00CA7F0D" w:rsidRDefault="003C3821" w:rsidP="003C3821">
      <w:pPr>
        <w:pStyle w:val="tMain"/>
      </w:pPr>
      <w:r w:rsidRPr="00CA7F0D">
        <w:tab/>
      </w:r>
      <w:r w:rsidR="00746173">
        <w:t>(3)</w:t>
      </w:r>
      <w:r w:rsidRPr="00CA7F0D">
        <w:tab/>
        <w:t>Nitrogen fertiliser use efficiency may be increased only by:</w:t>
      </w:r>
    </w:p>
    <w:p w:rsidR="003C3821" w:rsidRPr="00CA7F0D" w:rsidRDefault="003C3821" w:rsidP="003C3821">
      <w:pPr>
        <w:pStyle w:val="tPara"/>
      </w:pPr>
      <w:r w:rsidRPr="00CA7F0D">
        <w:tab/>
      </w:r>
      <w:r w:rsidR="00746173">
        <w:t>(a)</w:t>
      </w:r>
      <w:r w:rsidRPr="00CA7F0D">
        <w:tab/>
      </w:r>
      <w:proofErr w:type="gramStart"/>
      <w:r w:rsidRPr="00CA7F0D">
        <w:t>increasing</w:t>
      </w:r>
      <w:proofErr w:type="gramEnd"/>
      <w:r w:rsidRPr="00CA7F0D">
        <w:t xml:space="preserve"> the lint yield of the cotton area without a proportional increase in the rate of nitrogen applied via synthetic fertiliser; or</w:t>
      </w:r>
    </w:p>
    <w:p w:rsidR="003C3821" w:rsidRPr="00CA7F0D" w:rsidRDefault="003C3821" w:rsidP="003C3821">
      <w:pPr>
        <w:pStyle w:val="tPara"/>
      </w:pPr>
      <w:r w:rsidRPr="00CA7F0D">
        <w:tab/>
      </w:r>
      <w:r w:rsidR="00746173">
        <w:t>(b)</w:t>
      </w:r>
      <w:r w:rsidRPr="00CA7F0D">
        <w:tab/>
      </w:r>
      <w:proofErr w:type="gramStart"/>
      <w:r w:rsidRPr="00CA7F0D">
        <w:t>decreasing</w:t>
      </w:r>
      <w:proofErr w:type="gramEnd"/>
      <w:r w:rsidRPr="00CA7F0D">
        <w:t xml:space="preserve"> the rate of nitrogen applied via synthetic fertiliser to the cotton area without a proportional decrease in the lint yield.</w:t>
      </w:r>
    </w:p>
    <w:p w:rsidR="003C3821" w:rsidRDefault="003C3821" w:rsidP="003C3821">
      <w:pPr>
        <w:pStyle w:val="tMain"/>
      </w:pPr>
      <w:r w:rsidRPr="00CA7F0D">
        <w:tab/>
      </w:r>
      <w:r w:rsidR="00746173">
        <w:t>(4)</w:t>
      </w:r>
      <w:r w:rsidRPr="00CA7F0D">
        <w:tab/>
        <w:t>Actions</w:t>
      </w:r>
      <w:r>
        <w:t xml:space="preserve"> which may achieve the outcomes specified in subsection (3) include, but are not limited to, the following: </w:t>
      </w:r>
    </w:p>
    <w:p w:rsidR="003C3821" w:rsidRDefault="003C3821" w:rsidP="003C3821">
      <w:pPr>
        <w:pStyle w:val="tPara"/>
      </w:pPr>
      <w:r>
        <w:tab/>
      </w:r>
      <w:r w:rsidR="00746173">
        <w:t>(a)</w:t>
      </w:r>
      <w:r>
        <w:tab/>
      </w:r>
      <w:proofErr w:type="gramStart"/>
      <w:r>
        <w:t>modifying</w:t>
      </w:r>
      <w:proofErr w:type="gramEnd"/>
      <w:r>
        <w:t xml:space="preserve"> the synthetic fertiliser application rate; </w:t>
      </w:r>
    </w:p>
    <w:p w:rsidR="003C3821" w:rsidRDefault="003C3821" w:rsidP="003C3821">
      <w:pPr>
        <w:pStyle w:val="tPara"/>
      </w:pPr>
      <w:r>
        <w:tab/>
      </w:r>
      <w:r w:rsidR="00746173">
        <w:t>(b)</w:t>
      </w:r>
      <w:r>
        <w:tab/>
      </w:r>
      <w:proofErr w:type="gramStart"/>
      <w:r>
        <w:t>modifying</w:t>
      </w:r>
      <w:proofErr w:type="gramEnd"/>
      <w:r>
        <w:t xml:space="preserve"> the synthetic fertiliser application timing; </w:t>
      </w:r>
    </w:p>
    <w:p w:rsidR="003C3821" w:rsidRDefault="003C3821" w:rsidP="003C3821">
      <w:pPr>
        <w:pStyle w:val="tPara"/>
      </w:pPr>
      <w:r>
        <w:tab/>
      </w:r>
      <w:r w:rsidR="00746173">
        <w:t>(c)</w:t>
      </w:r>
      <w:r>
        <w:tab/>
      </w:r>
      <w:proofErr w:type="gramStart"/>
      <w:r>
        <w:t>modifying</w:t>
      </w:r>
      <w:proofErr w:type="gramEnd"/>
      <w:r>
        <w:t xml:space="preserve"> the synthetic fertiliser application method; </w:t>
      </w:r>
    </w:p>
    <w:p w:rsidR="003C3821" w:rsidRDefault="003C3821" w:rsidP="003C3821">
      <w:pPr>
        <w:pStyle w:val="noteToPara"/>
      </w:pPr>
      <w:r>
        <w:t>Note:</w:t>
      </w:r>
      <w:r>
        <w:tab/>
        <w:t>For the purposes of paragraph (c), application method refers to how the synthetic fertiliser is applied; for example, via spreading or placement at depth in the soil.</w:t>
      </w:r>
    </w:p>
    <w:p w:rsidR="003C3821" w:rsidRDefault="003C3821" w:rsidP="003C3821">
      <w:pPr>
        <w:pStyle w:val="tPara"/>
      </w:pPr>
      <w:r>
        <w:tab/>
      </w:r>
      <w:r w:rsidR="00746173">
        <w:t>(d)</w:t>
      </w:r>
      <w:r>
        <w:tab/>
      </w:r>
      <w:proofErr w:type="gramStart"/>
      <w:r>
        <w:t>applying</w:t>
      </w:r>
      <w:proofErr w:type="gramEnd"/>
      <w:r>
        <w:t xml:space="preserve"> a different type of synthetic fertiliser which:</w:t>
      </w:r>
    </w:p>
    <w:p w:rsidR="003C3821" w:rsidRDefault="003C3821" w:rsidP="003C3821">
      <w:pPr>
        <w:pStyle w:val="tSubpara"/>
      </w:pPr>
      <w:r>
        <w:tab/>
      </w:r>
      <w:r w:rsidR="00746173">
        <w:t>(</w:t>
      </w:r>
      <w:proofErr w:type="spellStart"/>
      <w:r w:rsidR="00746173">
        <w:t>i</w:t>
      </w:r>
      <w:proofErr w:type="spellEnd"/>
      <w:r w:rsidR="00746173">
        <w:t>)</w:t>
      </w:r>
      <w:r>
        <w:tab/>
      </w:r>
      <w:proofErr w:type="gramStart"/>
      <w:r>
        <w:t>increases</w:t>
      </w:r>
      <w:proofErr w:type="gramEnd"/>
      <w:r>
        <w:t xml:space="preserve"> the nitrogen available to the plant; or</w:t>
      </w:r>
    </w:p>
    <w:p w:rsidR="003C3821" w:rsidRDefault="003C3821" w:rsidP="003C3821">
      <w:pPr>
        <w:pStyle w:val="tSubpara"/>
      </w:pPr>
      <w:r>
        <w:tab/>
      </w:r>
      <w:r w:rsidR="00746173">
        <w:t>(ii)</w:t>
      </w:r>
      <w:r>
        <w:tab/>
      </w:r>
      <w:proofErr w:type="gramStart"/>
      <w:r>
        <w:t>reduces</w:t>
      </w:r>
      <w:proofErr w:type="gramEnd"/>
      <w:r>
        <w:t xml:space="preserve"> nitrogen losses from the soil; or</w:t>
      </w:r>
    </w:p>
    <w:p w:rsidR="003C3821" w:rsidRDefault="003C3821" w:rsidP="003C3821">
      <w:pPr>
        <w:pStyle w:val="tSubpara"/>
      </w:pPr>
      <w:r>
        <w:tab/>
      </w:r>
      <w:r w:rsidR="00746173">
        <w:t>(iii)</w:t>
      </w:r>
      <w:r>
        <w:tab/>
      </w:r>
      <w:proofErr w:type="gramStart"/>
      <w:r>
        <w:t>does</w:t>
      </w:r>
      <w:proofErr w:type="gramEnd"/>
      <w:r>
        <w:t xml:space="preserve"> both </w:t>
      </w:r>
      <w:r w:rsidRPr="007D1BDB">
        <w:t>subparagraph </w:t>
      </w:r>
      <w:r>
        <w:t>(</w:t>
      </w:r>
      <w:proofErr w:type="spellStart"/>
      <w:r>
        <w:t>i</w:t>
      </w:r>
      <w:proofErr w:type="spellEnd"/>
      <w:r>
        <w:t xml:space="preserve">) and (ii); </w:t>
      </w:r>
    </w:p>
    <w:p w:rsidR="003C3821" w:rsidRDefault="003C3821" w:rsidP="003C3821">
      <w:pPr>
        <w:pStyle w:val="tPara"/>
      </w:pPr>
      <w:r>
        <w:tab/>
      </w:r>
      <w:r w:rsidR="00746173">
        <w:t>(e)</w:t>
      </w:r>
      <w:r>
        <w:tab/>
      </w:r>
      <w:proofErr w:type="gramStart"/>
      <w:r>
        <w:t>a</w:t>
      </w:r>
      <w:proofErr w:type="gramEnd"/>
      <w:r>
        <w:t xml:space="preserve"> combination of the modifications specified in paragraphs (a)–(d).</w:t>
      </w:r>
    </w:p>
    <w:p w:rsidR="003C3821" w:rsidRDefault="00746173" w:rsidP="003C3821">
      <w:pPr>
        <w:pStyle w:val="h3Div"/>
      </w:pPr>
      <w:bookmarkStart w:id="85" w:name="_Toc405896467"/>
      <w:bookmarkStart w:id="86" w:name="_Toc413343200"/>
      <w:bookmarkStart w:id="87" w:name="_Toc413343293"/>
      <w:bookmarkStart w:id="88" w:name="_Toc413343339"/>
      <w:bookmarkStart w:id="89" w:name="_Toc416182712"/>
      <w:r>
        <w:t>Division 4</w:t>
      </w:r>
      <w:r w:rsidR="003C3821">
        <w:t>—Emissions intensity reference period</w:t>
      </w:r>
      <w:bookmarkEnd w:id="85"/>
      <w:bookmarkEnd w:id="86"/>
      <w:bookmarkEnd w:id="87"/>
      <w:bookmarkEnd w:id="88"/>
      <w:bookmarkEnd w:id="89"/>
    </w:p>
    <w:p w:rsidR="003C3821" w:rsidRDefault="00746173" w:rsidP="003C3821">
      <w:pPr>
        <w:pStyle w:val="h5Section"/>
      </w:pPr>
      <w:bookmarkStart w:id="90" w:name="_Toc405896468"/>
      <w:bookmarkStart w:id="91" w:name="_Toc413343201"/>
      <w:bookmarkStart w:id="92" w:name="_Toc413343294"/>
      <w:bookmarkStart w:id="93" w:name="_Toc413343340"/>
      <w:bookmarkStart w:id="94" w:name="_Toc416182713"/>
      <w:proofErr w:type="gramStart"/>
      <w:r>
        <w:t>11</w:t>
      </w:r>
      <w:r w:rsidR="003C3821">
        <w:t xml:space="preserve">  Determining</w:t>
      </w:r>
      <w:proofErr w:type="gramEnd"/>
      <w:r w:rsidR="003C3821">
        <w:t xml:space="preserve"> the emissions intensity reference period</w:t>
      </w:r>
      <w:bookmarkEnd w:id="90"/>
      <w:bookmarkEnd w:id="91"/>
      <w:bookmarkEnd w:id="92"/>
      <w:bookmarkEnd w:id="93"/>
      <w:bookmarkEnd w:id="94"/>
    </w:p>
    <w:p w:rsidR="003C3821" w:rsidRPr="00036A12" w:rsidRDefault="003C3821" w:rsidP="003C3821">
      <w:pPr>
        <w:pStyle w:val="tMain"/>
      </w:pPr>
      <w:r>
        <w:tab/>
      </w:r>
      <w:r w:rsidR="00746173">
        <w:t>(1)</w:t>
      </w:r>
      <w:r>
        <w:tab/>
      </w:r>
      <w:r w:rsidRPr="00036A12">
        <w:t>A project area in an irrigated cotton project must have an emissions intensity reference period consistent with the requirements in this Part.</w:t>
      </w:r>
    </w:p>
    <w:p w:rsidR="003C3821" w:rsidRPr="00036A12" w:rsidRDefault="003C3821" w:rsidP="003C3821">
      <w:pPr>
        <w:pStyle w:val="tMain"/>
      </w:pPr>
      <w:r w:rsidRPr="00036A12">
        <w:tab/>
      </w:r>
      <w:r w:rsidR="00746173">
        <w:t>(2)</w:t>
      </w:r>
      <w:r w:rsidRPr="00036A12">
        <w:tab/>
        <w:t xml:space="preserve">The emissions intensity reference period is the 6 year period starting from the day 6 years before the first day of the crediting </w:t>
      </w:r>
      <w:proofErr w:type="gramStart"/>
      <w:r w:rsidRPr="00036A12">
        <w:t>period.</w:t>
      </w:r>
      <w:proofErr w:type="gramEnd"/>
    </w:p>
    <w:p w:rsidR="003C3821" w:rsidRPr="00036A12" w:rsidRDefault="003C3821" w:rsidP="003C3821">
      <w:pPr>
        <w:pStyle w:val="tMain"/>
      </w:pPr>
      <w:r w:rsidRPr="00036A12">
        <w:tab/>
      </w:r>
      <w:r w:rsidR="00746173">
        <w:t>(3)</w:t>
      </w:r>
      <w:r w:rsidRPr="00036A12">
        <w:tab/>
        <w:t>The emissions intensity reference period must include a minimum of 3 years in which the project area included a cotton area.</w:t>
      </w:r>
    </w:p>
    <w:p w:rsidR="003C3821" w:rsidRPr="00036A12" w:rsidRDefault="003C3821" w:rsidP="003C3821">
      <w:pPr>
        <w:pStyle w:val="tMain"/>
      </w:pPr>
      <w:r w:rsidRPr="00036A12">
        <w:tab/>
      </w:r>
      <w:r w:rsidR="00746173">
        <w:t>(4)</w:t>
      </w:r>
      <w:r w:rsidRPr="00036A12">
        <w:tab/>
        <w:t>In order for a year to count for the purposes of subsection (3), the information required under Divisions 3 and 4 of Part 5 must be available for that year, and the lint yield for that year must not be zero.</w:t>
      </w:r>
    </w:p>
    <w:p w:rsidR="003C3821" w:rsidRPr="00036A12" w:rsidRDefault="003C3821" w:rsidP="003C3821">
      <w:pPr>
        <w:pStyle w:val="tMain"/>
      </w:pPr>
      <w:r w:rsidRPr="00036A12">
        <w:tab/>
      </w:r>
      <w:r w:rsidR="00746173">
        <w:t>(5)</w:t>
      </w:r>
      <w:r w:rsidRPr="00036A12">
        <w:tab/>
        <w:t xml:space="preserve">If information required under Divisions 3 and 4 of Part 5 is available for a year during the emissions intensity reference period in which the project area included a cotton area, and the lint yield for that year is not zero, that year must be included in the calculation of baseline emissions intensity in accordance with subsection 17(2). </w:t>
      </w:r>
    </w:p>
    <w:p w:rsidR="003C3821" w:rsidRDefault="003C3821" w:rsidP="003C3821">
      <w:pPr>
        <w:pStyle w:val="tMain"/>
      </w:pPr>
      <w:r w:rsidRPr="00036A12">
        <w:lastRenderedPageBreak/>
        <w:tab/>
      </w:r>
      <w:r w:rsidR="00746173">
        <w:t>(6)</w:t>
      </w:r>
      <w:r w:rsidRPr="00036A12">
        <w:tab/>
        <w:t>If the requirements in subsection (3) and subsection (4) are not met</w:t>
      </w:r>
      <w:r w:rsidRPr="00FC15CB">
        <w:t xml:space="preserve"> in the period mentioned in subsection (2)</w:t>
      </w:r>
      <w:r>
        <w:t xml:space="preserve">, the emissions intensity reference period may be extended up to a maximum of 3 times, by moving the start date to a year earlier until the requirements are satisfied. </w:t>
      </w:r>
    </w:p>
    <w:p w:rsidR="003C3821" w:rsidRDefault="003C3821" w:rsidP="003C3821">
      <w:pPr>
        <w:pStyle w:val="nMain"/>
      </w:pPr>
      <w:r>
        <w:t>Note:</w:t>
      </w:r>
      <w:r>
        <w:tab/>
        <w:t>Under this subsection, the emissions intensity reference period may need to be extended to 7, 8 or 9 years for the project to have 3 years of relevant cotton data and thus be an eligible offsets project.</w:t>
      </w:r>
    </w:p>
    <w:p w:rsidR="003C3821" w:rsidRPr="004A5FC6" w:rsidRDefault="00746173" w:rsidP="003C3821">
      <w:pPr>
        <w:pStyle w:val="h3Div"/>
      </w:pPr>
      <w:bookmarkStart w:id="95" w:name="_Toc405896469"/>
      <w:bookmarkStart w:id="96" w:name="_Toc413343202"/>
      <w:bookmarkStart w:id="97" w:name="_Toc413343295"/>
      <w:bookmarkStart w:id="98" w:name="_Toc413343341"/>
      <w:bookmarkStart w:id="99" w:name="_Toc416182714"/>
      <w:r>
        <w:t>Division 5</w:t>
      </w:r>
      <w:r w:rsidR="003C3821">
        <w:t>—Project area requirements</w:t>
      </w:r>
      <w:bookmarkEnd w:id="95"/>
      <w:bookmarkEnd w:id="96"/>
      <w:bookmarkEnd w:id="97"/>
      <w:bookmarkEnd w:id="98"/>
      <w:bookmarkEnd w:id="99"/>
    </w:p>
    <w:p w:rsidR="003C3821" w:rsidRPr="00C937DE" w:rsidRDefault="00746173" w:rsidP="003C3821">
      <w:pPr>
        <w:pStyle w:val="h5Section"/>
      </w:pPr>
      <w:bookmarkStart w:id="100" w:name="_Toc405896470"/>
      <w:bookmarkStart w:id="101" w:name="_Toc413343203"/>
      <w:bookmarkStart w:id="102" w:name="_Toc413343296"/>
      <w:bookmarkStart w:id="103" w:name="_Toc413343342"/>
      <w:bookmarkStart w:id="104" w:name="_Toc416182715"/>
      <w:proofErr w:type="gramStart"/>
      <w:r>
        <w:t>12</w:t>
      </w:r>
      <w:r w:rsidR="003C3821" w:rsidRPr="00C937DE">
        <w:t xml:space="preserve">  Project</w:t>
      </w:r>
      <w:proofErr w:type="gramEnd"/>
      <w:r w:rsidR="003C3821" w:rsidRPr="00C937DE">
        <w:t xml:space="preserve"> area</w:t>
      </w:r>
      <w:bookmarkEnd w:id="100"/>
      <w:bookmarkEnd w:id="101"/>
      <w:bookmarkEnd w:id="102"/>
      <w:bookmarkEnd w:id="103"/>
      <w:bookmarkEnd w:id="104"/>
    </w:p>
    <w:p w:rsidR="003C3821" w:rsidRPr="00C937DE" w:rsidRDefault="003C3821" w:rsidP="003C3821">
      <w:pPr>
        <w:pStyle w:val="h6Subsec"/>
      </w:pPr>
      <w:r w:rsidRPr="00C937DE">
        <w:t>Restriction on project area</w:t>
      </w:r>
    </w:p>
    <w:p w:rsidR="00AB7C50" w:rsidRPr="00C937DE" w:rsidRDefault="003C3821" w:rsidP="003C3821">
      <w:pPr>
        <w:pStyle w:val="tMain"/>
      </w:pPr>
      <w:r w:rsidRPr="00C937DE">
        <w:tab/>
      </w:r>
      <w:r w:rsidR="00746173">
        <w:t>(1)</w:t>
      </w:r>
      <w:r w:rsidRPr="00C937DE">
        <w:tab/>
        <w:t>A project area must consist only of one or more fields</w:t>
      </w:r>
      <w:r w:rsidR="00AB7C50">
        <w:t xml:space="preserve"> </w:t>
      </w:r>
      <w:r w:rsidR="00AB7C50" w:rsidRPr="00983F49">
        <w:t>on the whole of which cotton could have been grown since the beginning of the emissions intensity reference period</w:t>
      </w:r>
      <w:r w:rsidR="00AB7C50" w:rsidRPr="00036A12">
        <w:t>.</w:t>
      </w:r>
    </w:p>
    <w:p w:rsidR="003C3821" w:rsidRPr="00C937DE" w:rsidRDefault="003C3821" w:rsidP="003C3821">
      <w:pPr>
        <w:pStyle w:val="h6Subsec"/>
      </w:pPr>
      <w:r w:rsidRPr="00C937DE">
        <w:t>Restriction on varying project area</w:t>
      </w:r>
    </w:p>
    <w:p w:rsidR="003C3821" w:rsidRPr="00C937DE" w:rsidRDefault="003C3821" w:rsidP="003C3821">
      <w:pPr>
        <w:pStyle w:val="tMain"/>
      </w:pPr>
      <w:r w:rsidRPr="00C937DE">
        <w:tab/>
      </w:r>
      <w:r w:rsidR="00746173">
        <w:t>(2)</w:t>
      </w:r>
      <w:r w:rsidRPr="00C937DE">
        <w:tab/>
        <w:t>Subsection </w:t>
      </w:r>
      <w:r w:rsidR="00E424CB">
        <w:t>(3)</w:t>
      </w:r>
      <w:r w:rsidRPr="00C937DE">
        <w:t xml:space="preserve"> applies if the project proponent applies to vary a declaration under section 27 of the Act in relation to the project area.</w:t>
      </w:r>
    </w:p>
    <w:p w:rsidR="003C3821" w:rsidRPr="00C937DE" w:rsidRDefault="003C3821" w:rsidP="003C3821">
      <w:pPr>
        <w:pStyle w:val="tMain"/>
      </w:pPr>
      <w:r w:rsidRPr="00C937DE">
        <w:tab/>
      </w:r>
      <w:r w:rsidR="00746173">
        <w:t>(3)</w:t>
      </w:r>
      <w:r w:rsidRPr="00C937DE">
        <w:tab/>
        <w:t>The declaration as proposed to be varied must not include a project area that overlaps, but is not identical with, a project area identified in the declaration being varied.</w:t>
      </w:r>
    </w:p>
    <w:p w:rsidR="003C3821" w:rsidRPr="00C937DE" w:rsidRDefault="003C3821" w:rsidP="003C3821">
      <w:pPr>
        <w:pStyle w:val="nMain"/>
      </w:pPr>
      <w:r w:rsidRPr="00C937DE">
        <w:t>Note:</w:t>
      </w:r>
      <w:r w:rsidRPr="00C937DE">
        <w:tab/>
        <w:t>Project areas may be added to a project, but existing project areas cannot be divided, or increased or reduced in size.</w:t>
      </w:r>
    </w:p>
    <w:p w:rsidR="003C3821" w:rsidRDefault="00746173" w:rsidP="003C3821">
      <w:pPr>
        <w:pStyle w:val="h5Section"/>
      </w:pPr>
      <w:bookmarkStart w:id="105" w:name="_Toc405896471"/>
      <w:bookmarkStart w:id="106" w:name="_Toc413343204"/>
      <w:bookmarkStart w:id="107" w:name="_Toc413343297"/>
      <w:bookmarkStart w:id="108" w:name="_Toc413343343"/>
      <w:bookmarkStart w:id="109" w:name="_Toc416182716"/>
      <w:proofErr w:type="gramStart"/>
      <w:r>
        <w:t>13</w:t>
      </w:r>
      <w:r w:rsidR="003C3821">
        <w:t xml:space="preserve">  Stratification</w:t>
      </w:r>
      <w:bookmarkEnd w:id="105"/>
      <w:bookmarkEnd w:id="106"/>
      <w:bookmarkEnd w:id="107"/>
      <w:bookmarkEnd w:id="108"/>
      <w:bookmarkEnd w:id="109"/>
      <w:proofErr w:type="gramEnd"/>
    </w:p>
    <w:p w:rsidR="003C3821" w:rsidRDefault="003C3821" w:rsidP="003C3821">
      <w:pPr>
        <w:pStyle w:val="tMain"/>
      </w:pPr>
      <w:r>
        <w:tab/>
      </w:r>
      <w:r w:rsidR="00746173">
        <w:t>(1)</w:t>
      </w:r>
      <w:r>
        <w:tab/>
        <w:t>T</w:t>
      </w:r>
      <w:r w:rsidRPr="00D435CF">
        <w:t xml:space="preserve">he project proponent must </w:t>
      </w:r>
      <w:r>
        <w:t>produce a map which stratifies a</w:t>
      </w:r>
      <w:r w:rsidRPr="00D435CF">
        <w:t xml:space="preserve"> </w:t>
      </w:r>
      <w:r>
        <w:t>project area</w:t>
      </w:r>
      <w:r w:rsidRPr="00D435CF">
        <w:t xml:space="preserve"> into </w:t>
      </w:r>
      <w:r>
        <w:t>fields</w:t>
      </w:r>
      <w:r w:rsidRPr="00CA7F0D">
        <w:t>, and shows the cotton area,</w:t>
      </w:r>
      <w:r>
        <w:t xml:space="preserve"> for each year in: </w:t>
      </w:r>
    </w:p>
    <w:p w:rsidR="003C3821" w:rsidRDefault="003C3821" w:rsidP="003C3821">
      <w:pPr>
        <w:pStyle w:val="tPara"/>
      </w:pPr>
      <w:r>
        <w:tab/>
      </w:r>
      <w:r w:rsidR="00746173">
        <w:t>(a)</w:t>
      </w:r>
      <w:r>
        <w:tab/>
      </w:r>
      <w:proofErr w:type="gramStart"/>
      <w:r>
        <w:t>the</w:t>
      </w:r>
      <w:proofErr w:type="gramEnd"/>
      <w:r>
        <w:t xml:space="preserve"> emissions intensity reference period; and</w:t>
      </w:r>
    </w:p>
    <w:p w:rsidR="003C3821" w:rsidRDefault="003C3821" w:rsidP="003C3821">
      <w:pPr>
        <w:pStyle w:val="tPara"/>
      </w:pPr>
      <w:r>
        <w:tab/>
      </w:r>
      <w:r w:rsidR="00746173">
        <w:t>(b)</w:t>
      </w:r>
      <w:r>
        <w:tab/>
      </w:r>
      <w:proofErr w:type="gramStart"/>
      <w:r>
        <w:t>the</w:t>
      </w:r>
      <w:proofErr w:type="gramEnd"/>
      <w:r>
        <w:t xml:space="preserve"> crediting period.</w:t>
      </w:r>
    </w:p>
    <w:p w:rsidR="003C3821" w:rsidRDefault="003C3821" w:rsidP="003C3821">
      <w:pPr>
        <w:pStyle w:val="nMain"/>
      </w:pPr>
      <w:r>
        <w:t>Note:</w:t>
      </w:r>
      <w:r>
        <w:tab/>
        <w:t xml:space="preserve">The maps produced are required to be provided to the Regulator under sections 8 and </w:t>
      </w:r>
      <w:r w:rsidRPr="006903E1">
        <w:t>22</w:t>
      </w:r>
      <w:r>
        <w:t>.</w:t>
      </w:r>
    </w:p>
    <w:p w:rsidR="003C3821" w:rsidRDefault="003C3821" w:rsidP="003C3821">
      <w:pPr>
        <w:pStyle w:val="tMain"/>
      </w:pPr>
      <w:r>
        <w:tab/>
      </w:r>
      <w:r w:rsidR="00746173">
        <w:t>(2)</w:t>
      </w:r>
      <w:r>
        <w:tab/>
        <w:t xml:space="preserve">Each field identified in a map produced for the purposes of subsection (1) must be issued a unique identifier. </w:t>
      </w:r>
      <w:r>
        <w:tab/>
      </w:r>
    </w:p>
    <w:p w:rsidR="003C3821" w:rsidRDefault="003C3821" w:rsidP="003C3821">
      <w:pPr>
        <w:pStyle w:val="tMain"/>
      </w:pPr>
      <w:r>
        <w:tab/>
      </w:r>
      <w:r w:rsidR="00746173">
        <w:t>(3)</w:t>
      </w:r>
      <w:r>
        <w:tab/>
        <w:t>For the avoidance of doubt, a map produced for the purposes of subsection (1) does not need to align with calendar or financial years.</w:t>
      </w:r>
    </w:p>
    <w:p w:rsidR="003C3821" w:rsidRPr="004C5E6E" w:rsidRDefault="003C3821" w:rsidP="003C3821">
      <w:pPr>
        <w:pStyle w:val="nMain"/>
      </w:pPr>
      <w:r>
        <w:t>Note:</w:t>
      </w:r>
      <w:r>
        <w:tab/>
        <w:t>For the purposes of administrative simplicity, project proponents are encouraged to align the 12 month period covered by their annual map with the relevant cotton growing season rather than a calendar or financial year.</w:t>
      </w:r>
    </w:p>
    <w:p w:rsidR="003C3821" w:rsidRDefault="00746173" w:rsidP="003C3821">
      <w:pPr>
        <w:pStyle w:val="h5Section"/>
      </w:pPr>
      <w:bookmarkStart w:id="110" w:name="_Toc405896472"/>
      <w:bookmarkStart w:id="111" w:name="_Toc413343205"/>
      <w:bookmarkStart w:id="112" w:name="_Toc413343298"/>
      <w:bookmarkStart w:id="113" w:name="_Toc413343344"/>
      <w:bookmarkStart w:id="114" w:name="_Toc416182717"/>
      <w:proofErr w:type="gramStart"/>
      <w:r>
        <w:t>14</w:t>
      </w:r>
      <w:r w:rsidR="003C3821">
        <w:t xml:space="preserve">  Mapping</w:t>
      </w:r>
      <w:proofErr w:type="gramEnd"/>
      <w:r w:rsidR="003C3821">
        <w:t xml:space="preserve"> format</w:t>
      </w:r>
      <w:r w:rsidR="003C3821" w:rsidRPr="00284478">
        <w:t xml:space="preserve"> </w:t>
      </w:r>
      <w:r w:rsidR="003C3821">
        <w:t>and precision</w:t>
      </w:r>
      <w:bookmarkEnd w:id="110"/>
      <w:bookmarkEnd w:id="111"/>
      <w:bookmarkEnd w:id="112"/>
      <w:bookmarkEnd w:id="113"/>
      <w:bookmarkEnd w:id="114"/>
    </w:p>
    <w:p w:rsidR="003C3821" w:rsidRDefault="003C3821" w:rsidP="003C3821">
      <w:pPr>
        <w:pStyle w:val="tMain"/>
      </w:pPr>
      <w:r>
        <w:tab/>
      </w:r>
      <w:r w:rsidR="00746173">
        <w:t>(1)</w:t>
      </w:r>
      <w:r>
        <w:tab/>
        <w:t>A map produced for the purposes of subsection 13(1) must be in a digital Geographic Information System format.</w:t>
      </w:r>
    </w:p>
    <w:p w:rsidR="003C3821" w:rsidRDefault="003C3821" w:rsidP="003C3821">
      <w:pPr>
        <w:pStyle w:val="tMain"/>
      </w:pPr>
      <w:r>
        <w:tab/>
      </w:r>
      <w:r w:rsidR="00746173">
        <w:t>(2)</w:t>
      </w:r>
      <w:r>
        <w:tab/>
        <w:t>The boundary of a field identified in accordance with section 13 must have a horizontal accuracy either:</w:t>
      </w:r>
    </w:p>
    <w:p w:rsidR="003C3821" w:rsidRDefault="003C3821" w:rsidP="003C3821">
      <w:pPr>
        <w:pStyle w:val="tPara"/>
      </w:pPr>
      <w:r>
        <w:tab/>
      </w:r>
      <w:r w:rsidR="00746173">
        <w:t>(a)</w:t>
      </w:r>
      <w:r>
        <w:tab/>
      </w:r>
      <w:proofErr w:type="gramStart"/>
      <w:r>
        <w:t>of</w:t>
      </w:r>
      <w:proofErr w:type="gramEnd"/>
      <w:r>
        <w:t xml:space="preserve"> 10 metres at 95% threshold; or </w:t>
      </w:r>
    </w:p>
    <w:p w:rsidR="003C3821" w:rsidRDefault="003C3821" w:rsidP="003C3821">
      <w:pPr>
        <w:pStyle w:val="tPara"/>
        <w:rPr>
          <w:i/>
        </w:rPr>
      </w:pPr>
      <w:r>
        <w:lastRenderedPageBreak/>
        <w:tab/>
      </w:r>
      <w:r w:rsidR="00746173">
        <w:t>(b)</w:t>
      </w:r>
      <w:r>
        <w:tab/>
      </w:r>
      <w:proofErr w:type="gramStart"/>
      <w:r>
        <w:t>as</w:t>
      </w:r>
      <w:proofErr w:type="gramEnd"/>
      <w:r>
        <w:t xml:space="preserve"> specified by the </w:t>
      </w:r>
      <w:r w:rsidRPr="00124721">
        <w:rPr>
          <w:i/>
        </w:rPr>
        <w:t>Australian Map and Spatial Data Horizontal Accuracy Standard</w:t>
      </w:r>
      <w:r>
        <w:t xml:space="preserve"> published from time to time by the </w:t>
      </w:r>
      <w:r w:rsidRPr="00124721">
        <w:t>Intergovernmental Committee on Surveying and Mapping</w:t>
      </w:r>
      <w:r>
        <w:rPr>
          <w:i/>
        </w:rPr>
        <w:t>.</w:t>
      </w:r>
    </w:p>
    <w:p w:rsidR="003C3821" w:rsidRDefault="003C3821" w:rsidP="003C3821">
      <w:pPr>
        <w:pStyle w:val="nMain"/>
      </w:pPr>
      <w:r>
        <w:t>Note 1:</w:t>
      </w:r>
      <w:r>
        <w:tab/>
        <w:t xml:space="preserve">While any Geographic Information System format which meets the requirements in subsection (2) is acceptable for the purposes of subsection (1), project proponents are encouraged to use the Carbon Farming Initiative Mapping Tool, available on the Department’s website. </w:t>
      </w:r>
    </w:p>
    <w:p w:rsidR="003C3821" w:rsidRDefault="003C3821" w:rsidP="003C3821">
      <w:pPr>
        <w:pStyle w:val="nMain"/>
      </w:pPr>
      <w:r>
        <w:t>Note 2:</w:t>
      </w:r>
      <w:r>
        <w:tab/>
        <w:t xml:space="preserve">The Standard mentioned in paragraph (b) is available at: </w:t>
      </w:r>
      <w:r w:rsidRPr="007D1BDB">
        <w:t>www.icsm.gov.au</w:t>
      </w:r>
      <w:r>
        <w:t xml:space="preserve">. </w:t>
      </w:r>
    </w:p>
    <w:p w:rsidR="003C3821" w:rsidRDefault="003C3821" w:rsidP="003C3821">
      <w:r>
        <w:br w:type="page"/>
      </w:r>
    </w:p>
    <w:p w:rsidR="003C3821" w:rsidRPr="004A5FC6" w:rsidRDefault="00746173" w:rsidP="003C3821">
      <w:pPr>
        <w:pStyle w:val="h2Part"/>
      </w:pPr>
      <w:bookmarkStart w:id="115" w:name="_Toc405896473"/>
      <w:bookmarkStart w:id="116" w:name="_Toc413343206"/>
      <w:bookmarkStart w:id="117" w:name="_Toc413343299"/>
      <w:bookmarkStart w:id="118" w:name="_Toc413343345"/>
      <w:bookmarkStart w:id="119" w:name="_Toc416182718"/>
      <w:r>
        <w:lastRenderedPageBreak/>
        <w:t>Part 4</w:t>
      </w:r>
      <w:r w:rsidR="003C3821">
        <w:t>—</w:t>
      </w:r>
      <w:r w:rsidR="003C3821" w:rsidRPr="004A5FC6">
        <w:t>Net abatement amount</w:t>
      </w:r>
      <w:bookmarkEnd w:id="115"/>
      <w:bookmarkEnd w:id="116"/>
      <w:bookmarkEnd w:id="117"/>
      <w:bookmarkEnd w:id="118"/>
      <w:bookmarkEnd w:id="119"/>
    </w:p>
    <w:p w:rsidR="003C3821" w:rsidRPr="004A5FC6" w:rsidRDefault="00746173" w:rsidP="003C3821">
      <w:pPr>
        <w:pStyle w:val="h3Div"/>
      </w:pPr>
      <w:bookmarkStart w:id="120" w:name="_Toc405896474"/>
      <w:bookmarkStart w:id="121" w:name="_Toc413343207"/>
      <w:bookmarkStart w:id="122" w:name="_Toc413343300"/>
      <w:bookmarkStart w:id="123" w:name="_Toc413343346"/>
      <w:bookmarkStart w:id="124" w:name="_Toc416182719"/>
      <w:r>
        <w:t>Division 1</w:t>
      </w:r>
      <w:r w:rsidR="003C3821">
        <w:t>—</w:t>
      </w:r>
      <w:proofErr w:type="gramStart"/>
      <w:r w:rsidR="003C3821" w:rsidRPr="004A5FC6">
        <w:t>The</w:t>
      </w:r>
      <w:proofErr w:type="gramEnd"/>
      <w:r w:rsidR="003C3821" w:rsidRPr="004A5FC6">
        <w:t xml:space="preserve"> net abatement amount</w:t>
      </w:r>
      <w:bookmarkEnd w:id="120"/>
      <w:bookmarkEnd w:id="121"/>
      <w:bookmarkEnd w:id="122"/>
      <w:bookmarkEnd w:id="123"/>
      <w:bookmarkEnd w:id="124"/>
    </w:p>
    <w:p w:rsidR="003C3821" w:rsidRPr="004A5FC6" w:rsidRDefault="00746173" w:rsidP="003C3821">
      <w:pPr>
        <w:pStyle w:val="h5Section"/>
      </w:pPr>
      <w:bookmarkStart w:id="125" w:name="_Toc405896475"/>
      <w:bookmarkStart w:id="126" w:name="_Toc413343208"/>
      <w:bookmarkStart w:id="127" w:name="_Toc413343301"/>
      <w:bookmarkStart w:id="128" w:name="_Toc413343347"/>
      <w:bookmarkStart w:id="129" w:name="_Toc416182720"/>
      <w:proofErr w:type="gramStart"/>
      <w:r>
        <w:t>15</w:t>
      </w:r>
      <w:r w:rsidR="003C3821">
        <w:t xml:space="preserve">  Method</w:t>
      </w:r>
      <w:proofErr w:type="gramEnd"/>
      <w:r w:rsidR="003C3821">
        <w:t xml:space="preserve"> for calculating the net abatement amount</w:t>
      </w:r>
      <w:bookmarkEnd w:id="125"/>
      <w:bookmarkEnd w:id="126"/>
      <w:bookmarkEnd w:id="127"/>
      <w:bookmarkEnd w:id="128"/>
      <w:bookmarkEnd w:id="129"/>
    </w:p>
    <w:p w:rsidR="003C3821" w:rsidRDefault="003C3821" w:rsidP="003C3821">
      <w:pPr>
        <w:pStyle w:val="tMain"/>
      </w:pPr>
      <w:r>
        <w:tab/>
      </w:r>
      <w:r w:rsidR="00746173">
        <w:t>(1)</w:t>
      </w:r>
      <w:r>
        <w:tab/>
      </w:r>
      <w:r w:rsidRPr="0066799A">
        <w:t xml:space="preserve">For paragraph 106(1)(c) of the Act, this Part specifies the method for working out the carbon dioxide equivalent net abatement amount for a reporting period for an </w:t>
      </w:r>
      <w:r>
        <w:t>irrigated cotton</w:t>
      </w:r>
      <w:r w:rsidRPr="0066799A">
        <w:t xml:space="preserve"> project that is an eligible offsets project.</w:t>
      </w:r>
    </w:p>
    <w:p w:rsidR="003C3821" w:rsidRPr="007D1BDB" w:rsidRDefault="003C3821" w:rsidP="003C3821">
      <w:pPr>
        <w:pStyle w:val="tMain"/>
      </w:pPr>
      <w:r w:rsidRPr="007D1BDB">
        <w:tab/>
      </w:r>
      <w:r w:rsidR="00746173">
        <w:t>(2)</w:t>
      </w:r>
      <w:r w:rsidRPr="007D1BDB">
        <w:tab/>
      </w:r>
      <w:r w:rsidR="00EE77CF">
        <w:t>F</w:t>
      </w:r>
      <w:r w:rsidRPr="007D1BDB">
        <w:t>or each project area and for each year in the reporting period, calculate the annual project area abatement amount, in t CO</w:t>
      </w:r>
      <w:r w:rsidRPr="007D1BDB">
        <w:rPr>
          <w:vertAlign w:val="subscript"/>
        </w:rPr>
        <w:t>2</w:t>
      </w:r>
      <w:r w:rsidRPr="007D1BDB">
        <w:t>-e, in accordance with the following formula:</w:t>
      </w:r>
    </w:p>
    <w:p w:rsidR="003C3821" w:rsidRPr="007D1BDB" w:rsidRDefault="003C3821" w:rsidP="003C3821">
      <w:pPr>
        <w:pStyle w:val="tMain"/>
        <w:spacing w:before="360" w:after="360"/>
      </w:pPr>
      <m:oMathPara>
        <m:oMath>
          <m:r>
            <m:rPr>
              <m:nor/>
            </m:rPr>
            <w:rPr>
              <w:rFonts w:ascii="Cambria Math" w:hAnsi="Cambria Math"/>
            </w:rPr>
            <m:t>annual project area abatement amount</m:t>
          </m:r>
          <m:r>
            <w:rPr>
              <w:rFonts w:ascii="Cambria Math" w:hAnsi="Cambria Math"/>
            </w:rPr>
            <m:t>=</m:t>
          </m:r>
          <m:r>
            <m:rPr>
              <m:nor/>
            </m:rPr>
            <w:rPr>
              <w:rFonts w:ascii="Cambria Math" w:hAnsi="Cambria Math"/>
            </w:rPr>
            <m:t>baseline emissions</m:t>
          </m:r>
          <m:r>
            <w:rPr>
              <w:rFonts w:ascii="Cambria Math" w:hAnsi="Cambria Math"/>
            </w:rPr>
            <m:t>-</m:t>
          </m:r>
          <m:r>
            <m:rPr>
              <m:nor/>
            </m:rPr>
            <w:rPr>
              <w:rFonts w:ascii="Cambria Math" w:hAnsi="Cambria Math"/>
            </w:rPr>
            <m:t>project emissions</m:t>
          </m:r>
        </m:oMath>
      </m:oMathPara>
    </w:p>
    <w:p w:rsidR="003C3821" w:rsidRPr="007D1BDB" w:rsidRDefault="003C3821" w:rsidP="003C3821">
      <w:pPr>
        <w:pStyle w:val="nMain"/>
      </w:pPr>
      <w:r w:rsidRPr="007D1BDB">
        <w:t>Note:</w:t>
      </w:r>
      <w:r w:rsidRPr="007D1BDB">
        <w:tab/>
        <w:t xml:space="preserve">The terms </w:t>
      </w:r>
      <w:r w:rsidRPr="007D1BDB">
        <w:rPr>
          <w:b/>
          <w:i/>
        </w:rPr>
        <w:t xml:space="preserve">baseline emissions </w:t>
      </w:r>
      <w:r w:rsidRPr="007D1BDB">
        <w:t xml:space="preserve">and </w:t>
      </w:r>
      <w:r w:rsidRPr="007D1BDB">
        <w:rPr>
          <w:b/>
          <w:i/>
        </w:rPr>
        <w:t>project emissions</w:t>
      </w:r>
      <w:r w:rsidR="007A6CA0" w:rsidRPr="007D1BDB">
        <w:t xml:space="preserve"> </w:t>
      </w:r>
      <w:r w:rsidRPr="007D1BDB">
        <w:t>are defined</w:t>
      </w:r>
      <w:r w:rsidR="00A20886" w:rsidRPr="007D1BDB">
        <w:t>, for each project area and each year of the reporting period,</w:t>
      </w:r>
      <w:r w:rsidRPr="007D1BDB">
        <w:t xml:space="preserve"> in </w:t>
      </w:r>
      <w:r w:rsidR="00E424CB">
        <w:t>Division 2</w:t>
      </w:r>
      <w:r w:rsidRPr="007D1BDB">
        <w:t xml:space="preserve"> and </w:t>
      </w:r>
      <w:r w:rsidR="00E424CB">
        <w:t>Division 3</w:t>
      </w:r>
      <w:r w:rsidRPr="007D1BDB">
        <w:t xml:space="preserve"> respectively.</w:t>
      </w:r>
    </w:p>
    <w:p w:rsidR="007A3666" w:rsidRPr="007D1BDB" w:rsidRDefault="007A3666" w:rsidP="007A3666">
      <w:pPr>
        <w:pStyle w:val="tMain"/>
      </w:pPr>
      <w:r>
        <w:tab/>
      </w:r>
      <w:r w:rsidR="00746173">
        <w:t>(3)</w:t>
      </w:r>
      <w:r>
        <w:tab/>
      </w:r>
      <w:r w:rsidRPr="007A6CA0">
        <w:t xml:space="preserve">For the reporting period, the </w:t>
      </w:r>
      <w:r w:rsidRPr="007A6CA0">
        <w:rPr>
          <w:b/>
          <w:i/>
        </w:rPr>
        <w:t>carbon dioxide equivalent net abatement amount</w:t>
      </w:r>
      <w:r w:rsidRPr="007A6CA0">
        <w:t xml:space="preserve"> is the sum of all </w:t>
      </w:r>
      <w:r w:rsidR="00CE081A" w:rsidRPr="007D1BDB">
        <w:t xml:space="preserve">annual project area </w:t>
      </w:r>
      <w:r w:rsidRPr="007D1BDB">
        <w:t>abatement amounts greater than zero.</w:t>
      </w:r>
    </w:p>
    <w:p w:rsidR="003C3821" w:rsidRDefault="003C3821" w:rsidP="003C3821">
      <w:pPr>
        <w:pStyle w:val="nMain"/>
      </w:pPr>
      <w:r w:rsidRPr="007D1BDB">
        <w:t>Note:</w:t>
      </w:r>
      <w:r w:rsidRPr="007D1BDB">
        <w:tab/>
        <w:t>Annual project area abatement amounts that are</w:t>
      </w:r>
      <w:r w:rsidR="007D1BDB" w:rsidRPr="007D1BDB">
        <w:t xml:space="preserve"> </w:t>
      </w:r>
      <w:r w:rsidRPr="007D1BDB">
        <w:t>less than zero must be reported, but are not deducted from the carbon dioxide equivalent net abatement amount. This treatment of negative annual project area abatement amounts is possible from a greenhouse gas accounting perspective because of the variance discount applied to the baseline</w:t>
      </w:r>
      <w:r w:rsidR="00A20886">
        <w:t>,</w:t>
      </w:r>
      <w:r w:rsidRPr="007D1BDB">
        <w:t xml:space="preserve"> which reduces positive annual project area abatement amounts (see Division 2</w:t>
      </w:r>
      <w:r>
        <w:t>).</w:t>
      </w:r>
    </w:p>
    <w:p w:rsidR="003C3821" w:rsidRDefault="00746173" w:rsidP="003C3821">
      <w:pPr>
        <w:pStyle w:val="h5Section"/>
      </w:pPr>
      <w:bookmarkStart w:id="130" w:name="_Toc405896476"/>
      <w:bookmarkStart w:id="131" w:name="_Toc413343209"/>
      <w:bookmarkStart w:id="132" w:name="_Toc413343302"/>
      <w:bookmarkStart w:id="133" w:name="_Toc413343348"/>
      <w:bookmarkStart w:id="134" w:name="_Toc416182721"/>
      <w:proofErr w:type="gramStart"/>
      <w:r>
        <w:t>16</w:t>
      </w:r>
      <w:r w:rsidR="003C3821">
        <w:t xml:space="preserve">  G</w:t>
      </w:r>
      <w:r w:rsidR="003C3821" w:rsidRPr="00FE181D">
        <w:t>ases</w:t>
      </w:r>
      <w:proofErr w:type="gramEnd"/>
      <w:r w:rsidR="003C3821" w:rsidRPr="00FE181D">
        <w:t xml:space="preserve"> accounted for in abatement calculations</w:t>
      </w:r>
      <w:bookmarkEnd w:id="130"/>
      <w:bookmarkEnd w:id="131"/>
      <w:bookmarkEnd w:id="132"/>
      <w:bookmarkEnd w:id="133"/>
      <w:bookmarkEnd w:id="134"/>
    </w:p>
    <w:p w:rsidR="003C3821" w:rsidRDefault="003C3821" w:rsidP="003C3821">
      <w:pPr>
        <w:pStyle w:val="tMain"/>
      </w:pPr>
      <w:r>
        <w:tab/>
      </w:r>
      <w:r w:rsidR="00746173">
        <w:t>(1)</w:t>
      </w:r>
      <w:r>
        <w:tab/>
        <w:t>The following table provides an overview of the greenhouse gases and emissions sources that are relevant to working out the carbon dioxide equivalent net abatement amount for an irrigated cotton project.</w:t>
      </w:r>
    </w:p>
    <w:tbl>
      <w:tblPr>
        <w:tblW w:w="0" w:type="auto"/>
        <w:tblInd w:w="964" w:type="dxa"/>
        <w:tblBorders>
          <w:top w:val="single" w:sz="4" w:space="0" w:color="auto"/>
          <w:bottom w:val="single" w:sz="4" w:space="0" w:color="auto"/>
          <w:insideH w:val="single" w:sz="4" w:space="0" w:color="auto"/>
        </w:tblBorders>
        <w:tblLook w:val="04A0"/>
      </w:tblPr>
      <w:tblGrid>
        <w:gridCol w:w="704"/>
        <w:gridCol w:w="2409"/>
        <w:gridCol w:w="2694"/>
        <w:gridCol w:w="2471"/>
      </w:tblGrid>
      <w:tr w:rsidR="003C3821" w:rsidTr="007A6CA0">
        <w:trPr>
          <w:tblHeader/>
        </w:trPr>
        <w:tc>
          <w:tcPr>
            <w:tcW w:w="8278" w:type="dxa"/>
            <w:gridSpan w:val="4"/>
            <w:tcBorders>
              <w:top w:val="single" w:sz="18" w:space="0" w:color="auto"/>
            </w:tcBorders>
          </w:tcPr>
          <w:p w:rsidR="003C3821" w:rsidRPr="000A02DA" w:rsidRDefault="003C3821" w:rsidP="007A6CA0">
            <w:pPr>
              <w:pStyle w:val="TableHeading"/>
            </w:pPr>
            <w:r w:rsidRPr="000A02DA">
              <w:tab/>
              <w:t>Greenhouse gases and emissions sources</w:t>
            </w:r>
            <w:r w:rsidRPr="000A02DA">
              <w:tab/>
            </w:r>
          </w:p>
        </w:tc>
      </w:tr>
      <w:tr w:rsidR="003C3821" w:rsidTr="007A6CA0">
        <w:trPr>
          <w:tblHeader/>
        </w:trPr>
        <w:tc>
          <w:tcPr>
            <w:tcW w:w="704" w:type="dxa"/>
            <w:tcBorders>
              <w:bottom w:val="single" w:sz="18" w:space="0" w:color="auto"/>
            </w:tcBorders>
          </w:tcPr>
          <w:p w:rsidR="003C3821" w:rsidRPr="000A02DA" w:rsidRDefault="003C3821" w:rsidP="007A6CA0">
            <w:pPr>
              <w:pStyle w:val="TableHeading"/>
            </w:pPr>
            <w:r w:rsidRPr="000A02DA">
              <w:t>Item</w:t>
            </w:r>
          </w:p>
        </w:tc>
        <w:tc>
          <w:tcPr>
            <w:tcW w:w="2409" w:type="dxa"/>
            <w:tcBorders>
              <w:bottom w:val="single" w:sz="18" w:space="0" w:color="auto"/>
            </w:tcBorders>
          </w:tcPr>
          <w:p w:rsidR="003C3821" w:rsidRPr="000A02DA" w:rsidRDefault="003C3821" w:rsidP="007A6CA0">
            <w:pPr>
              <w:pStyle w:val="TableHeading"/>
            </w:pPr>
            <w:r w:rsidRPr="000A02DA">
              <w:t>Relevant emissions calculation</w:t>
            </w:r>
          </w:p>
        </w:tc>
        <w:tc>
          <w:tcPr>
            <w:tcW w:w="2694" w:type="dxa"/>
            <w:tcBorders>
              <w:bottom w:val="single" w:sz="18" w:space="0" w:color="auto"/>
            </w:tcBorders>
          </w:tcPr>
          <w:p w:rsidR="003C3821" w:rsidRPr="000A02DA" w:rsidRDefault="003C3821" w:rsidP="007A6CA0">
            <w:pPr>
              <w:pStyle w:val="TableHeading"/>
            </w:pPr>
            <w:r w:rsidRPr="000A02DA">
              <w:t>Emissions source</w:t>
            </w:r>
          </w:p>
        </w:tc>
        <w:tc>
          <w:tcPr>
            <w:tcW w:w="2471" w:type="dxa"/>
            <w:tcBorders>
              <w:bottom w:val="single" w:sz="18" w:space="0" w:color="auto"/>
            </w:tcBorders>
          </w:tcPr>
          <w:p w:rsidR="003C3821" w:rsidRPr="000A02DA" w:rsidRDefault="003C3821" w:rsidP="007A6CA0">
            <w:pPr>
              <w:pStyle w:val="TableHeading"/>
            </w:pPr>
            <w:r w:rsidRPr="000A02DA">
              <w:t>Greenhouse gas</w:t>
            </w:r>
          </w:p>
        </w:tc>
      </w:tr>
      <w:tr w:rsidR="003C3821" w:rsidTr="007A6CA0">
        <w:trPr>
          <w:trHeight w:val="437"/>
        </w:trPr>
        <w:tc>
          <w:tcPr>
            <w:tcW w:w="704" w:type="dxa"/>
            <w:tcBorders>
              <w:top w:val="single" w:sz="18" w:space="0" w:color="auto"/>
            </w:tcBorders>
          </w:tcPr>
          <w:p w:rsidR="003C3821" w:rsidRDefault="003C3821" w:rsidP="007A6CA0">
            <w:pPr>
              <w:pStyle w:val="Tabletext"/>
            </w:pPr>
            <w:r>
              <w:t>1</w:t>
            </w:r>
          </w:p>
        </w:tc>
        <w:tc>
          <w:tcPr>
            <w:tcW w:w="2409" w:type="dxa"/>
            <w:tcBorders>
              <w:top w:val="single" w:sz="18" w:space="0" w:color="auto"/>
            </w:tcBorders>
          </w:tcPr>
          <w:p w:rsidR="003C3821" w:rsidRDefault="003C3821" w:rsidP="007A6CA0">
            <w:pPr>
              <w:pStyle w:val="Tabletext"/>
            </w:pPr>
            <w:r>
              <w:t>Baseline emissions</w:t>
            </w:r>
          </w:p>
          <w:p w:rsidR="003C3821" w:rsidRDefault="003C3821" w:rsidP="007A6CA0">
            <w:pPr>
              <w:pStyle w:val="Tabletext"/>
            </w:pPr>
            <w:r>
              <w:t>Project emissions</w:t>
            </w:r>
          </w:p>
        </w:tc>
        <w:tc>
          <w:tcPr>
            <w:tcW w:w="2694" w:type="dxa"/>
            <w:tcBorders>
              <w:top w:val="single" w:sz="18" w:space="0" w:color="auto"/>
            </w:tcBorders>
          </w:tcPr>
          <w:p w:rsidR="003C3821" w:rsidRDefault="003C3821" w:rsidP="007A6CA0">
            <w:pPr>
              <w:pStyle w:val="Tabletext"/>
            </w:pPr>
            <w:r>
              <w:t>Synthetic fertiliser application other than urea</w:t>
            </w:r>
          </w:p>
        </w:tc>
        <w:tc>
          <w:tcPr>
            <w:tcW w:w="2471" w:type="dxa"/>
            <w:tcBorders>
              <w:top w:val="single" w:sz="18" w:space="0" w:color="auto"/>
            </w:tcBorders>
          </w:tcPr>
          <w:p w:rsidR="003C3821" w:rsidRDefault="003C3821" w:rsidP="007A6CA0">
            <w:pPr>
              <w:pStyle w:val="Tabletext"/>
            </w:pPr>
            <w:r>
              <w:t>Nitrous oxide (N</w:t>
            </w:r>
            <w:r w:rsidRPr="004E2BA8">
              <w:rPr>
                <w:vertAlign w:val="subscript"/>
              </w:rPr>
              <w:t>2</w:t>
            </w:r>
            <w:r>
              <w:t>O)</w:t>
            </w:r>
          </w:p>
        </w:tc>
      </w:tr>
      <w:tr w:rsidR="003C3821" w:rsidTr="007A6CA0">
        <w:tc>
          <w:tcPr>
            <w:tcW w:w="704" w:type="dxa"/>
          </w:tcPr>
          <w:p w:rsidR="003C3821" w:rsidRDefault="003C3821" w:rsidP="007A6CA0">
            <w:pPr>
              <w:pStyle w:val="Tabletext"/>
            </w:pPr>
            <w:r>
              <w:t>2</w:t>
            </w:r>
          </w:p>
        </w:tc>
        <w:tc>
          <w:tcPr>
            <w:tcW w:w="2409" w:type="dxa"/>
          </w:tcPr>
          <w:p w:rsidR="003C3821" w:rsidRDefault="003C3821" w:rsidP="007A6CA0">
            <w:pPr>
              <w:pStyle w:val="Tabletext"/>
            </w:pPr>
            <w:r>
              <w:t>Baseline emissions</w:t>
            </w:r>
          </w:p>
          <w:p w:rsidR="003C3821" w:rsidRDefault="003C3821" w:rsidP="007A6CA0">
            <w:pPr>
              <w:pStyle w:val="Tabletext"/>
            </w:pPr>
            <w:r>
              <w:t>Project emissions</w:t>
            </w:r>
          </w:p>
        </w:tc>
        <w:tc>
          <w:tcPr>
            <w:tcW w:w="2694" w:type="dxa"/>
          </w:tcPr>
          <w:p w:rsidR="003C3821" w:rsidRDefault="003C3821" w:rsidP="007A6CA0">
            <w:pPr>
              <w:pStyle w:val="Tabletext"/>
            </w:pPr>
            <w:r>
              <w:t>Synthetic fertiliser application (urea)</w:t>
            </w:r>
          </w:p>
        </w:tc>
        <w:tc>
          <w:tcPr>
            <w:tcW w:w="2471" w:type="dxa"/>
          </w:tcPr>
          <w:p w:rsidR="003C3821" w:rsidRDefault="003C3821" w:rsidP="007A6CA0">
            <w:pPr>
              <w:pStyle w:val="Tabletext"/>
            </w:pPr>
            <w:r>
              <w:t>Carbon dioxide (CO</w:t>
            </w:r>
            <w:r w:rsidRPr="004E2BA8">
              <w:rPr>
                <w:vertAlign w:val="subscript"/>
              </w:rPr>
              <w:t>2</w:t>
            </w:r>
            <w:r>
              <w:t>)</w:t>
            </w:r>
          </w:p>
        </w:tc>
      </w:tr>
      <w:tr w:rsidR="003C3821" w:rsidTr="007A6CA0">
        <w:tc>
          <w:tcPr>
            <w:tcW w:w="704" w:type="dxa"/>
            <w:tcBorders>
              <w:bottom w:val="single" w:sz="18" w:space="0" w:color="auto"/>
            </w:tcBorders>
          </w:tcPr>
          <w:p w:rsidR="003C3821" w:rsidRDefault="003C3821" w:rsidP="007A6CA0">
            <w:pPr>
              <w:pStyle w:val="Tabletext"/>
            </w:pPr>
            <w:r>
              <w:t>3</w:t>
            </w:r>
          </w:p>
        </w:tc>
        <w:tc>
          <w:tcPr>
            <w:tcW w:w="2409" w:type="dxa"/>
            <w:tcBorders>
              <w:bottom w:val="single" w:sz="18" w:space="0" w:color="auto"/>
            </w:tcBorders>
          </w:tcPr>
          <w:p w:rsidR="003C3821" w:rsidRDefault="003C3821" w:rsidP="007A6CA0">
            <w:pPr>
              <w:pStyle w:val="Tabletext"/>
            </w:pPr>
            <w:r>
              <w:t>Baseline emissions</w:t>
            </w:r>
          </w:p>
          <w:p w:rsidR="003C3821" w:rsidRDefault="003C3821" w:rsidP="007A6CA0">
            <w:pPr>
              <w:pStyle w:val="Tabletext"/>
            </w:pPr>
            <w:r>
              <w:t>Project emissions</w:t>
            </w:r>
          </w:p>
        </w:tc>
        <w:tc>
          <w:tcPr>
            <w:tcW w:w="2694" w:type="dxa"/>
            <w:tcBorders>
              <w:bottom w:val="single" w:sz="18" w:space="0" w:color="auto"/>
            </w:tcBorders>
          </w:tcPr>
          <w:p w:rsidR="003C3821" w:rsidRDefault="003C3821" w:rsidP="007A6CA0">
            <w:pPr>
              <w:pStyle w:val="Tabletext"/>
            </w:pPr>
            <w:r>
              <w:t>Green manure residue</w:t>
            </w:r>
          </w:p>
        </w:tc>
        <w:tc>
          <w:tcPr>
            <w:tcW w:w="2471" w:type="dxa"/>
            <w:tcBorders>
              <w:bottom w:val="single" w:sz="18" w:space="0" w:color="auto"/>
            </w:tcBorders>
          </w:tcPr>
          <w:p w:rsidR="003C3821" w:rsidRDefault="003C3821" w:rsidP="007A6CA0">
            <w:pPr>
              <w:pStyle w:val="Tabletext"/>
            </w:pPr>
            <w:r>
              <w:t>Nitrous oxide (N</w:t>
            </w:r>
            <w:r w:rsidRPr="004E2BA8">
              <w:rPr>
                <w:vertAlign w:val="subscript"/>
              </w:rPr>
              <w:t>2</w:t>
            </w:r>
            <w:r>
              <w:t>O)</w:t>
            </w:r>
          </w:p>
        </w:tc>
      </w:tr>
    </w:tbl>
    <w:p w:rsidR="003C3821" w:rsidRDefault="003C3821" w:rsidP="003C3821">
      <w:pPr>
        <w:pStyle w:val="tMain"/>
      </w:pPr>
      <w:r>
        <w:tab/>
      </w:r>
      <w:r w:rsidR="00746173">
        <w:t>(2)</w:t>
      </w:r>
      <w:r>
        <w:tab/>
        <w:t xml:space="preserve">For a year, green manure residue is only relevant to working out the carbon dioxide equivalent net abatement amount for </w:t>
      </w:r>
      <w:proofErr w:type="gramStart"/>
      <w:r>
        <w:t>an irrigated</w:t>
      </w:r>
      <w:proofErr w:type="gramEnd"/>
      <w:r>
        <w:t xml:space="preserve"> cotton project if:</w:t>
      </w:r>
    </w:p>
    <w:p w:rsidR="003C3821" w:rsidRDefault="003C3821" w:rsidP="003C3821">
      <w:pPr>
        <w:pStyle w:val="tPara"/>
      </w:pPr>
      <w:r>
        <w:tab/>
      </w:r>
      <w:r w:rsidR="00746173">
        <w:t>(a)</w:t>
      </w:r>
      <w:r>
        <w:tab/>
      </w:r>
      <w:proofErr w:type="gramStart"/>
      <w:r>
        <w:t>the</w:t>
      </w:r>
      <w:proofErr w:type="gramEnd"/>
      <w:r>
        <w:t xml:space="preserve"> green manure crop is planted on an area of land that is a part of the cotton area in the year; and</w:t>
      </w:r>
    </w:p>
    <w:p w:rsidR="003C3821" w:rsidRDefault="003C3821" w:rsidP="003C3821">
      <w:pPr>
        <w:pStyle w:val="tPara"/>
      </w:pPr>
      <w:r>
        <w:tab/>
      </w:r>
      <w:r w:rsidR="00746173">
        <w:t>(b)</w:t>
      </w:r>
      <w:r>
        <w:tab/>
      </w:r>
      <w:proofErr w:type="gramStart"/>
      <w:r>
        <w:t>the</w:t>
      </w:r>
      <w:proofErr w:type="gramEnd"/>
      <w:r>
        <w:t xml:space="preserve"> green manure crop is planted prior to the cotton planting in the year; and</w:t>
      </w:r>
    </w:p>
    <w:p w:rsidR="003C3821" w:rsidRDefault="003C3821" w:rsidP="003C3821">
      <w:pPr>
        <w:pStyle w:val="tPara"/>
      </w:pPr>
      <w:r>
        <w:tab/>
      </w:r>
      <w:r w:rsidR="00746173">
        <w:t>(c)</w:t>
      </w:r>
      <w:r>
        <w:tab/>
      </w:r>
      <w:proofErr w:type="gramStart"/>
      <w:r>
        <w:t>there</w:t>
      </w:r>
      <w:proofErr w:type="gramEnd"/>
      <w:r>
        <w:t xml:space="preserve"> are no other crops planted between the green manure crop and the cotton planting in the year.</w:t>
      </w:r>
    </w:p>
    <w:p w:rsidR="003C3821" w:rsidRDefault="003C3821" w:rsidP="003C3821">
      <w:pPr>
        <w:pStyle w:val="tMain"/>
      </w:pPr>
      <w:r>
        <w:tab/>
      </w:r>
      <w:r w:rsidR="00746173">
        <w:t>(3)</w:t>
      </w:r>
      <w:r>
        <w:tab/>
        <w:t>For a year, synthetic fertiliser is only relevant to working out the carbon dioxide equivalent net abatement amount if the synthetic fertiliser is applied:</w:t>
      </w:r>
    </w:p>
    <w:p w:rsidR="003C3821" w:rsidRDefault="003C3821" w:rsidP="003C3821">
      <w:pPr>
        <w:pStyle w:val="tPara"/>
      </w:pPr>
      <w:r>
        <w:lastRenderedPageBreak/>
        <w:tab/>
      </w:r>
      <w:r w:rsidR="00746173">
        <w:t>(a)</w:t>
      </w:r>
      <w:r>
        <w:tab/>
      </w:r>
      <w:proofErr w:type="gramStart"/>
      <w:r>
        <w:t>after</w:t>
      </w:r>
      <w:proofErr w:type="gramEnd"/>
      <w:r>
        <w:t xml:space="preserve"> the harvest of the crop previous to the cotton planting; and</w:t>
      </w:r>
    </w:p>
    <w:p w:rsidR="003C3821" w:rsidRDefault="003C3821" w:rsidP="003C3821">
      <w:pPr>
        <w:pStyle w:val="noteToPara"/>
      </w:pPr>
      <w:r>
        <w:t>Note:</w:t>
      </w:r>
      <w:r>
        <w:tab/>
        <w:t>The crop previous to the cotton planting could be a cotton crop, or a crop grown in rotation with cotton.</w:t>
      </w:r>
    </w:p>
    <w:p w:rsidR="003C3821" w:rsidRDefault="003C3821" w:rsidP="003C3821">
      <w:pPr>
        <w:pStyle w:val="tPara"/>
      </w:pPr>
      <w:r>
        <w:tab/>
      </w:r>
      <w:r w:rsidR="00746173">
        <w:t>(b)</w:t>
      </w:r>
      <w:r>
        <w:tab/>
      </w:r>
      <w:proofErr w:type="gramStart"/>
      <w:r>
        <w:t>before</w:t>
      </w:r>
      <w:proofErr w:type="gramEnd"/>
      <w:r>
        <w:t xml:space="preserve"> the harvest of the cotton area in the year.</w:t>
      </w:r>
    </w:p>
    <w:p w:rsidR="003C3821" w:rsidRDefault="00746173" w:rsidP="003C3821">
      <w:pPr>
        <w:pStyle w:val="h3Div"/>
      </w:pPr>
      <w:bookmarkStart w:id="135" w:name="_Toc405896477"/>
      <w:bookmarkStart w:id="136" w:name="_Toc413343210"/>
      <w:bookmarkStart w:id="137" w:name="_Toc413343303"/>
      <w:bookmarkStart w:id="138" w:name="_Toc413343349"/>
      <w:bookmarkStart w:id="139" w:name="_Toc416182722"/>
      <w:r>
        <w:t>Division 2</w:t>
      </w:r>
      <w:r w:rsidR="003C3821">
        <w:t>—</w:t>
      </w:r>
      <w:proofErr w:type="gramStart"/>
      <w:r w:rsidR="003C3821">
        <w:t>The</w:t>
      </w:r>
      <w:proofErr w:type="gramEnd"/>
      <w:r w:rsidR="003C3821">
        <w:t xml:space="preserve"> baseline emissions</w:t>
      </w:r>
      <w:bookmarkEnd w:id="135"/>
      <w:bookmarkEnd w:id="136"/>
      <w:bookmarkEnd w:id="137"/>
      <w:bookmarkEnd w:id="138"/>
      <w:bookmarkEnd w:id="139"/>
    </w:p>
    <w:p w:rsidR="003C3821" w:rsidRPr="00DA6DFE" w:rsidRDefault="003C3821" w:rsidP="003C3821">
      <w:pPr>
        <w:pStyle w:val="ntoHeading"/>
      </w:pPr>
      <w:r>
        <w:t>Note:</w:t>
      </w:r>
      <w:r>
        <w:tab/>
        <w:t>Calculations described in this Division are performed using the Irrigated Cotton Calculator.</w:t>
      </w:r>
    </w:p>
    <w:p w:rsidR="003C3821" w:rsidRDefault="00746173" w:rsidP="003C3821">
      <w:pPr>
        <w:pStyle w:val="h5Section"/>
      </w:pPr>
      <w:bookmarkStart w:id="140" w:name="_Toc405896478"/>
      <w:bookmarkStart w:id="141" w:name="_Toc413343211"/>
      <w:bookmarkStart w:id="142" w:name="_Toc413343304"/>
      <w:bookmarkStart w:id="143" w:name="_Toc413343350"/>
      <w:bookmarkStart w:id="144" w:name="_Toc416182723"/>
      <w:proofErr w:type="gramStart"/>
      <w:r>
        <w:t>17</w:t>
      </w:r>
      <w:r w:rsidR="003C3821">
        <w:t xml:space="preserve">  The</w:t>
      </w:r>
      <w:proofErr w:type="gramEnd"/>
      <w:r w:rsidR="003C3821">
        <w:t xml:space="preserve"> baseline emissions</w:t>
      </w:r>
      <w:bookmarkEnd w:id="140"/>
      <w:bookmarkEnd w:id="141"/>
      <w:bookmarkEnd w:id="142"/>
      <w:bookmarkEnd w:id="143"/>
      <w:bookmarkEnd w:id="144"/>
    </w:p>
    <w:p w:rsidR="003C3821" w:rsidRDefault="003C3821" w:rsidP="003C3821">
      <w:pPr>
        <w:pStyle w:val="tMain"/>
      </w:pPr>
      <w:r>
        <w:tab/>
      </w:r>
      <w:r w:rsidR="00746173">
        <w:t>(1)</w:t>
      </w:r>
      <w:r>
        <w:tab/>
        <w:t xml:space="preserve">For each year in the reporting period and for each project area, the </w:t>
      </w:r>
      <w:r>
        <w:rPr>
          <w:b/>
          <w:i/>
        </w:rPr>
        <w:t xml:space="preserve">baseline </w:t>
      </w:r>
      <w:proofErr w:type="gramStart"/>
      <w:r>
        <w:rPr>
          <w:b/>
          <w:i/>
        </w:rPr>
        <w:t xml:space="preserve">emissions </w:t>
      </w:r>
      <w:r>
        <w:t>is</w:t>
      </w:r>
      <w:proofErr w:type="gramEnd"/>
      <w:r>
        <w:t xml:space="preserve"> the product of:</w:t>
      </w:r>
    </w:p>
    <w:p w:rsidR="003C3821" w:rsidRDefault="003C3821" w:rsidP="003C3821">
      <w:pPr>
        <w:pStyle w:val="tPara"/>
      </w:pPr>
      <w:r>
        <w:tab/>
      </w:r>
      <w:r w:rsidR="00746173">
        <w:t>(a)</w:t>
      </w:r>
      <w:r>
        <w:tab/>
      </w:r>
      <w:proofErr w:type="gramStart"/>
      <w:r>
        <w:t>the</w:t>
      </w:r>
      <w:proofErr w:type="gramEnd"/>
      <w:r>
        <w:t xml:space="preserve"> baseline emissions intensity; and</w:t>
      </w:r>
    </w:p>
    <w:p w:rsidR="003C3821" w:rsidRDefault="003C3821" w:rsidP="003C3821">
      <w:pPr>
        <w:pStyle w:val="tPara"/>
      </w:pPr>
      <w:r>
        <w:tab/>
      </w:r>
      <w:r w:rsidR="00746173">
        <w:t>(b)</w:t>
      </w:r>
      <w:r>
        <w:tab/>
      </w:r>
      <w:proofErr w:type="gramStart"/>
      <w:r>
        <w:t>the</w:t>
      </w:r>
      <w:proofErr w:type="gramEnd"/>
      <w:r>
        <w:t xml:space="preserve"> lint yield in that year in the reporting period;</w:t>
      </w:r>
    </w:p>
    <w:p w:rsidR="003C3821" w:rsidRDefault="003C3821" w:rsidP="003C3821">
      <w:pPr>
        <w:pStyle w:val="tMain"/>
      </w:pPr>
      <w:r>
        <w:tab/>
      </w:r>
      <w:r>
        <w:tab/>
      </w:r>
      <w:proofErr w:type="gramStart"/>
      <w:r>
        <w:t>minus</w:t>
      </w:r>
      <w:proofErr w:type="gramEnd"/>
      <w:r>
        <w:t xml:space="preserve"> the variance discount, as specified in section 18.</w:t>
      </w:r>
    </w:p>
    <w:p w:rsidR="003C3821" w:rsidRDefault="003C3821" w:rsidP="003C3821">
      <w:pPr>
        <w:pStyle w:val="tMain"/>
      </w:pPr>
      <w:r>
        <w:tab/>
      </w:r>
      <w:r w:rsidR="00746173">
        <w:t>(2)</w:t>
      </w:r>
      <w:r>
        <w:tab/>
        <w:t xml:space="preserve">In this section, the </w:t>
      </w:r>
      <w:r w:rsidRPr="00191524">
        <w:rPr>
          <w:b/>
          <w:i/>
        </w:rPr>
        <w:t xml:space="preserve">baseline </w:t>
      </w:r>
      <w:r>
        <w:rPr>
          <w:b/>
          <w:i/>
        </w:rPr>
        <w:t>emissions intensity</w:t>
      </w:r>
      <w:r>
        <w:t>, in t CO</w:t>
      </w:r>
      <w:r w:rsidRPr="00B47292">
        <w:rPr>
          <w:vertAlign w:val="subscript"/>
        </w:rPr>
        <w:t>2</w:t>
      </w:r>
      <w:r>
        <w:t>-e per tonne of lint yield, of the project area is the amount calculated by:</w:t>
      </w:r>
    </w:p>
    <w:p w:rsidR="003C3821" w:rsidRPr="00036A12" w:rsidRDefault="003C3821" w:rsidP="003C3821">
      <w:pPr>
        <w:pStyle w:val="tPara"/>
      </w:pPr>
      <w:r>
        <w:tab/>
      </w:r>
      <w:r w:rsidR="00746173">
        <w:t>(a)</w:t>
      </w:r>
      <w:r>
        <w:tab/>
      </w:r>
      <w:proofErr w:type="gramStart"/>
      <w:r>
        <w:t>for</w:t>
      </w:r>
      <w:proofErr w:type="gramEnd"/>
      <w:r>
        <w:t xml:space="preserve"> each year in the emissions intensity reference period in which information required under Divisions 3 and 4 of Part 5 is available</w:t>
      </w:r>
      <w:r w:rsidRPr="00E424CB">
        <w:t xml:space="preserve"> </w:t>
      </w:r>
      <w:r w:rsidRPr="00036A12">
        <w:t>and the lint yield is not zero:</w:t>
      </w:r>
    </w:p>
    <w:p w:rsidR="003C3821" w:rsidRDefault="003C3821" w:rsidP="003C3821">
      <w:pPr>
        <w:pStyle w:val="noteToPara"/>
      </w:pPr>
      <w:r>
        <w:t>Note:</w:t>
      </w:r>
      <w:r>
        <w:tab/>
        <w:t>Subsection 11</w:t>
      </w:r>
      <w:r w:rsidRPr="006903E1">
        <w:t>(5)</w:t>
      </w:r>
      <w:r>
        <w:t xml:space="preserve"> requires </w:t>
      </w:r>
      <w:r w:rsidRPr="00DA6DFE">
        <w:t>the calculations</w:t>
      </w:r>
      <w:r>
        <w:t xml:space="preserve"> in subsection 17(2) to be performed for each year in which information required under Divisions 3 and 4 of Part 5 is available</w:t>
      </w:r>
      <w:r w:rsidRPr="00E424CB">
        <w:t xml:space="preserve"> </w:t>
      </w:r>
      <w:r w:rsidRPr="006903E1">
        <w:t>and the lint yield is not zero</w:t>
      </w:r>
      <w:r>
        <w:t>.</w:t>
      </w:r>
    </w:p>
    <w:p w:rsidR="003C3821" w:rsidRDefault="003C3821" w:rsidP="003C3821">
      <w:pPr>
        <w:pStyle w:val="tSubpara"/>
      </w:pPr>
      <w:r>
        <w:tab/>
      </w:r>
      <w:r w:rsidR="00746173">
        <w:t>(</w:t>
      </w:r>
      <w:proofErr w:type="spellStart"/>
      <w:r w:rsidR="00746173">
        <w:t>i</w:t>
      </w:r>
      <w:proofErr w:type="spellEnd"/>
      <w:r w:rsidR="00746173">
        <w:t>)</w:t>
      </w:r>
      <w:r>
        <w:tab/>
      </w:r>
      <w:proofErr w:type="gramStart"/>
      <w:r>
        <w:t>determining</w:t>
      </w:r>
      <w:proofErr w:type="gramEnd"/>
      <w:r>
        <w:t xml:space="preserve"> emissions, in t CO</w:t>
      </w:r>
      <w:r w:rsidRPr="00F960FB">
        <w:rPr>
          <w:vertAlign w:val="subscript"/>
        </w:rPr>
        <w:t>2</w:t>
      </w:r>
      <w:r>
        <w:t>-e, from each of the emissions sources specified in section 16:</w:t>
      </w:r>
    </w:p>
    <w:p w:rsidR="003C3821" w:rsidRDefault="003C3821" w:rsidP="003C3821">
      <w:pPr>
        <w:pStyle w:val="tSubsub"/>
      </w:pPr>
      <w:r>
        <w:tab/>
      </w:r>
      <w:r w:rsidR="00746173">
        <w:t>(A)</w:t>
      </w:r>
      <w:r>
        <w:tab/>
      </w:r>
      <w:proofErr w:type="gramStart"/>
      <w:r>
        <w:t>for</w:t>
      </w:r>
      <w:proofErr w:type="gramEnd"/>
      <w:r>
        <w:t xml:space="preserve"> synthetic fertiliser</w:t>
      </w:r>
      <w:r w:rsidRPr="009E06C0">
        <w:t>—</w:t>
      </w:r>
      <w:r>
        <w:t>by using methods consistent with those used in the National Inventory Report; and</w:t>
      </w:r>
    </w:p>
    <w:p w:rsidR="003C3821" w:rsidRPr="00E424CB" w:rsidRDefault="003C3821" w:rsidP="003C3821">
      <w:pPr>
        <w:pStyle w:val="tSubsub"/>
      </w:pPr>
      <w:r>
        <w:tab/>
      </w:r>
      <w:r w:rsidR="00746173">
        <w:t>(B)</w:t>
      </w:r>
      <w:r>
        <w:tab/>
        <w:t>for green manure when it is relevant to working out the carbon dioxide equivalent net abatement amount</w:t>
      </w:r>
      <w:r w:rsidRPr="009E06C0">
        <w:t>—</w:t>
      </w:r>
      <w:r>
        <w:t>by multiplying the emissions intensity of green manure residue, in t CO</w:t>
      </w:r>
      <w:r>
        <w:rPr>
          <w:vertAlign w:val="subscript"/>
        </w:rPr>
        <w:t>2</w:t>
      </w:r>
      <w:r>
        <w:t>-e per hectare, calculated using methods consistent with those used in the National Inventory Report and assuming a yield of 2 tonnes of dry matter per hectare, by the number of hectares of green manure</w:t>
      </w:r>
      <w:r w:rsidRPr="001D1864">
        <w:t xml:space="preserve"> </w:t>
      </w:r>
      <w:r>
        <w:t>in the year;</w:t>
      </w:r>
      <w:r w:rsidRPr="00E424CB">
        <w:t xml:space="preserve"> </w:t>
      </w:r>
      <w:r w:rsidRPr="006903E1">
        <w:t>and</w:t>
      </w:r>
    </w:p>
    <w:p w:rsidR="003C3821" w:rsidRDefault="003C3821" w:rsidP="003C3821">
      <w:pPr>
        <w:pStyle w:val="tSubpara"/>
      </w:pPr>
      <w:r>
        <w:tab/>
      </w:r>
      <w:r w:rsidR="00746173">
        <w:t>(ii)</w:t>
      </w:r>
      <w:r>
        <w:tab/>
      </w:r>
      <w:proofErr w:type="gramStart"/>
      <w:r>
        <w:t>summing</w:t>
      </w:r>
      <w:proofErr w:type="gramEnd"/>
      <w:r>
        <w:t xml:space="preserve"> the amounts calculated in accordance with subparagraph (</w:t>
      </w:r>
      <w:proofErr w:type="spellStart"/>
      <w:r>
        <w:t>i</w:t>
      </w:r>
      <w:proofErr w:type="spellEnd"/>
      <w:r>
        <w:t>); and</w:t>
      </w:r>
    </w:p>
    <w:p w:rsidR="003C3821" w:rsidRDefault="003C3821" w:rsidP="003C3821">
      <w:pPr>
        <w:pStyle w:val="tSubpara"/>
      </w:pPr>
      <w:r>
        <w:tab/>
      </w:r>
      <w:r w:rsidR="00746173">
        <w:t>(iii)</w:t>
      </w:r>
      <w:r>
        <w:tab/>
      </w:r>
      <w:proofErr w:type="gramStart"/>
      <w:r>
        <w:t>dividing</w:t>
      </w:r>
      <w:proofErr w:type="gramEnd"/>
      <w:r>
        <w:t xml:space="preserve"> the amount calculated in accordance with subparagraph (ii) by the lint yield of that year, in tonnes; and </w:t>
      </w:r>
    </w:p>
    <w:p w:rsidR="003C3821" w:rsidRDefault="003C3821" w:rsidP="003C3821">
      <w:pPr>
        <w:pStyle w:val="tPara"/>
      </w:pPr>
      <w:r>
        <w:tab/>
      </w:r>
      <w:r w:rsidR="00746173">
        <w:t>(b)</w:t>
      </w:r>
      <w:r>
        <w:tab/>
      </w:r>
      <w:proofErr w:type="gramStart"/>
      <w:r>
        <w:t>averaging</w:t>
      </w:r>
      <w:proofErr w:type="gramEnd"/>
      <w:r>
        <w:t xml:space="preserve"> the values obtained in accordance with subparagraph (2)(a)(iii).</w:t>
      </w:r>
    </w:p>
    <w:p w:rsidR="003C3821" w:rsidRDefault="00746173" w:rsidP="003C3821">
      <w:pPr>
        <w:pStyle w:val="h5Section"/>
      </w:pPr>
      <w:bookmarkStart w:id="145" w:name="_Toc405896479"/>
      <w:bookmarkStart w:id="146" w:name="_Toc413343212"/>
      <w:bookmarkStart w:id="147" w:name="_Toc413343305"/>
      <w:bookmarkStart w:id="148" w:name="_Toc413343351"/>
      <w:bookmarkStart w:id="149" w:name="_Toc416182724"/>
      <w:proofErr w:type="gramStart"/>
      <w:r>
        <w:t>18</w:t>
      </w:r>
      <w:r w:rsidR="003C3821">
        <w:t xml:space="preserve">  The</w:t>
      </w:r>
      <w:proofErr w:type="gramEnd"/>
      <w:r w:rsidR="003C3821">
        <w:t xml:space="preserve"> variance discount</w:t>
      </w:r>
      <w:bookmarkEnd w:id="145"/>
      <w:bookmarkEnd w:id="146"/>
      <w:bookmarkEnd w:id="147"/>
      <w:bookmarkEnd w:id="148"/>
      <w:bookmarkEnd w:id="149"/>
    </w:p>
    <w:p w:rsidR="003C3821" w:rsidRDefault="003C3821" w:rsidP="003C3821">
      <w:pPr>
        <w:pStyle w:val="tMain"/>
      </w:pPr>
      <w:r>
        <w:tab/>
      </w:r>
      <w:r>
        <w:tab/>
        <w:t xml:space="preserve">The </w:t>
      </w:r>
      <w:r w:rsidRPr="004B525B">
        <w:rPr>
          <w:b/>
          <w:i/>
        </w:rPr>
        <w:t>variance discount</w:t>
      </w:r>
      <w:r>
        <w:t xml:space="preserve"> is 6.5% of the </w:t>
      </w:r>
      <w:r w:rsidRPr="00CA7F0D">
        <w:t>product of the amounts referred to in</w:t>
      </w:r>
      <w:r w:rsidRPr="00E424CB">
        <w:t xml:space="preserve"> </w:t>
      </w:r>
      <w:r>
        <w:t>paragraph 17(1</w:t>
      </w:r>
      <w:proofErr w:type="gramStart"/>
      <w:r>
        <w:t>)(</w:t>
      </w:r>
      <w:proofErr w:type="gramEnd"/>
      <w:r>
        <w:t xml:space="preserve">a) </w:t>
      </w:r>
      <w:r w:rsidRPr="00CA7F0D">
        <w:t>and paragraph 17(1)(b)</w:t>
      </w:r>
      <w:r>
        <w:t xml:space="preserve">. </w:t>
      </w:r>
    </w:p>
    <w:p w:rsidR="003C3821" w:rsidRDefault="003C3821" w:rsidP="003C3821">
      <w:pPr>
        <w:pStyle w:val="nMain"/>
      </w:pPr>
      <w:r>
        <w:t>Note:</w:t>
      </w:r>
      <w:r>
        <w:tab/>
        <w:t>A variance discount of 6.5% is applied to the baseline to ensure that the carbon dioxide equivalent net abatement amount excludes emissions reductions that may have occurred due to natural variation (see also subsection 15(3)). Accordingly, for a year in the reporting period, baseline emissions are 0.935 multiplied by the product of the baseline emissions intensity and the lint yield in that year.</w:t>
      </w:r>
    </w:p>
    <w:p w:rsidR="003C3821" w:rsidRDefault="00746173" w:rsidP="003C3821">
      <w:pPr>
        <w:pStyle w:val="h3Div"/>
      </w:pPr>
      <w:bookmarkStart w:id="150" w:name="_Toc405896480"/>
      <w:bookmarkStart w:id="151" w:name="_Toc413343213"/>
      <w:bookmarkStart w:id="152" w:name="_Toc413343306"/>
      <w:bookmarkStart w:id="153" w:name="_Toc413343352"/>
      <w:bookmarkStart w:id="154" w:name="_Toc416182725"/>
      <w:r>
        <w:t>Division 3</w:t>
      </w:r>
      <w:r w:rsidR="003C3821">
        <w:t>—</w:t>
      </w:r>
      <w:proofErr w:type="gramStart"/>
      <w:r w:rsidR="003C3821">
        <w:t>The</w:t>
      </w:r>
      <w:proofErr w:type="gramEnd"/>
      <w:r w:rsidR="003C3821">
        <w:t xml:space="preserve"> project emissions</w:t>
      </w:r>
      <w:bookmarkEnd w:id="150"/>
      <w:bookmarkEnd w:id="151"/>
      <w:bookmarkEnd w:id="152"/>
      <w:bookmarkEnd w:id="153"/>
      <w:bookmarkEnd w:id="154"/>
    </w:p>
    <w:p w:rsidR="003C3821" w:rsidRPr="00DA6DFE" w:rsidRDefault="003C3821" w:rsidP="003C3821">
      <w:pPr>
        <w:pStyle w:val="ntoHeading"/>
      </w:pPr>
      <w:r>
        <w:t>Note:</w:t>
      </w:r>
      <w:r>
        <w:tab/>
        <w:t>Calculations described in this Division are performed using the Irrigated Cotton Calculator.</w:t>
      </w:r>
    </w:p>
    <w:p w:rsidR="003C3821" w:rsidRPr="0080052E" w:rsidRDefault="00746173" w:rsidP="003C3821">
      <w:pPr>
        <w:pStyle w:val="h5Section"/>
      </w:pPr>
      <w:bookmarkStart w:id="155" w:name="_Toc405896481"/>
      <w:bookmarkStart w:id="156" w:name="_Toc413343214"/>
      <w:bookmarkStart w:id="157" w:name="_Toc413343307"/>
      <w:bookmarkStart w:id="158" w:name="_Toc413343353"/>
      <w:bookmarkStart w:id="159" w:name="_Toc416182726"/>
      <w:proofErr w:type="gramStart"/>
      <w:r>
        <w:lastRenderedPageBreak/>
        <w:t>19</w:t>
      </w:r>
      <w:r w:rsidR="003C3821">
        <w:t xml:space="preserve">  The</w:t>
      </w:r>
      <w:proofErr w:type="gramEnd"/>
      <w:r w:rsidR="003C3821">
        <w:t xml:space="preserve"> project emissions</w:t>
      </w:r>
      <w:bookmarkEnd w:id="155"/>
      <w:bookmarkEnd w:id="156"/>
      <w:bookmarkEnd w:id="157"/>
      <w:bookmarkEnd w:id="158"/>
      <w:bookmarkEnd w:id="159"/>
    </w:p>
    <w:p w:rsidR="003C3821" w:rsidRDefault="003C3821" w:rsidP="003C3821">
      <w:pPr>
        <w:pStyle w:val="tMain"/>
      </w:pPr>
      <w:r>
        <w:tab/>
      </w:r>
      <w:r w:rsidR="00746173">
        <w:t>(1)</w:t>
      </w:r>
      <w:r>
        <w:tab/>
        <w:t xml:space="preserve">For a project area, for each year in the reporting period, the </w:t>
      </w:r>
      <w:r>
        <w:rPr>
          <w:b/>
          <w:i/>
        </w:rPr>
        <w:t>project emissions</w:t>
      </w:r>
      <w:r>
        <w:t xml:space="preserve"> is the sum of: </w:t>
      </w:r>
    </w:p>
    <w:p w:rsidR="003C3821" w:rsidRDefault="003C3821" w:rsidP="003C3821">
      <w:pPr>
        <w:pStyle w:val="tPara"/>
      </w:pPr>
      <w:r>
        <w:tab/>
      </w:r>
      <w:r w:rsidR="00746173">
        <w:t>(a)</w:t>
      </w:r>
      <w:r>
        <w:tab/>
      </w:r>
      <w:proofErr w:type="gramStart"/>
      <w:r>
        <w:t>the</w:t>
      </w:r>
      <w:proofErr w:type="gramEnd"/>
      <w:r>
        <w:t xml:space="preserve"> emissions from synthetic fertiliser, in t CO</w:t>
      </w:r>
      <w:r w:rsidRPr="00F960FB">
        <w:rPr>
          <w:vertAlign w:val="subscript"/>
        </w:rPr>
        <w:t>2</w:t>
      </w:r>
      <w:r>
        <w:t>-e, as determined using methods consistent with those used in the National Inventory Report; and</w:t>
      </w:r>
    </w:p>
    <w:p w:rsidR="003C3821" w:rsidRDefault="003C3821" w:rsidP="003C3821">
      <w:pPr>
        <w:pStyle w:val="tPara"/>
      </w:pPr>
      <w:r>
        <w:tab/>
      </w:r>
      <w:r w:rsidR="00746173">
        <w:t>(b)</w:t>
      </w:r>
      <w:r>
        <w:tab/>
      </w:r>
      <w:proofErr w:type="gramStart"/>
      <w:r>
        <w:t>the</w:t>
      </w:r>
      <w:proofErr w:type="gramEnd"/>
      <w:r>
        <w:t xml:space="preserve"> emissions from green manure in t CO</w:t>
      </w:r>
      <w:r w:rsidRPr="00F960FB">
        <w:rPr>
          <w:vertAlign w:val="subscript"/>
        </w:rPr>
        <w:t>2</w:t>
      </w:r>
      <w:r>
        <w:t>-e, in each year in which it is relevant to working out the carbon dioxide equivalent net abatement amount.</w:t>
      </w:r>
    </w:p>
    <w:p w:rsidR="003C3821" w:rsidRDefault="003C3821" w:rsidP="003C3821">
      <w:pPr>
        <w:pStyle w:val="tMain"/>
      </w:pPr>
      <w:r w:rsidRPr="00B35786">
        <w:tab/>
      </w:r>
      <w:r w:rsidR="00746173">
        <w:t>(2)</w:t>
      </w:r>
      <w:r w:rsidRPr="00B35786">
        <w:tab/>
        <w:t>The parameter specified in paragraph (1</w:t>
      </w:r>
      <w:proofErr w:type="gramStart"/>
      <w:r w:rsidRPr="00B35786">
        <w:t>)(</w:t>
      </w:r>
      <w:proofErr w:type="gramEnd"/>
      <w:r w:rsidRPr="00B35786">
        <w:t>b) must be calculated by multiplying the emissions intensity of green manure residue, in t CO</w:t>
      </w:r>
      <w:r w:rsidRPr="00B35786">
        <w:rPr>
          <w:vertAlign w:val="subscript"/>
        </w:rPr>
        <w:t>2</w:t>
      </w:r>
      <w:r w:rsidRPr="00B35786">
        <w:t>-e per hectare, by the number of hectares of green manure in the year.</w:t>
      </w:r>
    </w:p>
    <w:p w:rsidR="003C3821" w:rsidRDefault="003C3821" w:rsidP="003C3821">
      <w:pPr>
        <w:pStyle w:val="tMain"/>
      </w:pPr>
      <w:r>
        <w:tab/>
      </w:r>
      <w:r w:rsidR="00746173">
        <w:t>(3)</w:t>
      </w:r>
      <w:r>
        <w:tab/>
        <w:t>T</w:t>
      </w:r>
      <w:r w:rsidRPr="00B35786">
        <w:t xml:space="preserve">he emissions intensity of green manure residue specified in </w:t>
      </w:r>
      <w:r>
        <w:t xml:space="preserve">subsection (2) must be </w:t>
      </w:r>
      <w:r w:rsidRPr="00B35786">
        <w:t>calculated using methods consistent with those used in the National Inventory R</w:t>
      </w:r>
      <w:r>
        <w:t>eport and assuming a yield of 2 </w:t>
      </w:r>
      <w:r w:rsidRPr="00B35786">
        <w:t>t</w:t>
      </w:r>
      <w:r>
        <w:t>onnes of dry matter per hectare.</w:t>
      </w:r>
    </w:p>
    <w:p w:rsidR="003C3821" w:rsidRDefault="00746173" w:rsidP="003C3821">
      <w:pPr>
        <w:pStyle w:val="h3Div"/>
      </w:pPr>
      <w:bookmarkStart w:id="160" w:name="_Toc405896482"/>
      <w:bookmarkStart w:id="161" w:name="_Toc413343215"/>
      <w:bookmarkStart w:id="162" w:name="_Toc413343308"/>
      <w:bookmarkStart w:id="163" w:name="_Toc413343354"/>
      <w:bookmarkStart w:id="164" w:name="_Toc416182727"/>
      <w:r>
        <w:t>Division 4</w:t>
      </w:r>
      <w:r w:rsidR="003C3821">
        <w:t>—Use of Irrigated Cotton Calculator</w:t>
      </w:r>
      <w:bookmarkEnd w:id="160"/>
      <w:bookmarkEnd w:id="161"/>
      <w:bookmarkEnd w:id="162"/>
      <w:bookmarkEnd w:id="163"/>
      <w:bookmarkEnd w:id="164"/>
    </w:p>
    <w:p w:rsidR="003C3821" w:rsidRDefault="00746173" w:rsidP="003C3821">
      <w:pPr>
        <w:pStyle w:val="h5Section"/>
      </w:pPr>
      <w:bookmarkStart w:id="165" w:name="_Toc405896483"/>
      <w:bookmarkStart w:id="166" w:name="_Toc413343216"/>
      <w:bookmarkStart w:id="167" w:name="_Toc413343309"/>
      <w:bookmarkStart w:id="168" w:name="_Toc413343355"/>
      <w:bookmarkStart w:id="169" w:name="_Toc416182728"/>
      <w:proofErr w:type="gramStart"/>
      <w:r>
        <w:t>20</w:t>
      </w:r>
      <w:r w:rsidR="003C3821">
        <w:t xml:space="preserve">  Requirement</w:t>
      </w:r>
      <w:proofErr w:type="gramEnd"/>
      <w:r w:rsidR="003C3821">
        <w:t xml:space="preserve"> to use Irrigated Cotton Calculator</w:t>
      </w:r>
      <w:bookmarkEnd w:id="165"/>
      <w:bookmarkEnd w:id="166"/>
      <w:bookmarkEnd w:id="167"/>
      <w:bookmarkEnd w:id="168"/>
      <w:bookmarkEnd w:id="169"/>
    </w:p>
    <w:p w:rsidR="003C3821" w:rsidRDefault="003C3821" w:rsidP="003C3821">
      <w:pPr>
        <w:pStyle w:val="tMain"/>
      </w:pPr>
      <w:r>
        <w:tab/>
      </w:r>
      <w:r w:rsidR="00746173">
        <w:t>(1)</w:t>
      </w:r>
      <w:r>
        <w:tab/>
        <w:t>When performing calculations for the purposes of this Part:</w:t>
      </w:r>
    </w:p>
    <w:p w:rsidR="003C3821" w:rsidRDefault="003C3821" w:rsidP="003C3821">
      <w:pPr>
        <w:pStyle w:val="tPara"/>
      </w:pPr>
      <w:r>
        <w:tab/>
      </w:r>
      <w:r w:rsidR="00746173">
        <w:t>(a)</w:t>
      </w:r>
      <w:r>
        <w:tab/>
      </w:r>
      <w:proofErr w:type="gramStart"/>
      <w:r>
        <w:t>the</w:t>
      </w:r>
      <w:proofErr w:type="gramEnd"/>
      <w:r>
        <w:t xml:space="preserve"> calculations must be performed using the Irrigated Cotton</w:t>
      </w:r>
      <w:r w:rsidRPr="000527F5">
        <w:t xml:space="preserve"> Calculator </w:t>
      </w:r>
      <w:r>
        <w:t>for each project area and for each year in the reporting period; and</w:t>
      </w:r>
    </w:p>
    <w:p w:rsidR="003C3821" w:rsidRDefault="003C3821" w:rsidP="003C3821">
      <w:pPr>
        <w:pStyle w:val="tPara"/>
      </w:pPr>
      <w:r>
        <w:tab/>
      </w:r>
      <w:r w:rsidR="00746173">
        <w:t>(b)</w:t>
      </w:r>
      <w:r>
        <w:tab/>
      </w:r>
      <w:proofErr w:type="gramStart"/>
      <w:r>
        <w:t>the</w:t>
      </w:r>
      <w:proofErr w:type="gramEnd"/>
      <w:r>
        <w:t xml:space="preserve"> calculations must be performed by </w:t>
      </w:r>
      <w:r w:rsidRPr="00D87B32">
        <w:t xml:space="preserve">entering the inputs required by the </w:t>
      </w:r>
      <w:r>
        <w:t>Irrigated Cotton</w:t>
      </w:r>
      <w:r w:rsidRPr="000527F5">
        <w:t xml:space="preserve"> Calculator </w:t>
      </w:r>
      <w:r>
        <w:t>and specified in subsection (2); and</w:t>
      </w:r>
    </w:p>
    <w:p w:rsidR="003C3821" w:rsidRDefault="003C3821" w:rsidP="003C3821">
      <w:pPr>
        <w:pStyle w:val="tPara"/>
      </w:pPr>
      <w:r>
        <w:tab/>
      </w:r>
      <w:r w:rsidR="00746173">
        <w:t>(c)</w:t>
      </w:r>
      <w:r>
        <w:tab/>
        <w:t>i</w:t>
      </w:r>
      <w:r w:rsidRPr="00D87B32">
        <w:t>f a calculation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3C3821" w:rsidRDefault="003C3821" w:rsidP="003C3821">
      <w:pPr>
        <w:pStyle w:val="noteToPara"/>
      </w:pPr>
      <w:bookmarkStart w:id="170" w:name="_GoBack"/>
      <w:bookmarkEnd w:id="170"/>
      <w:r>
        <w:t>Note:</w:t>
      </w:r>
      <w:r>
        <w:tab/>
        <w:t>Paragraph </w:t>
      </w:r>
      <w:r w:rsidRPr="00306318">
        <w:t>(</w:t>
      </w:r>
      <w:r>
        <w:t>c</w:t>
      </w:r>
      <w:r w:rsidRPr="00306318">
        <w:t xml:space="preserve">) includes the global warming potentials for methane and nitrous oxide prescribed by the </w:t>
      </w:r>
      <w:r w:rsidRPr="00306318">
        <w:rPr>
          <w:i/>
        </w:rPr>
        <w:t xml:space="preserve">National Greenhouse and Energy Reporting </w:t>
      </w:r>
      <w:r>
        <w:rPr>
          <w:i/>
        </w:rPr>
        <w:t>Regulations 2008</w:t>
      </w:r>
      <w:r w:rsidRPr="00306318">
        <w:t>.</w:t>
      </w:r>
    </w:p>
    <w:p w:rsidR="003C3821" w:rsidRDefault="003C3821" w:rsidP="003C3821">
      <w:pPr>
        <w:pStyle w:val="tMain"/>
      </w:pPr>
      <w:r>
        <w:tab/>
      </w:r>
      <w:r w:rsidR="00746173">
        <w:t>(2)</w:t>
      </w:r>
      <w:r>
        <w:tab/>
        <w:t xml:space="preserve">For </w:t>
      </w:r>
      <w:r w:rsidRPr="002E6E46">
        <w:t>calculating the baseline and project emissions in</w:t>
      </w:r>
      <w:r>
        <w:t xml:space="preserve"> the emissions intensity reference period and the crediting period, the information specified in the following table must be entered into </w:t>
      </w:r>
      <w:r w:rsidRPr="00DB2CF8">
        <w:t xml:space="preserve">the </w:t>
      </w:r>
      <w:r>
        <w:t>Irrigated Cotton</w:t>
      </w:r>
      <w:r w:rsidRPr="000527F5">
        <w:t xml:space="preserve"> Calculator</w:t>
      </w:r>
      <w:r>
        <w:t xml:space="preserve"> in the specified units (if any):</w:t>
      </w:r>
    </w:p>
    <w:tbl>
      <w:tblPr>
        <w:tblW w:w="8647" w:type="dxa"/>
        <w:tblInd w:w="675" w:type="dxa"/>
        <w:tblBorders>
          <w:top w:val="single" w:sz="4" w:space="0" w:color="auto"/>
          <w:bottom w:val="single" w:sz="4" w:space="0" w:color="auto"/>
          <w:insideH w:val="single" w:sz="4" w:space="0" w:color="auto"/>
        </w:tblBorders>
        <w:tblLook w:val="04A0"/>
      </w:tblPr>
      <w:tblGrid>
        <w:gridCol w:w="709"/>
        <w:gridCol w:w="5528"/>
        <w:gridCol w:w="2410"/>
      </w:tblGrid>
      <w:tr w:rsidR="003C3821" w:rsidRPr="000A02DA" w:rsidTr="007A6CA0">
        <w:trPr>
          <w:tblHeader/>
        </w:trPr>
        <w:tc>
          <w:tcPr>
            <w:tcW w:w="8647" w:type="dxa"/>
            <w:gridSpan w:val="3"/>
            <w:tcBorders>
              <w:top w:val="single" w:sz="18" w:space="0" w:color="auto"/>
              <w:bottom w:val="single" w:sz="4" w:space="0" w:color="auto"/>
            </w:tcBorders>
          </w:tcPr>
          <w:p w:rsidR="003C3821" w:rsidRPr="000A02DA" w:rsidRDefault="003C3821" w:rsidP="007A6CA0">
            <w:pPr>
              <w:pStyle w:val="TableHeading"/>
            </w:pPr>
            <w:r>
              <w:t>Inputs required by the Irrigated Cotton Calculator</w:t>
            </w:r>
            <w:r w:rsidRPr="000A02DA">
              <w:tab/>
            </w:r>
          </w:p>
        </w:tc>
      </w:tr>
      <w:tr w:rsidR="003C3821" w:rsidRPr="000A02DA" w:rsidTr="007A6CA0">
        <w:trPr>
          <w:tblHeader/>
        </w:trPr>
        <w:tc>
          <w:tcPr>
            <w:tcW w:w="709" w:type="dxa"/>
            <w:tcBorders>
              <w:bottom w:val="single" w:sz="18" w:space="0" w:color="auto"/>
            </w:tcBorders>
          </w:tcPr>
          <w:p w:rsidR="003C3821" w:rsidRPr="000A02DA" w:rsidRDefault="003C3821" w:rsidP="007A6CA0">
            <w:pPr>
              <w:pStyle w:val="TableHeading"/>
            </w:pPr>
            <w:r w:rsidRPr="000A02DA">
              <w:t>Item</w:t>
            </w:r>
          </w:p>
        </w:tc>
        <w:tc>
          <w:tcPr>
            <w:tcW w:w="5528" w:type="dxa"/>
            <w:tcBorders>
              <w:bottom w:val="single" w:sz="18" w:space="0" w:color="auto"/>
            </w:tcBorders>
          </w:tcPr>
          <w:p w:rsidR="003C3821" w:rsidRPr="000A02DA" w:rsidRDefault="003C3821" w:rsidP="007A6CA0">
            <w:pPr>
              <w:pStyle w:val="TableHeading"/>
            </w:pPr>
            <w:r>
              <w:t>Input</w:t>
            </w:r>
          </w:p>
        </w:tc>
        <w:tc>
          <w:tcPr>
            <w:tcW w:w="2410" w:type="dxa"/>
            <w:tcBorders>
              <w:bottom w:val="single" w:sz="18" w:space="0" w:color="auto"/>
            </w:tcBorders>
          </w:tcPr>
          <w:p w:rsidR="003C3821" w:rsidRPr="000A02DA" w:rsidRDefault="003C3821" w:rsidP="007A6CA0">
            <w:pPr>
              <w:pStyle w:val="TableHeading"/>
            </w:pPr>
            <w:r>
              <w:t>Unit</w:t>
            </w:r>
          </w:p>
        </w:tc>
      </w:tr>
      <w:tr w:rsidR="003C3821" w:rsidTr="007A6CA0">
        <w:trPr>
          <w:trHeight w:val="437"/>
        </w:trPr>
        <w:tc>
          <w:tcPr>
            <w:tcW w:w="709" w:type="dxa"/>
            <w:tcBorders>
              <w:top w:val="single" w:sz="18" w:space="0" w:color="auto"/>
              <w:bottom w:val="single" w:sz="4" w:space="0" w:color="auto"/>
            </w:tcBorders>
            <w:shd w:val="clear" w:color="auto" w:fill="auto"/>
          </w:tcPr>
          <w:p w:rsidR="003C3821" w:rsidRPr="001837DA" w:rsidRDefault="003C3821" w:rsidP="007A6CA0">
            <w:pPr>
              <w:pStyle w:val="Tabletext"/>
            </w:pPr>
            <w:r w:rsidRPr="001837DA">
              <w:t>1</w:t>
            </w:r>
          </w:p>
        </w:tc>
        <w:tc>
          <w:tcPr>
            <w:tcW w:w="5528" w:type="dxa"/>
            <w:tcBorders>
              <w:top w:val="single" w:sz="18" w:space="0" w:color="auto"/>
              <w:bottom w:val="single" w:sz="4" w:space="0" w:color="auto"/>
            </w:tcBorders>
            <w:shd w:val="clear" w:color="auto" w:fill="auto"/>
          </w:tcPr>
          <w:p w:rsidR="003C3821" w:rsidRDefault="003C3821" w:rsidP="007A6CA0">
            <w:pPr>
              <w:pStyle w:val="Tabletext"/>
            </w:pPr>
            <w:r>
              <w:t>Region of the project area</w:t>
            </w:r>
          </w:p>
        </w:tc>
        <w:tc>
          <w:tcPr>
            <w:tcW w:w="2410" w:type="dxa"/>
            <w:tcBorders>
              <w:top w:val="single" w:sz="18" w:space="0" w:color="auto"/>
              <w:bottom w:val="single" w:sz="4" w:space="0" w:color="auto"/>
            </w:tcBorders>
            <w:shd w:val="clear" w:color="auto" w:fill="auto"/>
          </w:tcPr>
          <w:p w:rsidR="003C3821" w:rsidRDefault="003C3821" w:rsidP="007A6CA0">
            <w:pPr>
              <w:pStyle w:val="Tabletext"/>
            </w:pPr>
          </w:p>
        </w:tc>
      </w:tr>
      <w:tr w:rsidR="003C3821" w:rsidTr="007A6CA0">
        <w:trPr>
          <w:trHeight w:val="437"/>
        </w:trPr>
        <w:tc>
          <w:tcPr>
            <w:tcW w:w="709" w:type="dxa"/>
            <w:tcBorders>
              <w:top w:val="single" w:sz="4" w:space="0" w:color="auto"/>
              <w:bottom w:val="single" w:sz="4" w:space="0" w:color="auto"/>
            </w:tcBorders>
            <w:shd w:val="clear" w:color="auto" w:fill="auto"/>
          </w:tcPr>
          <w:p w:rsidR="003C3821" w:rsidRPr="00A669D2" w:rsidRDefault="003C3821" w:rsidP="007A6CA0">
            <w:pPr>
              <w:pStyle w:val="Tabletext"/>
              <w:rPr>
                <w:highlight w:val="yellow"/>
              </w:rPr>
            </w:pPr>
            <w:r w:rsidRPr="00BF7D5A">
              <w:t>2</w:t>
            </w:r>
          </w:p>
        </w:tc>
        <w:tc>
          <w:tcPr>
            <w:tcW w:w="5528" w:type="dxa"/>
            <w:tcBorders>
              <w:top w:val="single" w:sz="4" w:space="0" w:color="auto"/>
              <w:bottom w:val="single" w:sz="4" w:space="0" w:color="auto"/>
            </w:tcBorders>
            <w:shd w:val="clear" w:color="auto" w:fill="auto"/>
          </w:tcPr>
          <w:p w:rsidR="003C3821" w:rsidRPr="00BF7D5A" w:rsidRDefault="003C3821" w:rsidP="007A6CA0">
            <w:pPr>
              <w:pStyle w:val="Tabletext"/>
            </w:pPr>
            <w:r w:rsidRPr="00BF7D5A">
              <w:t>Mass or volume of synthetic fertiliser applied for each type of synthetic fertiliser applied</w:t>
            </w:r>
          </w:p>
        </w:tc>
        <w:tc>
          <w:tcPr>
            <w:tcW w:w="2410" w:type="dxa"/>
            <w:tcBorders>
              <w:top w:val="single" w:sz="4" w:space="0" w:color="auto"/>
              <w:bottom w:val="single" w:sz="4" w:space="0" w:color="auto"/>
            </w:tcBorders>
            <w:shd w:val="clear" w:color="auto" w:fill="auto"/>
          </w:tcPr>
          <w:p w:rsidR="003C3821" w:rsidRDefault="003C3821" w:rsidP="007A6CA0">
            <w:pPr>
              <w:pStyle w:val="Tabletext"/>
            </w:pPr>
            <w:r>
              <w:t>If mass</w:t>
            </w:r>
            <w:r w:rsidRPr="009E06C0">
              <w:t>—</w:t>
            </w:r>
            <w:r>
              <w:t>kilograms or t</w:t>
            </w:r>
            <w:r w:rsidRPr="00BF7D5A">
              <w:t>onnes</w:t>
            </w:r>
          </w:p>
          <w:p w:rsidR="003C3821" w:rsidRPr="00BF7D5A" w:rsidRDefault="003C3821" w:rsidP="007A6CA0">
            <w:pPr>
              <w:pStyle w:val="Tabletext"/>
            </w:pPr>
            <w:r>
              <w:t>If volume</w:t>
            </w:r>
            <w:r w:rsidRPr="009E06C0">
              <w:t>—</w:t>
            </w:r>
            <w:r>
              <w:t>litres</w:t>
            </w:r>
          </w:p>
        </w:tc>
      </w:tr>
      <w:tr w:rsidR="003C3821" w:rsidTr="007A6CA0">
        <w:trPr>
          <w:trHeight w:val="437"/>
        </w:trPr>
        <w:tc>
          <w:tcPr>
            <w:tcW w:w="709" w:type="dxa"/>
            <w:tcBorders>
              <w:top w:val="single" w:sz="4" w:space="0" w:color="auto"/>
              <w:bottom w:val="single" w:sz="4" w:space="0" w:color="auto"/>
            </w:tcBorders>
            <w:shd w:val="clear" w:color="auto" w:fill="auto"/>
          </w:tcPr>
          <w:p w:rsidR="003C3821" w:rsidRPr="001837DA" w:rsidRDefault="003C3821" w:rsidP="007A6CA0">
            <w:pPr>
              <w:pStyle w:val="Tabletext"/>
            </w:pPr>
            <w:r>
              <w:t>3</w:t>
            </w:r>
          </w:p>
        </w:tc>
        <w:tc>
          <w:tcPr>
            <w:tcW w:w="5528" w:type="dxa"/>
            <w:tcBorders>
              <w:top w:val="single" w:sz="4" w:space="0" w:color="auto"/>
              <w:bottom w:val="single" w:sz="4" w:space="0" w:color="auto"/>
            </w:tcBorders>
            <w:shd w:val="clear" w:color="auto" w:fill="auto"/>
          </w:tcPr>
          <w:p w:rsidR="003C3821" w:rsidRDefault="003C3821" w:rsidP="007A6CA0">
            <w:pPr>
              <w:pStyle w:val="Tabletext"/>
            </w:pPr>
            <w:r>
              <w:t>Nitrogen concentration for each type of synthetic fertiliser applied</w:t>
            </w:r>
          </w:p>
        </w:tc>
        <w:tc>
          <w:tcPr>
            <w:tcW w:w="2410" w:type="dxa"/>
            <w:tcBorders>
              <w:top w:val="single" w:sz="4" w:space="0" w:color="auto"/>
              <w:bottom w:val="single" w:sz="4" w:space="0" w:color="auto"/>
            </w:tcBorders>
            <w:shd w:val="clear" w:color="auto" w:fill="auto"/>
          </w:tcPr>
          <w:p w:rsidR="003C3821" w:rsidRDefault="003C3821" w:rsidP="007A6CA0">
            <w:pPr>
              <w:pStyle w:val="Tabletext"/>
            </w:pPr>
            <w:r>
              <w:t>%</w:t>
            </w:r>
          </w:p>
        </w:tc>
      </w:tr>
      <w:tr w:rsidR="003C3821" w:rsidTr="007A6CA0">
        <w:trPr>
          <w:trHeight w:val="437"/>
        </w:trPr>
        <w:tc>
          <w:tcPr>
            <w:tcW w:w="709" w:type="dxa"/>
            <w:tcBorders>
              <w:top w:val="single" w:sz="4" w:space="0" w:color="auto"/>
              <w:bottom w:val="single" w:sz="4" w:space="0" w:color="auto"/>
            </w:tcBorders>
            <w:shd w:val="clear" w:color="auto" w:fill="auto"/>
          </w:tcPr>
          <w:p w:rsidR="003C3821" w:rsidRDefault="003C3821" w:rsidP="007A6CA0">
            <w:pPr>
              <w:pStyle w:val="Tabletext"/>
            </w:pPr>
            <w:r>
              <w:t>4</w:t>
            </w:r>
          </w:p>
        </w:tc>
        <w:tc>
          <w:tcPr>
            <w:tcW w:w="5528" w:type="dxa"/>
            <w:tcBorders>
              <w:top w:val="single" w:sz="4" w:space="0" w:color="auto"/>
              <w:bottom w:val="single" w:sz="4" w:space="0" w:color="auto"/>
            </w:tcBorders>
            <w:shd w:val="clear" w:color="auto" w:fill="auto"/>
          </w:tcPr>
          <w:p w:rsidR="003C3821" w:rsidRDefault="003C3821" w:rsidP="007A6CA0">
            <w:pPr>
              <w:pStyle w:val="Tabletext"/>
            </w:pPr>
            <w:r>
              <w:t>Cotton area</w:t>
            </w:r>
          </w:p>
        </w:tc>
        <w:tc>
          <w:tcPr>
            <w:tcW w:w="2410" w:type="dxa"/>
            <w:tcBorders>
              <w:top w:val="single" w:sz="4" w:space="0" w:color="auto"/>
              <w:bottom w:val="single" w:sz="4" w:space="0" w:color="auto"/>
            </w:tcBorders>
            <w:shd w:val="clear" w:color="auto" w:fill="auto"/>
          </w:tcPr>
          <w:p w:rsidR="003C3821" w:rsidRDefault="003C3821" w:rsidP="007A6CA0">
            <w:pPr>
              <w:pStyle w:val="Tabletext"/>
            </w:pPr>
            <w:r>
              <w:t>Hectares</w:t>
            </w:r>
          </w:p>
        </w:tc>
      </w:tr>
      <w:tr w:rsidR="003C3821" w:rsidTr="007A6CA0">
        <w:trPr>
          <w:trHeight w:val="437"/>
        </w:trPr>
        <w:tc>
          <w:tcPr>
            <w:tcW w:w="709" w:type="dxa"/>
            <w:tcBorders>
              <w:top w:val="single" w:sz="4" w:space="0" w:color="auto"/>
              <w:bottom w:val="single" w:sz="4" w:space="0" w:color="auto"/>
            </w:tcBorders>
            <w:shd w:val="clear" w:color="auto" w:fill="auto"/>
          </w:tcPr>
          <w:p w:rsidR="003C3821" w:rsidRPr="001837DA" w:rsidRDefault="003C3821" w:rsidP="007A6CA0">
            <w:pPr>
              <w:pStyle w:val="Tabletext"/>
            </w:pPr>
            <w:r>
              <w:t>5</w:t>
            </w:r>
          </w:p>
        </w:tc>
        <w:tc>
          <w:tcPr>
            <w:tcW w:w="5528" w:type="dxa"/>
            <w:tcBorders>
              <w:top w:val="single" w:sz="4" w:space="0" w:color="auto"/>
              <w:bottom w:val="single" w:sz="4" w:space="0" w:color="auto"/>
            </w:tcBorders>
            <w:shd w:val="clear" w:color="auto" w:fill="auto"/>
          </w:tcPr>
          <w:p w:rsidR="003C3821" w:rsidRDefault="003C3821" w:rsidP="007A6CA0">
            <w:pPr>
              <w:pStyle w:val="Tabletext"/>
            </w:pPr>
            <w:r>
              <w:t>Green manure area</w:t>
            </w:r>
          </w:p>
        </w:tc>
        <w:tc>
          <w:tcPr>
            <w:tcW w:w="2410" w:type="dxa"/>
            <w:tcBorders>
              <w:top w:val="single" w:sz="4" w:space="0" w:color="auto"/>
              <w:bottom w:val="single" w:sz="4" w:space="0" w:color="auto"/>
            </w:tcBorders>
            <w:shd w:val="clear" w:color="auto" w:fill="auto"/>
          </w:tcPr>
          <w:p w:rsidR="003C3821" w:rsidRDefault="003C3821" w:rsidP="007A6CA0">
            <w:pPr>
              <w:pStyle w:val="Tabletext"/>
            </w:pPr>
            <w:r>
              <w:t>Hectares</w:t>
            </w:r>
          </w:p>
        </w:tc>
      </w:tr>
      <w:tr w:rsidR="003C3821" w:rsidTr="007A6CA0">
        <w:trPr>
          <w:trHeight w:val="437"/>
        </w:trPr>
        <w:tc>
          <w:tcPr>
            <w:tcW w:w="709" w:type="dxa"/>
            <w:tcBorders>
              <w:top w:val="single" w:sz="4" w:space="0" w:color="auto"/>
              <w:bottom w:val="single" w:sz="18" w:space="0" w:color="auto"/>
            </w:tcBorders>
            <w:shd w:val="clear" w:color="auto" w:fill="auto"/>
          </w:tcPr>
          <w:p w:rsidR="003C3821" w:rsidRPr="001837DA" w:rsidRDefault="003C3821" w:rsidP="007A6CA0">
            <w:pPr>
              <w:pStyle w:val="Tabletext"/>
            </w:pPr>
            <w:r>
              <w:t>6</w:t>
            </w:r>
          </w:p>
        </w:tc>
        <w:tc>
          <w:tcPr>
            <w:tcW w:w="5528" w:type="dxa"/>
            <w:tcBorders>
              <w:top w:val="single" w:sz="4" w:space="0" w:color="auto"/>
              <w:bottom w:val="single" w:sz="18" w:space="0" w:color="auto"/>
            </w:tcBorders>
            <w:shd w:val="clear" w:color="auto" w:fill="auto"/>
          </w:tcPr>
          <w:p w:rsidR="003C3821" w:rsidRDefault="003C3821" w:rsidP="007A6CA0">
            <w:pPr>
              <w:pStyle w:val="Tabletext"/>
            </w:pPr>
            <w:r>
              <w:t>Lint yield</w:t>
            </w:r>
          </w:p>
        </w:tc>
        <w:tc>
          <w:tcPr>
            <w:tcW w:w="2410" w:type="dxa"/>
            <w:tcBorders>
              <w:top w:val="single" w:sz="4" w:space="0" w:color="auto"/>
              <w:bottom w:val="single" w:sz="18" w:space="0" w:color="auto"/>
            </w:tcBorders>
            <w:shd w:val="clear" w:color="auto" w:fill="auto"/>
          </w:tcPr>
          <w:p w:rsidR="003C3821" w:rsidRDefault="003C3821" w:rsidP="007A6CA0">
            <w:pPr>
              <w:pStyle w:val="Tabletext"/>
            </w:pPr>
            <w:r>
              <w:t>Tonnes</w:t>
            </w:r>
          </w:p>
        </w:tc>
      </w:tr>
    </w:tbl>
    <w:p w:rsidR="003C3821" w:rsidRDefault="003C3821" w:rsidP="00746173">
      <w:pPr>
        <w:pStyle w:val="tMain"/>
      </w:pPr>
      <w:r>
        <w:tab/>
      </w:r>
      <w:r w:rsidR="00746173">
        <w:t>(3)</w:t>
      </w:r>
      <w:r>
        <w:tab/>
        <w:t>Where relevant, the inputs mentioned in subsection (2) must be determined in accordance with the requirements of Divisions 3 and 4 of Part 5.</w:t>
      </w:r>
      <w:r>
        <w:br w:type="page"/>
      </w:r>
    </w:p>
    <w:p w:rsidR="003C3821" w:rsidRPr="004A5FC6" w:rsidRDefault="00746173" w:rsidP="003C3821">
      <w:pPr>
        <w:pStyle w:val="h2Part"/>
      </w:pPr>
      <w:bookmarkStart w:id="171" w:name="_Toc405896484"/>
      <w:bookmarkStart w:id="172" w:name="_Toc413343217"/>
      <w:bookmarkStart w:id="173" w:name="_Toc413343310"/>
      <w:bookmarkStart w:id="174" w:name="_Toc413343356"/>
      <w:bookmarkStart w:id="175" w:name="_Toc416182729"/>
      <w:r>
        <w:lastRenderedPageBreak/>
        <w:t>Part 5</w:t>
      </w:r>
      <w:r w:rsidR="003C3821">
        <w:t>—</w:t>
      </w:r>
      <w:proofErr w:type="gramStart"/>
      <w:r w:rsidR="003C3821">
        <w:t>R</w:t>
      </w:r>
      <w:r w:rsidR="003C3821" w:rsidRPr="004A5FC6">
        <w:t>eporting</w:t>
      </w:r>
      <w:proofErr w:type="gramEnd"/>
      <w:r w:rsidR="003C3821">
        <w:t xml:space="preserve">, </w:t>
      </w:r>
      <w:r w:rsidR="003C3821" w:rsidRPr="004A5FC6">
        <w:t xml:space="preserve">record-keeping and </w:t>
      </w:r>
      <w:r w:rsidR="003C3821">
        <w:t xml:space="preserve">monitoring </w:t>
      </w:r>
      <w:r w:rsidR="003C3821" w:rsidRPr="004A5FC6">
        <w:t>requirements</w:t>
      </w:r>
      <w:bookmarkEnd w:id="171"/>
      <w:bookmarkEnd w:id="172"/>
      <w:bookmarkEnd w:id="173"/>
      <w:bookmarkEnd w:id="174"/>
      <w:bookmarkEnd w:id="175"/>
    </w:p>
    <w:p w:rsidR="003C3821" w:rsidRPr="004A5FC6" w:rsidRDefault="00746173" w:rsidP="003C3821">
      <w:pPr>
        <w:pStyle w:val="h3Div"/>
      </w:pPr>
      <w:bookmarkStart w:id="176" w:name="_Toc405896485"/>
      <w:bookmarkStart w:id="177" w:name="_Toc413343218"/>
      <w:bookmarkStart w:id="178" w:name="_Toc413343311"/>
      <w:bookmarkStart w:id="179" w:name="_Toc413343357"/>
      <w:bookmarkStart w:id="180" w:name="_Toc416182730"/>
      <w:r>
        <w:t>Division 1</w:t>
      </w:r>
      <w:r w:rsidR="003C3821">
        <w:t>—Operation of this Part</w:t>
      </w:r>
      <w:bookmarkEnd w:id="176"/>
      <w:bookmarkEnd w:id="177"/>
      <w:bookmarkEnd w:id="178"/>
      <w:bookmarkEnd w:id="179"/>
      <w:bookmarkEnd w:id="180"/>
      <w:r w:rsidR="003C3821" w:rsidRPr="004A5FC6">
        <w:tab/>
      </w:r>
    </w:p>
    <w:p w:rsidR="003C3821" w:rsidRPr="004A5FC6" w:rsidRDefault="00746173" w:rsidP="003C3821">
      <w:pPr>
        <w:pStyle w:val="h5Section"/>
      </w:pPr>
      <w:bookmarkStart w:id="181" w:name="_Toc405896486"/>
      <w:bookmarkStart w:id="182" w:name="_Toc413343219"/>
      <w:bookmarkStart w:id="183" w:name="_Toc413343312"/>
      <w:bookmarkStart w:id="184" w:name="_Toc413343358"/>
      <w:bookmarkStart w:id="185" w:name="_Toc416182731"/>
      <w:proofErr w:type="gramStart"/>
      <w:r>
        <w:t>21</w:t>
      </w:r>
      <w:r w:rsidR="003C3821">
        <w:t xml:space="preserve">  </w:t>
      </w:r>
      <w:r w:rsidR="003C3821" w:rsidRPr="004A5FC6">
        <w:t>Application</w:t>
      </w:r>
      <w:bookmarkEnd w:id="181"/>
      <w:bookmarkEnd w:id="182"/>
      <w:bookmarkEnd w:id="183"/>
      <w:bookmarkEnd w:id="184"/>
      <w:bookmarkEnd w:id="185"/>
      <w:proofErr w:type="gramEnd"/>
    </w:p>
    <w:p w:rsidR="003C3821" w:rsidRPr="004A5FC6" w:rsidRDefault="003C3821" w:rsidP="003C3821">
      <w:pPr>
        <w:pStyle w:val="tMain"/>
      </w:pPr>
      <w:r w:rsidRPr="004A5FC6">
        <w:tab/>
      </w:r>
      <w:r w:rsidRPr="004A5FC6">
        <w:tab/>
        <w:t xml:space="preserve">For subsection 106(3) of the Act, the project proponent of an </w:t>
      </w:r>
      <w:r>
        <w:t xml:space="preserve">irrigated cotton project that is an </w:t>
      </w:r>
      <w:r w:rsidRPr="004A5FC6">
        <w:t>eligible offsets project must comply with the reporting</w:t>
      </w:r>
      <w:r>
        <w:t>, record</w:t>
      </w:r>
      <w:r>
        <w:noBreakHyphen/>
      </w:r>
      <w:proofErr w:type="spellStart"/>
      <w:r>
        <w:t>keeping</w:t>
      </w:r>
      <w:proofErr w:type="spellEnd"/>
      <w:r>
        <w:t>, data collection and monitoring requirements i</w:t>
      </w:r>
      <w:r w:rsidRPr="004A5FC6">
        <w:t>n this Part.</w:t>
      </w:r>
    </w:p>
    <w:p w:rsidR="003C3821" w:rsidRPr="004A5FC6" w:rsidRDefault="00746173" w:rsidP="003C3821">
      <w:pPr>
        <w:pStyle w:val="h3Div"/>
      </w:pPr>
      <w:bookmarkStart w:id="186" w:name="_Toc405896487"/>
      <w:bookmarkStart w:id="187" w:name="_Toc413343220"/>
      <w:bookmarkStart w:id="188" w:name="_Toc413343313"/>
      <w:bookmarkStart w:id="189" w:name="_Toc413343359"/>
      <w:bookmarkStart w:id="190" w:name="_Toc416182732"/>
      <w:r>
        <w:t>Division 2</w:t>
      </w:r>
      <w:r w:rsidR="003C3821">
        <w:t>—</w:t>
      </w:r>
      <w:r w:rsidR="003C3821" w:rsidRPr="004A5FC6">
        <w:t>Offsets report requirements</w:t>
      </w:r>
      <w:bookmarkEnd w:id="186"/>
      <w:bookmarkEnd w:id="187"/>
      <w:bookmarkEnd w:id="188"/>
      <w:bookmarkEnd w:id="189"/>
      <w:bookmarkEnd w:id="190"/>
    </w:p>
    <w:p w:rsidR="003C3821" w:rsidRPr="004A5FC6" w:rsidRDefault="00746173" w:rsidP="003C3821">
      <w:pPr>
        <w:pStyle w:val="h5Section"/>
      </w:pPr>
      <w:bookmarkStart w:id="191" w:name="_Toc405896488"/>
      <w:bookmarkStart w:id="192" w:name="_Toc413343221"/>
      <w:bookmarkStart w:id="193" w:name="_Toc413343314"/>
      <w:bookmarkStart w:id="194" w:name="_Toc413343360"/>
      <w:bookmarkStart w:id="195" w:name="_Toc416182733"/>
      <w:proofErr w:type="gramStart"/>
      <w:r>
        <w:t>22</w:t>
      </w:r>
      <w:r w:rsidR="003C3821">
        <w:t xml:space="preserve">  </w:t>
      </w:r>
      <w:r w:rsidR="003C3821" w:rsidRPr="004A5FC6">
        <w:t>Information</w:t>
      </w:r>
      <w:proofErr w:type="gramEnd"/>
      <w:r w:rsidR="003C3821" w:rsidRPr="004A5FC6">
        <w:t xml:space="preserve"> in each offsets report</w:t>
      </w:r>
      <w:bookmarkEnd w:id="191"/>
      <w:bookmarkEnd w:id="192"/>
      <w:bookmarkEnd w:id="193"/>
      <w:bookmarkEnd w:id="194"/>
      <w:bookmarkEnd w:id="195"/>
    </w:p>
    <w:p w:rsidR="003C3821" w:rsidRPr="00A9711A" w:rsidRDefault="003C3821" w:rsidP="003C3821">
      <w:pPr>
        <w:pStyle w:val="tMain"/>
      </w:pPr>
      <w:r w:rsidRPr="00A9711A">
        <w:tab/>
      </w:r>
      <w:r w:rsidR="00746173">
        <w:t>(1)</w:t>
      </w:r>
      <w:r w:rsidRPr="00A9711A">
        <w:tab/>
        <w:t>The first offsets report must include all inputs and outputs from the Irrigated Cotton Calculator that relate to each year included in the calculation of baseline emissions intensity in the emissions intensity reference period.</w:t>
      </w:r>
    </w:p>
    <w:p w:rsidR="003C3821" w:rsidRPr="00A9711A" w:rsidRDefault="003C3821" w:rsidP="003C3821">
      <w:pPr>
        <w:pStyle w:val="tMain"/>
      </w:pPr>
      <w:r w:rsidRPr="00A9711A">
        <w:tab/>
      </w:r>
      <w:r w:rsidR="00746173">
        <w:t>(2)</w:t>
      </w:r>
      <w:r w:rsidRPr="00A9711A">
        <w:tab/>
        <w:t>The following information must be included in each offsets report</w:t>
      </w:r>
      <w:r>
        <w:t xml:space="preserve"> (including the first offsets report)</w:t>
      </w:r>
      <w:r w:rsidRPr="00A9711A">
        <w:t>:</w:t>
      </w:r>
    </w:p>
    <w:p w:rsidR="003C3821" w:rsidRDefault="003C3821" w:rsidP="003C3821">
      <w:pPr>
        <w:pStyle w:val="tPara"/>
      </w:pPr>
      <w:r>
        <w:tab/>
      </w:r>
      <w:r w:rsidR="00746173">
        <w:t>(a)</w:t>
      </w:r>
      <w:r>
        <w:tab/>
      </w:r>
      <w:proofErr w:type="gramStart"/>
      <w:r>
        <w:t>the</w:t>
      </w:r>
      <w:proofErr w:type="gramEnd"/>
      <w:r>
        <w:t xml:space="preserve"> annual map for each year in the reporting period, stratified in accordance with section 13; </w:t>
      </w:r>
    </w:p>
    <w:p w:rsidR="003C3821" w:rsidRDefault="003C3821" w:rsidP="003C3821">
      <w:pPr>
        <w:pStyle w:val="tPara"/>
      </w:pPr>
      <w:r>
        <w:tab/>
      </w:r>
      <w:r w:rsidR="00746173">
        <w:t>(b)</w:t>
      </w:r>
      <w:r>
        <w:tab/>
      </w:r>
      <w:proofErr w:type="gramStart"/>
      <w:r>
        <w:t>the</w:t>
      </w:r>
      <w:proofErr w:type="gramEnd"/>
      <w:r>
        <w:t xml:space="preserve"> new management action undertaken in each year of the reporting period; </w:t>
      </w:r>
    </w:p>
    <w:p w:rsidR="003C3821" w:rsidRDefault="003C3821" w:rsidP="003C3821">
      <w:pPr>
        <w:pStyle w:val="tPara"/>
      </w:pPr>
      <w:r>
        <w:tab/>
      </w:r>
      <w:r w:rsidR="00746173">
        <w:t>(c)</w:t>
      </w:r>
      <w:r>
        <w:tab/>
      </w:r>
      <w:proofErr w:type="gramStart"/>
      <w:r>
        <w:t>all</w:t>
      </w:r>
      <w:proofErr w:type="gramEnd"/>
      <w:r>
        <w:t xml:space="preserve"> inputs and outputs from the </w:t>
      </w:r>
      <w:r>
        <w:rPr>
          <w:lang w:val="en-NZ"/>
        </w:rPr>
        <w:t>Irrigated Cotton Calculator for each year in the reporting period.</w:t>
      </w:r>
    </w:p>
    <w:p w:rsidR="003C3821" w:rsidRPr="00F5623A" w:rsidRDefault="003C3821" w:rsidP="003C3821">
      <w:pPr>
        <w:pStyle w:val="nMain"/>
      </w:pPr>
      <w:r>
        <w:t>Note:</w:t>
      </w:r>
      <w:r>
        <w:tab/>
      </w:r>
      <w:r w:rsidRPr="004A5FC6">
        <w:t xml:space="preserve">Other </w:t>
      </w:r>
      <w:r>
        <w:t>reporting</w:t>
      </w:r>
      <w:r w:rsidRPr="004A5FC6">
        <w:t xml:space="preserve"> requirements are prescribed in the </w:t>
      </w:r>
      <w:r>
        <w:t>l</w:t>
      </w:r>
      <w:r w:rsidRPr="004A5FC6">
        <w:t xml:space="preserve">egislative </w:t>
      </w:r>
      <w:r>
        <w:t>r</w:t>
      </w:r>
      <w:r w:rsidRPr="004A5FC6">
        <w:t>ules.</w:t>
      </w:r>
    </w:p>
    <w:p w:rsidR="003C3821" w:rsidRPr="004A5FC6" w:rsidRDefault="00746173" w:rsidP="003C3821">
      <w:pPr>
        <w:pStyle w:val="h3Div"/>
      </w:pPr>
      <w:bookmarkStart w:id="196" w:name="_Toc405896489"/>
      <w:bookmarkStart w:id="197" w:name="_Toc413343222"/>
      <w:bookmarkStart w:id="198" w:name="_Toc413343315"/>
      <w:bookmarkStart w:id="199" w:name="_Toc413343361"/>
      <w:bookmarkStart w:id="200" w:name="_Toc416182734"/>
      <w:r>
        <w:t>Division 3</w:t>
      </w:r>
      <w:r w:rsidR="003C3821">
        <w:t>—</w:t>
      </w:r>
      <w:r w:rsidR="003C3821" w:rsidRPr="004A5FC6">
        <w:t>Record-keeping requirements</w:t>
      </w:r>
      <w:bookmarkEnd w:id="196"/>
      <w:bookmarkEnd w:id="197"/>
      <w:bookmarkEnd w:id="198"/>
      <w:bookmarkEnd w:id="199"/>
      <w:bookmarkEnd w:id="200"/>
      <w:r w:rsidR="003C3821" w:rsidRPr="004A5FC6">
        <w:t xml:space="preserve"> </w:t>
      </w:r>
      <w:r w:rsidR="003C3821" w:rsidRPr="004A5FC6">
        <w:tab/>
      </w:r>
    </w:p>
    <w:p w:rsidR="003C3821" w:rsidRDefault="00746173" w:rsidP="003C3821">
      <w:pPr>
        <w:pStyle w:val="h5Section"/>
      </w:pPr>
      <w:bookmarkStart w:id="201" w:name="_Toc405896490"/>
      <w:bookmarkStart w:id="202" w:name="_Toc413343223"/>
      <w:bookmarkStart w:id="203" w:name="_Toc413343316"/>
      <w:bookmarkStart w:id="204" w:name="_Toc413343362"/>
      <w:bookmarkStart w:id="205" w:name="_Toc416182735"/>
      <w:proofErr w:type="gramStart"/>
      <w:r>
        <w:t>23</w:t>
      </w:r>
      <w:r w:rsidR="003C3821">
        <w:t xml:space="preserve">  </w:t>
      </w:r>
      <w:r w:rsidR="003C3821" w:rsidRPr="004A5FC6">
        <w:t>Records</w:t>
      </w:r>
      <w:proofErr w:type="gramEnd"/>
      <w:r w:rsidR="003C3821" w:rsidRPr="004A5FC6">
        <w:t xml:space="preserve"> that must be created and kept</w:t>
      </w:r>
      <w:bookmarkEnd w:id="201"/>
      <w:bookmarkEnd w:id="202"/>
      <w:bookmarkEnd w:id="203"/>
      <w:bookmarkEnd w:id="204"/>
      <w:bookmarkEnd w:id="205"/>
    </w:p>
    <w:p w:rsidR="003C3821" w:rsidRDefault="003C3821" w:rsidP="003C3821">
      <w:pPr>
        <w:pStyle w:val="ntoHeading"/>
      </w:pPr>
      <w:r>
        <w:t>Note:</w:t>
      </w:r>
      <w:r>
        <w:tab/>
      </w:r>
      <w:r w:rsidRPr="004A5FC6">
        <w:t xml:space="preserve">Other record-keeping requirements are prescribed in the </w:t>
      </w:r>
      <w:r>
        <w:t>l</w:t>
      </w:r>
      <w:r w:rsidRPr="004A5FC6">
        <w:t xml:space="preserve">egislative </w:t>
      </w:r>
      <w:r>
        <w:t>r</w:t>
      </w:r>
      <w:r w:rsidRPr="004A5FC6">
        <w:t>ules.</w:t>
      </w:r>
    </w:p>
    <w:p w:rsidR="003C3821" w:rsidRPr="00A9711A" w:rsidRDefault="003C3821" w:rsidP="003C3821">
      <w:pPr>
        <w:pStyle w:val="tMain"/>
      </w:pPr>
      <w:r w:rsidRPr="00A9711A">
        <w:tab/>
      </w:r>
      <w:r w:rsidRPr="00A9711A">
        <w:tab/>
        <w:t>The project proponent must retain records of:</w:t>
      </w:r>
    </w:p>
    <w:p w:rsidR="003C3821" w:rsidRPr="00A9711A" w:rsidRDefault="003C3821" w:rsidP="003C3821">
      <w:pPr>
        <w:pStyle w:val="tPara"/>
      </w:pPr>
      <w:r w:rsidRPr="00A9711A">
        <w:tab/>
      </w:r>
      <w:r w:rsidR="00746173">
        <w:t>(a)</w:t>
      </w:r>
      <w:r w:rsidRPr="00A9711A">
        <w:tab/>
      </w:r>
      <w:proofErr w:type="gramStart"/>
      <w:r w:rsidRPr="00A9711A">
        <w:t>the</w:t>
      </w:r>
      <w:proofErr w:type="gramEnd"/>
      <w:r w:rsidRPr="00E424CB">
        <w:t xml:space="preserve"> </w:t>
      </w:r>
      <w:r w:rsidRPr="00036A12">
        <w:t xml:space="preserve">version of the </w:t>
      </w:r>
      <w:r w:rsidRPr="00A9711A">
        <w:t>standard that was relied on for the purposes of subsection </w:t>
      </w:r>
      <w:r w:rsidR="00E424CB">
        <w:t>10(1)</w:t>
      </w:r>
      <w:r w:rsidRPr="00A9711A">
        <w:t xml:space="preserve">; and </w:t>
      </w:r>
    </w:p>
    <w:p w:rsidR="003C3821" w:rsidRPr="00A9711A" w:rsidRDefault="003C3821" w:rsidP="003C3821">
      <w:pPr>
        <w:pStyle w:val="tPara"/>
      </w:pPr>
      <w:r w:rsidRPr="00A9711A">
        <w:tab/>
      </w:r>
      <w:r w:rsidR="00746173">
        <w:t>(b)</w:t>
      </w:r>
      <w:r w:rsidRPr="00A9711A">
        <w:tab/>
      </w:r>
      <w:proofErr w:type="gramStart"/>
      <w:r w:rsidRPr="00A9711A">
        <w:t>for</w:t>
      </w:r>
      <w:proofErr w:type="gramEnd"/>
      <w:r w:rsidRPr="00A9711A">
        <w:t xml:space="preserve"> each type of synthetic fertiliser applied:</w:t>
      </w:r>
    </w:p>
    <w:p w:rsidR="003C3821" w:rsidRPr="00A9711A" w:rsidRDefault="003C3821" w:rsidP="003C3821">
      <w:pPr>
        <w:pStyle w:val="tSubpara"/>
      </w:pPr>
      <w:r w:rsidRPr="00A9711A">
        <w:tab/>
      </w:r>
      <w:r w:rsidR="00746173">
        <w:t>(</w:t>
      </w:r>
      <w:proofErr w:type="spellStart"/>
      <w:r w:rsidR="00746173">
        <w:t>i</w:t>
      </w:r>
      <w:proofErr w:type="spellEnd"/>
      <w:r w:rsidR="00746173">
        <w:t>)</w:t>
      </w:r>
      <w:r w:rsidRPr="00A9711A">
        <w:tab/>
      </w:r>
      <w:proofErr w:type="gramStart"/>
      <w:r w:rsidRPr="00A9711A">
        <w:t>the</w:t>
      </w:r>
      <w:proofErr w:type="gramEnd"/>
      <w:r w:rsidRPr="00A9711A">
        <w:t xml:space="preserve"> product name and the mass supplied; and</w:t>
      </w:r>
    </w:p>
    <w:p w:rsidR="003C3821" w:rsidRPr="00A9711A" w:rsidRDefault="003C3821" w:rsidP="003C3821">
      <w:pPr>
        <w:pStyle w:val="NoteToSubpara"/>
      </w:pPr>
      <w:r w:rsidRPr="00A9711A">
        <w:t>Note:</w:t>
      </w:r>
      <w:r w:rsidRPr="00A9711A">
        <w:tab/>
        <w:t>For example, an invoice.</w:t>
      </w:r>
    </w:p>
    <w:p w:rsidR="003C3821" w:rsidRPr="00A9711A" w:rsidRDefault="003C3821" w:rsidP="003C3821">
      <w:pPr>
        <w:pStyle w:val="tSubpara"/>
      </w:pPr>
      <w:r w:rsidRPr="00A9711A">
        <w:tab/>
      </w:r>
      <w:r w:rsidR="00746173">
        <w:t>(ii)</w:t>
      </w:r>
      <w:r w:rsidRPr="00A9711A">
        <w:tab/>
      </w:r>
      <w:proofErr w:type="gramStart"/>
      <w:r w:rsidRPr="00A9711A">
        <w:t>the</w:t>
      </w:r>
      <w:proofErr w:type="gramEnd"/>
      <w:r w:rsidRPr="00A9711A">
        <w:t xml:space="preserve"> nitrogen content.</w:t>
      </w:r>
    </w:p>
    <w:p w:rsidR="003C3821" w:rsidRPr="00A9711A" w:rsidRDefault="003C3821" w:rsidP="003C3821">
      <w:pPr>
        <w:pStyle w:val="NoteToSubpara"/>
      </w:pPr>
      <w:r w:rsidRPr="00A9711A">
        <w:t>Note:</w:t>
      </w:r>
      <w:r w:rsidRPr="00A9711A">
        <w:tab/>
        <w:t>For example, a product datasheet.</w:t>
      </w:r>
    </w:p>
    <w:p w:rsidR="003C3821" w:rsidRPr="004A5FC6" w:rsidRDefault="00746173" w:rsidP="003C3821">
      <w:pPr>
        <w:pStyle w:val="h3Div"/>
      </w:pPr>
      <w:bookmarkStart w:id="206" w:name="_Toc405896491"/>
      <w:bookmarkStart w:id="207" w:name="_Toc413343224"/>
      <w:bookmarkStart w:id="208" w:name="_Toc413343317"/>
      <w:bookmarkStart w:id="209" w:name="_Toc413343363"/>
      <w:bookmarkStart w:id="210" w:name="_Toc416182736"/>
      <w:r>
        <w:t>Division 4</w:t>
      </w:r>
      <w:r w:rsidR="003C3821">
        <w:t>—Data and monitoring requirements</w:t>
      </w:r>
      <w:bookmarkEnd w:id="206"/>
      <w:bookmarkEnd w:id="207"/>
      <w:bookmarkEnd w:id="208"/>
      <w:bookmarkEnd w:id="209"/>
      <w:bookmarkEnd w:id="210"/>
    </w:p>
    <w:p w:rsidR="003C3821" w:rsidRPr="00E321B6" w:rsidRDefault="003C3821" w:rsidP="003C3821">
      <w:pPr>
        <w:pStyle w:val="ntoHeading"/>
      </w:pPr>
      <w:r>
        <w:t>Note:</w:t>
      </w:r>
      <w:r>
        <w:tab/>
        <w:t>In addition to the parameters specified in this Division, proponents must make a record of information necessary to meet the record-keeping</w:t>
      </w:r>
      <w:r w:rsidRPr="004A5FC6">
        <w:t xml:space="preserve"> </w:t>
      </w:r>
      <w:r>
        <w:t>requirements in the legislative rules</w:t>
      </w:r>
      <w:r w:rsidRPr="004A5FC6">
        <w:t>.</w:t>
      </w:r>
      <w:r>
        <w:t xml:space="preserve"> See in particular the eligibility parameters, listed in Part 3 of this determination.</w:t>
      </w:r>
    </w:p>
    <w:p w:rsidR="003C3821" w:rsidRDefault="00746173" w:rsidP="003C3821">
      <w:pPr>
        <w:pStyle w:val="h5Section"/>
      </w:pPr>
      <w:bookmarkStart w:id="211" w:name="_Toc405896492"/>
      <w:bookmarkStart w:id="212" w:name="_Toc413343225"/>
      <w:bookmarkStart w:id="213" w:name="_Toc413343318"/>
      <w:bookmarkStart w:id="214" w:name="_Toc413343364"/>
      <w:bookmarkStart w:id="215" w:name="_Toc416182737"/>
      <w:proofErr w:type="gramStart"/>
      <w:r>
        <w:t>24</w:t>
      </w:r>
      <w:r w:rsidR="003C3821">
        <w:t xml:space="preserve">  Monitoring</w:t>
      </w:r>
      <w:proofErr w:type="gramEnd"/>
      <w:r w:rsidR="003C3821">
        <w:t xml:space="preserve"> requirement</w:t>
      </w:r>
      <w:bookmarkEnd w:id="211"/>
      <w:bookmarkEnd w:id="212"/>
      <w:bookmarkEnd w:id="213"/>
      <w:bookmarkEnd w:id="214"/>
      <w:bookmarkEnd w:id="215"/>
    </w:p>
    <w:p w:rsidR="003C3821" w:rsidRDefault="003C3821" w:rsidP="003C3821">
      <w:pPr>
        <w:pStyle w:val="tMain"/>
      </w:pPr>
      <w:r>
        <w:tab/>
      </w:r>
      <w:r>
        <w:tab/>
        <w:t>For each year in the crediting period, the parameters determined under this Division must be monitored.</w:t>
      </w:r>
    </w:p>
    <w:p w:rsidR="003C3821" w:rsidRDefault="00746173" w:rsidP="003C3821">
      <w:pPr>
        <w:pStyle w:val="h5Section"/>
      </w:pPr>
      <w:bookmarkStart w:id="216" w:name="_Toc405896493"/>
      <w:bookmarkStart w:id="217" w:name="_Toc413343226"/>
      <w:bookmarkStart w:id="218" w:name="_Toc413343319"/>
      <w:bookmarkStart w:id="219" w:name="_Toc413343365"/>
      <w:bookmarkStart w:id="220" w:name="_Toc416182738"/>
      <w:proofErr w:type="gramStart"/>
      <w:r>
        <w:lastRenderedPageBreak/>
        <w:t>25</w:t>
      </w:r>
      <w:r w:rsidR="003C3821">
        <w:t xml:space="preserve">  Cotton</w:t>
      </w:r>
      <w:proofErr w:type="gramEnd"/>
      <w:r w:rsidR="003C3821">
        <w:t xml:space="preserve"> area</w:t>
      </w:r>
      <w:bookmarkEnd w:id="216"/>
      <w:bookmarkEnd w:id="217"/>
      <w:bookmarkEnd w:id="218"/>
      <w:bookmarkEnd w:id="219"/>
      <w:bookmarkEnd w:id="220"/>
    </w:p>
    <w:p w:rsidR="003C3821" w:rsidRDefault="003C3821" w:rsidP="003C3821">
      <w:pPr>
        <w:pStyle w:val="tMain"/>
      </w:pPr>
      <w:r>
        <w:tab/>
      </w:r>
      <w:r>
        <w:tab/>
        <w:t>For each year in the emissions intensity reference period and the crediting period, the following parameters must be determined in relation to each field in the cotton area:</w:t>
      </w:r>
    </w:p>
    <w:p w:rsidR="003C3821" w:rsidRDefault="003C3821" w:rsidP="003C3821">
      <w:pPr>
        <w:pStyle w:val="tPara"/>
        <w:rPr>
          <w:b/>
          <w:i/>
        </w:rPr>
      </w:pPr>
      <w:r>
        <w:tab/>
      </w:r>
      <w:r w:rsidR="00746173">
        <w:t>(a)</w:t>
      </w:r>
      <w:r>
        <w:tab/>
      </w:r>
      <w:proofErr w:type="gramStart"/>
      <w:r>
        <w:t>the</w:t>
      </w:r>
      <w:proofErr w:type="gramEnd"/>
      <w:r>
        <w:t xml:space="preserve"> area, in hectares;</w:t>
      </w:r>
      <w:r w:rsidRPr="00BF59C4">
        <w:rPr>
          <w:b/>
          <w:i/>
        </w:rPr>
        <w:t xml:space="preserve"> </w:t>
      </w:r>
    </w:p>
    <w:p w:rsidR="003C3821" w:rsidRDefault="003C3821" w:rsidP="003C3821">
      <w:pPr>
        <w:pStyle w:val="noteToPara"/>
      </w:pPr>
      <w:r>
        <w:t>Note:</w:t>
      </w:r>
      <w:r>
        <w:tab/>
        <w:t xml:space="preserve">Project proponents are encouraged to determine the cotton area using the maps produced in accordance with section 8 and </w:t>
      </w:r>
      <w:r w:rsidRPr="00DB095D">
        <w:t>paragraph 22</w:t>
      </w:r>
      <w:r w:rsidRPr="006903E1">
        <w:t>(2)</w:t>
      </w:r>
      <w:r w:rsidRPr="00DB095D">
        <w:t>(a)</w:t>
      </w:r>
      <w:r>
        <w:t>.</w:t>
      </w:r>
    </w:p>
    <w:p w:rsidR="003C3821" w:rsidRDefault="003C3821" w:rsidP="003C3821">
      <w:pPr>
        <w:pStyle w:val="tPara"/>
      </w:pPr>
      <w:r>
        <w:tab/>
      </w:r>
      <w:r w:rsidR="00746173">
        <w:t>(b)</w:t>
      </w:r>
      <w:r>
        <w:tab/>
      </w:r>
      <w:proofErr w:type="gramStart"/>
      <w:r>
        <w:t>planting</w:t>
      </w:r>
      <w:proofErr w:type="gramEnd"/>
      <w:r>
        <w:t xml:space="preserve"> density, in kilograms of cotton seed planted per hectare;</w:t>
      </w:r>
      <w:r>
        <w:tab/>
      </w:r>
    </w:p>
    <w:p w:rsidR="003C3821" w:rsidRDefault="003C3821" w:rsidP="003C3821">
      <w:pPr>
        <w:pStyle w:val="noteToPara"/>
      </w:pPr>
      <w:r>
        <w:t>Note:</w:t>
      </w:r>
      <w:r>
        <w:tab/>
        <w:t>T</w:t>
      </w:r>
      <w:r w:rsidRPr="004C5E6E">
        <w:t xml:space="preserve">he planting density </w:t>
      </w:r>
      <w:r>
        <w:t xml:space="preserve">is the total kilograms of seed planted per hectare. Where a cotton crop was planted in several events </w:t>
      </w:r>
      <w:r w:rsidRPr="004C5E6E">
        <w:t>on the same area</w:t>
      </w:r>
      <w:r>
        <w:t>, due to, for example, unsatisfactory germination rates in the first planting, project proponents are encouraged to keep records of each planting event to assist in explaining unusual planting densities.</w:t>
      </w:r>
    </w:p>
    <w:p w:rsidR="003C3821" w:rsidRDefault="003C3821" w:rsidP="003C3821">
      <w:pPr>
        <w:pStyle w:val="tPara"/>
      </w:pPr>
      <w:r>
        <w:tab/>
      </w:r>
      <w:r w:rsidR="00746173">
        <w:t>(c)</w:t>
      </w:r>
      <w:r>
        <w:tab/>
      </w:r>
      <w:proofErr w:type="gramStart"/>
      <w:r>
        <w:t>irrigation</w:t>
      </w:r>
      <w:proofErr w:type="gramEnd"/>
      <w:r>
        <w:t xml:space="preserve"> status.</w:t>
      </w:r>
      <w:r>
        <w:tab/>
      </w:r>
    </w:p>
    <w:p w:rsidR="003C3821" w:rsidRPr="004A5FC6" w:rsidRDefault="00746173" w:rsidP="003C3821">
      <w:pPr>
        <w:pStyle w:val="h5Section"/>
      </w:pPr>
      <w:bookmarkStart w:id="221" w:name="_Toc405896494"/>
      <w:bookmarkStart w:id="222" w:name="_Toc413343227"/>
      <w:bookmarkStart w:id="223" w:name="_Toc413343320"/>
      <w:bookmarkStart w:id="224" w:name="_Toc413343366"/>
      <w:bookmarkStart w:id="225" w:name="_Toc416182739"/>
      <w:proofErr w:type="gramStart"/>
      <w:r>
        <w:t>26</w:t>
      </w:r>
      <w:r w:rsidR="003C3821">
        <w:t xml:space="preserve">  Lint</w:t>
      </w:r>
      <w:proofErr w:type="gramEnd"/>
      <w:r w:rsidR="003C3821">
        <w:t xml:space="preserve"> yield</w:t>
      </w:r>
      <w:bookmarkEnd w:id="221"/>
      <w:bookmarkEnd w:id="222"/>
      <w:bookmarkEnd w:id="223"/>
      <w:bookmarkEnd w:id="224"/>
      <w:bookmarkEnd w:id="225"/>
    </w:p>
    <w:p w:rsidR="003C3821" w:rsidRDefault="003C3821" w:rsidP="003C3821">
      <w:pPr>
        <w:pStyle w:val="tMain"/>
      </w:pPr>
      <w:r>
        <w:tab/>
      </w:r>
      <w:r w:rsidR="00746173">
        <w:t>(1)</w:t>
      </w:r>
      <w:r>
        <w:tab/>
        <w:t>For each year in the emissions intensity reference period and in the crediting period, the lint yield must be determined for each field.</w:t>
      </w:r>
    </w:p>
    <w:p w:rsidR="003C3821" w:rsidRDefault="003C3821" w:rsidP="003C3821">
      <w:pPr>
        <w:pStyle w:val="tMain"/>
      </w:pPr>
      <w:r>
        <w:tab/>
      </w:r>
      <w:r w:rsidR="00746173">
        <w:t>(2)</w:t>
      </w:r>
      <w:r>
        <w:tab/>
        <w:t>For the purposes of subsection (1), the lint yield is taken to be the tonnes of lint produced by the cotton gin from the seed cotton received from the field.</w:t>
      </w:r>
    </w:p>
    <w:p w:rsidR="003C3821" w:rsidRDefault="00746173" w:rsidP="003C3821">
      <w:pPr>
        <w:pStyle w:val="h5Section"/>
      </w:pPr>
      <w:bookmarkStart w:id="226" w:name="_Toc405896495"/>
      <w:bookmarkStart w:id="227" w:name="_Toc413343228"/>
      <w:bookmarkStart w:id="228" w:name="_Toc413343321"/>
      <w:bookmarkStart w:id="229" w:name="_Toc413343367"/>
      <w:bookmarkStart w:id="230" w:name="_Toc416182740"/>
      <w:proofErr w:type="gramStart"/>
      <w:r>
        <w:t>27</w:t>
      </w:r>
      <w:r w:rsidR="003C3821">
        <w:t xml:space="preserve">  Synthetic</w:t>
      </w:r>
      <w:proofErr w:type="gramEnd"/>
      <w:r w:rsidR="003C3821">
        <w:t xml:space="preserve"> fertiliser</w:t>
      </w:r>
      <w:bookmarkEnd w:id="226"/>
      <w:bookmarkEnd w:id="227"/>
      <w:bookmarkEnd w:id="228"/>
      <w:bookmarkEnd w:id="229"/>
      <w:bookmarkEnd w:id="230"/>
    </w:p>
    <w:p w:rsidR="003C3821" w:rsidRDefault="003C3821" w:rsidP="003C3821">
      <w:pPr>
        <w:pStyle w:val="tMain"/>
      </w:pPr>
      <w:r>
        <w:tab/>
      </w:r>
      <w:r>
        <w:tab/>
        <w:t>For each year in the emissions intensity reference period and in the crediting period, the total amount of nitrogen, in kilograms, applied via a synthetic fertiliser to the cotton area must,</w:t>
      </w:r>
      <w:r w:rsidRPr="00CF47C4">
        <w:t xml:space="preserve"> </w:t>
      </w:r>
      <w:r>
        <w:t>for each type of synthetic fertiliser applied,</w:t>
      </w:r>
      <w:r w:rsidRPr="00A75629">
        <w:t xml:space="preserve"> </w:t>
      </w:r>
      <w:r>
        <w:t>be determined through the following parameters:</w:t>
      </w:r>
    </w:p>
    <w:p w:rsidR="003C3821" w:rsidRDefault="003C3821" w:rsidP="003C3821">
      <w:pPr>
        <w:pStyle w:val="tPara"/>
      </w:pPr>
      <w:r>
        <w:tab/>
      </w:r>
      <w:r w:rsidR="00746173">
        <w:t>(a)</w:t>
      </w:r>
      <w:r>
        <w:tab/>
      </w:r>
      <w:proofErr w:type="gramStart"/>
      <w:r>
        <w:t>the</w:t>
      </w:r>
      <w:proofErr w:type="gramEnd"/>
      <w:r>
        <w:t xml:space="preserve"> mass of the synthetic fertiliser applied, in kilograms; </w:t>
      </w:r>
    </w:p>
    <w:p w:rsidR="003C3821" w:rsidRDefault="003C3821" w:rsidP="003C3821">
      <w:pPr>
        <w:pStyle w:val="tPara"/>
      </w:pPr>
      <w:r>
        <w:tab/>
      </w:r>
      <w:r w:rsidR="00746173">
        <w:t>(b)</w:t>
      </w:r>
      <w:r>
        <w:tab/>
      </w:r>
      <w:proofErr w:type="gramStart"/>
      <w:r>
        <w:t>the</w:t>
      </w:r>
      <w:proofErr w:type="gramEnd"/>
      <w:r>
        <w:t xml:space="preserve"> nitrogen content of the synthetic fertiliser, in percent nitrogen of total mass.</w:t>
      </w:r>
    </w:p>
    <w:p w:rsidR="003C3821" w:rsidRDefault="00746173" w:rsidP="003C3821">
      <w:pPr>
        <w:pStyle w:val="h5Section"/>
      </w:pPr>
      <w:bookmarkStart w:id="231" w:name="_Toc405896496"/>
      <w:bookmarkStart w:id="232" w:name="_Toc413343229"/>
      <w:bookmarkStart w:id="233" w:name="_Toc413343322"/>
      <w:bookmarkStart w:id="234" w:name="_Toc413343368"/>
      <w:bookmarkStart w:id="235" w:name="_Toc416182741"/>
      <w:proofErr w:type="gramStart"/>
      <w:r>
        <w:t>28</w:t>
      </w:r>
      <w:r w:rsidR="003C3821">
        <w:t xml:space="preserve">  Green</w:t>
      </w:r>
      <w:proofErr w:type="gramEnd"/>
      <w:r w:rsidR="003C3821">
        <w:t xml:space="preserve"> manure</w:t>
      </w:r>
      <w:bookmarkEnd w:id="231"/>
      <w:bookmarkEnd w:id="232"/>
      <w:bookmarkEnd w:id="233"/>
      <w:bookmarkEnd w:id="234"/>
      <w:bookmarkEnd w:id="235"/>
    </w:p>
    <w:p w:rsidR="003C3821" w:rsidRDefault="003C3821" w:rsidP="003C3821">
      <w:pPr>
        <w:pStyle w:val="tMain"/>
      </w:pPr>
      <w:r>
        <w:tab/>
      </w:r>
      <w:r w:rsidR="00746173">
        <w:t>(1)</w:t>
      </w:r>
      <w:r>
        <w:tab/>
        <w:t>The area, in hectares, of green manure planted and for which the residue is relevant to working out the carbon dioxide equivalent net abatement amount for an irrigated cotton project,</w:t>
      </w:r>
      <w:r w:rsidRPr="00280BE3">
        <w:t xml:space="preserve"> </w:t>
      </w:r>
      <w:r>
        <w:t>must be determined.</w:t>
      </w:r>
    </w:p>
    <w:p w:rsidR="003C3821" w:rsidRDefault="003C3821" w:rsidP="003C3821">
      <w:pPr>
        <w:pStyle w:val="nMain"/>
      </w:pPr>
      <w:r>
        <w:t>Note:</w:t>
      </w:r>
      <w:r>
        <w:tab/>
        <w:t>See subsection 16(2) to determine whether an area of planted green manure is relevant to working out the carbon dioxide equivalent net abatement amount for the purposes of subsection 28(1).</w:t>
      </w:r>
    </w:p>
    <w:p w:rsidR="003C3821" w:rsidRDefault="003C3821" w:rsidP="003C3821">
      <w:pPr>
        <w:pStyle w:val="tMain"/>
      </w:pPr>
      <w:r>
        <w:tab/>
      </w:r>
      <w:r w:rsidR="00746173">
        <w:t>(2)</w:t>
      </w:r>
      <w:r>
        <w:tab/>
        <w:t>The project proponent must identify:</w:t>
      </w:r>
    </w:p>
    <w:p w:rsidR="003C3821" w:rsidRDefault="003C3821" w:rsidP="003C3821">
      <w:pPr>
        <w:pStyle w:val="tPara"/>
      </w:pPr>
      <w:r>
        <w:tab/>
      </w:r>
      <w:r w:rsidR="00746173">
        <w:t>(a)</w:t>
      </w:r>
      <w:r>
        <w:tab/>
        <w:t>the unique identifier of each field, or part of each field, in the cotton area which forms part of the area identified in accordance with subsection (1)</w:t>
      </w:r>
      <w:r w:rsidRPr="00720EB9">
        <w:t>;</w:t>
      </w:r>
      <w:r>
        <w:t xml:space="preserve"> and</w:t>
      </w:r>
    </w:p>
    <w:p w:rsidR="003C3821" w:rsidRDefault="003C3821" w:rsidP="003C3821">
      <w:pPr>
        <w:pStyle w:val="tPara"/>
      </w:pPr>
      <w:r>
        <w:tab/>
      </w:r>
      <w:r w:rsidR="00746173">
        <w:t>(b)</w:t>
      </w:r>
      <w:r>
        <w:tab/>
      </w:r>
      <w:proofErr w:type="gramStart"/>
      <w:r>
        <w:t>the</w:t>
      </w:r>
      <w:proofErr w:type="gramEnd"/>
      <w:r>
        <w:t xml:space="preserve"> planting density, in kilograms of green manure seed planted per hectare, of each field, or part of each field, identified in accordance with </w:t>
      </w:r>
      <w:r w:rsidRPr="00167A56">
        <w:t>paragraph (a).</w:t>
      </w:r>
      <w:r>
        <w:t xml:space="preserve"> </w:t>
      </w:r>
    </w:p>
    <w:p w:rsidR="003C3821" w:rsidRPr="00A9711A" w:rsidRDefault="00746173" w:rsidP="003C3821">
      <w:pPr>
        <w:pStyle w:val="h3Div"/>
      </w:pPr>
      <w:bookmarkStart w:id="236" w:name="_Toc416182742"/>
      <w:r>
        <w:t>Division 5</w:t>
      </w:r>
      <w:r w:rsidR="003C3821" w:rsidRPr="00A9711A">
        <w:t>—Reporting under section 77A of the Act</w:t>
      </w:r>
      <w:bookmarkEnd w:id="236"/>
    </w:p>
    <w:p w:rsidR="003C3821" w:rsidRPr="00A9711A" w:rsidRDefault="00746173" w:rsidP="003C3821">
      <w:pPr>
        <w:pStyle w:val="h5Section"/>
      </w:pPr>
      <w:bookmarkStart w:id="237" w:name="_Toc416182743"/>
      <w:proofErr w:type="gramStart"/>
      <w:r>
        <w:t>29</w:t>
      </w:r>
      <w:r w:rsidR="003C3821" w:rsidRPr="00A9711A">
        <w:t xml:space="preserve">  No</w:t>
      </w:r>
      <w:proofErr w:type="gramEnd"/>
      <w:r w:rsidR="003C3821" w:rsidRPr="00A9711A">
        <w:t xml:space="preserve"> division of project area</w:t>
      </w:r>
      <w:bookmarkEnd w:id="237"/>
    </w:p>
    <w:p w:rsidR="003C3821" w:rsidRPr="00A9711A" w:rsidRDefault="003C3821" w:rsidP="003C3821">
      <w:pPr>
        <w:pStyle w:val="tMain"/>
      </w:pPr>
      <w:r w:rsidRPr="00A9711A">
        <w:tab/>
      </w:r>
      <w:r w:rsidRPr="00A9711A">
        <w:tab/>
        <w:t xml:space="preserve">For </w:t>
      </w:r>
      <w:r w:rsidR="00F700D3">
        <w:t>sub</w:t>
      </w:r>
      <w:r w:rsidRPr="00A9711A">
        <w:t>section </w:t>
      </w:r>
      <w:proofErr w:type="gramStart"/>
      <w:r w:rsidRPr="00A9711A">
        <w:t>77A(</w:t>
      </w:r>
      <w:proofErr w:type="gramEnd"/>
      <w:r w:rsidRPr="00A9711A">
        <w:t>2) of the Act, an overall project may only be divided into parts that consist of one or more whole project areas.</w:t>
      </w:r>
    </w:p>
    <w:p w:rsidR="003C3821" w:rsidRPr="005924B4" w:rsidRDefault="003C3821" w:rsidP="003C3821"/>
    <w:p w:rsidR="007D6E07" w:rsidRPr="003C3821" w:rsidRDefault="007D6E07" w:rsidP="003C3821"/>
    <w:sectPr w:rsidR="007D6E07" w:rsidRPr="003C3821" w:rsidSect="00B13564">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B2" w:rsidRDefault="002112B2">
      <w:r>
        <w:separator/>
      </w:r>
    </w:p>
  </w:endnote>
  <w:endnote w:type="continuationSeparator" w:id="0">
    <w:p w:rsidR="002112B2" w:rsidRDefault="00211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2112B2" w:rsidRDefault="008E4033" w:rsidP="009818F6">
        <w:pPr>
          <w:pStyle w:val="Footer"/>
          <w:pBdr>
            <w:top w:val="single" w:sz="4" w:space="1" w:color="auto"/>
          </w:pBdr>
          <w:jc w:val="right"/>
        </w:pPr>
        <w:fldSimple w:instr=" PAGE   \* MERGEFORMAT ">
          <w:r w:rsidR="003A36E6">
            <w:rPr>
              <w:noProof/>
            </w:rPr>
            <w:t>2</w:t>
          </w:r>
        </w:fldSimple>
      </w:p>
    </w:sdtContent>
  </w:sdt>
  <w:p w:rsidR="002112B2" w:rsidRDefault="008E4033" w:rsidP="009818F6">
    <w:pPr>
      <w:pStyle w:val="Header"/>
    </w:pPr>
    <w:fldSimple w:instr=" STYLEREF  ShortT  \* MERGEFORMAT ">
      <w:r w:rsidR="003A36E6">
        <w:rPr>
          <w:noProof/>
        </w:rPr>
        <w:t>Carbon Credits (Carbon Farming Initiative—Reducing Greenhouse Gas Emissions from Fertiliser in Irrigated Cotton) Methodology Determination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B2" w:rsidRDefault="002112B2">
      <w:r>
        <w:separator/>
      </w:r>
    </w:p>
  </w:footnote>
  <w:footnote w:type="continuationSeparator" w:id="0">
    <w:p w:rsidR="002112B2" w:rsidRDefault="00211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8316D0B"/>
    <w:multiLevelType w:val="hybridMultilevel"/>
    <w:tmpl w:val="B8007F2C"/>
    <w:lvl w:ilvl="0" w:tplc="ED58D9F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3">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0821EB"/>
    <w:multiLevelType w:val="hybridMultilevel"/>
    <w:tmpl w:val="FF202FCC"/>
    <w:lvl w:ilvl="0" w:tplc="A8D4698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1B914F6"/>
    <w:multiLevelType w:val="hybridMultilevel"/>
    <w:tmpl w:val="AD123212"/>
    <w:lvl w:ilvl="0" w:tplc="A8D46982">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13D22C9"/>
    <w:multiLevelType w:val="hybridMultilevel"/>
    <w:tmpl w:val="DA80DF72"/>
    <w:lvl w:ilvl="0" w:tplc="58121250">
      <w:start w:val="1"/>
      <w:numFmt w:val="low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3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BE74BAB"/>
    <w:multiLevelType w:val="hybridMultilevel"/>
    <w:tmpl w:val="FC2CCA58"/>
    <w:lvl w:ilvl="0" w:tplc="3FC0FFC6">
      <w:start w:val="1"/>
      <w:numFmt w:val="lowerLetter"/>
      <w:lvlText w:val="(%1)"/>
      <w:lvlJc w:val="left"/>
      <w:pPr>
        <w:ind w:left="2789" w:hanging="420"/>
      </w:pPr>
      <w:rPr>
        <w:rFonts w:hint="default"/>
      </w:rPr>
    </w:lvl>
    <w:lvl w:ilvl="1" w:tplc="0C090019" w:tentative="1">
      <w:start w:val="1"/>
      <w:numFmt w:val="lowerLetter"/>
      <w:lvlText w:val="%2."/>
      <w:lvlJc w:val="left"/>
      <w:pPr>
        <w:ind w:left="3449" w:hanging="360"/>
      </w:pPr>
    </w:lvl>
    <w:lvl w:ilvl="2" w:tplc="0C09001B" w:tentative="1">
      <w:start w:val="1"/>
      <w:numFmt w:val="lowerRoman"/>
      <w:lvlText w:val="%3."/>
      <w:lvlJc w:val="right"/>
      <w:pPr>
        <w:ind w:left="4169" w:hanging="180"/>
      </w:pPr>
    </w:lvl>
    <w:lvl w:ilvl="3" w:tplc="0C09000F" w:tentative="1">
      <w:start w:val="1"/>
      <w:numFmt w:val="decimal"/>
      <w:lvlText w:val="%4."/>
      <w:lvlJc w:val="left"/>
      <w:pPr>
        <w:ind w:left="4889" w:hanging="360"/>
      </w:pPr>
    </w:lvl>
    <w:lvl w:ilvl="4" w:tplc="0C090019" w:tentative="1">
      <w:start w:val="1"/>
      <w:numFmt w:val="lowerLetter"/>
      <w:lvlText w:val="%5."/>
      <w:lvlJc w:val="left"/>
      <w:pPr>
        <w:ind w:left="5609" w:hanging="360"/>
      </w:pPr>
    </w:lvl>
    <w:lvl w:ilvl="5" w:tplc="0C09001B" w:tentative="1">
      <w:start w:val="1"/>
      <w:numFmt w:val="lowerRoman"/>
      <w:lvlText w:val="%6."/>
      <w:lvlJc w:val="right"/>
      <w:pPr>
        <w:ind w:left="6329" w:hanging="180"/>
      </w:pPr>
    </w:lvl>
    <w:lvl w:ilvl="6" w:tplc="0C09000F" w:tentative="1">
      <w:start w:val="1"/>
      <w:numFmt w:val="decimal"/>
      <w:lvlText w:val="%7."/>
      <w:lvlJc w:val="left"/>
      <w:pPr>
        <w:ind w:left="7049" w:hanging="360"/>
      </w:pPr>
    </w:lvl>
    <w:lvl w:ilvl="7" w:tplc="0C090019" w:tentative="1">
      <w:start w:val="1"/>
      <w:numFmt w:val="lowerLetter"/>
      <w:lvlText w:val="%8."/>
      <w:lvlJc w:val="left"/>
      <w:pPr>
        <w:ind w:left="7769" w:hanging="360"/>
      </w:pPr>
    </w:lvl>
    <w:lvl w:ilvl="8" w:tplc="0C09001B" w:tentative="1">
      <w:start w:val="1"/>
      <w:numFmt w:val="lowerRoman"/>
      <w:lvlText w:val="%9."/>
      <w:lvlJc w:val="right"/>
      <w:pPr>
        <w:ind w:left="8489" w:hanging="180"/>
      </w:pPr>
    </w:lvl>
  </w:abstractNum>
  <w:abstractNum w:abstractNumId="35">
    <w:nsid w:val="6C2B720C"/>
    <w:multiLevelType w:val="hybridMultilevel"/>
    <w:tmpl w:val="B9BAB0A4"/>
    <w:lvl w:ilvl="0" w:tplc="719A9BE2">
      <w:start w:val="1"/>
      <w:numFmt w:val="lowerLetter"/>
      <w:lvlText w:val="(%1)"/>
      <w:lvlJc w:val="left"/>
      <w:pPr>
        <w:ind w:left="1684" w:hanging="360"/>
      </w:pPr>
      <w:rPr>
        <w:rFonts w:hint="default"/>
      </w:rPr>
    </w:lvl>
    <w:lvl w:ilvl="1" w:tplc="0C090003">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BA593F"/>
    <w:multiLevelType w:val="hybridMultilevel"/>
    <w:tmpl w:val="C960F7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Bulle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
  </w:num>
  <w:num w:numId="2">
    <w:abstractNumId w:val="1"/>
  </w:num>
  <w:num w:numId="3">
    <w:abstractNumId w:val="12"/>
  </w:num>
  <w:num w:numId="4">
    <w:abstractNumId w:val="37"/>
  </w:num>
  <w:num w:numId="5">
    <w:abstractNumId w:val="29"/>
  </w:num>
  <w:num w:numId="6">
    <w:abstractNumId w:val="22"/>
  </w:num>
  <w:num w:numId="7">
    <w:abstractNumId w:val="14"/>
  </w:num>
  <w:num w:numId="8">
    <w:abstractNumId w:val="21"/>
  </w:num>
  <w:num w:numId="9">
    <w:abstractNumId w:val="39"/>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3"/>
  </w:num>
  <w:num w:numId="21">
    <w:abstractNumId w:val="19"/>
  </w:num>
  <w:num w:numId="22">
    <w:abstractNumId w:val="40"/>
  </w:num>
  <w:num w:numId="23">
    <w:abstractNumId w:val="35"/>
  </w:num>
  <w:num w:numId="24">
    <w:abstractNumId w:val="34"/>
  </w:num>
  <w:num w:numId="25">
    <w:abstractNumId w:val="32"/>
  </w:num>
  <w:num w:numId="26">
    <w:abstractNumId w:val="23"/>
  </w:num>
  <w:num w:numId="27">
    <w:abstractNumId w:val="15"/>
  </w:num>
  <w:num w:numId="28">
    <w:abstractNumId w:val="11"/>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7804"/>
  <w:stylePaneSortMethod w:val="0000"/>
  <w:defaultTabStop w:val="425"/>
  <w:drawingGridHorizontalSpacing w:val="110"/>
  <w:displayHorizontalDrawingGridEvery w:val="2"/>
  <w:noPunctuationKerning/>
  <w:characterSpacingControl w:val="doNotCompress"/>
  <w:hdrShapeDefaults>
    <o:shapedefaults v:ext="edit" spidmax="177153"/>
  </w:hdrShapeDefaults>
  <w:footnotePr>
    <w:footnote w:id="-1"/>
    <w:footnote w:id="0"/>
  </w:footnotePr>
  <w:endnotePr>
    <w:endnote w:id="-1"/>
    <w:endnote w:id="0"/>
  </w:endnotePr>
  <w:compat/>
  <w:docVars>
    <w:docVar w:name="StyleWS" w:val="bWSLetter"/>
  </w:docVars>
  <w:rsids>
    <w:rsidRoot w:val="008678EB"/>
    <w:rsid w:val="00002024"/>
    <w:rsid w:val="000039D7"/>
    <w:rsid w:val="00012088"/>
    <w:rsid w:val="00012B72"/>
    <w:rsid w:val="00014257"/>
    <w:rsid w:val="000248C7"/>
    <w:rsid w:val="000258A0"/>
    <w:rsid w:val="00031189"/>
    <w:rsid w:val="000320F2"/>
    <w:rsid w:val="00036984"/>
    <w:rsid w:val="0003757F"/>
    <w:rsid w:val="0003764D"/>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3C97"/>
    <w:rsid w:val="00064F51"/>
    <w:rsid w:val="00066A91"/>
    <w:rsid w:val="000731B2"/>
    <w:rsid w:val="00074AB4"/>
    <w:rsid w:val="000813F8"/>
    <w:rsid w:val="00082BCD"/>
    <w:rsid w:val="00090D8B"/>
    <w:rsid w:val="000967FA"/>
    <w:rsid w:val="00097203"/>
    <w:rsid w:val="000974E1"/>
    <w:rsid w:val="000978C5"/>
    <w:rsid w:val="000A25C2"/>
    <w:rsid w:val="000A4314"/>
    <w:rsid w:val="000A71D4"/>
    <w:rsid w:val="000A7903"/>
    <w:rsid w:val="000B042A"/>
    <w:rsid w:val="000B177D"/>
    <w:rsid w:val="000B2B15"/>
    <w:rsid w:val="000B4DA5"/>
    <w:rsid w:val="000B5DCB"/>
    <w:rsid w:val="000C2287"/>
    <w:rsid w:val="000C2440"/>
    <w:rsid w:val="000C61CF"/>
    <w:rsid w:val="000D2D22"/>
    <w:rsid w:val="000D2FFA"/>
    <w:rsid w:val="000D40E2"/>
    <w:rsid w:val="000D5F02"/>
    <w:rsid w:val="000D628D"/>
    <w:rsid w:val="000D7205"/>
    <w:rsid w:val="000E2406"/>
    <w:rsid w:val="000E2AF3"/>
    <w:rsid w:val="000E2E9E"/>
    <w:rsid w:val="000E4D39"/>
    <w:rsid w:val="000E750C"/>
    <w:rsid w:val="000F0319"/>
    <w:rsid w:val="000F081D"/>
    <w:rsid w:val="000F2EBE"/>
    <w:rsid w:val="000F31F8"/>
    <w:rsid w:val="000F39FE"/>
    <w:rsid w:val="00102896"/>
    <w:rsid w:val="00107E81"/>
    <w:rsid w:val="001104D5"/>
    <w:rsid w:val="0011343D"/>
    <w:rsid w:val="00121A23"/>
    <w:rsid w:val="00122930"/>
    <w:rsid w:val="00123118"/>
    <w:rsid w:val="00124559"/>
    <w:rsid w:val="001245D0"/>
    <w:rsid w:val="00124FC9"/>
    <w:rsid w:val="001300B0"/>
    <w:rsid w:val="001369B9"/>
    <w:rsid w:val="00137A06"/>
    <w:rsid w:val="00140EBC"/>
    <w:rsid w:val="00142EC4"/>
    <w:rsid w:val="0014387D"/>
    <w:rsid w:val="001443B4"/>
    <w:rsid w:val="00144E82"/>
    <w:rsid w:val="001476F6"/>
    <w:rsid w:val="001532D6"/>
    <w:rsid w:val="00153559"/>
    <w:rsid w:val="00153833"/>
    <w:rsid w:val="00154AA1"/>
    <w:rsid w:val="00170675"/>
    <w:rsid w:val="00172839"/>
    <w:rsid w:val="00174847"/>
    <w:rsid w:val="0017505D"/>
    <w:rsid w:val="001776B2"/>
    <w:rsid w:val="00182E3C"/>
    <w:rsid w:val="00182E6C"/>
    <w:rsid w:val="00184268"/>
    <w:rsid w:val="00184B5E"/>
    <w:rsid w:val="00190AB5"/>
    <w:rsid w:val="00194039"/>
    <w:rsid w:val="00195069"/>
    <w:rsid w:val="00196DA5"/>
    <w:rsid w:val="001979DC"/>
    <w:rsid w:val="001A15AC"/>
    <w:rsid w:val="001A562A"/>
    <w:rsid w:val="001A5CB2"/>
    <w:rsid w:val="001B0571"/>
    <w:rsid w:val="001B0B41"/>
    <w:rsid w:val="001B2D72"/>
    <w:rsid w:val="001B4173"/>
    <w:rsid w:val="001B644D"/>
    <w:rsid w:val="001B7250"/>
    <w:rsid w:val="001B7C15"/>
    <w:rsid w:val="001C0768"/>
    <w:rsid w:val="001C1A73"/>
    <w:rsid w:val="001C3392"/>
    <w:rsid w:val="001C3788"/>
    <w:rsid w:val="001C6AD2"/>
    <w:rsid w:val="001D07AE"/>
    <w:rsid w:val="001E0960"/>
    <w:rsid w:val="001E1B02"/>
    <w:rsid w:val="001E4824"/>
    <w:rsid w:val="001E647F"/>
    <w:rsid w:val="001F373E"/>
    <w:rsid w:val="001F43D4"/>
    <w:rsid w:val="001F50EC"/>
    <w:rsid w:val="001F5AF2"/>
    <w:rsid w:val="00201A33"/>
    <w:rsid w:val="002052B0"/>
    <w:rsid w:val="00210328"/>
    <w:rsid w:val="00210C28"/>
    <w:rsid w:val="002112B2"/>
    <w:rsid w:val="0021145F"/>
    <w:rsid w:val="00213788"/>
    <w:rsid w:val="002146BA"/>
    <w:rsid w:val="0021764C"/>
    <w:rsid w:val="00217A90"/>
    <w:rsid w:val="00217C89"/>
    <w:rsid w:val="00220F1C"/>
    <w:rsid w:val="00221332"/>
    <w:rsid w:val="002221BC"/>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6A83"/>
    <w:rsid w:val="00246C4C"/>
    <w:rsid w:val="002472BC"/>
    <w:rsid w:val="00254817"/>
    <w:rsid w:val="00255070"/>
    <w:rsid w:val="00257896"/>
    <w:rsid w:val="00265192"/>
    <w:rsid w:val="00266DC8"/>
    <w:rsid w:val="00274E2B"/>
    <w:rsid w:val="00280B8E"/>
    <w:rsid w:val="002832F4"/>
    <w:rsid w:val="0028502C"/>
    <w:rsid w:val="00293143"/>
    <w:rsid w:val="00293320"/>
    <w:rsid w:val="00294058"/>
    <w:rsid w:val="00294245"/>
    <w:rsid w:val="00294DE8"/>
    <w:rsid w:val="002A0596"/>
    <w:rsid w:val="002A18C9"/>
    <w:rsid w:val="002A3283"/>
    <w:rsid w:val="002A5322"/>
    <w:rsid w:val="002A6992"/>
    <w:rsid w:val="002A7E6F"/>
    <w:rsid w:val="002B0EAC"/>
    <w:rsid w:val="002B3521"/>
    <w:rsid w:val="002C3465"/>
    <w:rsid w:val="002C53A9"/>
    <w:rsid w:val="002E2780"/>
    <w:rsid w:val="002E2E64"/>
    <w:rsid w:val="002E39E0"/>
    <w:rsid w:val="002E7EE0"/>
    <w:rsid w:val="002F0C47"/>
    <w:rsid w:val="002F242B"/>
    <w:rsid w:val="002F4A68"/>
    <w:rsid w:val="002F664A"/>
    <w:rsid w:val="00301367"/>
    <w:rsid w:val="00301C22"/>
    <w:rsid w:val="00306EFA"/>
    <w:rsid w:val="0031117B"/>
    <w:rsid w:val="003127F8"/>
    <w:rsid w:val="00321884"/>
    <w:rsid w:val="00322CCD"/>
    <w:rsid w:val="003257CA"/>
    <w:rsid w:val="0032598E"/>
    <w:rsid w:val="00327544"/>
    <w:rsid w:val="00327822"/>
    <w:rsid w:val="00331757"/>
    <w:rsid w:val="0033258A"/>
    <w:rsid w:val="00332C68"/>
    <w:rsid w:val="00333A4F"/>
    <w:rsid w:val="00335540"/>
    <w:rsid w:val="00340AA4"/>
    <w:rsid w:val="0034760F"/>
    <w:rsid w:val="00350078"/>
    <w:rsid w:val="0035186D"/>
    <w:rsid w:val="00352B83"/>
    <w:rsid w:val="00354E4F"/>
    <w:rsid w:val="00364922"/>
    <w:rsid w:val="00371E2D"/>
    <w:rsid w:val="00377DAC"/>
    <w:rsid w:val="00380FB2"/>
    <w:rsid w:val="00382276"/>
    <w:rsid w:val="0039016F"/>
    <w:rsid w:val="00390A97"/>
    <w:rsid w:val="00390B03"/>
    <w:rsid w:val="003939A2"/>
    <w:rsid w:val="0039749E"/>
    <w:rsid w:val="003A080E"/>
    <w:rsid w:val="003A34AE"/>
    <w:rsid w:val="003A36E6"/>
    <w:rsid w:val="003A4CFF"/>
    <w:rsid w:val="003A6158"/>
    <w:rsid w:val="003A644D"/>
    <w:rsid w:val="003A72A8"/>
    <w:rsid w:val="003B114C"/>
    <w:rsid w:val="003B3DB9"/>
    <w:rsid w:val="003B4E23"/>
    <w:rsid w:val="003B7386"/>
    <w:rsid w:val="003B777A"/>
    <w:rsid w:val="003C1E61"/>
    <w:rsid w:val="003C32EE"/>
    <w:rsid w:val="003C3821"/>
    <w:rsid w:val="003C3F32"/>
    <w:rsid w:val="003C452F"/>
    <w:rsid w:val="003D1FE2"/>
    <w:rsid w:val="003D7C75"/>
    <w:rsid w:val="003E0AF3"/>
    <w:rsid w:val="003E1765"/>
    <w:rsid w:val="003E284A"/>
    <w:rsid w:val="003E2DCB"/>
    <w:rsid w:val="003E3108"/>
    <w:rsid w:val="003E352A"/>
    <w:rsid w:val="003E49CC"/>
    <w:rsid w:val="003E6641"/>
    <w:rsid w:val="003E7BF9"/>
    <w:rsid w:val="003F58A1"/>
    <w:rsid w:val="003F61C0"/>
    <w:rsid w:val="003F7EF1"/>
    <w:rsid w:val="0040186F"/>
    <w:rsid w:val="00402812"/>
    <w:rsid w:val="004040B2"/>
    <w:rsid w:val="00404E41"/>
    <w:rsid w:val="0040665C"/>
    <w:rsid w:val="00406C4A"/>
    <w:rsid w:val="004077A2"/>
    <w:rsid w:val="00407A73"/>
    <w:rsid w:val="00412EE5"/>
    <w:rsid w:val="00416635"/>
    <w:rsid w:val="004209C2"/>
    <w:rsid w:val="00423DA5"/>
    <w:rsid w:val="00430D5F"/>
    <w:rsid w:val="004327A6"/>
    <w:rsid w:val="00433AE2"/>
    <w:rsid w:val="00435726"/>
    <w:rsid w:val="00435DA0"/>
    <w:rsid w:val="00436098"/>
    <w:rsid w:val="00436219"/>
    <w:rsid w:val="00436C5C"/>
    <w:rsid w:val="00441379"/>
    <w:rsid w:val="00442227"/>
    <w:rsid w:val="004428F7"/>
    <w:rsid w:val="00442D45"/>
    <w:rsid w:val="00444507"/>
    <w:rsid w:val="00444584"/>
    <w:rsid w:val="004503EC"/>
    <w:rsid w:val="00452C13"/>
    <w:rsid w:val="00463E97"/>
    <w:rsid w:val="00475CF2"/>
    <w:rsid w:val="00476141"/>
    <w:rsid w:val="00476C74"/>
    <w:rsid w:val="00477BB5"/>
    <w:rsid w:val="004803D4"/>
    <w:rsid w:val="00487B34"/>
    <w:rsid w:val="00491433"/>
    <w:rsid w:val="004938A3"/>
    <w:rsid w:val="00494A43"/>
    <w:rsid w:val="004971E4"/>
    <w:rsid w:val="004A37E5"/>
    <w:rsid w:val="004B4EA7"/>
    <w:rsid w:val="004B5B4A"/>
    <w:rsid w:val="004B644E"/>
    <w:rsid w:val="004C1309"/>
    <w:rsid w:val="004C144E"/>
    <w:rsid w:val="004C1A87"/>
    <w:rsid w:val="004C5AFE"/>
    <w:rsid w:val="004C6902"/>
    <w:rsid w:val="004D256F"/>
    <w:rsid w:val="004E1067"/>
    <w:rsid w:val="004F0122"/>
    <w:rsid w:val="004F17F7"/>
    <w:rsid w:val="004F2FAE"/>
    <w:rsid w:val="004F5362"/>
    <w:rsid w:val="00500012"/>
    <w:rsid w:val="00502DD0"/>
    <w:rsid w:val="00505FCA"/>
    <w:rsid w:val="00507791"/>
    <w:rsid w:val="00511EAF"/>
    <w:rsid w:val="00517E97"/>
    <w:rsid w:val="00521933"/>
    <w:rsid w:val="005276E4"/>
    <w:rsid w:val="00531C0C"/>
    <w:rsid w:val="00532D74"/>
    <w:rsid w:val="005352DD"/>
    <w:rsid w:val="00536929"/>
    <w:rsid w:val="00537B4E"/>
    <w:rsid w:val="00540465"/>
    <w:rsid w:val="00547E30"/>
    <w:rsid w:val="0055370A"/>
    <w:rsid w:val="00554B06"/>
    <w:rsid w:val="005556A2"/>
    <w:rsid w:val="00562634"/>
    <w:rsid w:val="00571ACA"/>
    <w:rsid w:val="00574D2B"/>
    <w:rsid w:val="00582C28"/>
    <w:rsid w:val="00583629"/>
    <w:rsid w:val="00584F3F"/>
    <w:rsid w:val="0058653A"/>
    <w:rsid w:val="00586C23"/>
    <w:rsid w:val="00592607"/>
    <w:rsid w:val="00594537"/>
    <w:rsid w:val="00595849"/>
    <w:rsid w:val="005A0240"/>
    <w:rsid w:val="005A0814"/>
    <w:rsid w:val="005A6EA9"/>
    <w:rsid w:val="005B29AD"/>
    <w:rsid w:val="005B42FE"/>
    <w:rsid w:val="005B5048"/>
    <w:rsid w:val="005B52E3"/>
    <w:rsid w:val="005B5536"/>
    <w:rsid w:val="005B63B2"/>
    <w:rsid w:val="005B7033"/>
    <w:rsid w:val="005D1FCA"/>
    <w:rsid w:val="005D4CA5"/>
    <w:rsid w:val="005D7C25"/>
    <w:rsid w:val="005E017E"/>
    <w:rsid w:val="005E0910"/>
    <w:rsid w:val="005E4601"/>
    <w:rsid w:val="005E736A"/>
    <w:rsid w:val="005F1DF4"/>
    <w:rsid w:val="005F253E"/>
    <w:rsid w:val="005F27EF"/>
    <w:rsid w:val="005F60DB"/>
    <w:rsid w:val="006006CF"/>
    <w:rsid w:val="00602E88"/>
    <w:rsid w:val="00604125"/>
    <w:rsid w:val="00605ADC"/>
    <w:rsid w:val="00606ADD"/>
    <w:rsid w:val="00610DA3"/>
    <w:rsid w:val="006122E1"/>
    <w:rsid w:val="006147BE"/>
    <w:rsid w:val="006161F8"/>
    <w:rsid w:val="00616491"/>
    <w:rsid w:val="00623FA5"/>
    <w:rsid w:val="0062440A"/>
    <w:rsid w:val="0062512C"/>
    <w:rsid w:val="0063445A"/>
    <w:rsid w:val="006376CC"/>
    <w:rsid w:val="00641007"/>
    <w:rsid w:val="00642695"/>
    <w:rsid w:val="00642C1E"/>
    <w:rsid w:val="006448E4"/>
    <w:rsid w:val="0064647A"/>
    <w:rsid w:val="0064667D"/>
    <w:rsid w:val="00646D73"/>
    <w:rsid w:val="0065130D"/>
    <w:rsid w:val="00652BBE"/>
    <w:rsid w:val="0065413D"/>
    <w:rsid w:val="006574AB"/>
    <w:rsid w:val="00662B72"/>
    <w:rsid w:val="00663ADA"/>
    <w:rsid w:val="00665AEC"/>
    <w:rsid w:val="00666AB2"/>
    <w:rsid w:val="0066733F"/>
    <w:rsid w:val="006738A8"/>
    <w:rsid w:val="006775C7"/>
    <w:rsid w:val="0068239C"/>
    <w:rsid w:val="006829B7"/>
    <w:rsid w:val="0068442B"/>
    <w:rsid w:val="00685DC9"/>
    <w:rsid w:val="00692892"/>
    <w:rsid w:val="006948D4"/>
    <w:rsid w:val="006961BC"/>
    <w:rsid w:val="006A0E83"/>
    <w:rsid w:val="006A1924"/>
    <w:rsid w:val="006A37A5"/>
    <w:rsid w:val="006A44B5"/>
    <w:rsid w:val="006A45FF"/>
    <w:rsid w:val="006B17DB"/>
    <w:rsid w:val="006B2863"/>
    <w:rsid w:val="006B404D"/>
    <w:rsid w:val="006C030F"/>
    <w:rsid w:val="006C1EA8"/>
    <w:rsid w:val="006C2838"/>
    <w:rsid w:val="006C4A30"/>
    <w:rsid w:val="006C7992"/>
    <w:rsid w:val="006C7EEA"/>
    <w:rsid w:val="006D0A68"/>
    <w:rsid w:val="006D315F"/>
    <w:rsid w:val="006D6000"/>
    <w:rsid w:val="006D7611"/>
    <w:rsid w:val="006E12A9"/>
    <w:rsid w:val="006E2406"/>
    <w:rsid w:val="006F05FC"/>
    <w:rsid w:val="006F166C"/>
    <w:rsid w:val="006F1BB4"/>
    <w:rsid w:val="006F335D"/>
    <w:rsid w:val="006F39FC"/>
    <w:rsid w:val="006F3F95"/>
    <w:rsid w:val="006F59B9"/>
    <w:rsid w:val="006F6CBF"/>
    <w:rsid w:val="006F7EF6"/>
    <w:rsid w:val="00700043"/>
    <w:rsid w:val="00701FD7"/>
    <w:rsid w:val="007042B4"/>
    <w:rsid w:val="00711DAC"/>
    <w:rsid w:val="00720B8F"/>
    <w:rsid w:val="00722E06"/>
    <w:rsid w:val="0072459D"/>
    <w:rsid w:val="007249E6"/>
    <w:rsid w:val="0072656B"/>
    <w:rsid w:val="007275FE"/>
    <w:rsid w:val="0073065D"/>
    <w:rsid w:val="00730DC0"/>
    <w:rsid w:val="00731C68"/>
    <w:rsid w:val="007330A3"/>
    <w:rsid w:val="00733C66"/>
    <w:rsid w:val="007351F3"/>
    <w:rsid w:val="00736F58"/>
    <w:rsid w:val="00741738"/>
    <w:rsid w:val="00746173"/>
    <w:rsid w:val="00746DC8"/>
    <w:rsid w:val="00747AD3"/>
    <w:rsid w:val="00753A2D"/>
    <w:rsid w:val="00754E6A"/>
    <w:rsid w:val="007551B7"/>
    <w:rsid w:val="007557A9"/>
    <w:rsid w:val="00757BFF"/>
    <w:rsid w:val="007661CD"/>
    <w:rsid w:val="00767F90"/>
    <w:rsid w:val="007701BF"/>
    <w:rsid w:val="0077116C"/>
    <w:rsid w:val="00772231"/>
    <w:rsid w:val="0077308C"/>
    <w:rsid w:val="00774156"/>
    <w:rsid w:val="00775C14"/>
    <w:rsid w:val="007760FD"/>
    <w:rsid w:val="00777BB6"/>
    <w:rsid w:val="00785341"/>
    <w:rsid w:val="007856B2"/>
    <w:rsid w:val="007934F1"/>
    <w:rsid w:val="007963EC"/>
    <w:rsid w:val="00797355"/>
    <w:rsid w:val="007A15D9"/>
    <w:rsid w:val="007A2B63"/>
    <w:rsid w:val="007A337B"/>
    <w:rsid w:val="007A3666"/>
    <w:rsid w:val="007A4C5E"/>
    <w:rsid w:val="007A5A4C"/>
    <w:rsid w:val="007A6CA0"/>
    <w:rsid w:val="007A6FD4"/>
    <w:rsid w:val="007B0407"/>
    <w:rsid w:val="007B1945"/>
    <w:rsid w:val="007B1C64"/>
    <w:rsid w:val="007B5D87"/>
    <w:rsid w:val="007C1C1D"/>
    <w:rsid w:val="007C31EF"/>
    <w:rsid w:val="007C5D94"/>
    <w:rsid w:val="007C6401"/>
    <w:rsid w:val="007C6E3D"/>
    <w:rsid w:val="007D1BDB"/>
    <w:rsid w:val="007D6E07"/>
    <w:rsid w:val="007D7127"/>
    <w:rsid w:val="007D729A"/>
    <w:rsid w:val="007D798D"/>
    <w:rsid w:val="007E238A"/>
    <w:rsid w:val="007E6966"/>
    <w:rsid w:val="007E753F"/>
    <w:rsid w:val="007F096A"/>
    <w:rsid w:val="007F11B3"/>
    <w:rsid w:val="007F434A"/>
    <w:rsid w:val="0080020C"/>
    <w:rsid w:val="00804F2B"/>
    <w:rsid w:val="00805150"/>
    <w:rsid w:val="0080541C"/>
    <w:rsid w:val="00806905"/>
    <w:rsid w:val="008077BA"/>
    <w:rsid w:val="00810255"/>
    <w:rsid w:val="00812F65"/>
    <w:rsid w:val="008145A8"/>
    <w:rsid w:val="0081483E"/>
    <w:rsid w:val="00814DB1"/>
    <w:rsid w:val="00816DFC"/>
    <w:rsid w:val="0081779B"/>
    <w:rsid w:val="008205BA"/>
    <w:rsid w:val="00821543"/>
    <w:rsid w:val="0082171E"/>
    <w:rsid w:val="00822056"/>
    <w:rsid w:val="00824B62"/>
    <w:rsid w:val="00831BAE"/>
    <w:rsid w:val="0083235A"/>
    <w:rsid w:val="00832BF7"/>
    <w:rsid w:val="00851E2D"/>
    <w:rsid w:val="00852794"/>
    <w:rsid w:val="00855DE5"/>
    <w:rsid w:val="00856E2A"/>
    <w:rsid w:val="00857B4E"/>
    <w:rsid w:val="00862F94"/>
    <w:rsid w:val="00863979"/>
    <w:rsid w:val="00866271"/>
    <w:rsid w:val="008671B1"/>
    <w:rsid w:val="008678EB"/>
    <w:rsid w:val="00870824"/>
    <w:rsid w:val="00872A40"/>
    <w:rsid w:val="00873E84"/>
    <w:rsid w:val="00876AE2"/>
    <w:rsid w:val="00880AB9"/>
    <w:rsid w:val="008858BF"/>
    <w:rsid w:val="00886D9E"/>
    <w:rsid w:val="00895A75"/>
    <w:rsid w:val="008A1585"/>
    <w:rsid w:val="008A17E3"/>
    <w:rsid w:val="008A28B4"/>
    <w:rsid w:val="008A4262"/>
    <w:rsid w:val="008A61F0"/>
    <w:rsid w:val="008B23EF"/>
    <w:rsid w:val="008B3176"/>
    <w:rsid w:val="008B3541"/>
    <w:rsid w:val="008B3830"/>
    <w:rsid w:val="008B3BA5"/>
    <w:rsid w:val="008B55E1"/>
    <w:rsid w:val="008B5D95"/>
    <w:rsid w:val="008C6C78"/>
    <w:rsid w:val="008C7668"/>
    <w:rsid w:val="008D31F6"/>
    <w:rsid w:val="008D3B2B"/>
    <w:rsid w:val="008D6654"/>
    <w:rsid w:val="008D6A9D"/>
    <w:rsid w:val="008E1C73"/>
    <w:rsid w:val="008E24DA"/>
    <w:rsid w:val="008E38D7"/>
    <w:rsid w:val="008E4033"/>
    <w:rsid w:val="008F3A94"/>
    <w:rsid w:val="008F58D2"/>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49F0"/>
    <w:rsid w:val="00931772"/>
    <w:rsid w:val="009317A2"/>
    <w:rsid w:val="0093199E"/>
    <w:rsid w:val="009319D5"/>
    <w:rsid w:val="00933869"/>
    <w:rsid w:val="0093569B"/>
    <w:rsid w:val="009359F9"/>
    <w:rsid w:val="00945645"/>
    <w:rsid w:val="00952109"/>
    <w:rsid w:val="0095384A"/>
    <w:rsid w:val="00953ABB"/>
    <w:rsid w:val="00962A76"/>
    <w:rsid w:val="009646BA"/>
    <w:rsid w:val="00964948"/>
    <w:rsid w:val="009676EF"/>
    <w:rsid w:val="009679CE"/>
    <w:rsid w:val="00974EE4"/>
    <w:rsid w:val="009768DD"/>
    <w:rsid w:val="0097758B"/>
    <w:rsid w:val="009778BB"/>
    <w:rsid w:val="009817E2"/>
    <w:rsid w:val="009818F6"/>
    <w:rsid w:val="00981B44"/>
    <w:rsid w:val="00982D68"/>
    <w:rsid w:val="00983F49"/>
    <w:rsid w:val="0098596B"/>
    <w:rsid w:val="009917F3"/>
    <w:rsid w:val="00993854"/>
    <w:rsid w:val="00996158"/>
    <w:rsid w:val="009A0F10"/>
    <w:rsid w:val="009A274B"/>
    <w:rsid w:val="009B0BA1"/>
    <w:rsid w:val="009B36F4"/>
    <w:rsid w:val="009B4188"/>
    <w:rsid w:val="009C2745"/>
    <w:rsid w:val="009C6F1A"/>
    <w:rsid w:val="009D0428"/>
    <w:rsid w:val="009D7DF2"/>
    <w:rsid w:val="009E012E"/>
    <w:rsid w:val="009E1396"/>
    <w:rsid w:val="009E5AE6"/>
    <w:rsid w:val="009E5F58"/>
    <w:rsid w:val="009E7EF5"/>
    <w:rsid w:val="009F02DE"/>
    <w:rsid w:val="009F3A92"/>
    <w:rsid w:val="009F6BF2"/>
    <w:rsid w:val="009F75F7"/>
    <w:rsid w:val="00A0120A"/>
    <w:rsid w:val="00A03D2A"/>
    <w:rsid w:val="00A1077C"/>
    <w:rsid w:val="00A11EA3"/>
    <w:rsid w:val="00A14C78"/>
    <w:rsid w:val="00A170DC"/>
    <w:rsid w:val="00A20886"/>
    <w:rsid w:val="00A20C49"/>
    <w:rsid w:val="00A22771"/>
    <w:rsid w:val="00A22C2F"/>
    <w:rsid w:val="00A2382C"/>
    <w:rsid w:val="00A24756"/>
    <w:rsid w:val="00A252F3"/>
    <w:rsid w:val="00A265A4"/>
    <w:rsid w:val="00A362C4"/>
    <w:rsid w:val="00A3639A"/>
    <w:rsid w:val="00A41D37"/>
    <w:rsid w:val="00A42666"/>
    <w:rsid w:val="00A42F93"/>
    <w:rsid w:val="00A447FC"/>
    <w:rsid w:val="00A44801"/>
    <w:rsid w:val="00A44F49"/>
    <w:rsid w:val="00A46D59"/>
    <w:rsid w:val="00A5656D"/>
    <w:rsid w:val="00A56B83"/>
    <w:rsid w:val="00A607E1"/>
    <w:rsid w:val="00A60A98"/>
    <w:rsid w:val="00A66511"/>
    <w:rsid w:val="00A67FE0"/>
    <w:rsid w:val="00A7572D"/>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7E9"/>
    <w:rsid w:val="00AA795C"/>
    <w:rsid w:val="00AB20E2"/>
    <w:rsid w:val="00AB24D7"/>
    <w:rsid w:val="00AB3A76"/>
    <w:rsid w:val="00AB55B1"/>
    <w:rsid w:val="00AB6123"/>
    <w:rsid w:val="00AB7C50"/>
    <w:rsid w:val="00AC386C"/>
    <w:rsid w:val="00AC4663"/>
    <w:rsid w:val="00AC5CE2"/>
    <w:rsid w:val="00AC7BFF"/>
    <w:rsid w:val="00AD012D"/>
    <w:rsid w:val="00AD2D6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42D8"/>
    <w:rsid w:val="00B26513"/>
    <w:rsid w:val="00B34972"/>
    <w:rsid w:val="00B34B31"/>
    <w:rsid w:val="00B3769C"/>
    <w:rsid w:val="00B427F4"/>
    <w:rsid w:val="00B429AE"/>
    <w:rsid w:val="00B435E8"/>
    <w:rsid w:val="00B4554B"/>
    <w:rsid w:val="00B50554"/>
    <w:rsid w:val="00B515EC"/>
    <w:rsid w:val="00B52136"/>
    <w:rsid w:val="00B57BDA"/>
    <w:rsid w:val="00B63CFC"/>
    <w:rsid w:val="00B65044"/>
    <w:rsid w:val="00B66073"/>
    <w:rsid w:val="00B67AB5"/>
    <w:rsid w:val="00B67F74"/>
    <w:rsid w:val="00B74C48"/>
    <w:rsid w:val="00B81F73"/>
    <w:rsid w:val="00B83263"/>
    <w:rsid w:val="00B83E51"/>
    <w:rsid w:val="00B85F75"/>
    <w:rsid w:val="00B9319C"/>
    <w:rsid w:val="00B9396B"/>
    <w:rsid w:val="00B949E1"/>
    <w:rsid w:val="00B95097"/>
    <w:rsid w:val="00B9645B"/>
    <w:rsid w:val="00B9648D"/>
    <w:rsid w:val="00B97EC5"/>
    <w:rsid w:val="00BA538F"/>
    <w:rsid w:val="00BB0081"/>
    <w:rsid w:val="00BB66BB"/>
    <w:rsid w:val="00BB6C06"/>
    <w:rsid w:val="00BC08D8"/>
    <w:rsid w:val="00BC1CEF"/>
    <w:rsid w:val="00BC5541"/>
    <w:rsid w:val="00BC5BAD"/>
    <w:rsid w:val="00BD028E"/>
    <w:rsid w:val="00BD1DEF"/>
    <w:rsid w:val="00BD3EFC"/>
    <w:rsid w:val="00BD4771"/>
    <w:rsid w:val="00BD5783"/>
    <w:rsid w:val="00BE2F59"/>
    <w:rsid w:val="00BE3866"/>
    <w:rsid w:val="00BE4B17"/>
    <w:rsid w:val="00BE4D1D"/>
    <w:rsid w:val="00BE5C95"/>
    <w:rsid w:val="00BE5ECB"/>
    <w:rsid w:val="00BF0B49"/>
    <w:rsid w:val="00BF267A"/>
    <w:rsid w:val="00BF3151"/>
    <w:rsid w:val="00BF5A69"/>
    <w:rsid w:val="00C015F9"/>
    <w:rsid w:val="00C0452A"/>
    <w:rsid w:val="00C10D9D"/>
    <w:rsid w:val="00C15E51"/>
    <w:rsid w:val="00C24192"/>
    <w:rsid w:val="00C24200"/>
    <w:rsid w:val="00C24437"/>
    <w:rsid w:val="00C25DDA"/>
    <w:rsid w:val="00C30B6A"/>
    <w:rsid w:val="00C32253"/>
    <w:rsid w:val="00C3317E"/>
    <w:rsid w:val="00C354F5"/>
    <w:rsid w:val="00C4311A"/>
    <w:rsid w:val="00C448DB"/>
    <w:rsid w:val="00C46149"/>
    <w:rsid w:val="00C4706E"/>
    <w:rsid w:val="00C4756B"/>
    <w:rsid w:val="00C51861"/>
    <w:rsid w:val="00C53AF7"/>
    <w:rsid w:val="00C557D7"/>
    <w:rsid w:val="00C55AEA"/>
    <w:rsid w:val="00C65A78"/>
    <w:rsid w:val="00C70056"/>
    <w:rsid w:val="00C70485"/>
    <w:rsid w:val="00C70F97"/>
    <w:rsid w:val="00C746A5"/>
    <w:rsid w:val="00C75BDA"/>
    <w:rsid w:val="00C823F0"/>
    <w:rsid w:val="00C83BE1"/>
    <w:rsid w:val="00C84119"/>
    <w:rsid w:val="00C857AB"/>
    <w:rsid w:val="00C937DE"/>
    <w:rsid w:val="00C9544E"/>
    <w:rsid w:val="00C958CD"/>
    <w:rsid w:val="00CA18FA"/>
    <w:rsid w:val="00CA38F1"/>
    <w:rsid w:val="00CA63C6"/>
    <w:rsid w:val="00CA6694"/>
    <w:rsid w:val="00CA7091"/>
    <w:rsid w:val="00CA72BF"/>
    <w:rsid w:val="00CB0DAA"/>
    <w:rsid w:val="00CB1905"/>
    <w:rsid w:val="00CB5128"/>
    <w:rsid w:val="00CB6981"/>
    <w:rsid w:val="00CC0A47"/>
    <w:rsid w:val="00CC1713"/>
    <w:rsid w:val="00CC1C01"/>
    <w:rsid w:val="00CC4FB2"/>
    <w:rsid w:val="00CC525F"/>
    <w:rsid w:val="00CC66AF"/>
    <w:rsid w:val="00CC7A76"/>
    <w:rsid w:val="00CC7D50"/>
    <w:rsid w:val="00CD41FC"/>
    <w:rsid w:val="00CD52AD"/>
    <w:rsid w:val="00CD718B"/>
    <w:rsid w:val="00CD7982"/>
    <w:rsid w:val="00CE081A"/>
    <w:rsid w:val="00CE0E1B"/>
    <w:rsid w:val="00CE4770"/>
    <w:rsid w:val="00CE53C6"/>
    <w:rsid w:val="00CF0278"/>
    <w:rsid w:val="00CF0D0C"/>
    <w:rsid w:val="00CF1717"/>
    <w:rsid w:val="00D037C8"/>
    <w:rsid w:val="00D07184"/>
    <w:rsid w:val="00D11105"/>
    <w:rsid w:val="00D11416"/>
    <w:rsid w:val="00D1186A"/>
    <w:rsid w:val="00D11A96"/>
    <w:rsid w:val="00D130AB"/>
    <w:rsid w:val="00D14D2D"/>
    <w:rsid w:val="00D15268"/>
    <w:rsid w:val="00D1660C"/>
    <w:rsid w:val="00D17C79"/>
    <w:rsid w:val="00D22A70"/>
    <w:rsid w:val="00D27AE6"/>
    <w:rsid w:val="00D34349"/>
    <w:rsid w:val="00D36752"/>
    <w:rsid w:val="00D43096"/>
    <w:rsid w:val="00D45207"/>
    <w:rsid w:val="00D45CD7"/>
    <w:rsid w:val="00D518B9"/>
    <w:rsid w:val="00D5358F"/>
    <w:rsid w:val="00D613F8"/>
    <w:rsid w:val="00D62499"/>
    <w:rsid w:val="00D65D78"/>
    <w:rsid w:val="00D67B29"/>
    <w:rsid w:val="00D71798"/>
    <w:rsid w:val="00D7186D"/>
    <w:rsid w:val="00D74CD2"/>
    <w:rsid w:val="00D76B53"/>
    <w:rsid w:val="00D77B2A"/>
    <w:rsid w:val="00D80172"/>
    <w:rsid w:val="00D868F7"/>
    <w:rsid w:val="00D87FA9"/>
    <w:rsid w:val="00D91AFB"/>
    <w:rsid w:val="00D95B92"/>
    <w:rsid w:val="00DA741B"/>
    <w:rsid w:val="00DB33AC"/>
    <w:rsid w:val="00DB51E8"/>
    <w:rsid w:val="00DB6A32"/>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98E"/>
    <w:rsid w:val="00DE4D9D"/>
    <w:rsid w:val="00DE54F4"/>
    <w:rsid w:val="00DE6D67"/>
    <w:rsid w:val="00DE781C"/>
    <w:rsid w:val="00DF4B1F"/>
    <w:rsid w:val="00DF6B41"/>
    <w:rsid w:val="00DF6D02"/>
    <w:rsid w:val="00E03555"/>
    <w:rsid w:val="00E05CDC"/>
    <w:rsid w:val="00E062EC"/>
    <w:rsid w:val="00E071E3"/>
    <w:rsid w:val="00E1180C"/>
    <w:rsid w:val="00E126A8"/>
    <w:rsid w:val="00E1350C"/>
    <w:rsid w:val="00E1642F"/>
    <w:rsid w:val="00E21569"/>
    <w:rsid w:val="00E223E4"/>
    <w:rsid w:val="00E24EB7"/>
    <w:rsid w:val="00E2567C"/>
    <w:rsid w:val="00E2756B"/>
    <w:rsid w:val="00E3004D"/>
    <w:rsid w:val="00E3018C"/>
    <w:rsid w:val="00E424CB"/>
    <w:rsid w:val="00E456B7"/>
    <w:rsid w:val="00E4776F"/>
    <w:rsid w:val="00E500A9"/>
    <w:rsid w:val="00E61DB3"/>
    <w:rsid w:val="00E66C13"/>
    <w:rsid w:val="00E67D61"/>
    <w:rsid w:val="00E70D20"/>
    <w:rsid w:val="00E71606"/>
    <w:rsid w:val="00E721F7"/>
    <w:rsid w:val="00E751CC"/>
    <w:rsid w:val="00E75C0C"/>
    <w:rsid w:val="00E76371"/>
    <w:rsid w:val="00E77A18"/>
    <w:rsid w:val="00E85790"/>
    <w:rsid w:val="00E86BC7"/>
    <w:rsid w:val="00E86D84"/>
    <w:rsid w:val="00E91055"/>
    <w:rsid w:val="00E91CA9"/>
    <w:rsid w:val="00E929A7"/>
    <w:rsid w:val="00E95847"/>
    <w:rsid w:val="00E95A42"/>
    <w:rsid w:val="00E95AD0"/>
    <w:rsid w:val="00EA1C89"/>
    <w:rsid w:val="00EA2681"/>
    <w:rsid w:val="00EB46A7"/>
    <w:rsid w:val="00EB580C"/>
    <w:rsid w:val="00EB6664"/>
    <w:rsid w:val="00EC1DDF"/>
    <w:rsid w:val="00EC3426"/>
    <w:rsid w:val="00EC4093"/>
    <w:rsid w:val="00EC4E1C"/>
    <w:rsid w:val="00EC69E0"/>
    <w:rsid w:val="00ED045B"/>
    <w:rsid w:val="00ED3F58"/>
    <w:rsid w:val="00ED7A59"/>
    <w:rsid w:val="00EE0535"/>
    <w:rsid w:val="00EE21DA"/>
    <w:rsid w:val="00EE252D"/>
    <w:rsid w:val="00EE2A83"/>
    <w:rsid w:val="00EE680B"/>
    <w:rsid w:val="00EE77CF"/>
    <w:rsid w:val="00EF158B"/>
    <w:rsid w:val="00EF2A67"/>
    <w:rsid w:val="00EF3ED7"/>
    <w:rsid w:val="00EF419A"/>
    <w:rsid w:val="00EF577F"/>
    <w:rsid w:val="00F00132"/>
    <w:rsid w:val="00F00AF4"/>
    <w:rsid w:val="00F01417"/>
    <w:rsid w:val="00F02887"/>
    <w:rsid w:val="00F036E7"/>
    <w:rsid w:val="00F05AF8"/>
    <w:rsid w:val="00F071AA"/>
    <w:rsid w:val="00F07FCE"/>
    <w:rsid w:val="00F1019A"/>
    <w:rsid w:val="00F10AF5"/>
    <w:rsid w:val="00F11AA5"/>
    <w:rsid w:val="00F15CBA"/>
    <w:rsid w:val="00F23209"/>
    <w:rsid w:val="00F24565"/>
    <w:rsid w:val="00F258D4"/>
    <w:rsid w:val="00F27A4B"/>
    <w:rsid w:val="00F32661"/>
    <w:rsid w:val="00F363D1"/>
    <w:rsid w:val="00F36BF5"/>
    <w:rsid w:val="00F36BF7"/>
    <w:rsid w:val="00F41F79"/>
    <w:rsid w:val="00F44F07"/>
    <w:rsid w:val="00F47AAB"/>
    <w:rsid w:val="00F53F72"/>
    <w:rsid w:val="00F54777"/>
    <w:rsid w:val="00F55476"/>
    <w:rsid w:val="00F56B03"/>
    <w:rsid w:val="00F67704"/>
    <w:rsid w:val="00F700D3"/>
    <w:rsid w:val="00F70555"/>
    <w:rsid w:val="00F7166E"/>
    <w:rsid w:val="00F71C56"/>
    <w:rsid w:val="00F72871"/>
    <w:rsid w:val="00F72BBC"/>
    <w:rsid w:val="00F74A75"/>
    <w:rsid w:val="00F75E3A"/>
    <w:rsid w:val="00F76C83"/>
    <w:rsid w:val="00F81A21"/>
    <w:rsid w:val="00F8292D"/>
    <w:rsid w:val="00F82AEF"/>
    <w:rsid w:val="00F86E27"/>
    <w:rsid w:val="00F874F7"/>
    <w:rsid w:val="00F87CFE"/>
    <w:rsid w:val="00F87E5A"/>
    <w:rsid w:val="00F9005A"/>
    <w:rsid w:val="00F91213"/>
    <w:rsid w:val="00F91E13"/>
    <w:rsid w:val="00F96547"/>
    <w:rsid w:val="00F9743A"/>
    <w:rsid w:val="00FA07AA"/>
    <w:rsid w:val="00FA59B5"/>
    <w:rsid w:val="00FA5BB2"/>
    <w:rsid w:val="00FB0858"/>
    <w:rsid w:val="00FB2137"/>
    <w:rsid w:val="00FB5AB0"/>
    <w:rsid w:val="00FC08C9"/>
    <w:rsid w:val="00FC10AD"/>
    <w:rsid w:val="00FC2581"/>
    <w:rsid w:val="00FC3534"/>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E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uiPriority="0" w:unhideWhenUsed="0" w:qFormat="1"/>
    <w:lsdException w:name="Default Paragraph Font" w:uiPriority="1"/>
    <w:lsdException w:name="Body Text" w:uiPriority="0"/>
    <w:lsdException w:name="Subtitle" w:unhideWhenUsed="0"/>
    <w:lsdException w:name="Salutation" w:unhideWhenUsed="0"/>
    <w:lsdException w:name="Date" w:semiHidden="0" w:unhideWhenUsed="0"/>
    <w:lsdException w:name="Body Text First Indent" w:unhideWhenUsed="0"/>
    <w:lsdException w:name="Block Text" w:uiPriority="0"/>
    <w:lsdException w:name="Hyperlink" w:uiPriority="0"/>
    <w:lsdException w:name="Strong" w:unhideWhenUsed="0"/>
    <w:lsdException w:name="Emphasis"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uiPriority w:val="99"/>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uiPriority w:val="99"/>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nhideWhenUsed/>
    <w:rsid w:val="00DC518B"/>
    <w:pPr>
      <w:spacing w:line="240" w:lineRule="auto"/>
    </w:pPr>
    <w:rPr>
      <w:sz w:val="20"/>
    </w:rPr>
  </w:style>
  <w:style w:type="character" w:customStyle="1" w:styleId="CommentTextChar">
    <w:name w:val="Comment Text Char"/>
    <w:basedOn w:val="DefaultParagraphFont"/>
    <w:link w:val="CommentText"/>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b/>
      <w:bC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ListParagraphChar">
    <w:name w:val="List Paragraph Char"/>
    <w:basedOn w:val="DefaultParagraphFont"/>
    <w:link w:val="ListParagraph"/>
    <w:uiPriority w:val="34"/>
    <w:locked/>
    <w:rsid w:val="003C3821"/>
    <w:rPr>
      <w:rFonts w:eastAsia="Calibri"/>
      <w:sz w:val="22"/>
      <w:lang w:eastAsia="en-US"/>
    </w:rPr>
  </w:style>
  <w:style w:type="character" w:customStyle="1" w:styleId="paragraphChar">
    <w:name w:val="paragraph Char"/>
    <w:aliases w:val="a Char"/>
    <w:basedOn w:val="DefaultParagraphFont"/>
    <w:link w:val="tPara"/>
    <w:rsid w:val="003C3821"/>
    <w:rPr>
      <w:sz w:val="22"/>
    </w:rPr>
  </w:style>
  <w:style w:type="character" w:customStyle="1" w:styleId="subsectionChar">
    <w:name w:val="subsection Char"/>
    <w:aliases w:val="ss Char"/>
    <w:link w:val="tMain"/>
    <w:uiPriority w:val="99"/>
    <w:locked/>
    <w:rsid w:val="003C3821"/>
    <w:rPr>
      <w:sz w:val="22"/>
    </w:rPr>
  </w:style>
  <w:style w:type="paragraph" w:customStyle="1" w:styleId="Tempstyle">
    <w:name w:val="Temp style"/>
    <w:basedOn w:val="Normal"/>
    <w:rsid w:val="003C3821"/>
    <w:pPr>
      <w:spacing w:line="240" w:lineRule="auto"/>
    </w:pPr>
    <w:rPr>
      <w:rFonts w:eastAsia="Times New Roman"/>
      <w:sz w:val="24"/>
      <w:szCs w:val="24"/>
      <w:lang w:eastAsia="en-AU"/>
    </w:rPr>
  </w:style>
  <w:style w:type="paragraph" w:customStyle="1" w:styleId="h1ChSch">
    <w:name w:val="h1_Ch_Sch"/>
    <w:basedOn w:val="Heading1"/>
    <w:next w:val="Normal"/>
    <w:qFormat/>
    <w:rsid w:val="003C3821"/>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C3821"/>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3C3821"/>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C3821"/>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C3821"/>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C3821"/>
    <w:pPr>
      <w:spacing w:before="20" w:line="240" w:lineRule="exact"/>
      <w:jc w:val="center"/>
    </w:pPr>
    <w:rPr>
      <w:rFonts w:ascii="Arial" w:hAnsi="Arial"/>
      <w:i/>
      <w:sz w:val="18"/>
    </w:rPr>
  </w:style>
  <w:style w:type="paragraph" w:customStyle="1" w:styleId="Sec">
    <w:name w:val="Sec"/>
    <w:basedOn w:val="Normal"/>
    <w:next w:val="Normal"/>
    <w:uiPriority w:val="99"/>
    <w:rsid w:val="003C3821"/>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3C3821"/>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C3821"/>
    <w:rPr>
      <w:rFonts w:ascii="Arial" w:hAnsi="Arial" w:cs="Arial"/>
      <w:iCs/>
      <w:sz w:val="18"/>
      <w:lang w:eastAsia="en-US"/>
    </w:rPr>
  </w:style>
  <w:style w:type="paragraph" w:customStyle="1" w:styleId="NoteEnd">
    <w:name w:val="Note End"/>
    <w:basedOn w:val="Normal"/>
    <w:rsid w:val="003C3821"/>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3C3821"/>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3C3821"/>
    <w:pPr>
      <w:keepLines/>
      <w:spacing w:before="0" w:after="100" w:line="220" w:lineRule="exact"/>
      <w:ind w:left="1701" w:hanging="1701"/>
      <w:jc w:val="both"/>
    </w:pPr>
    <w:rPr>
      <w:sz w:val="20"/>
      <w:szCs w:val="24"/>
    </w:rPr>
  </w:style>
  <w:style w:type="paragraph" w:customStyle="1" w:styleId="noteSubpara">
    <w:name w:val="note_Subpara"/>
    <w:basedOn w:val="tSubpara"/>
    <w:qFormat/>
    <w:rsid w:val="003C3821"/>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3C3821"/>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3C3821"/>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nhideWhenUsed/>
    <w:rsid w:val="003C3821"/>
    <w:rPr>
      <w:sz w:val="16"/>
      <w:szCs w:val="16"/>
    </w:rPr>
  </w:style>
  <w:style w:type="paragraph" w:customStyle="1" w:styleId="Default">
    <w:name w:val="Default"/>
    <w:rsid w:val="003C3821"/>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C3821"/>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C3821"/>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C3821"/>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3C3821"/>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C3821"/>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3C3821"/>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C3821"/>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3C3821"/>
    <w:pPr>
      <w:pageBreakBefore/>
      <w:spacing w:before="480" w:after="60" w:line="276" w:lineRule="auto"/>
      <w:ind w:left="2410" w:hanging="2410"/>
    </w:pPr>
    <w:rPr>
      <w:rFonts w:eastAsia="Times New Roman"/>
      <w:caps w:val="0"/>
      <w:sz w:val="40"/>
      <w:lang w:eastAsia="en-AU"/>
    </w:rPr>
  </w:style>
  <w:style w:type="paragraph" w:customStyle="1" w:styleId="HD">
    <w:name w:val="HD"/>
    <w:aliases w:val="Division Heading"/>
    <w:basedOn w:val="Heading3"/>
    <w:next w:val="Normal"/>
    <w:rsid w:val="003C3821"/>
    <w:pPr>
      <w:spacing w:before="360" w:after="60" w:line="276" w:lineRule="auto"/>
      <w:ind w:left="2410" w:hanging="2410"/>
    </w:pPr>
    <w:rPr>
      <w:rFonts w:eastAsia="Times New Roman"/>
      <w:i w:val="0"/>
      <w:sz w:val="28"/>
      <w:lang w:eastAsia="en-AU"/>
    </w:rPr>
  </w:style>
  <w:style w:type="paragraph" w:customStyle="1" w:styleId="HE">
    <w:name w:val="HE"/>
    <w:aliases w:val="Example heading"/>
    <w:basedOn w:val="Normal"/>
    <w:next w:val="Normal"/>
    <w:rsid w:val="003C3821"/>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3C3821"/>
    <w:pPr>
      <w:pageBreakBefore/>
      <w:spacing w:before="360" w:after="60" w:line="276" w:lineRule="auto"/>
      <w:ind w:left="2410" w:hanging="2410"/>
    </w:pPr>
    <w:rPr>
      <w:rFonts w:eastAsia="Times New Roman"/>
      <w:bCs w:val="0"/>
      <w:sz w:val="36"/>
      <w:szCs w:val="22"/>
      <w:lang w:eastAsia="en-AU"/>
    </w:rPr>
  </w:style>
  <w:style w:type="paragraph" w:customStyle="1" w:styleId="HS">
    <w:name w:val="HS"/>
    <w:aliases w:val="Subdiv Heading"/>
    <w:basedOn w:val="Heading4"/>
    <w:next w:val="Normal"/>
    <w:rsid w:val="003C3821"/>
    <w:pPr>
      <w:spacing w:before="360" w:after="60" w:line="276" w:lineRule="auto"/>
      <w:ind w:left="2410" w:hanging="2410"/>
    </w:pPr>
    <w:rPr>
      <w:rFonts w:eastAsia="Times New Roman" w:cs="Times New Roman"/>
      <w:b/>
      <w:i w:val="0"/>
      <w:sz w:val="28"/>
      <w:lang w:eastAsia="en-AU"/>
    </w:rPr>
  </w:style>
  <w:style w:type="paragraph" w:customStyle="1" w:styleId="HSec">
    <w:name w:val="HSec"/>
    <w:basedOn w:val="Heading5"/>
    <w:next w:val="Normal"/>
    <w:uiPriority w:val="99"/>
    <w:rsid w:val="003C3821"/>
    <w:pPr>
      <w:spacing w:before="360" w:after="60" w:line="276" w:lineRule="auto"/>
      <w:ind w:left="964" w:hanging="964"/>
    </w:pPr>
    <w:rPr>
      <w:rFonts w:eastAsia="Times New Roman" w:cs="Times New Roman"/>
      <w:sz w:val="22"/>
      <w:lang w:eastAsia="en-AU"/>
    </w:rPr>
  </w:style>
  <w:style w:type="paragraph" w:customStyle="1" w:styleId="Notequery">
    <w:name w:val="Note query"/>
    <w:basedOn w:val="Normal"/>
    <w:qFormat/>
    <w:rsid w:val="003C3821"/>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3C3821"/>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C3821"/>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C3821"/>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3C3821"/>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3C3821"/>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C3821"/>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C3821"/>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3C3821"/>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3C3821"/>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3C3821"/>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3C3821"/>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C3821"/>
    <w:pPr>
      <w:numPr>
        <w:ilvl w:val="1"/>
        <w:numId w:val="22"/>
      </w:numPr>
      <w:tabs>
        <w:tab w:val="clear" w:pos="1040"/>
        <w:tab w:val="num" w:pos="520"/>
      </w:tabs>
      <w:spacing w:before="120" w:after="120" w:line="276" w:lineRule="auto"/>
      <w:ind w:left="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C3821"/>
    <w:rPr>
      <w:rFonts w:ascii="Calibri" w:hAnsi="Calibri"/>
      <w:sz w:val="22"/>
      <w:szCs w:val="22"/>
      <w:lang w:eastAsia="en-US"/>
    </w:rPr>
  </w:style>
  <w:style w:type="paragraph" w:customStyle="1" w:styleId="Dash">
    <w:name w:val="Dash"/>
    <w:basedOn w:val="Normal"/>
    <w:uiPriority w:val="99"/>
    <w:qFormat/>
    <w:rsid w:val="003C3821"/>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3C3821"/>
    <w:pPr>
      <w:numPr>
        <w:ilvl w:val="2"/>
        <w:numId w:val="22"/>
      </w:numPr>
      <w:spacing w:before="120" w:after="120" w:line="276" w:lineRule="auto"/>
    </w:pPr>
    <w:rPr>
      <w:rFonts w:ascii="Calibri" w:eastAsia="Times New Roman" w:hAnsi="Calibri"/>
      <w:szCs w:val="22"/>
    </w:rPr>
  </w:style>
  <w:style w:type="paragraph" w:customStyle="1" w:styleId="ldclauseheading">
    <w:name w:val="ldclauseheading"/>
    <w:basedOn w:val="Normal"/>
    <w:rsid w:val="003C3821"/>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C3821"/>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C3821"/>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C3821"/>
    <w:pPr>
      <w:spacing w:before="100" w:beforeAutospacing="1" w:after="100" w:afterAutospacing="1" w:line="240" w:lineRule="auto"/>
    </w:pPr>
    <w:rPr>
      <w:rFonts w:eastAsia="Times New Roman"/>
      <w:sz w:val="24"/>
      <w:szCs w:val="24"/>
      <w:lang w:eastAsia="en-AU"/>
    </w:rPr>
  </w:style>
  <w:style w:type="character" w:styleId="SubtleEmphasis">
    <w:name w:val="Subtle Emphasis"/>
    <w:uiPriority w:val="19"/>
    <w:qFormat/>
    <w:rsid w:val="003C3821"/>
    <w:rPr>
      <w:rFonts w:ascii="Arial" w:hAnsi="Arial" w:cs="Arial"/>
      <w:i/>
      <w:iCs/>
      <w:color w:val="808080"/>
      <w:sz w:val="20"/>
      <w:szCs w:val="20"/>
    </w:rPr>
  </w:style>
  <w:style w:type="character" w:customStyle="1" w:styleId="ssens">
    <w:name w:val="ssens"/>
    <w:basedOn w:val="DefaultParagraphFont"/>
    <w:rsid w:val="003C3821"/>
  </w:style>
  <w:style w:type="character" w:styleId="FollowedHyperlink">
    <w:name w:val="FollowedHyperlink"/>
    <w:basedOn w:val="DefaultParagraphFont"/>
    <w:uiPriority w:val="99"/>
    <w:semiHidden/>
    <w:unhideWhenUsed/>
    <w:rsid w:val="003C38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000376088</RecordNumber>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6AE70A-B07C-4AEE-AB59-5DC33234C261}"/>
</file>

<file path=customXml/itemProps2.xml><?xml version="1.0" encoding="utf-8"?>
<ds:datastoreItem xmlns:ds="http://schemas.openxmlformats.org/officeDocument/2006/customXml" ds:itemID="{B645D391-2D38-492D-92E4-27242AA7B8A8}"/>
</file>

<file path=customXml/itemProps3.xml><?xml version="1.0" encoding="utf-8"?>
<ds:datastoreItem xmlns:ds="http://schemas.openxmlformats.org/officeDocument/2006/customXml" ds:itemID="{C49DEE20-3BCD-45E4-8035-31667F8CABE9}"/>
</file>

<file path=customXml/itemProps4.xml><?xml version="1.0" encoding="utf-8"?>
<ds:datastoreItem xmlns:ds="http://schemas.openxmlformats.org/officeDocument/2006/customXml" ds:itemID="{03508084-BE90-4AC1-B0DD-DB0A9B693D85}"/>
</file>

<file path=customXml/itemProps5.xml><?xml version="1.0" encoding="utf-8"?>
<ds:datastoreItem xmlns:ds="http://schemas.openxmlformats.org/officeDocument/2006/customXml" ds:itemID="{1F775AD0-0E3A-4AC7-BB7C-140096204433}"/>
</file>

<file path=customXml/itemProps6.xml><?xml version="1.0" encoding="utf-8"?>
<ds:datastoreItem xmlns:ds="http://schemas.openxmlformats.org/officeDocument/2006/customXml" ds:itemID="{C7376B19-AC87-49C1-AB3E-E60999A0518C}"/>
</file>

<file path=docProps/app.xml><?xml version="1.0" encoding="utf-8"?>
<Properties xmlns="http://schemas.openxmlformats.org/officeDocument/2006/extended-properties" xmlns:vt="http://schemas.openxmlformats.org/officeDocument/2006/docPropsVTypes">
  <Template>Normal</Template>
  <TotalTime>0</TotalTime>
  <Pages>16</Pages>
  <Words>4605</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Normal</vt:lpstr>
    </vt:vector>
  </TitlesOfParts>
  <LinksUpToDate>false</LinksUpToDate>
  <CharactersWithSpaces>30306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
  <cp:lastModifiedBy/>
  <cp:revision>1</cp:revision>
  <cp:lastPrinted>2015-03-31T00:14:00Z</cp:lastPrinted>
  <dcterms:created xsi:type="dcterms:W3CDTF">2015-04-22T23:53:00Z</dcterms:created>
  <dcterms:modified xsi:type="dcterms:W3CDTF">2015-04-22T23:53:00Z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ContentTypeId">
    <vt:lpwstr>0x010100BB2CA5D4910ACE4AADB481B488BD147400FA829B4AF55F244EAE47CDC9BD732406</vt:lpwstr>
  </property>
  <property fmtid="{D5CDD505-2E9C-101B-9397-08002B2CF9AE}" pid="5" name="RecordPoint_WorkflowType">
    <vt:lpwstr>ActiveSubmitStub</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ActiveItemUniqueId">
    <vt:lpwstr>{5249f989-31db-4627-8f24-37385f81d17b}</vt:lpwstr>
  </property>
  <property fmtid="{D5CDD505-2E9C-101B-9397-08002B2CF9AE}" pid="9" name="RecordPoint_ActiveItemWebId">
    <vt:lpwstr>{7d1753f3-b6db-484b-93d6-b74f5ca30d2d}</vt:lpwstr>
  </property>
  <property fmtid="{D5CDD505-2E9C-101B-9397-08002B2CF9AE}" pid="10" name="RecordPoint_RecordNumberSubmitted">
    <vt:lpwstr>000376088</vt:lpwstr>
  </property>
  <property fmtid="{D5CDD505-2E9C-101B-9397-08002B2CF9AE}" pid="11" name="RecordPoint_SubmissionCompleted">
    <vt:lpwstr>2015-04-23T09:54:32.1676362+10:00</vt:lpwstr>
  </property>
</Properties>
</file>