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54" w:rsidRPr="005E4F6D" w:rsidRDefault="00262154" w:rsidP="00262154">
      <w:pPr>
        <w:spacing w:before="63" w:line="479" w:lineRule="auto"/>
        <w:jc w:val="center"/>
        <w:rPr>
          <w:rFonts w:ascii="Times New Roman" w:hAnsi="Times New Roman" w:cs="Times New Roman"/>
          <w:b/>
          <w:color w:val="000000"/>
          <w:sz w:val="24"/>
          <w:szCs w:val="24"/>
        </w:rPr>
      </w:pPr>
    </w:p>
    <w:p w:rsidR="00262154" w:rsidRPr="005E4F6D" w:rsidRDefault="00262154" w:rsidP="00262154">
      <w:pPr>
        <w:spacing w:before="63" w:line="479" w:lineRule="auto"/>
        <w:jc w:val="center"/>
        <w:rPr>
          <w:rFonts w:ascii="Times New Roman" w:hAnsi="Times New Roman" w:cs="Times New Roman"/>
          <w:sz w:val="24"/>
          <w:szCs w:val="24"/>
        </w:rPr>
      </w:pPr>
      <w:r w:rsidRPr="005E4F6D">
        <w:rPr>
          <w:rFonts w:ascii="Times New Roman" w:hAnsi="Times New Roman" w:cs="Times New Roman"/>
          <w:b/>
          <w:color w:val="000000"/>
          <w:sz w:val="24"/>
          <w:szCs w:val="24"/>
        </w:rPr>
        <w:t>EXPLANATORY</w:t>
      </w:r>
      <w:r w:rsidRPr="005E4F6D">
        <w:rPr>
          <w:rFonts w:ascii="Times New Roman" w:hAnsi="Times New Roman" w:cs="Times New Roman"/>
          <w:b/>
          <w:color w:val="000000"/>
          <w:spacing w:val="-39"/>
          <w:sz w:val="24"/>
          <w:szCs w:val="24"/>
        </w:rPr>
        <w:t xml:space="preserve"> </w:t>
      </w:r>
      <w:r w:rsidRPr="005E4F6D">
        <w:rPr>
          <w:rFonts w:ascii="Times New Roman" w:hAnsi="Times New Roman" w:cs="Times New Roman"/>
          <w:b/>
          <w:color w:val="000000"/>
          <w:spacing w:val="-1"/>
          <w:sz w:val="24"/>
          <w:szCs w:val="24"/>
        </w:rPr>
        <w:t xml:space="preserve">STATEMENT </w:t>
      </w:r>
      <w:r w:rsidR="00817EC6" w:rsidRPr="005E4F6D">
        <w:rPr>
          <w:rFonts w:ascii="Times New Roman" w:hAnsi="Times New Roman" w:cs="Times New Roman"/>
          <w:b/>
          <w:color w:val="000000"/>
          <w:spacing w:val="-1"/>
          <w:sz w:val="24"/>
          <w:szCs w:val="24"/>
        </w:rPr>
        <w:br/>
        <w:t xml:space="preserve">ASIC </w:t>
      </w:r>
      <w:r w:rsidR="007C7D66">
        <w:rPr>
          <w:rFonts w:ascii="Times New Roman" w:hAnsi="Times New Roman" w:cs="Times New Roman"/>
          <w:b/>
          <w:color w:val="000000"/>
          <w:spacing w:val="-1"/>
          <w:sz w:val="24"/>
          <w:szCs w:val="24"/>
        </w:rPr>
        <w:t>SUPERANNUATION (AMENDMENT NO.1) INSTRUMENT 2015</w:t>
      </w:r>
      <w:r w:rsidRPr="005E4F6D">
        <w:rPr>
          <w:rFonts w:ascii="Times New Roman" w:hAnsi="Times New Roman" w:cs="Times New Roman"/>
          <w:b/>
          <w:color w:val="000000"/>
          <w:spacing w:val="-1"/>
          <w:sz w:val="24"/>
          <w:szCs w:val="24"/>
        </w:rPr>
        <w:t xml:space="preserve"> </w:t>
      </w:r>
    </w:p>
    <w:p w:rsidR="00262154" w:rsidRPr="005E4F6D" w:rsidRDefault="00262154" w:rsidP="00262154">
      <w:pPr>
        <w:pStyle w:val="BodyText"/>
        <w:jc w:val="center"/>
        <w:rPr>
          <w:szCs w:val="24"/>
        </w:rPr>
      </w:pPr>
      <w:r w:rsidRPr="005E4F6D">
        <w:rPr>
          <w:szCs w:val="24"/>
        </w:rPr>
        <w:t>Prepared by the Australian Securities and Investments Commission</w:t>
      </w:r>
    </w:p>
    <w:p w:rsidR="00262154" w:rsidRPr="005E4F6D" w:rsidRDefault="00262154" w:rsidP="00262154">
      <w:pPr>
        <w:spacing w:before="4" w:line="220" w:lineRule="exact"/>
        <w:jc w:val="center"/>
        <w:rPr>
          <w:rFonts w:ascii="Times New Roman" w:hAnsi="Times New Roman" w:cs="Times New Roman"/>
          <w:sz w:val="24"/>
          <w:szCs w:val="24"/>
        </w:rPr>
      </w:pPr>
    </w:p>
    <w:p w:rsidR="00262154" w:rsidRPr="005E4F6D" w:rsidRDefault="007C7D66" w:rsidP="00262154">
      <w:pPr>
        <w:jc w:val="center"/>
        <w:rPr>
          <w:rFonts w:ascii="Times New Roman" w:hAnsi="Times New Roman" w:cs="Times New Roman"/>
          <w:sz w:val="24"/>
          <w:szCs w:val="24"/>
        </w:rPr>
      </w:pPr>
      <w:r>
        <w:rPr>
          <w:rFonts w:ascii="Times New Roman" w:hAnsi="Times New Roman" w:cs="Times New Roman"/>
          <w:i/>
          <w:sz w:val="24"/>
          <w:szCs w:val="24"/>
        </w:rPr>
        <w:t>Superannuation Industry (Supervision)</w:t>
      </w:r>
      <w:r w:rsidRPr="005E4F6D">
        <w:rPr>
          <w:rFonts w:ascii="Times New Roman" w:hAnsi="Times New Roman" w:cs="Times New Roman"/>
          <w:i/>
          <w:sz w:val="24"/>
          <w:szCs w:val="24"/>
        </w:rPr>
        <w:t xml:space="preserve"> </w:t>
      </w:r>
      <w:r w:rsidR="00262154" w:rsidRPr="005E4F6D">
        <w:rPr>
          <w:rFonts w:ascii="Times New Roman" w:hAnsi="Times New Roman" w:cs="Times New Roman"/>
          <w:i/>
          <w:sz w:val="24"/>
          <w:szCs w:val="24"/>
        </w:rPr>
        <w:t xml:space="preserve">Act </w:t>
      </w:r>
      <w:r>
        <w:rPr>
          <w:rFonts w:ascii="Times New Roman" w:hAnsi="Times New Roman" w:cs="Times New Roman"/>
          <w:i/>
          <w:sz w:val="24"/>
          <w:szCs w:val="24"/>
        </w:rPr>
        <w:t>1993</w:t>
      </w:r>
    </w:p>
    <w:p w:rsidR="00262154" w:rsidRPr="005E4F6D" w:rsidRDefault="00262154" w:rsidP="00262154">
      <w:pPr>
        <w:spacing w:before="3" w:line="220" w:lineRule="exact"/>
        <w:rPr>
          <w:rFonts w:ascii="Times New Roman" w:hAnsi="Times New Roman" w:cs="Times New Roman"/>
          <w:sz w:val="24"/>
          <w:szCs w:val="24"/>
        </w:rPr>
      </w:pPr>
    </w:p>
    <w:p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Australian Securities and Investments Commission (</w:t>
      </w:r>
      <w:r w:rsidRPr="005E4F6D">
        <w:rPr>
          <w:rFonts w:ascii="Times New Roman" w:eastAsia="Times New Roman" w:hAnsi="Times New Roman" w:cs="Times New Roman"/>
          <w:b/>
          <w:bCs/>
          <w:i/>
          <w:iCs/>
          <w:sz w:val="24"/>
          <w:szCs w:val="24"/>
          <w:lang w:eastAsia="en-AU"/>
        </w:rPr>
        <w:t>ASIC</w:t>
      </w:r>
      <w:r w:rsidRPr="005E4F6D">
        <w:rPr>
          <w:rFonts w:ascii="Times New Roman" w:eastAsia="Times New Roman" w:hAnsi="Times New Roman" w:cs="Times New Roman"/>
          <w:sz w:val="24"/>
          <w:szCs w:val="24"/>
          <w:lang w:eastAsia="en-AU"/>
        </w:rPr>
        <w:t>) m</w:t>
      </w:r>
      <w:r w:rsidR="00817EC6" w:rsidRPr="005E4F6D">
        <w:rPr>
          <w:rFonts w:ascii="Times New Roman" w:eastAsia="Times New Roman" w:hAnsi="Times New Roman" w:cs="Times New Roman"/>
          <w:sz w:val="24"/>
          <w:szCs w:val="24"/>
          <w:lang w:eastAsia="en-AU"/>
        </w:rPr>
        <w:t xml:space="preserve">akes </w:t>
      </w:r>
      <w:r w:rsidR="00817EC6" w:rsidRPr="001E6663">
        <w:rPr>
          <w:rFonts w:ascii="Times New Roman" w:eastAsia="Times New Roman" w:hAnsi="Times New Roman" w:cs="Times New Roman"/>
          <w:i/>
          <w:sz w:val="24"/>
          <w:szCs w:val="24"/>
          <w:lang w:eastAsia="en-AU"/>
        </w:rPr>
        <w:t xml:space="preserve">ASIC </w:t>
      </w:r>
      <w:r w:rsidR="007C7D66" w:rsidRPr="001E6663">
        <w:rPr>
          <w:rFonts w:ascii="Times New Roman" w:eastAsia="Times New Roman" w:hAnsi="Times New Roman" w:cs="Times New Roman"/>
          <w:i/>
          <w:sz w:val="24"/>
          <w:szCs w:val="24"/>
          <w:lang w:eastAsia="en-AU"/>
        </w:rPr>
        <w:t>Superannuation (Amendment No.1) Instrument 2015</w:t>
      </w:r>
      <w:r w:rsidRPr="005E4F6D">
        <w:rPr>
          <w:rFonts w:ascii="Times New Roman" w:eastAsia="Times New Roman" w:hAnsi="Times New Roman" w:cs="Times New Roman"/>
          <w:sz w:val="24"/>
          <w:szCs w:val="24"/>
          <w:lang w:eastAsia="en-AU"/>
        </w:rPr>
        <w:t xml:space="preserve"> </w:t>
      </w:r>
      <w:r w:rsidR="00C93E53">
        <w:rPr>
          <w:rFonts w:ascii="Times New Roman" w:eastAsia="Times New Roman" w:hAnsi="Times New Roman" w:cs="Times New Roman"/>
          <w:sz w:val="24"/>
          <w:szCs w:val="24"/>
          <w:lang w:eastAsia="en-AU"/>
        </w:rPr>
        <w:t xml:space="preserve">(the </w:t>
      </w:r>
      <w:r w:rsidR="00C93E53" w:rsidRPr="001E6663">
        <w:rPr>
          <w:rFonts w:ascii="Times New Roman" w:eastAsia="Times New Roman" w:hAnsi="Times New Roman" w:cs="Times New Roman"/>
          <w:b/>
          <w:i/>
          <w:sz w:val="24"/>
          <w:szCs w:val="24"/>
          <w:lang w:eastAsia="en-AU"/>
        </w:rPr>
        <w:t>Instrument</w:t>
      </w:r>
      <w:r w:rsidR="00C93E53">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under section </w:t>
      </w:r>
      <w:r w:rsidR="007C7D66">
        <w:rPr>
          <w:rFonts w:ascii="Times New Roman" w:eastAsia="Times New Roman" w:hAnsi="Times New Roman" w:cs="Times New Roman"/>
          <w:sz w:val="24"/>
          <w:szCs w:val="24"/>
          <w:lang w:eastAsia="en-AU"/>
        </w:rPr>
        <w:t>335</w:t>
      </w:r>
      <w:r w:rsidRPr="005E4F6D">
        <w:rPr>
          <w:rFonts w:ascii="Times New Roman" w:eastAsia="Times New Roman" w:hAnsi="Times New Roman" w:cs="Times New Roman"/>
          <w:b/>
          <w:bCs/>
          <w:sz w:val="24"/>
          <w:szCs w:val="24"/>
          <w:lang w:eastAsia="en-AU"/>
        </w:rPr>
        <w:t xml:space="preserve"> </w:t>
      </w:r>
      <w:r w:rsidRPr="005E4F6D">
        <w:rPr>
          <w:rFonts w:ascii="Times New Roman" w:eastAsia="Times New Roman" w:hAnsi="Times New Roman" w:cs="Times New Roman"/>
          <w:sz w:val="24"/>
          <w:szCs w:val="24"/>
          <w:lang w:eastAsia="en-AU"/>
        </w:rPr>
        <w:t xml:space="preserve">of the </w:t>
      </w:r>
      <w:r w:rsidRPr="005E4F6D">
        <w:rPr>
          <w:rFonts w:ascii="Times New Roman" w:eastAsia="Times New Roman" w:hAnsi="Times New Roman" w:cs="Times New Roman"/>
          <w:i/>
          <w:iCs/>
          <w:sz w:val="24"/>
          <w:szCs w:val="24"/>
          <w:lang w:eastAsia="en-AU"/>
        </w:rPr>
        <w:t xml:space="preserve">Superannuation Industry (Supervision) Act 1993 </w:t>
      </w:r>
      <w:r w:rsidRPr="005E4F6D">
        <w:rPr>
          <w:rFonts w:ascii="Times New Roman" w:eastAsia="Times New Roman" w:hAnsi="Times New Roman" w:cs="Times New Roman"/>
          <w:sz w:val="24"/>
          <w:szCs w:val="24"/>
          <w:lang w:eastAsia="en-AU"/>
        </w:rPr>
        <w:t xml:space="preserve">(the </w:t>
      </w:r>
      <w:r w:rsidR="00DB1491" w:rsidRPr="001E6663">
        <w:rPr>
          <w:rFonts w:ascii="Times New Roman" w:eastAsia="Times New Roman" w:hAnsi="Times New Roman" w:cs="Times New Roman"/>
          <w:b/>
          <w:i/>
          <w:sz w:val="24"/>
          <w:szCs w:val="24"/>
          <w:lang w:eastAsia="en-AU"/>
        </w:rPr>
        <w:t>SIS</w:t>
      </w:r>
      <w:r w:rsidR="00DB1491" w:rsidRPr="001E6663">
        <w:rPr>
          <w:rFonts w:ascii="Times New Roman" w:eastAsia="Times New Roman" w:hAnsi="Times New Roman" w:cs="Times New Roman"/>
          <w:b/>
          <w:sz w:val="24"/>
          <w:szCs w:val="24"/>
          <w:lang w:eastAsia="en-AU"/>
        </w:rPr>
        <w:t xml:space="preserve"> </w:t>
      </w:r>
      <w:r w:rsidRPr="005E4F6D">
        <w:rPr>
          <w:rFonts w:ascii="Times New Roman" w:eastAsia="Times New Roman" w:hAnsi="Times New Roman" w:cs="Times New Roman"/>
          <w:b/>
          <w:bCs/>
          <w:i/>
          <w:iCs/>
          <w:sz w:val="24"/>
          <w:szCs w:val="24"/>
          <w:lang w:eastAsia="en-AU"/>
        </w:rPr>
        <w:t>Act</w:t>
      </w:r>
      <w:r w:rsidRPr="005E4F6D">
        <w:rPr>
          <w:rFonts w:ascii="Times New Roman" w:eastAsia="Times New Roman" w:hAnsi="Times New Roman" w:cs="Times New Roman"/>
          <w:sz w:val="24"/>
          <w:szCs w:val="24"/>
          <w:lang w:eastAsia="en-AU"/>
        </w:rPr>
        <w:t>)</w:t>
      </w:r>
      <w:r w:rsidR="00DB1491"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 </w:t>
      </w:r>
    </w:p>
    <w:p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Subsection 332(1)</w:t>
      </w:r>
      <w:r w:rsidRPr="005E4F6D">
        <w:rPr>
          <w:rFonts w:ascii="Times New Roman" w:eastAsia="Times New Roman" w:hAnsi="Times New Roman" w:cs="Times New Roman"/>
          <w:b/>
          <w:bCs/>
          <w:sz w:val="24"/>
          <w:szCs w:val="24"/>
          <w:lang w:eastAsia="en-AU"/>
        </w:rPr>
        <w:t xml:space="preserve"> </w:t>
      </w:r>
      <w:r w:rsidR="007C7D66" w:rsidRPr="001E6663">
        <w:rPr>
          <w:rFonts w:ascii="Times New Roman" w:eastAsia="Times New Roman" w:hAnsi="Times New Roman" w:cs="Times New Roman"/>
          <w:bCs/>
          <w:sz w:val="24"/>
          <w:szCs w:val="24"/>
          <w:lang w:eastAsia="en-AU"/>
        </w:rPr>
        <w:t>of the SIS Act</w:t>
      </w:r>
      <w:r w:rsidR="007C7D66">
        <w:rPr>
          <w:rFonts w:ascii="Times New Roman" w:eastAsia="Times New Roman" w:hAnsi="Times New Roman" w:cs="Times New Roman"/>
          <w:b/>
          <w:bCs/>
          <w:sz w:val="24"/>
          <w:szCs w:val="24"/>
          <w:lang w:eastAsia="en-AU"/>
        </w:rPr>
        <w:t xml:space="preserve"> </w:t>
      </w:r>
      <w:r w:rsidRPr="005E4F6D">
        <w:rPr>
          <w:rFonts w:ascii="Times New Roman" w:eastAsia="Times New Roman" w:hAnsi="Times New Roman" w:cs="Times New Roman"/>
          <w:sz w:val="24"/>
          <w:szCs w:val="24"/>
          <w:lang w:eastAsia="en-AU"/>
        </w:rPr>
        <w:t>provides that ASIC may, in writing, declare that a modifiable provision is to have effect, as if it were modified as specified in the declaration, in relation to a particular person or a class of persons or a particular group of individual trustees or a class of groups of individual trustees. The modifiable provisions include a provision of Part 2B of the Act and a provision of regulations made under Part 2B.</w:t>
      </w:r>
      <w:r w:rsidR="00C93E53">
        <w:rPr>
          <w:rFonts w:ascii="Times New Roman" w:eastAsia="Times New Roman" w:hAnsi="Times New Roman" w:cs="Times New Roman"/>
          <w:sz w:val="24"/>
          <w:szCs w:val="24"/>
          <w:lang w:eastAsia="en-AU"/>
        </w:rPr>
        <w:t xml:space="preserve">  By section 335, ASIC </w:t>
      </w:r>
      <w:r w:rsidR="00C93E53" w:rsidRPr="00C93E53">
        <w:rPr>
          <w:rFonts w:ascii="Times New Roman" w:eastAsia="Times New Roman" w:hAnsi="Times New Roman" w:cs="Times New Roman"/>
          <w:sz w:val="24"/>
          <w:szCs w:val="24"/>
          <w:lang w:eastAsia="en-AU"/>
        </w:rPr>
        <w:t xml:space="preserve">may, in writing, vary or revoke </w:t>
      </w:r>
      <w:r w:rsidR="00C93E53">
        <w:rPr>
          <w:rFonts w:ascii="Times New Roman" w:eastAsia="Times New Roman" w:hAnsi="Times New Roman" w:cs="Times New Roman"/>
          <w:sz w:val="24"/>
          <w:szCs w:val="24"/>
          <w:lang w:eastAsia="en-AU"/>
        </w:rPr>
        <w:t>a</w:t>
      </w:r>
      <w:r w:rsidR="00C93E53" w:rsidRPr="00C93E53">
        <w:rPr>
          <w:rFonts w:ascii="Times New Roman" w:eastAsia="Times New Roman" w:hAnsi="Times New Roman" w:cs="Times New Roman"/>
          <w:sz w:val="24"/>
          <w:szCs w:val="24"/>
          <w:lang w:eastAsia="en-AU"/>
        </w:rPr>
        <w:t xml:space="preserve"> declaration under </w:t>
      </w:r>
      <w:r w:rsidR="00C93E53">
        <w:rPr>
          <w:rFonts w:ascii="Times New Roman" w:eastAsia="Times New Roman" w:hAnsi="Times New Roman" w:cs="Times New Roman"/>
          <w:sz w:val="24"/>
          <w:szCs w:val="24"/>
          <w:lang w:eastAsia="en-AU"/>
        </w:rPr>
        <w:t>subsection 332(1)</w:t>
      </w:r>
      <w:r w:rsidR="00C93E53" w:rsidRPr="00C93E53">
        <w:rPr>
          <w:rFonts w:ascii="Times New Roman" w:eastAsia="Times New Roman" w:hAnsi="Times New Roman" w:cs="Times New Roman"/>
          <w:sz w:val="24"/>
          <w:szCs w:val="24"/>
          <w:lang w:eastAsia="en-AU"/>
        </w:rPr>
        <w:t>.</w:t>
      </w:r>
    </w:p>
    <w:p w:rsidR="00262154" w:rsidRPr="005E4F6D" w:rsidRDefault="00262154" w:rsidP="005B3B33">
      <w:pPr>
        <w:spacing w:before="100" w:beforeAutospacing="1" w:after="100" w:afterAutospacing="1" w:line="240" w:lineRule="auto"/>
        <w:ind w:left="567" w:hanging="567"/>
        <w:rPr>
          <w:rFonts w:ascii="Times New Roman" w:eastAsia="Times New Roman" w:hAnsi="Times New Roman" w:cs="Times New Roman"/>
          <w:b/>
          <w:bCs/>
          <w:sz w:val="24"/>
          <w:szCs w:val="24"/>
          <w:lang w:eastAsia="en-AU"/>
        </w:rPr>
      </w:pPr>
      <w:bookmarkStart w:id="0" w:name="1._Background"/>
      <w:bookmarkStart w:id="1" w:name="2._Purpose_of_the_class_order_"/>
      <w:bookmarkStart w:id="2" w:name="3._Operation_of_the_class_order_"/>
      <w:bookmarkStart w:id="3" w:name="4._Documents_incorporated_by_reference"/>
      <w:bookmarkEnd w:id="0"/>
      <w:bookmarkEnd w:id="1"/>
      <w:bookmarkEnd w:id="2"/>
      <w:bookmarkEnd w:id="3"/>
      <w:r w:rsidRPr="005E4F6D">
        <w:rPr>
          <w:rFonts w:ascii="Times New Roman" w:eastAsia="Times New Roman" w:hAnsi="Times New Roman" w:cs="Times New Roman"/>
          <w:b/>
          <w:bCs/>
          <w:sz w:val="24"/>
          <w:szCs w:val="24"/>
          <w:lang w:eastAsia="en-AU"/>
        </w:rPr>
        <w:t xml:space="preserve">1.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Background </w:t>
      </w:r>
    </w:p>
    <w:p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To promote systemic transparency, section 29QB of the Act requires the publication, on the public section of the fund’s website, of information and documents prescribed in regulations 2.37 and 2.38 of the </w:t>
      </w:r>
      <w:r w:rsidRPr="005E4F6D">
        <w:rPr>
          <w:rFonts w:ascii="Times New Roman" w:eastAsia="Times New Roman" w:hAnsi="Times New Roman" w:cs="Times New Roman"/>
          <w:i/>
          <w:iCs/>
          <w:sz w:val="24"/>
          <w:szCs w:val="24"/>
          <w:lang w:eastAsia="en-AU"/>
        </w:rPr>
        <w:t xml:space="preserve">Superannuation Industry (Supervision) Regulations 1994 </w:t>
      </w:r>
      <w:r w:rsidRPr="005E4F6D">
        <w:rPr>
          <w:rFonts w:ascii="Times New Roman" w:eastAsia="Times New Roman" w:hAnsi="Times New Roman" w:cs="Times New Roman"/>
          <w:sz w:val="24"/>
          <w:szCs w:val="24"/>
          <w:lang w:eastAsia="en-AU"/>
        </w:rPr>
        <w:t>(</w:t>
      </w:r>
      <w:r w:rsidR="00DB7689">
        <w:rPr>
          <w:rFonts w:ascii="Times New Roman" w:eastAsia="Times New Roman" w:hAnsi="Times New Roman" w:cs="Times New Roman"/>
          <w:b/>
          <w:i/>
          <w:sz w:val="24"/>
          <w:szCs w:val="24"/>
          <w:lang w:eastAsia="en-AU"/>
        </w:rPr>
        <w:t xml:space="preserve">SIS </w:t>
      </w:r>
      <w:r w:rsidRPr="005E4F6D">
        <w:rPr>
          <w:rFonts w:ascii="Times New Roman" w:eastAsia="Times New Roman" w:hAnsi="Times New Roman" w:cs="Times New Roman"/>
          <w:b/>
          <w:bCs/>
          <w:i/>
          <w:iCs/>
          <w:sz w:val="24"/>
          <w:szCs w:val="24"/>
          <w:lang w:eastAsia="en-AU"/>
        </w:rPr>
        <w:t>Regulations</w:t>
      </w:r>
      <w:r w:rsidRPr="005E4F6D">
        <w:rPr>
          <w:rFonts w:ascii="Times New Roman" w:eastAsia="Times New Roman" w:hAnsi="Times New Roman" w:cs="Times New Roman"/>
          <w:sz w:val="24"/>
          <w:szCs w:val="24"/>
          <w:lang w:eastAsia="en-AU"/>
        </w:rPr>
        <w:t>). These requirements, originally scheduled to commence on 1 July 2013, have been deferred by A</w:t>
      </w:r>
      <w:r w:rsidR="00D23575" w:rsidRPr="005E4F6D">
        <w:rPr>
          <w:rFonts w:ascii="Times New Roman" w:eastAsia="Times New Roman" w:hAnsi="Times New Roman" w:cs="Times New Roman"/>
          <w:sz w:val="24"/>
          <w:szCs w:val="24"/>
          <w:lang w:eastAsia="en-AU"/>
        </w:rPr>
        <w:t>SIC Class Orders [CO 13/830],</w:t>
      </w:r>
      <w:r w:rsidRPr="005E4F6D">
        <w:rPr>
          <w:rFonts w:ascii="Times New Roman" w:eastAsia="Times New Roman" w:hAnsi="Times New Roman" w:cs="Times New Roman"/>
          <w:sz w:val="24"/>
          <w:szCs w:val="24"/>
          <w:lang w:eastAsia="en-AU"/>
        </w:rPr>
        <w:t xml:space="preserve"> [CO 13/1275] </w:t>
      </w:r>
      <w:r w:rsidR="00D23575" w:rsidRPr="005E4F6D">
        <w:rPr>
          <w:rFonts w:ascii="Times New Roman" w:eastAsia="Times New Roman" w:hAnsi="Times New Roman" w:cs="Times New Roman"/>
          <w:sz w:val="24"/>
          <w:szCs w:val="24"/>
          <w:lang w:eastAsia="en-AU"/>
        </w:rPr>
        <w:t xml:space="preserve">and [CO 14/592] </w:t>
      </w:r>
      <w:r w:rsidRPr="005E4F6D">
        <w:rPr>
          <w:rFonts w:ascii="Times New Roman" w:eastAsia="Times New Roman" w:hAnsi="Times New Roman" w:cs="Times New Roman"/>
          <w:sz w:val="24"/>
          <w:szCs w:val="24"/>
          <w:lang w:eastAsia="en-AU"/>
        </w:rPr>
        <w:t>and</w:t>
      </w:r>
      <w:r w:rsidR="007C7AED" w:rsidRPr="005E4F6D">
        <w:rPr>
          <w:rFonts w:ascii="Times New Roman" w:eastAsia="Times New Roman" w:hAnsi="Times New Roman" w:cs="Times New Roman"/>
          <w:sz w:val="24"/>
          <w:szCs w:val="24"/>
          <w:lang w:eastAsia="en-AU"/>
        </w:rPr>
        <w:t xml:space="preserve"> have</w:t>
      </w:r>
      <w:r w:rsidRPr="005E4F6D">
        <w:rPr>
          <w:rFonts w:ascii="Times New Roman" w:eastAsia="Times New Roman" w:hAnsi="Times New Roman" w:cs="Times New Roman"/>
          <w:sz w:val="24"/>
          <w:szCs w:val="24"/>
          <w:lang w:eastAsia="en-AU"/>
        </w:rPr>
        <w:t xml:space="preserve"> now</w:t>
      </w:r>
      <w:r w:rsidR="00D23575" w:rsidRPr="005E4F6D">
        <w:rPr>
          <w:rFonts w:ascii="Times New Roman" w:eastAsia="Times New Roman" w:hAnsi="Times New Roman" w:cs="Times New Roman"/>
          <w:sz w:val="24"/>
          <w:szCs w:val="24"/>
          <w:lang w:eastAsia="en-AU"/>
        </w:rPr>
        <w:t xml:space="preserve"> </w:t>
      </w:r>
      <w:r w:rsidR="007C7AED" w:rsidRPr="005E4F6D">
        <w:rPr>
          <w:rFonts w:ascii="Times New Roman" w:eastAsia="Times New Roman" w:hAnsi="Times New Roman" w:cs="Times New Roman"/>
          <w:sz w:val="24"/>
          <w:szCs w:val="24"/>
          <w:lang w:eastAsia="en-AU"/>
        </w:rPr>
        <w:t xml:space="preserve">largely </w:t>
      </w:r>
      <w:r w:rsidR="00D23575" w:rsidRPr="005E4F6D">
        <w:rPr>
          <w:rFonts w:ascii="Times New Roman" w:eastAsia="Times New Roman" w:hAnsi="Times New Roman" w:cs="Times New Roman"/>
          <w:sz w:val="24"/>
          <w:szCs w:val="24"/>
          <w:lang w:eastAsia="en-AU"/>
        </w:rPr>
        <w:t>come into effect on 1 July 2015</w:t>
      </w:r>
      <w:r w:rsidRPr="005E4F6D">
        <w:rPr>
          <w:rFonts w:ascii="Times New Roman" w:eastAsia="Times New Roman" w:hAnsi="Times New Roman" w:cs="Times New Roman"/>
          <w:sz w:val="24"/>
          <w:szCs w:val="24"/>
          <w:lang w:eastAsia="en-AU"/>
        </w:rPr>
        <w:t>.</w:t>
      </w:r>
    </w:p>
    <w:p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Under these requirements, an RSE licensee of a registrable superannuation entity </w:t>
      </w:r>
      <w:r w:rsidR="007C7AED" w:rsidRPr="005E4F6D">
        <w:rPr>
          <w:rFonts w:ascii="Times New Roman" w:eastAsia="Times New Roman" w:hAnsi="Times New Roman" w:cs="Times New Roman"/>
          <w:sz w:val="24"/>
          <w:szCs w:val="24"/>
          <w:lang w:eastAsia="en-AU"/>
        </w:rPr>
        <w:t>is</w:t>
      </w:r>
      <w:r w:rsidRPr="005E4F6D">
        <w:rPr>
          <w:rFonts w:ascii="Times New Roman" w:eastAsia="Times New Roman" w:hAnsi="Times New Roman" w:cs="Times New Roman"/>
          <w:sz w:val="24"/>
          <w:szCs w:val="24"/>
          <w:lang w:eastAsia="en-AU"/>
        </w:rPr>
        <w:t xml:space="preserve"> required to make publicly available and to keep up to date at all times, on the registrable superannuation entity’s website, details and remuneration of executive officers and individual trustees and information and documents relevant to the superannuation fund. </w:t>
      </w:r>
    </w:p>
    <w:p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ASIC Class Order [CO 14/509] clarified the requirement under section 29QB of the Act that superannuation websites must be kept up to date at all times. To achieve this, that class order provided RSE licensees with a safe harbour so that if they update the registrable superannuation entity’s website within the time frames prescribed they will be taken to comply with the updating obligations under section 29QB.</w:t>
      </w:r>
    </w:p>
    <w:p w:rsidR="00262154" w:rsidRPr="005E4F6D" w:rsidRDefault="00262154"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[CO 14/509] also modified regulations 2.37 and 2.38 of the </w:t>
      </w:r>
      <w:r w:rsidR="00DB7689">
        <w:rPr>
          <w:rFonts w:ascii="Times New Roman" w:eastAsia="Times New Roman" w:hAnsi="Times New Roman" w:cs="Times New Roman"/>
          <w:sz w:val="24"/>
          <w:szCs w:val="24"/>
          <w:lang w:eastAsia="en-AU"/>
        </w:rPr>
        <w:t xml:space="preserve">SIS </w:t>
      </w:r>
      <w:r w:rsidRPr="005E4F6D">
        <w:rPr>
          <w:rFonts w:ascii="Times New Roman" w:eastAsia="Times New Roman" w:hAnsi="Times New Roman" w:cs="Times New Roman"/>
          <w:sz w:val="24"/>
          <w:szCs w:val="24"/>
          <w:lang w:eastAsia="en-AU"/>
        </w:rPr>
        <w:t xml:space="preserve">Regulations by clarifying how references to ‘financial year’ are to operate in various circumstances. </w:t>
      </w:r>
    </w:p>
    <w:p w:rsidR="00D23575" w:rsidRPr="005E4F6D" w:rsidRDefault="00D23575"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lastRenderedPageBreak/>
        <w:t xml:space="preserve">[CO 14/509] also deferred the start date until 1 July 2015 for certain disclosures required pursuant to subsection </w:t>
      </w:r>
      <w:proofErr w:type="gramStart"/>
      <w:r w:rsidRPr="005E4F6D">
        <w:rPr>
          <w:rFonts w:ascii="Times New Roman" w:eastAsia="Times New Roman" w:hAnsi="Times New Roman" w:cs="Times New Roman"/>
          <w:sz w:val="24"/>
          <w:szCs w:val="24"/>
          <w:lang w:eastAsia="en-AU"/>
        </w:rPr>
        <w:t>29QB(</w:t>
      </w:r>
      <w:proofErr w:type="gramEnd"/>
      <w:r w:rsidRPr="005E4F6D">
        <w:rPr>
          <w:rFonts w:ascii="Times New Roman" w:eastAsia="Times New Roman" w:hAnsi="Times New Roman" w:cs="Times New Roman"/>
          <w:sz w:val="24"/>
          <w:szCs w:val="24"/>
          <w:lang w:eastAsia="en-AU"/>
        </w:rPr>
        <w:t xml:space="preserve">1) of the Act for standard employer-sponsored sub-plans.  </w:t>
      </w:r>
    </w:p>
    <w:p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2.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Purpose of the class order</w:t>
      </w:r>
    </w:p>
    <w:p w:rsidR="00262154" w:rsidRPr="005E4F6D" w:rsidRDefault="00262154" w:rsidP="001A0911">
      <w:pPr>
        <w:spacing w:before="100" w:beforeAutospacing="1" w:after="240"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pu</w:t>
      </w:r>
      <w:r w:rsidR="00817EC6" w:rsidRPr="005E4F6D">
        <w:rPr>
          <w:rFonts w:ascii="Times New Roman" w:eastAsia="Times New Roman" w:hAnsi="Times New Roman" w:cs="Times New Roman"/>
          <w:sz w:val="24"/>
          <w:szCs w:val="24"/>
          <w:lang w:eastAsia="en-AU"/>
        </w:rPr>
        <w:t xml:space="preserve">rpose of </w:t>
      </w:r>
      <w:r w:rsidR="00C93E53">
        <w:rPr>
          <w:rFonts w:ascii="Times New Roman" w:eastAsia="Times New Roman" w:hAnsi="Times New Roman" w:cs="Times New Roman"/>
          <w:i/>
          <w:sz w:val="24"/>
          <w:szCs w:val="24"/>
          <w:lang w:eastAsia="en-AU"/>
        </w:rPr>
        <w:t xml:space="preserve"> </w:t>
      </w:r>
      <w:r w:rsidR="00C93E53" w:rsidRPr="001E6663">
        <w:rPr>
          <w:rFonts w:ascii="Times New Roman" w:eastAsia="Times New Roman" w:hAnsi="Times New Roman" w:cs="Times New Roman"/>
          <w:sz w:val="24"/>
          <w:szCs w:val="24"/>
          <w:lang w:eastAsia="en-AU"/>
        </w:rPr>
        <w:t>Instrument</w:t>
      </w:r>
      <w:r w:rsidR="00F5237C" w:rsidRPr="005E4F6D">
        <w:rPr>
          <w:rFonts w:ascii="Times New Roman" w:eastAsia="Times New Roman" w:hAnsi="Times New Roman" w:cs="Times New Roman"/>
          <w:sz w:val="24"/>
          <w:szCs w:val="24"/>
          <w:lang w:eastAsia="en-AU"/>
        </w:rPr>
        <w:t xml:space="preserve"> is</w:t>
      </w:r>
      <w:r w:rsidRPr="005E4F6D">
        <w:rPr>
          <w:rFonts w:ascii="Times New Roman" w:eastAsia="Times New Roman" w:hAnsi="Times New Roman" w:cs="Times New Roman"/>
          <w:sz w:val="24"/>
          <w:szCs w:val="24"/>
          <w:lang w:eastAsia="en-AU"/>
        </w:rPr>
        <w:t xml:space="preserve"> to</w:t>
      </w:r>
      <w:r w:rsidR="002B7B88">
        <w:rPr>
          <w:rFonts w:ascii="Times New Roman" w:eastAsia="Times New Roman" w:hAnsi="Times New Roman" w:cs="Times New Roman"/>
          <w:sz w:val="24"/>
          <w:szCs w:val="24"/>
          <w:lang w:eastAsia="en-AU"/>
        </w:rPr>
        <w:t xml:space="preserve"> </w:t>
      </w:r>
      <w:r w:rsidR="00F5237C" w:rsidRPr="005E4F6D">
        <w:rPr>
          <w:rFonts w:ascii="Times New Roman" w:eastAsia="Times New Roman" w:hAnsi="Times New Roman" w:cs="Times New Roman"/>
          <w:sz w:val="24"/>
          <w:szCs w:val="24"/>
          <w:lang w:eastAsia="en-AU"/>
        </w:rPr>
        <w:t xml:space="preserve">further </w:t>
      </w:r>
      <w:r w:rsidRPr="005E4F6D">
        <w:rPr>
          <w:rFonts w:ascii="Times New Roman" w:eastAsia="Times New Roman" w:hAnsi="Times New Roman" w:cs="Times New Roman"/>
          <w:sz w:val="24"/>
          <w:szCs w:val="24"/>
          <w:lang w:eastAsia="en-AU"/>
        </w:rPr>
        <w:t xml:space="preserve">defer </w:t>
      </w:r>
      <w:r w:rsidR="00F5237C" w:rsidRPr="005E4F6D">
        <w:rPr>
          <w:rFonts w:ascii="Times New Roman" w:eastAsia="Times New Roman" w:hAnsi="Times New Roman" w:cs="Times New Roman"/>
          <w:sz w:val="24"/>
          <w:szCs w:val="24"/>
          <w:lang w:eastAsia="en-AU"/>
        </w:rPr>
        <w:t>the start date until 1 July 2016</w:t>
      </w:r>
      <w:r w:rsidRPr="005E4F6D">
        <w:rPr>
          <w:rFonts w:ascii="Times New Roman" w:eastAsia="Times New Roman" w:hAnsi="Times New Roman" w:cs="Times New Roman"/>
          <w:sz w:val="24"/>
          <w:szCs w:val="24"/>
          <w:lang w:eastAsia="en-AU"/>
        </w:rPr>
        <w:t xml:space="preserve"> for certain d</w:t>
      </w:r>
      <w:r w:rsidR="007E30AB" w:rsidRPr="005E4F6D">
        <w:rPr>
          <w:rFonts w:ascii="Times New Roman" w:eastAsia="Times New Roman" w:hAnsi="Times New Roman" w:cs="Times New Roman"/>
          <w:sz w:val="24"/>
          <w:szCs w:val="24"/>
          <w:lang w:eastAsia="en-AU"/>
        </w:rPr>
        <w:t xml:space="preserve">isclosures required pursuant to </w:t>
      </w:r>
      <w:r w:rsidRPr="005E4F6D">
        <w:rPr>
          <w:rFonts w:ascii="Times New Roman" w:eastAsia="Times New Roman" w:hAnsi="Times New Roman" w:cs="Times New Roman"/>
          <w:sz w:val="24"/>
          <w:szCs w:val="24"/>
          <w:lang w:eastAsia="en-AU"/>
        </w:rPr>
        <w:t>subsection 29QB(1) of the Act for standard employer-sponsored sub-plans. This will provide further time for consideration of the commercial sensitivity issues that arise in the context of these types of sub-plans.</w:t>
      </w:r>
    </w:p>
    <w:p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3.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Operation of the class order </w:t>
      </w:r>
    </w:p>
    <w:p w:rsidR="00262154" w:rsidRPr="005E4F6D" w:rsidRDefault="00C93E53"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w:t>
      </w:r>
      <w:r w:rsidR="00262154" w:rsidRPr="005E4F6D">
        <w:rPr>
          <w:rFonts w:ascii="Times New Roman" w:eastAsia="Times New Roman" w:hAnsi="Times New Roman" w:cs="Times New Roman"/>
          <w:sz w:val="24"/>
          <w:szCs w:val="24"/>
          <w:lang w:eastAsia="en-AU"/>
        </w:rPr>
        <w:t xml:space="preserve"> amends [CO 14/509] to defer the start date of disclosure requirements in relation to </w:t>
      </w:r>
      <w:r w:rsidR="00615A6C" w:rsidRPr="005E4F6D">
        <w:rPr>
          <w:rFonts w:ascii="Times New Roman" w:eastAsia="Times New Roman" w:hAnsi="Times New Roman" w:cs="Times New Roman"/>
          <w:sz w:val="24"/>
          <w:szCs w:val="24"/>
          <w:lang w:eastAsia="en-AU"/>
        </w:rPr>
        <w:t>such documents until 1 July 2016</w:t>
      </w:r>
      <w:r w:rsidR="00262154" w:rsidRPr="005E4F6D">
        <w:rPr>
          <w:rFonts w:ascii="Times New Roman" w:eastAsia="Times New Roman" w:hAnsi="Times New Roman" w:cs="Times New Roman"/>
          <w:sz w:val="24"/>
          <w:szCs w:val="24"/>
          <w:lang w:eastAsia="en-AU"/>
        </w:rPr>
        <w:t xml:space="preserve"> for standard employer-sponsored sub-plans. This means that in respect of standard employer-sponsored sub-plans, RSE documents such as product disclosure statements, trust deeds and governing rules, actuarial reports of defined benefit funds, annual reports and summaries of significant event notices do not have to be published on the</w:t>
      </w:r>
      <w:r w:rsidR="00615A6C" w:rsidRPr="005E4F6D">
        <w:rPr>
          <w:rFonts w:ascii="Times New Roman" w:eastAsia="Times New Roman" w:hAnsi="Times New Roman" w:cs="Times New Roman"/>
          <w:sz w:val="24"/>
          <w:szCs w:val="24"/>
          <w:lang w:eastAsia="en-AU"/>
        </w:rPr>
        <w:t xml:space="preserve"> RSE's website until 1 July 2016</w:t>
      </w:r>
      <w:r w:rsidR="00262154" w:rsidRPr="005E4F6D">
        <w:rPr>
          <w:rFonts w:ascii="Times New Roman" w:eastAsia="Times New Roman" w:hAnsi="Times New Roman" w:cs="Times New Roman"/>
          <w:sz w:val="24"/>
          <w:szCs w:val="24"/>
          <w:lang w:eastAsia="en-AU"/>
        </w:rPr>
        <w:t xml:space="preserve"> or may be redacted if the document relates to both the sub-plan and the RSE more generally. </w:t>
      </w:r>
    </w:p>
    <w:p w:rsidR="00262154" w:rsidRPr="005E4F6D" w:rsidRDefault="00262154"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This deferral is intended to allow time for more consultation in respect of RSE documents that contain potentially sensitive information in relation to standard employer-sponsored sub-plans. As a result of feedback received from industry, ASIC understands that most issues regarding commercially sensitive information relate to sub-plans as defined in [CO 14/509]. There is no intention to extend the scope of this deferral to other documents or information required by regulations 2.37 and 2.38 of the </w:t>
      </w:r>
      <w:r w:rsidR="00DB7689">
        <w:rPr>
          <w:rFonts w:ascii="Times New Roman" w:eastAsia="Times New Roman" w:hAnsi="Times New Roman" w:cs="Times New Roman"/>
          <w:sz w:val="24"/>
          <w:szCs w:val="24"/>
          <w:lang w:eastAsia="en-AU"/>
        </w:rPr>
        <w:t xml:space="preserve">SIS </w:t>
      </w:r>
      <w:r w:rsidRPr="005E4F6D">
        <w:rPr>
          <w:rFonts w:ascii="Times New Roman" w:eastAsia="Times New Roman" w:hAnsi="Times New Roman" w:cs="Times New Roman"/>
          <w:sz w:val="24"/>
          <w:szCs w:val="24"/>
          <w:lang w:eastAsia="en-AU"/>
        </w:rPr>
        <w:t xml:space="preserve">Regulations. </w:t>
      </w:r>
    </w:p>
    <w:p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4. </w:t>
      </w:r>
      <w:r w:rsidR="0098247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Consultation </w:t>
      </w:r>
    </w:p>
    <w:p w:rsidR="008D54FA" w:rsidRPr="005E4F6D" w:rsidRDefault="008D54FA" w:rsidP="001A0911">
      <w:pPr>
        <w:pStyle w:val="BodyText"/>
        <w:tabs>
          <w:tab w:val="clear" w:pos="567"/>
          <w:tab w:val="clear" w:pos="680"/>
        </w:tabs>
        <w:spacing w:before="199"/>
        <w:ind w:left="567"/>
        <w:jc w:val="both"/>
      </w:pPr>
      <w:r w:rsidRPr="005E4F6D">
        <w:t xml:space="preserve">ASIC did not undertake a </w:t>
      </w:r>
      <w:r w:rsidR="00C93E53">
        <w:t>public</w:t>
      </w:r>
      <w:r w:rsidR="00C93E53" w:rsidRPr="005E4F6D">
        <w:t xml:space="preserve"> </w:t>
      </w:r>
      <w:r w:rsidRPr="005E4F6D">
        <w:t>consultation process with respect to</w:t>
      </w:r>
      <w:r w:rsidR="007053AF" w:rsidRPr="005E4F6D">
        <w:t xml:space="preserve"> deferring the start date of disclosure requirements for standard employer-sponsored sub-plans under</w:t>
      </w:r>
      <w:r w:rsidR="007E30AB" w:rsidRPr="005E4F6D">
        <w:t xml:space="preserve"> </w:t>
      </w:r>
      <w:r w:rsidRPr="005E4F6D">
        <w:t xml:space="preserve">[CO 14/509] as it is a </w:t>
      </w:r>
      <w:r w:rsidR="00645ED5">
        <w:t>minor</w:t>
      </w:r>
      <w:r w:rsidR="00645ED5" w:rsidRPr="005E4F6D">
        <w:t xml:space="preserve"> </w:t>
      </w:r>
      <w:r w:rsidRPr="005E4F6D">
        <w:t xml:space="preserve">modification to extend the duration of the interim relief. The purpose of extending the interim relief is to enable further consideration as to how best to clarify obligations relating </w:t>
      </w:r>
      <w:r w:rsidR="007053AF" w:rsidRPr="005E4F6D">
        <w:t xml:space="preserve">to </w:t>
      </w:r>
      <w:r w:rsidR="0079153B" w:rsidRPr="005E4F6D">
        <w:t xml:space="preserve">employer-sponsored </w:t>
      </w:r>
      <w:r w:rsidR="00401168" w:rsidRPr="005E4F6D">
        <w:t>sub-plans</w:t>
      </w:r>
      <w:r w:rsidRPr="005E4F6D">
        <w:t>. To this end, we consulted with The Treasury, who had no objection to this extension.</w:t>
      </w:r>
    </w:p>
    <w:p w:rsidR="006E47C8" w:rsidRDefault="006E47C8">
      <w:pPr>
        <w:rPr>
          <w:rFonts w:ascii="Times New Roman" w:hAnsi="Times New Roman" w:cs="Times New Roman"/>
          <w:sz w:val="24"/>
          <w:szCs w:val="24"/>
        </w:rPr>
      </w:pPr>
      <w:r>
        <w:rPr>
          <w:rFonts w:ascii="Times New Roman" w:hAnsi="Times New Roman" w:cs="Times New Roman"/>
          <w:sz w:val="24"/>
          <w:szCs w:val="24"/>
        </w:rPr>
        <w:br w:type="page"/>
      </w:r>
    </w:p>
    <w:p w:rsidR="004820BF" w:rsidRDefault="004820BF">
      <w:pPr>
        <w:rPr>
          <w:rFonts w:ascii="Times New Roman" w:hAnsi="Times New Roman" w:cs="Times New Roman"/>
          <w:sz w:val="24"/>
          <w:szCs w:val="24"/>
        </w:rPr>
      </w:pPr>
      <w:r w:rsidRPr="005E4F6D">
        <w:rPr>
          <w:rFonts w:ascii="Times New Roman" w:hAnsi="Times New Roman" w:cs="Times New Roman"/>
          <w:noProof/>
          <w:lang w:eastAsia="en-AU"/>
        </w:rPr>
        <w:lastRenderedPageBreak/>
        <mc:AlternateContent>
          <mc:Choice Requires="wps">
            <w:drawing>
              <wp:anchor distT="0" distB="0" distL="114300" distR="114300" simplePos="0" relativeHeight="251661312" behindDoc="0" locked="0" layoutInCell="1" allowOverlap="1" wp14:anchorId="3AD9003A" wp14:editId="31EA752E">
                <wp:simplePos x="0" y="0"/>
                <wp:positionH relativeFrom="column">
                  <wp:posOffset>-28575</wp:posOffset>
                </wp:positionH>
                <wp:positionV relativeFrom="paragraph">
                  <wp:posOffset>152400</wp:posOffset>
                </wp:positionV>
                <wp:extent cx="5727700" cy="7962900"/>
                <wp:effectExtent l="38100" t="38100" r="4445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962900"/>
                        </a:xfrm>
                        <a:prstGeom prst="rect">
                          <a:avLst/>
                        </a:prstGeom>
                        <a:solidFill>
                          <a:srgbClr val="FFFFFF"/>
                        </a:solidFill>
                        <a:ln w="76200" cmpd="tri">
                          <a:solidFill>
                            <a:srgbClr val="000000"/>
                          </a:solidFill>
                          <a:miter lim="800000"/>
                          <a:headEnd/>
                          <a:tailEnd/>
                        </a:ln>
                      </wps:spPr>
                      <wps:txbx>
                        <w:txbxContent>
                          <w:p w:rsidR="004820BF" w:rsidRPr="004820BF" w:rsidRDefault="004820BF" w:rsidP="004820BF">
                            <w:pPr>
                              <w:spacing w:before="360" w:after="120"/>
                              <w:jc w:val="center"/>
                              <w:rPr>
                                <w:b/>
                              </w:rPr>
                            </w:pPr>
                            <w:bookmarkStart w:id="4" w:name="_GoBack"/>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FA15FF">
                              <w:rPr>
                                <w:b/>
                              </w:rPr>
                              <w:t>Superannuation (Amendment No.1) Instrument 2015</w:t>
                            </w:r>
                            <w:r w:rsidRPr="004820BF">
                              <w:rPr>
                                <w:b/>
                              </w:rPr>
                              <w:t xml:space="preserve"> </w:t>
                            </w:r>
                          </w:p>
                          <w:p w:rsidR="004820BF" w:rsidRPr="004820BF" w:rsidRDefault="00FA15FF"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C000EB">
                            <w:pPr>
                              <w:spacing w:before="120" w:after="120"/>
                              <w:jc w:val="both"/>
                              <w:rPr>
                                <w:b/>
                              </w:rPr>
                            </w:pPr>
                            <w:r w:rsidRPr="004820BF">
                              <w:rPr>
                                <w:b/>
                              </w:rPr>
                              <w:t>Overview</w:t>
                            </w:r>
                          </w:p>
                          <w:p w:rsidR="004820BF" w:rsidRDefault="00FA15FF" w:rsidP="00C000EB">
                            <w:pPr>
                              <w:spacing w:before="100" w:beforeAutospacing="1" w:after="100" w:afterAutospacing="1" w:line="240" w:lineRule="auto"/>
                              <w:jc w:val="both"/>
                            </w:pPr>
                            <w:r w:rsidRPr="001E6663">
                              <w:rPr>
                                <w:i/>
                              </w:rPr>
                              <w:t>ASIC Superannuation (Amendment No.1) Instrument 2015</w:t>
                            </w:r>
                            <w:r w:rsidR="001E6663">
                              <w:rPr>
                                <w:i/>
                              </w:rPr>
                              <w:t xml:space="preserve"> </w:t>
                            </w:r>
                            <w:r>
                              <w:t xml:space="preserve">(the </w:t>
                            </w:r>
                            <w:r w:rsidRPr="001E6663">
                              <w:rPr>
                                <w:b/>
                                <w:i/>
                              </w:rPr>
                              <w:t>Instrument</w:t>
                            </w:r>
                            <w:r>
                              <w:t xml:space="preserve">) </w:t>
                            </w:r>
                            <w:r w:rsidR="004820BF" w:rsidRPr="004820BF">
                              <w:t>amends ASIC Class Order [CO 14/509].</w:t>
                            </w:r>
                          </w:p>
                          <w:p w:rsidR="003837CA" w:rsidRPr="00DD0710" w:rsidRDefault="003837CA" w:rsidP="003837CA">
                            <w:pPr>
                              <w:spacing w:before="100" w:beforeAutospacing="1" w:after="100" w:afterAutospacing="1" w:line="240" w:lineRule="auto"/>
                              <w:jc w:val="both"/>
                            </w:pPr>
                            <w:r w:rsidRPr="00DD0710">
                              <w:t xml:space="preserve">Class Order [CO 14/509] relates to regulations 2.37 and 2.38 of the Superannuation Industry (Supervision) Regulations 1994 (SIS Regulations), made </w:t>
                            </w:r>
                            <w:r w:rsidR="00FA15FF">
                              <w:t>for the purposes of</w:t>
                            </w:r>
                            <w:r w:rsidR="00FA15FF" w:rsidRPr="00DD0710">
                              <w:t xml:space="preserve"> </w:t>
                            </w:r>
                            <w:r w:rsidRPr="00DD0710">
                              <w:t>section 29QB of the Superannuation Industry (Supervision) Act 1993 (SIS Act)</w:t>
                            </w:r>
                            <w:r>
                              <w:t>,</w:t>
                            </w:r>
                            <w:r w:rsidRPr="00DD0710">
                              <w:t xml:space="preserve"> </w:t>
                            </w:r>
                            <w:r>
                              <w:t>which</w:t>
                            </w:r>
                            <w:r w:rsidRPr="00DD0710">
                              <w:t xml:space="preserve"> require the licensee of a registrable superannuation entity (RSE) to make publicly available, and to keep up to date at all times, on the registrable superannuation entity’s website:</w:t>
                            </w:r>
                          </w:p>
                          <w:p w:rsidR="003837CA" w:rsidRPr="00DD0710" w:rsidRDefault="003837CA" w:rsidP="003837CA">
                            <w:pPr>
                              <w:spacing w:before="100" w:beforeAutospacing="1" w:after="100" w:afterAutospacing="1" w:line="240" w:lineRule="auto"/>
                              <w:ind w:left="567" w:hanging="567"/>
                            </w:pPr>
                            <w:r w:rsidRPr="00DD0710">
                              <w:t xml:space="preserve">a) </w:t>
                            </w:r>
                            <w:r>
                              <w:tab/>
                            </w:r>
                            <w:proofErr w:type="gramStart"/>
                            <w:r w:rsidRPr="00DD0710">
                              <w:t>details</w:t>
                            </w:r>
                            <w:proofErr w:type="gramEnd"/>
                            <w:r w:rsidRPr="00DD0710">
                              <w:t xml:space="preserve"> of executive officers and individual trustees, including their remuneration (regulation 2.37); and</w:t>
                            </w:r>
                          </w:p>
                          <w:p w:rsidR="003837CA" w:rsidRPr="00DD0710" w:rsidRDefault="003837CA" w:rsidP="003837CA">
                            <w:pPr>
                              <w:spacing w:before="100" w:beforeAutospacing="1" w:after="100" w:afterAutospacing="1" w:line="240" w:lineRule="auto"/>
                              <w:ind w:left="567" w:hanging="567"/>
                            </w:pPr>
                            <w:r>
                              <w:t xml:space="preserve">b) </w:t>
                            </w:r>
                            <w:r>
                              <w:tab/>
                            </w:r>
                            <w:proofErr w:type="gramStart"/>
                            <w:r>
                              <w:t>various</w:t>
                            </w:r>
                            <w:proofErr w:type="gramEnd"/>
                            <w:r>
                              <w:t xml:space="preserve"> </w:t>
                            </w:r>
                            <w:r w:rsidRPr="00DD0710">
                              <w:t>information relating to the relevant superannuation fund, such as trust deeds and summaries of significant event notices given to members of the fund (regulation 2.38).</w:t>
                            </w:r>
                          </w:p>
                          <w:p w:rsidR="003837CA" w:rsidRPr="00883DB6" w:rsidRDefault="003837CA" w:rsidP="003837CA">
                            <w:pPr>
                              <w:spacing w:before="100" w:beforeAutospacing="1" w:after="100" w:afterAutospacing="1" w:line="240" w:lineRule="auto"/>
                              <w:jc w:val="both"/>
                            </w:pPr>
                            <w:r w:rsidRPr="00DD0710">
                              <w:t xml:space="preserve">The amendments made by </w:t>
                            </w:r>
                            <w:r w:rsidR="00FA15FF">
                              <w:t>the Instrument</w:t>
                            </w:r>
                            <w:r w:rsidRPr="00DD0710">
                              <w:t xml:space="preserve"> to Class Order [CO 14/509] defer the start date until 1 July 2016 for certain disclosures required pursuant to subsection 29QB(1) of the Act for standard employer-sponsored sub-plans. This will provide further time for consideration of the commercial sensitivity</w:t>
                            </w:r>
                            <w:r w:rsidRPr="00262154">
                              <w:rPr>
                                <w:rFonts w:ascii="Times New Roman" w:eastAsia="Times New Roman" w:hAnsi="Times New Roman" w:cs="Times New Roman"/>
                                <w:sz w:val="24"/>
                                <w:szCs w:val="24"/>
                                <w:lang w:eastAsia="en-AU"/>
                              </w:rPr>
                              <w:t xml:space="preserve"> issues </w:t>
                            </w:r>
                            <w:r w:rsidRPr="00DD0710">
                              <w:t>that arise in the context of these types of sub-plans.</w:t>
                            </w:r>
                          </w:p>
                          <w:p w:rsidR="003837CA" w:rsidRPr="00247F54" w:rsidRDefault="003837CA" w:rsidP="003837CA">
                            <w:pPr>
                              <w:spacing w:before="120" w:after="120"/>
                              <w:rPr>
                                <w:b/>
                              </w:rPr>
                            </w:pPr>
                            <w:r w:rsidRPr="00247F54">
                              <w:rPr>
                                <w:b/>
                              </w:rPr>
                              <w:t>Human rights implications</w:t>
                            </w:r>
                          </w:p>
                          <w:p w:rsidR="003837CA" w:rsidRPr="00247F54" w:rsidRDefault="003837CA" w:rsidP="003837CA">
                            <w:pPr>
                              <w:spacing w:before="120" w:after="120"/>
                            </w:pPr>
                            <w:r w:rsidRPr="00247F54">
                              <w:t xml:space="preserve">This </w:t>
                            </w:r>
                            <w:r>
                              <w:t>l</w:t>
                            </w:r>
                            <w:r w:rsidRPr="00247F54">
                              <w:t xml:space="preserve">egislative </w:t>
                            </w:r>
                            <w:r>
                              <w:t>i</w:t>
                            </w:r>
                            <w:r w:rsidRPr="00247F54">
                              <w:t>nstrument does not engage any of the applicable rights or freedoms.</w:t>
                            </w:r>
                          </w:p>
                          <w:p w:rsidR="003837CA" w:rsidRPr="00247F54" w:rsidRDefault="003837CA" w:rsidP="003837CA">
                            <w:pPr>
                              <w:spacing w:before="120" w:after="120"/>
                              <w:rPr>
                                <w:b/>
                              </w:rPr>
                            </w:pPr>
                            <w:r w:rsidRPr="00247F54">
                              <w:rPr>
                                <w:b/>
                              </w:rPr>
                              <w:t>Conclusion</w:t>
                            </w:r>
                          </w:p>
                          <w:p w:rsidR="003837CA" w:rsidRPr="00247F54" w:rsidRDefault="003837CA" w:rsidP="003837CA">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3837CA" w:rsidRPr="00E4135E" w:rsidRDefault="003837CA" w:rsidP="003837CA">
                            <w:pPr>
                              <w:spacing w:before="120" w:after="120"/>
                              <w:jc w:val="center"/>
                            </w:pPr>
                          </w:p>
                          <w:bookmarkEnd w:id="4"/>
                          <w:p w:rsidR="003837CA" w:rsidRPr="004820BF" w:rsidRDefault="003837CA" w:rsidP="00C000EB">
                            <w:pPr>
                              <w:spacing w:before="100" w:beforeAutospacing="1" w:after="100" w:afterAutospacing="1" w:line="240" w:lineRule="auto"/>
                              <w:jc w:val="both"/>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12pt;width:451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" strokeweight="6pt">
                <v:stroke linestyle="thickBetweenThin"/>
                <v:textbox inset="5mm,,5mm">
                  <w:txbxContent>
                    <w:p w:rsidR="004820BF" w:rsidRPr="004820BF" w:rsidRDefault="004820BF" w:rsidP="004820BF">
                      <w:pPr>
                        <w:spacing w:before="360" w:after="120"/>
                        <w:jc w:val="center"/>
                        <w:rPr>
                          <w:b/>
                        </w:rPr>
                      </w:pPr>
                      <w:bookmarkStart w:id="5" w:name="_GoBack"/>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FA15FF">
                        <w:rPr>
                          <w:b/>
                        </w:rPr>
                        <w:t>Superannuation (Amendment No.1) Instrument 2015</w:t>
                      </w:r>
                      <w:r w:rsidRPr="004820BF">
                        <w:rPr>
                          <w:b/>
                        </w:rPr>
                        <w:t xml:space="preserve"> </w:t>
                      </w:r>
                    </w:p>
                    <w:p w:rsidR="004820BF" w:rsidRPr="004820BF" w:rsidRDefault="00FA15FF"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C000EB">
                      <w:pPr>
                        <w:spacing w:before="120" w:after="120"/>
                        <w:jc w:val="both"/>
                        <w:rPr>
                          <w:b/>
                        </w:rPr>
                      </w:pPr>
                      <w:r w:rsidRPr="004820BF">
                        <w:rPr>
                          <w:b/>
                        </w:rPr>
                        <w:t>Overview</w:t>
                      </w:r>
                    </w:p>
                    <w:p w:rsidR="004820BF" w:rsidRDefault="00FA15FF" w:rsidP="00C000EB">
                      <w:pPr>
                        <w:spacing w:before="100" w:beforeAutospacing="1" w:after="100" w:afterAutospacing="1" w:line="240" w:lineRule="auto"/>
                        <w:jc w:val="both"/>
                      </w:pPr>
                      <w:r w:rsidRPr="001E6663">
                        <w:rPr>
                          <w:i/>
                        </w:rPr>
                        <w:t>ASIC Superannuation (Amendment No.1) Instrument 2015</w:t>
                      </w:r>
                      <w:r w:rsidR="001E6663">
                        <w:rPr>
                          <w:i/>
                        </w:rPr>
                        <w:t xml:space="preserve"> </w:t>
                      </w:r>
                      <w:r>
                        <w:t xml:space="preserve">(the </w:t>
                      </w:r>
                      <w:r w:rsidRPr="001E6663">
                        <w:rPr>
                          <w:b/>
                          <w:i/>
                        </w:rPr>
                        <w:t>Instrument</w:t>
                      </w:r>
                      <w:r>
                        <w:t xml:space="preserve">) </w:t>
                      </w:r>
                      <w:r w:rsidR="004820BF" w:rsidRPr="004820BF">
                        <w:t>amends ASIC Class Order [CO 14/509].</w:t>
                      </w:r>
                    </w:p>
                    <w:p w:rsidR="003837CA" w:rsidRPr="00DD0710" w:rsidRDefault="003837CA" w:rsidP="003837CA">
                      <w:pPr>
                        <w:spacing w:before="100" w:beforeAutospacing="1" w:after="100" w:afterAutospacing="1" w:line="240" w:lineRule="auto"/>
                        <w:jc w:val="both"/>
                      </w:pPr>
                      <w:r w:rsidRPr="00DD0710">
                        <w:t xml:space="preserve">Class Order [CO 14/509] relates to regulations 2.37 and 2.38 of the Superannuation Industry (Supervision) Regulations 1994 (SIS Regulations), made </w:t>
                      </w:r>
                      <w:r w:rsidR="00FA15FF">
                        <w:t>for the purposes of</w:t>
                      </w:r>
                      <w:r w:rsidR="00FA15FF" w:rsidRPr="00DD0710">
                        <w:t xml:space="preserve"> </w:t>
                      </w:r>
                      <w:r w:rsidRPr="00DD0710">
                        <w:t>section 29QB of the Superannuation Industry (Supervision) Act 1993 (SIS Act)</w:t>
                      </w:r>
                      <w:r>
                        <w:t>,</w:t>
                      </w:r>
                      <w:r w:rsidRPr="00DD0710">
                        <w:t xml:space="preserve"> </w:t>
                      </w:r>
                      <w:r>
                        <w:t>which</w:t>
                      </w:r>
                      <w:r w:rsidRPr="00DD0710">
                        <w:t xml:space="preserve"> require the licensee of a registrable superannuation entity (RSE) to make publicly available, and to keep up to date at all times, on the registrable superannuation entity’s website:</w:t>
                      </w:r>
                    </w:p>
                    <w:p w:rsidR="003837CA" w:rsidRPr="00DD0710" w:rsidRDefault="003837CA" w:rsidP="003837CA">
                      <w:pPr>
                        <w:spacing w:before="100" w:beforeAutospacing="1" w:after="100" w:afterAutospacing="1" w:line="240" w:lineRule="auto"/>
                        <w:ind w:left="567" w:hanging="567"/>
                      </w:pPr>
                      <w:r w:rsidRPr="00DD0710">
                        <w:t xml:space="preserve">a) </w:t>
                      </w:r>
                      <w:r>
                        <w:tab/>
                      </w:r>
                      <w:proofErr w:type="gramStart"/>
                      <w:r w:rsidRPr="00DD0710">
                        <w:t>details</w:t>
                      </w:r>
                      <w:proofErr w:type="gramEnd"/>
                      <w:r w:rsidRPr="00DD0710">
                        <w:t xml:space="preserve"> of executive officers and individual trustees, including their remuneration (regulation 2.37); and</w:t>
                      </w:r>
                    </w:p>
                    <w:p w:rsidR="003837CA" w:rsidRPr="00DD0710" w:rsidRDefault="003837CA" w:rsidP="003837CA">
                      <w:pPr>
                        <w:spacing w:before="100" w:beforeAutospacing="1" w:after="100" w:afterAutospacing="1" w:line="240" w:lineRule="auto"/>
                        <w:ind w:left="567" w:hanging="567"/>
                      </w:pPr>
                      <w:r>
                        <w:t xml:space="preserve">b) </w:t>
                      </w:r>
                      <w:r>
                        <w:tab/>
                      </w:r>
                      <w:proofErr w:type="gramStart"/>
                      <w:r>
                        <w:t>various</w:t>
                      </w:r>
                      <w:proofErr w:type="gramEnd"/>
                      <w:r>
                        <w:t xml:space="preserve"> </w:t>
                      </w:r>
                      <w:r w:rsidRPr="00DD0710">
                        <w:t>information relating to the relevant superannuation fund, such as trust deeds and summaries of significant event notices given to members of the fund (regulation 2.38).</w:t>
                      </w:r>
                    </w:p>
                    <w:p w:rsidR="003837CA" w:rsidRPr="00883DB6" w:rsidRDefault="003837CA" w:rsidP="003837CA">
                      <w:pPr>
                        <w:spacing w:before="100" w:beforeAutospacing="1" w:after="100" w:afterAutospacing="1" w:line="240" w:lineRule="auto"/>
                        <w:jc w:val="both"/>
                      </w:pPr>
                      <w:r w:rsidRPr="00DD0710">
                        <w:t xml:space="preserve">The amendments made by </w:t>
                      </w:r>
                      <w:r w:rsidR="00FA15FF">
                        <w:t>the Instrument</w:t>
                      </w:r>
                      <w:r w:rsidRPr="00DD0710">
                        <w:t xml:space="preserve"> to Class Order [CO 14/509] defer the start date until 1 July 2016 for certain disclosures required pursuant to subsection 29QB(1) of the Act for standard employer-sponsored sub-plans. This will provide further time for consideration of the commercial sensitivity</w:t>
                      </w:r>
                      <w:r w:rsidRPr="00262154">
                        <w:rPr>
                          <w:rFonts w:ascii="Times New Roman" w:eastAsia="Times New Roman" w:hAnsi="Times New Roman" w:cs="Times New Roman"/>
                          <w:sz w:val="24"/>
                          <w:szCs w:val="24"/>
                          <w:lang w:eastAsia="en-AU"/>
                        </w:rPr>
                        <w:t xml:space="preserve"> issues </w:t>
                      </w:r>
                      <w:r w:rsidRPr="00DD0710">
                        <w:t>that arise in the context of these types of sub-plans.</w:t>
                      </w:r>
                    </w:p>
                    <w:p w:rsidR="003837CA" w:rsidRPr="00247F54" w:rsidRDefault="003837CA" w:rsidP="003837CA">
                      <w:pPr>
                        <w:spacing w:before="120" w:after="120"/>
                        <w:rPr>
                          <w:b/>
                        </w:rPr>
                      </w:pPr>
                      <w:r w:rsidRPr="00247F54">
                        <w:rPr>
                          <w:b/>
                        </w:rPr>
                        <w:t>Human rights implications</w:t>
                      </w:r>
                    </w:p>
                    <w:p w:rsidR="003837CA" w:rsidRPr="00247F54" w:rsidRDefault="003837CA" w:rsidP="003837CA">
                      <w:pPr>
                        <w:spacing w:before="120" w:after="120"/>
                      </w:pPr>
                      <w:r w:rsidRPr="00247F54">
                        <w:t xml:space="preserve">This </w:t>
                      </w:r>
                      <w:r>
                        <w:t>l</w:t>
                      </w:r>
                      <w:r w:rsidRPr="00247F54">
                        <w:t xml:space="preserve">egislative </w:t>
                      </w:r>
                      <w:r>
                        <w:t>i</w:t>
                      </w:r>
                      <w:r w:rsidRPr="00247F54">
                        <w:t>nstrument does not engage any of the applicable rights or freedoms.</w:t>
                      </w:r>
                    </w:p>
                    <w:p w:rsidR="003837CA" w:rsidRPr="00247F54" w:rsidRDefault="003837CA" w:rsidP="003837CA">
                      <w:pPr>
                        <w:spacing w:before="120" w:after="120"/>
                        <w:rPr>
                          <w:b/>
                        </w:rPr>
                      </w:pPr>
                      <w:r w:rsidRPr="00247F54">
                        <w:rPr>
                          <w:b/>
                        </w:rPr>
                        <w:t>Conclusion</w:t>
                      </w:r>
                    </w:p>
                    <w:p w:rsidR="003837CA" w:rsidRPr="00247F54" w:rsidRDefault="003837CA" w:rsidP="003837CA">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3837CA" w:rsidRPr="00E4135E" w:rsidRDefault="003837CA" w:rsidP="003837CA">
                      <w:pPr>
                        <w:spacing w:before="120" w:after="120"/>
                        <w:jc w:val="center"/>
                      </w:pPr>
                    </w:p>
                    <w:bookmarkEnd w:id="5"/>
                    <w:p w:rsidR="003837CA" w:rsidRPr="004820BF" w:rsidRDefault="003837CA" w:rsidP="00C000EB">
                      <w:pPr>
                        <w:spacing w:before="100" w:beforeAutospacing="1" w:after="100" w:afterAutospacing="1" w:line="240" w:lineRule="auto"/>
                        <w:jc w:val="both"/>
                      </w:pPr>
                    </w:p>
                  </w:txbxContent>
                </v:textbox>
              </v:rect>
            </w:pict>
          </mc:Fallback>
        </mc:AlternateContent>
      </w: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01168" w:rsidRPr="005E4F6D" w:rsidRDefault="00401168">
      <w:pPr>
        <w:rPr>
          <w:rFonts w:ascii="Times New Roman" w:hAnsi="Times New Roman" w:cs="Times New Roman"/>
          <w:sz w:val="24"/>
          <w:szCs w:val="24"/>
        </w:rPr>
      </w:pPr>
    </w:p>
    <w:sectPr w:rsidR="00401168" w:rsidRPr="005E4F6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54" w:rsidRDefault="00262154" w:rsidP="00262154">
      <w:pPr>
        <w:spacing w:after="0" w:line="240" w:lineRule="auto"/>
      </w:pPr>
      <w:r>
        <w:separator/>
      </w:r>
    </w:p>
  </w:endnote>
  <w:endnote w:type="continuationSeparator" w:id="0">
    <w:p w:rsidR="00262154" w:rsidRDefault="00262154" w:rsidP="0026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54" w:rsidRDefault="00262154" w:rsidP="00262154">
      <w:pPr>
        <w:spacing w:after="0" w:line="240" w:lineRule="auto"/>
      </w:pPr>
      <w:r>
        <w:separator/>
      </w:r>
    </w:p>
  </w:footnote>
  <w:footnote w:type="continuationSeparator" w:id="0">
    <w:p w:rsidR="00262154" w:rsidRDefault="00262154" w:rsidP="0026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54" w:rsidRDefault="00262154" w:rsidP="00262154">
    <w:pPr>
      <w:pStyle w:val="Footer"/>
      <w:pBdr>
        <w:bottom w:val="single" w:sz="4" w:space="1" w:color="117DC7"/>
      </w:pBdr>
      <w:jc w:val="right"/>
      <w:rPr>
        <w:color w:val="117DC7"/>
      </w:rPr>
    </w:pPr>
    <w:r>
      <w:t xml:space="preserve">Explanatory Statement for </w:t>
    </w:r>
    <w:r w:rsidR="00D438B1" w:rsidRPr="00D438B1">
      <w:rPr>
        <w:rFonts w:ascii="Times New Roman" w:eastAsia="Times New Roman" w:hAnsi="Times New Roman" w:cs="Times New Roman"/>
        <w:sz w:val="24"/>
        <w:szCs w:val="24"/>
        <w:lang w:eastAsia="en-AU"/>
      </w:rPr>
      <w:t>ASIC</w:t>
    </w:r>
    <w:r w:rsidR="00D438B1" w:rsidRPr="001E6663">
      <w:rPr>
        <w:rFonts w:ascii="Times New Roman" w:eastAsia="Times New Roman" w:hAnsi="Times New Roman" w:cs="Times New Roman"/>
        <w:i/>
        <w:sz w:val="24"/>
        <w:szCs w:val="24"/>
        <w:lang w:eastAsia="en-AU"/>
      </w:rPr>
      <w:t xml:space="preserve"> Superannuation (Amendment No.1) Instrument 2015</w:t>
    </w:r>
  </w:p>
  <w:p w:rsidR="00262154" w:rsidRDefault="00262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54"/>
    <w:rsid w:val="00031848"/>
    <w:rsid w:val="000E7D1E"/>
    <w:rsid w:val="00166C2D"/>
    <w:rsid w:val="00167362"/>
    <w:rsid w:val="001A0911"/>
    <w:rsid w:val="001D11BF"/>
    <w:rsid w:val="001E6663"/>
    <w:rsid w:val="00262154"/>
    <w:rsid w:val="002B7B88"/>
    <w:rsid w:val="002D6178"/>
    <w:rsid w:val="002F360A"/>
    <w:rsid w:val="003837CA"/>
    <w:rsid w:val="00401168"/>
    <w:rsid w:val="004820BF"/>
    <w:rsid w:val="004A0EC8"/>
    <w:rsid w:val="005B3B33"/>
    <w:rsid w:val="005D7ADF"/>
    <w:rsid w:val="005E4F6D"/>
    <w:rsid w:val="00615A6C"/>
    <w:rsid w:val="00645ED5"/>
    <w:rsid w:val="0068238C"/>
    <w:rsid w:val="006E47C8"/>
    <w:rsid w:val="007053AF"/>
    <w:rsid w:val="00732BAF"/>
    <w:rsid w:val="00741B1B"/>
    <w:rsid w:val="0077066D"/>
    <w:rsid w:val="007845DC"/>
    <w:rsid w:val="0079153B"/>
    <w:rsid w:val="007C7AED"/>
    <w:rsid w:val="007C7D66"/>
    <w:rsid w:val="007E30AB"/>
    <w:rsid w:val="00817EC6"/>
    <w:rsid w:val="0086604F"/>
    <w:rsid w:val="008D54FA"/>
    <w:rsid w:val="00982478"/>
    <w:rsid w:val="00A804E6"/>
    <w:rsid w:val="00A8539D"/>
    <w:rsid w:val="00B05611"/>
    <w:rsid w:val="00BB76E9"/>
    <w:rsid w:val="00C000EB"/>
    <w:rsid w:val="00C07E83"/>
    <w:rsid w:val="00C673CD"/>
    <w:rsid w:val="00C93E53"/>
    <w:rsid w:val="00CD253E"/>
    <w:rsid w:val="00D23575"/>
    <w:rsid w:val="00D438B1"/>
    <w:rsid w:val="00DB1491"/>
    <w:rsid w:val="00DB7689"/>
    <w:rsid w:val="00DD0710"/>
    <w:rsid w:val="00DE4A81"/>
    <w:rsid w:val="00EA1724"/>
    <w:rsid w:val="00EB2A1A"/>
    <w:rsid w:val="00EC7795"/>
    <w:rsid w:val="00F40CEA"/>
    <w:rsid w:val="00F5237C"/>
    <w:rsid w:val="00FA1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201809">
          <w:marLeft w:val="0"/>
          <w:marRight w:val="0"/>
          <w:marTop w:val="0"/>
          <w:marBottom w:val="0"/>
          <w:divBdr>
            <w:top w:val="none" w:sz="0" w:space="0" w:color="auto"/>
            <w:left w:val="none" w:sz="0" w:space="0" w:color="auto"/>
            <w:bottom w:val="none" w:sz="0" w:space="0" w:color="auto"/>
            <w:right w:val="none" w:sz="0" w:space="0" w:color="auto"/>
          </w:divBdr>
          <w:divsChild>
            <w:div w:id="184634745">
              <w:marLeft w:val="0"/>
              <w:marRight w:val="0"/>
              <w:marTop w:val="0"/>
              <w:marBottom w:val="0"/>
              <w:divBdr>
                <w:top w:val="none" w:sz="0" w:space="0" w:color="auto"/>
                <w:left w:val="none" w:sz="0" w:space="0" w:color="auto"/>
                <w:bottom w:val="none" w:sz="0" w:space="0" w:color="auto"/>
                <w:right w:val="none" w:sz="0" w:space="0" w:color="auto"/>
              </w:divBdr>
              <w:divsChild>
                <w:div w:id="1122529922">
                  <w:marLeft w:val="0"/>
                  <w:marRight w:val="0"/>
                  <w:marTop w:val="0"/>
                  <w:marBottom w:val="0"/>
                  <w:divBdr>
                    <w:top w:val="none" w:sz="0" w:space="0" w:color="auto"/>
                    <w:left w:val="none" w:sz="0" w:space="0" w:color="auto"/>
                    <w:bottom w:val="none" w:sz="0" w:space="0" w:color="auto"/>
                    <w:right w:val="none" w:sz="0" w:space="0" w:color="auto"/>
                  </w:divBdr>
                  <w:divsChild>
                    <w:div w:id="1562404022">
                      <w:marLeft w:val="0"/>
                      <w:marRight w:val="0"/>
                      <w:marTop w:val="0"/>
                      <w:marBottom w:val="0"/>
                      <w:divBdr>
                        <w:top w:val="none" w:sz="0" w:space="0" w:color="auto"/>
                        <w:left w:val="none" w:sz="0" w:space="0" w:color="auto"/>
                        <w:bottom w:val="none" w:sz="0" w:space="0" w:color="auto"/>
                        <w:right w:val="none" w:sz="0" w:space="0" w:color="auto"/>
                      </w:divBdr>
                      <w:divsChild>
                        <w:div w:id="1645887244">
                          <w:marLeft w:val="0"/>
                          <w:marRight w:val="0"/>
                          <w:marTop w:val="0"/>
                          <w:marBottom w:val="0"/>
                          <w:divBdr>
                            <w:top w:val="single" w:sz="6" w:space="0" w:color="828282"/>
                            <w:left w:val="single" w:sz="6" w:space="0" w:color="828282"/>
                            <w:bottom w:val="single" w:sz="6" w:space="0" w:color="828282"/>
                            <w:right w:val="single" w:sz="6" w:space="0" w:color="828282"/>
                          </w:divBdr>
                          <w:divsChild>
                            <w:div w:id="724917177">
                              <w:marLeft w:val="0"/>
                              <w:marRight w:val="0"/>
                              <w:marTop w:val="0"/>
                              <w:marBottom w:val="0"/>
                              <w:divBdr>
                                <w:top w:val="none" w:sz="0" w:space="0" w:color="auto"/>
                                <w:left w:val="none" w:sz="0" w:space="0" w:color="auto"/>
                                <w:bottom w:val="none" w:sz="0" w:space="0" w:color="auto"/>
                                <w:right w:val="none" w:sz="0" w:space="0" w:color="auto"/>
                              </w:divBdr>
                              <w:divsChild>
                                <w:div w:id="801733558">
                                  <w:marLeft w:val="0"/>
                                  <w:marRight w:val="0"/>
                                  <w:marTop w:val="0"/>
                                  <w:marBottom w:val="0"/>
                                  <w:divBdr>
                                    <w:top w:val="none" w:sz="0" w:space="0" w:color="auto"/>
                                    <w:left w:val="none" w:sz="0" w:space="0" w:color="auto"/>
                                    <w:bottom w:val="none" w:sz="0" w:space="0" w:color="auto"/>
                                    <w:right w:val="none" w:sz="0" w:space="0" w:color="auto"/>
                                  </w:divBdr>
                                  <w:divsChild>
                                    <w:div w:id="1572958843">
                                      <w:marLeft w:val="0"/>
                                      <w:marRight w:val="0"/>
                                      <w:marTop w:val="0"/>
                                      <w:marBottom w:val="0"/>
                                      <w:divBdr>
                                        <w:top w:val="none" w:sz="0" w:space="0" w:color="auto"/>
                                        <w:left w:val="none" w:sz="0" w:space="0" w:color="auto"/>
                                        <w:bottom w:val="none" w:sz="0" w:space="0" w:color="auto"/>
                                        <w:right w:val="none" w:sz="0" w:space="0" w:color="auto"/>
                                      </w:divBdr>
                                      <w:divsChild>
                                        <w:div w:id="480852788">
                                          <w:marLeft w:val="0"/>
                                          <w:marRight w:val="0"/>
                                          <w:marTop w:val="0"/>
                                          <w:marBottom w:val="0"/>
                                          <w:divBdr>
                                            <w:top w:val="none" w:sz="0" w:space="0" w:color="auto"/>
                                            <w:left w:val="none" w:sz="0" w:space="0" w:color="auto"/>
                                            <w:bottom w:val="none" w:sz="0" w:space="0" w:color="auto"/>
                                            <w:right w:val="none" w:sz="0" w:space="0" w:color="auto"/>
                                          </w:divBdr>
                                          <w:divsChild>
                                            <w:div w:id="1107626062">
                                              <w:marLeft w:val="0"/>
                                              <w:marRight w:val="0"/>
                                              <w:marTop w:val="0"/>
                                              <w:marBottom w:val="0"/>
                                              <w:divBdr>
                                                <w:top w:val="none" w:sz="0" w:space="0" w:color="auto"/>
                                                <w:left w:val="none" w:sz="0" w:space="0" w:color="auto"/>
                                                <w:bottom w:val="none" w:sz="0" w:space="0" w:color="auto"/>
                                                <w:right w:val="none" w:sz="0" w:space="0" w:color="auto"/>
                                              </w:divBdr>
                                              <w:divsChild>
                                                <w:div w:id="1382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064D-E52D-4CAE-91BE-68EC1BC7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therese.brabet</dc:creator>
  <cp:lastModifiedBy>Ruki.Weerasinghe</cp:lastModifiedBy>
  <cp:revision>2</cp:revision>
  <dcterms:created xsi:type="dcterms:W3CDTF">2015-04-20T02:35:00Z</dcterms:created>
  <dcterms:modified xsi:type="dcterms:W3CDTF">2015-04-20T02:35:00Z</dcterms:modified>
</cp:coreProperties>
</file>