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F8A9DC1DB44449CA84D4B95CD63C50F0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:rsidR="00D4289A" w:rsidRDefault="007F5BA8">
          <w:pPr>
            <w:pStyle w:val="Title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EXPLANATORY STATEMENT</w:t>
          </w:r>
        </w:p>
        <w:p w:rsidR="00D4289A" w:rsidRPr="00D5500B" w:rsidRDefault="00504B93" w:rsidP="00D5500B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:rsidR="00FC46F9" w:rsidRPr="00504B93" w:rsidRDefault="00333F42">
      <w:pPr>
        <w:jc w:val="center"/>
        <w:rPr>
          <w:rFonts w:ascii="Times New Roman" w:hAnsi="Times New Roman" w:cs="Times New Roman"/>
          <w:b/>
          <w:sz w:val="24"/>
        </w:rPr>
      </w:pPr>
      <w:r w:rsidRPr="00504B93">
        <w:rPr>
          <w:rFonts w:ascii="Times New Roman" w:hAnsi="Times New Roman" w:cs="Times New Roman"/>
          <w:b/>
          <w:sz w:val="24"/>
        </w:rPr>
        <w:t xml:space="preserve">SELECT LEGISLATIVE INSTRUMENT No. </w:t>
      </w:r>
      <w:r w:rsidR="00504B93">
        <w:rPr>
          <w:rFonts w:ascii="Times New Roman" w:hAnsi="Times New Roman" w:cs="Times New Roman"/>
          <w:b/>
          <w:sz w:val="24"/>
        </w:rPr>
        <w:t>53</w:t>
      </w:r>
      <w:bookmarkStart w:id="0" w:name="_GoBack"/>
      <w:bookmarkEnd w:id="0"/>
      <w:r w:rsidRPr="00504B93">
        <w:rPr>
          <w:rFonts w:ascii="Times New Roman" w:hAnsi="Times New Roman" w:cs="Times New Roman"/>
          <w:b/>
          <w:sz w:val="24"/>
        </w:rPr>
        <w:t>, 2015</w:t>
      </w:r>
    </w:p>
    <w:p w:rsidR="00333F42" w:rsidRDefault="00333F42" w:rsidP="001C5DF1">
      <w:pPr>
        <w:pStyle w:val="Normal-em"/>
        <w:jc w:val="center"/>
        <w:rPr>
          <w:i/>
          <w:snapToGrid w:val="0"/>
          <w:szCs w:val="24"/>
        </w:rPr>
      </w:pPr>
    </w:p>
    <w:p w:rsidR="00333F42" w:rsidRDefault="00504B93" w:rsidP="00096B69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125E3907C4F34CD6AD4ABD29DCDD66E0"/>
          </w:placeholder>
          <w:group/>
        </w:sdtPr>
        <w:sdtEndPr/>
        <w:sdtContent>
          <w:r w:rsidR="00333F42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333F42">
        <w:rPr>
          <w:rFonts w:ascii="Times New Roman" w:hAnsi="Times New Roman" w:cs="Times New Roman"/>
          <w:sz w:val="24"/>
          <w:u w:val="single"/>
        </w:rPr>
        <w:t xml:space="preserve"> Minister for Agriculture</w:t>
      </w:r>
    </w:p>
    <w:p w:rsidR="00333F42" w:rsidRDefault="00333F42" w:rsidP="001C5DF1">
      <w:pPr>
        <w:pStyle w:val="Normal-em"/>
        <w:jc w:val="center"/>
        <w:rPr>
          <w:i/>
          <w:snapToGrid w:val="0"/>
          <w:szCs w:val="24"/>
        </w:rPr>
      </w:pPr>
    </w:p>
    <w:p w:rsidR="00416826" w:rsidRDefault="00416826" w:rsidP="00416826">
      <w:pPr>
        <w:pStyle w:val="Normal-em"/>
        <w:jc w:val="center"/>
        <w:rPr>
          <w:i/>
          <w:snapToGrid w:val="0"/>
          <w:szCs w:val="24"/>
        </w:rPr>
      </w:pPr>
      <w:r>
        <w:rPr>
          <w:i/>
          <w:snapToGrid w:val="0"/>
          <w:szCs w:val="24"/>
        </w:rPr>
        <w:t>Primary Industries Levies and Charges Collection Act 1991</w:t>
      </w:r>
    </w:p>
    <w:p w:rsidR="00416826" w:rsidRPr="005913C5" w:rsidRDefault="00416826" w:rsidP="00416826">
      <w:pPr>
        <w:pStyle w:val="Normal-em"/>
        <w:jc w:val="center"/>
        <w:rPr>
          <w:i/>
          <w:snapToGrid w:val="0"/>
          <w:color w:val="auto"/>
          <w:szCs w:val="24"/>
        </w:rPr>
      </w:pPr>
    </w:p>
    <w:p w:rsidR="00416826" w:rsidRPr="00507465" w:rsidRDefault="00416826" w:rsidP="00416826">
      <w:pPr>
        <w:pStyle w:val="Normal-em"/>
        <w:jc w:val="center"/>
        <w:rPr>
          <w:i/>
          <w:snapToGrid w:val="0"/>
          <w:szCs w:val="24"/>
        </w:rPr>
      </w:pPr>
      <w:r w:rsidRPr="00507465">
        <w:rPr>
          <w:i/>
          <w:snapToGrid w:val="0"/>
          <w:szCs w:val="24"/>
        </w:rPr>
        <w:t>Primary Industries Levies and Charges Collection Amendment (Honey) Regulation 2015</w:t>
      </w:r>
    </w:p>
    <w:p w:rsidR="00D4289A" w:rsidRDefault="00D4289A">
      <w:pPr>
        <w:rPr>
          <w:rFonts w:ascii="Times New Roman" w:hAnsi="Times New Roman" w:cs="Times New Roman"/>
          <w:sz w:val="24"/>
        </w:rPr>
      </w:pPr>
    </w:p>
    <w:p w:rsidR="00D4289A" w:rsidRDefault="007F5BA8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Legislative Authority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Section 30 of the </w:t>
      </w:r>
      <w:r>
        <w:rPr>
          <w:rFonts w:ascii="Times New Roman" w:eastAsia="Calibri" w:hAnsi="Times New Roman" w:cs="Times New Roman"/>
          <w:i/>
          <w:sz w:val="24"/>
        </w:rPr>
        <w:t xml:space="preserve">Primary Industries Levies and Charges Collection Act 1991 </w:t>
      </w:r>
      <w:r w:rsidRPr="000D4F80">
        <w:rPr>
          <w:rFonts w:ascii="Times New Roman" w:eastAsia="Calibri" w:hAnsi="Times New Roman" w:cs="Times New Roman"/>
          <w:sz w:val="24"/>
        </w:rPr>
        <w:t>(Collection Act)</w:t>
      </w:r>
      <w:r>
        <w:rPr>
          <w:rFonts w:ascii="Times New Roman" w:eastAsia="Calibri" w:hAnsi="Times New Roman" w:cs="Times New Roman"/>
          <w:sz w:val="24"/>
        </w:rPr>
        <w:t xml:space="preserve"> provides that the Governor-General may make regulations prescribing </w:t>
      </w:r>
      <w:r w:rsidRPr="005913C5">
        <w:rPr>
          <w:rFonts w:ascii="Times New Roman" w:eastAsia="Calibri" w:hAnsi="Times New Roman" w:cs="Times New Roman"/>
          <w:sz w:val="24"/>
        </w:rPr>
        <w:t xml:space="preserve">matters required or permitted by the Act to be prescribed </w:t>
      </w:r>
      <w:r>
        <w:rPr>
          <w:rFonts w:ascii="Times New Roman" w:eastAsia="Calibri" w:hAnsi="Times New Roman" w:cs="Times New Roman"/>
          <w:sz w:val="24"/>
        </w:rPr>
        <w:t>or necessary or convenient to be prescribed for carrying out or giving effect to the</w:t>
      </w:r>
      <w:r w:rsidRPr="005913C5">
        <w:rPr>
          <w:rFonts w:ascii="Times New Roman" w:eastAsia="Calibri" w:hAnsi="Times New Roman" w:cs="Times New Roman"/>
          <w:sz w:val="24"/>
        </w:rPr>
        <w:t xml:space="preserve"> Act.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416826" w:rsidRPr="00B21152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Schedules 1 and 2 to the Collection Act provide the Acts that impose a charge and levy respectively, including the </w:t>
      </w:r>
      <w:r w:rsidRPr="00B21152">
        <w:rPr>
          <w:rFonts w:ascii="Times New Roman" w:eastAsia="Calibri" w:hAnsi="Times New Roman" w:cs="Times New Roman"/>
          <w:i/>
          <w:sz w:val="24"/>
        </w:rPr>
        <w:t>Primary Industries (Customs) Charges Act 1999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  <w:r w:rsidRPr="00614FD7">
        <w:rPr>
          <w:rFonts w:ascii="Times New Roman" w:eastAsia="Calibri" w:hAnsi="Times New Roman" w:cs="Times New Roman"/>
          <w:sz w:val="24"/>
        </w:rPr>
        <w:t xml:space="preserve">and </w:t>
      </w:r>
      <w:r>
        <w:rPr>
          <w:rFonts w:ascii="Times New Roman" w:eastAsia="Calibri" w:hAnsi="Times New Roman" w:cs="Times New Roman"/>
          <w:sz w:val="24"/>
        </w:rPr>
        <w:t xml:space="preserve">the </w:t>
      </w:r>
      <w:r w:rsidRPr="00B21152">
        <w:rPr>
          <w:rFonts w:ascii="Times New Roman" w:eastAsia="Calibri" w:hAnsi="Times New Roman" w:cs="Times New Roman"/>
          <w:i/>
          <w:sz w:val="24"/>
        </w:rPr>
        <w:t>Primary Industries (Excise) Levies Act 1999</w:t>
      </w:r>
      <w:r>
        <w:rPr>
          <w:rFonts w:ascii="Times New Roman" w:eastAsia="Calibri" w:hAnsi="Times New Roman" w:cs="Times New Roman"/>
          <w:sz w:val="24"/>
        </w:rPr>
        <w:t>.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Clause 2 of Schedule 21 to the </w:t>
      </w:r>
      <w:r>
        <w:rPr>
          <w:rFonts w:ascii="Times New Roman" w:eastAsia="Calibri" w:hAnsi="Times New Roman" w:cs="Times New Roman"/>
          <w:i/>
          <w:sz w:val="24"/>
        </w:rPr>
        <w:t>Primary Industries Levies and Charges Collection Regulations</w:t>
      </w:r>
      <w:r w:rsidR="000240DB">
        <w:rPr>
          <w:rFonts w:ascii="Times New Roman" w:eastAsia="Calibri" w:hAnsi="Times New Roman" w:cs="Times New Roman"/>
          <w:i/>
          <w:sz w:val="24"/>
        </w:rPr>
        <w:t> </w:t>
      </w:r>
      <w:r>
        <w:rPr>
          <w:rFonts w:ascii="Times New Roman" w:eastAsia="Calibri" w:hAnsi="Times New Roman" w:cs="Times New Roman"/>
          <w:i/>
          <w:sz w:val="24"/>
        </w:rPr>
        <w:t>1991</w:t>
      </w:r>
      <w:r>
        <w:rPr>
          <w:rFonts w:ascii="Times New Roman" w:eastAsia="Calibri" w:hAnsi="Times New Roman" w:cs="Times New Roman"/>
          <w:sz w:val="24"/>
        </w:rPr>
        <w:t xml:space="preserve"> (Principal Regulations) provides for the definitions of </w:t>
      </w:r>
      <w:r w:rsidRPr="00614FD7">
        <w:rPr>
          <w:rFonts w:ascii="Times New Roman" w:eastAsia="Calibri" w:hAnsi="Times New Roman" w:cs="Times New Roman"/>
          <w:i/>
          <w:sz w:val="24"/>
        </w:rPr>
        <w:t>charge</w:t>
      </w:r>
      <w:r>
        <w:rPr>
          <w:rFonts w:ascii="Times New Roman" w:eastAsia="Calibri" w:hAnsi="Times New Roman" w:cs="Times New Roman"/>
          <w:sz w:val="24"/>
        </w:rPr>
        <w:t xml:space="preserve"> and </w:t>
      </w:r>
      <w:r w:rsidRPr="00614FD7">
        <w:rPr>
          <w:rFonts w:ascii="Times New Roman" w:eastAsia="Calibri" w:hAnsi="Times New Roman" w:cs="Times New Roman"/>
          <w:i/>
          <w:sz w:val="24"/>
        </w:rPr>
        <w:t>levy</w:t>
      </w:r>
      <w:r>
        <w:rPr>
          <w:rFonts w:ascii="Times New Roman" w:eastAsia="Calibri" w:hAnsi="Times New Roman" w:cs="Times New Roman"/>
          <w:sz w:val="24"/>
        </w:rPr>
        <w:t>.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Paragraph 9 of Schedule 21 to the Principal Regulations provides who must lodge an annual return for a levy year.</w:t>
      </w:r>
    </w:p>
    <w:p w:rsidR="001C5DF1" w:rsidRDefault="001C5DF1" w:rsidP="001C5DF1">
      <w:pPr>
        <w:pStyle w:val="norm1"/>
        <w:tabs>
          <w:tab w:val="left" w:pos="993"/>
        </w:tabs>
        <w:rPr>
          <w:rFonts w:eastAsia="Calibri"/>
          <w:szCs w:val="24"/>
        </w:rPr>
      </w:pPr>
    </w:p>
    <w:p w:rsidR="00D4289A" w:rsidRDefault="007F5BA8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Purpose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BB32D7">
        <w:rPr>
          <w:rFonts w:ascii="Times New Roman" w:eastAsia="Calibri" w:hAnsi="Times New Roman" w:cs="Times New Roman"/>
          <w:sz w:val="24"/>
        </w:rPr>
        <w:t xml:space="preserve">The purpose of the </w:t>
      </w:r>
      <w:r w:rsidRPr="00BB32D7">
        <w:rPr>
          <w:rFonts w:ascii="Times New Roman" w:hAnsi="Times New Roman" w:cs="Times New Roman"/>
          <w:i/>
          <w:snapToGrid w:val="0"/>
          <w:sz w:val="24"/>
        </w:rPr>
        <w:t xml:space="preserve">Primary Industries </w:t>
      </w:r>
      <w:r>
        <w:rPr>
          <w:rFonts w:ascii="Times New Roman" w:hAnsi="Times New Roman" w:cs="Times New Roman"/>
          <w:i/>
          <w:snapToGrid w:val="0"/>
          <w:sz w:val="24"/>
        </w:rPr>
        <w:t xml:space="preserve">Levies and Charges Collection </w:t>
      </w:r>
      <w:r w:rsidRPr="00BB32D7">
        <w:rPr>
          <w:rFonts w:ascii="Times New Roman" w:hAnsi="Times New Roman" w:cs="Times New Roman"/>
          <w:i/>
          <w:snapToGrid w:val="0"/>
          <w:sz w:val="24"/>
        </w:rPr>
        <w:t>Amendment (Honey) Regulation 2015</w:t>
      </w:r>
      <w:r w:rsidRPr="00BB32D7">
        <w:rPr>
          <w:rFonts w:ascii="Times New Roman" w:hAnsi="Times New Roman" w:cs="Times New Roman"/>
          <w:i/>
          <w:sz w:val="24"/>
        </w:rPr>
        <w:t xml:space="preserve"> </w:t>
      </w:r>
      <w:r w:rsidRPr="00BB32D7">
        <w:rPr>
          <w:rFonts w:ascii="Times New Roman" w:eastAsia="Calibri" w:hAnsi="Times New Roman" w:cs="Times New Roman"/>
          <w:sz w:val="24"/>
        </w:rPr>
        <w:t xml:space="preserve">(Amendment Regulation) is to amend the Principal Regulations </w:t>
      </w:r>
      <w:r>
        <w:rPr>
          <w:rFonts w:ascii="Times New Roman" w:eastAsia="Calibri" w:hAnsi="Times New Roman" w:cs="Times New Roman"/>
          <w:sz w:val="24"/>
        </w:rPr>
        <w:t>to:</w:t>
      </w:r>
    </w:p>
    <w:p w:rsidR="00416826" w:rsidRPr="00BB32D7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BB32D7">
        <w:rPr>
          <w:rFonts w:ascii="Times New Roman" w:eastAsia="Calibri" w:hAnsi="Times New Roman" w:cs="Times New Roman"/>
          <w:sz w:val="24"/>
        </w:rPr>
        <w:t>remove the Emergency Animal Disease response (EADR) charge and levy imposed on honey from the definitions;</w:t>
      </w:r>
    </w:p>
    <w:p w:rsidR="00416826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introduce an Emergency Plant Pest Response (EPPR) charge and levy imposed on honey to the definitions;</w:t>
      </w:r>
    </w:p>
    <w:p w:rsidR="00416826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introduce a Plant Health Australia (PHA) charge and levy imposed on honey to the definitions; and</w:t>
      </w:r>
    </w:p>
    <w:p w:rsidR="00416826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increase the threshold for producers of </w:t>
      </w:r>
      <w:proofErr w:type="spellStart"/>
      <w:r>
        <w:rPr>
          <w:rFonts w:ascii="Times New Roman" w:eastAsia="Calibri" w:hAnsi="Times New Roman" w:cs="Times New Roman"/>
          <w:sz w:val="24"/>
        </w:rPr>
        <w:t>leviable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honey who must lodge an annual return from a total weight of the honey sold or used of 600 to 1500 kilograms.</w:t>
      </w:r>
    </w:p>
    <w:p w:rsidR="00D4289A" w:rsidRPr="000B2E7F" w:rsidRDefault="00D4289A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D4289A" w:rsidRDefault="007F5BA8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0B2E7F">
        <w:rPr>
          <w:rFonts w:ascii="Times New Roman" w:hAnsi="Times New Roman" w:cs="Times New Roman"/>
          <w:b/>
          <w:sz w:val="24"/>
        </w:rPr>
        <w:t>Background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9E763B">
        <w:rPr>
          <w:rFonts w:ascii="Times New Roman" w:eastAsia="Calibri" w:hAnsi="Times New Roman" w:cs="Times New Roman"/>
          <w:sz w:val="24"/>
        </w:rPr>
        <w:t>The Australian Honey Bee Industry Council (AHBIC) is the peak industry body for honey producers in Australia</w:t>
      </w:r>
      <w:r>
        <w:rPr>
          <w:rFonts w:ascii="Times New Roman" w:eastAsia="Calibri" w:hAnsi="Times New Roman" w:cs="Times New Roman"/>
          <w:sz w:val="24"/>
        </w:rPr>
        <w:t xml:space="preserve"> and is a member of both Animal Health Australia (AHA) and PHA. AHBIC is a signatory to both the EADR Agreement and EPPR Deed, legally binding agreements between the Commonwealth, state and territory governments, Animal Health Australia/Plant Health Australia and industry, for the management and funding of emergency </w:t>
      </w:r>
      <w:r w:rsidR="00B573EF">
        <w:rPr>
          <w:rFonts w:ascii="Times New Roman" w:eastAsia="Calibri" w:hAnsi="Times New Roman" w:cs="Times New Roman"/>
          <w:sz w:val="24"/>
        </w:rPr>
        <w:t xml:space="preserve">responses to </w:t>
      </w:r>
      <w:r>
        <w:rPr>
          <w:rFonts w:ascii="Times New Roman" w:eastAsia="Calibri" w:hAnsi="Times New Roman" w:cs="Times New Roman"/>
          <w:sz w:val="24"/>
        </w:rPr>
        <w:t>animal/plant disease incursions.</w:t>
      </w:r>
    </w:p>
    <w:p w:rsidR="00416826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416826" w:rsidRDefault="00416826" w:rsidP="00416826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9E763B">
        <w:rPr>
          <w:rFonts w:ascii="Times New Roman" w:eastAsia="Calibri" w:hAnsi="Times New Roman" w:cs="Times New Roman"/>
          <w:sz w:val="24"/>
        </w:rPr>
        <w:t xml:space="preserve">The AHBIC has requested the amendments contained in the </w:t>
      </w:r>
      <w:r>
        <w:rPr>
          <w:rFonts w:ascii="Times New Roman" w:eastAsia="Calibri" w:hAnsi="Times New Roman" w:cs="Times New Roman"/>
          <w:sz w:val="24"/>
        </w:rPr>
        <w:t>Amendment</w:t>
      </w:r>
      <w:r w:rsidRPr="009E763B">
        <w:rPr>
          <w:rFonts w:ascii="Times New Roman" w:eastAsia="Calibri" w:hAnsi="Times New Roman" w:cs="Times New Roman"/>
          <w:sz w:val="24"/>
        </w:rPr>
        <w:t xml:space="preserve"> Regulation in order to align </w:t>
      </w:r>
      <w:r>
        <w:rPr>
          <w:rFonts w:ascii="Times New Roman" w:eastAsia="Calibri" w:hAnsi="Times New Roman" w:cs="Times New Roman"/>
          <w:sz w:val="24"/>
        </w:rPr>
        <w:t>the honey industry</w:t>
      </w:r>
      <w:r w:rsidR="00B573EF">
        <w:rPr>
          <w:rFonts w:ascii="Times New Roman" w:eastAsia="Calibri" w:hAnsi="Times New Roman" w:cs="Times New Roman"/>
          <w:sz w:val="24"/>
        </w:rPr>
        <w:t>’s levy arrangements</w:t>
      </w:r>
      <w:r>
        <w:rPr>
          <w:rFonts w:ascii="Times New Roman" w:eastAsia="Calibri" w:hAnsi="Times New Roman" w:cs="Times New Roman"/>
          <w:sz w:val="24"/>
        </w:rPr>
        <w:t xml:space="preserve"> more appropriately with the plant sector rather than the animal sector, as</w:t>
      </w:r>
      <w:r w:rsidRPr="009E763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over the last several years </w:t>
      </w:r>
      <w:r w:rsidRPr="009E763B">
        <w:rPr>
          <w:rFonts w:ascii="Times New Roman" w:eastAsia="Calibri" w:hAnsi="Times New Roman" w:cs="Times New Roman"/>
          <w:sz w:val="24"/>
        </w:rPr>
        <w:t>management of honey bee and pollination-related biosecurity has moved to the plant sector.</w:t>
      </w:r>
    </w:p>
    <w:p w:rsidR="00F44614" w:rsidRPr="00F44614" w:rsidRDefault="00F44614" w:rsidP="00705074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D4289A" w:rsidRPr="00705074" w:rsidRDefault="007F5BA8" w:rsidP="00F44614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705074">
        <w:rPr>
          <w:rFonts w:ascii="Times New Roman" w:hAnsi="Times New Roman" w:cs="Times New Roman"/>
          <w:b/>
          <w:sz w:val="24"/>
        </w:rPr>
        <w:t>Impact and Effect</w:t>
      </w:r>
    </w:p>
    <w:p w:rsidR="00416826" w:rsidRDefault="00416826" w:rsidP="0041682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introduction and collection of PHA and EPPR levies and charges on honey would allow charges to be provided directly </w:t>
      </w:r>
      <w:r w:rsidRPr="009E763B">
        <w:rPr>
          <w:rFonts w:ascii="Times New Roman" w:eastAsia="Calibri" w:hAnsi="Times New Roman" w:cs="Times New Roman"/>
          <w:sz w:val="24"/>
        </w:rPr>
        <w:t>to PHA</w:t>
      </w:r>
      <w:r>
        <w:rPr>
          <w:rFonts w:ascii="Times New Roman" w:eastAsia="Calibri" w:hAnsi="Times New Roman" w:cs="Times New Roman"/>
          <w:sz w:val="24"/>
        </w:rPr>
        <w:t>,</w:t>
      </w:r>
      <w:r w:rsidRPr="009E763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and </w:t>
      </w:r>
      <w:r w:rsidR="00B573EF">
        <w:rPr>
          <w:rFonts w:ascii="Times New Roman" w:eastAsia="Calibri" w:hAnsi="Times New Roman" w:cs="Times New Roman"/>
          <w:sz w:val="24"/>
        </w:rPr>
        <w:t xml:space="preserve">allow </w:t>
      </w:r>
      <w:r w:rsidRPr="009E763B">
        <w:rPr>
          <w:rFonts w:ascii="Times New Roman" w:eastAsia="Calibri" w:hAnsi="Times New Roman" w:cs="Times New Roman"/>
          <w:sz w:val="24"/>
        </w:rPr>
        <w:t xml:space="preserve">AHBIC to </w:t>
      </w:r>
      <w:r w:rsidR="00B573EF">
        <w:rPr>
          <w:rFonts w:ascii="Times New Roman" w:eastAsia="Calibri" w:hAnsi="Times New Roman" w:cs="Times New Roman"/>
          <w:sz w:val="24"/>
        </w:rPr>
        <w:t xml:space="preserve">cease </w:t>
      </w:r>
      <w:r w:rsidRPr="009E763B">
        <w:rPr>
          <w:rFonts w:ascii="Times New Roman" w:eastAsia="Calibri" w:hAnsi="Times New Roman" w:cs="Times New Roman"/>
          <w:sz w:val="24"/>
        </w:rPr>
        <w:t xml:space="preserve">its </w:t>
      </w:r>
      <w:r>
        <w:rPr>
          <w:rFonts w:ascii="Times New Roman" w:eastAsia="Calibri" w:hAnsi="Times New Roman" w:cs="Times New Roman"/>
          <w:sz w:val="24"/>
        </w:rPr>
        <w:t xml:space="preserve">AHA </w:t>
      </w:r>
      <w:r w:rsidRPr="009E763B">
        <w:rPr>
          <w:rFonts w:ascii="Times New Roman" w:eastAsia="Calibri" w:hAnsi="Times New Roman" w:cs="Times New Roman"/>
          <w:sz w:val="24"/>
        </w:rPr>
        <w:t xml:space="preserve">membership and withdraw as a signatory to the </w:t>
      </w:r>
      <w:r>
        <w:rPr>
          <w:rFonts w:ascii="Times New Roman" w:eastAsia="Calibri" w:hAnsi="Times New Roman" w:cs="Times New Roman"/>
          <w:sz w:val="24"/>
        </w:rPr>
        <w:t xml:space="preserve">EADR </w:t>
      </w:r>
      <w:r w:rsidRPr="009E763B">
        <w:rPr>
          <w:rFonts w:ascii="Times New Roman" w:eastAsia="Calibri" w:hAnsi="Times New Roman" w:cs="Times New Roman"/>
          <w:sz w:val="24"/>
        </w:rPr>
        <w:t>Agreement. This would result in reduction of costs to the industry for costs</w:t>
      </w:r>
      <w:r>
        <w:rPr>
          <w:rFonts w:ascii="Times New Roman" w:eastAsia="Calibri" w:hAnsi="Times New Roman" w:cs="Times New Roman"/>
          <w:sz w:val="24"/>
        </w:rPr>
        <w:t xml:space="preserve"> associated with AHA membership. The new levies and charges would also facilitate industry funding of industry-supported investment in honey bee biosecurity programs</w:t>
      </w:r>
      <w:r w:rsidRPr="009E763B">
        <w:rPr>
          <w:rFonts w:ascii="Times New Roman" w:eastAsia="Calibri" w:hAnsi="Times New Roman" w:cs="Times New Roman"/>
          <w:sz w:val="24"/>
        </w:rPr>
        <w:t>.</w:t>
      </w:r>
    </w:p>
    <w:p w:rsidR="00416826" w:rsidRDefault="00416826" w:rsidP="00416826">
      <w:pPr>
        <w:rPr>
          <w:rFonts w:ascii="Times New Roman" w:eastAsia="Calibri" w:hAnsi="Times New Roman" w:cs="Times New Roman"/>
          <w:sz w:val="24"/>
        </w:rPr>
      </w:pPr>
    </w:p>
    <w:p w:rsidR="00416826" w:rsidRPr="00A545D2" w:rsidRDefault="00416826" w:rsidP="00416826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A545D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charge proposal </w:t>
      </w:r>
      <w:r w:rsidRPr="00A545D2">
        <w:rPr>
          <w:rFonts w:ascii="Times New Roman" w:hAnsi="Times New Roman" w:cs="Times New Roman"/>
          <w:sz w:val="24"/>
        </w:rPr>
        <w:t>meet</w:t>
      </w:r>
      <w:r>
        <w:rPr>
          <w:rFonts w:ascii="Times New Roman" w:hAnsi="Times New Roman" w:cs="Times New Roman"/>
          <w:sz w:val="24"/>
        </w:rPr>
        <w:t>s</w:t>
      </w:r>
      <w:r w:rsidRPr="00A545D2">
        <w:rPr>
          <w:rFonts w:ascii="Times New Roman" w:hAnsi="Times New Roman" w:cs="Times New Roman"/>
          <w:sz w:val="24"/>
        </w:rPr>
        <w:t xml:space="preserve"> the requirements of the Australian Government </w:t>
      </w:r>
      <w:r w:rsidRPr="00A545D2">
        <w:rPr>
          <w:rFonts w:ascii="Times New Roman" w:hAnsi="Times New Roman" w:cs="Times New Roman"/>
          <w:i/>
          <w:sz w:val="24"/>
        </w:rPr>
        <w:t>Levy Principles and Guidelines</w:t>
      </w:r>
      <w:r w:rsidRPr="00A545D2">
        <w:rPr>
          <w:rFonts w:ascii="Times New Roman" w:hAnsi="Times New Roman" w:cs="Times New Roman"/>
          <w:sz w:val="24"/>
        </w:rPr>
        <w:t>.</w:t>
      </w:r>
    </w:p>
    <w:p w:rsidR="007F5BA8" w:rsidRPr="00DA0D68" w:rsidRDefault="007F5BA8" w:rsidP="00DA0D6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D4289A" w:rsidRPr="00DA0D68" w:rsidRDefault="007F5BA8" w:rsidP="00DA0D68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A0D68">
        <w:rPr>
          <w:rFonts w:ascii="Times New Roman" w:hAnsi="Times New Roman" w:cs="Times New Roman"/>
          <w:b/>
          <w:sz w:val="24"/>
        </w:rPr>
        <w:t>Consultation</w:t>
      </w:r>
    </w:p>
    <w:p w:rsidR="00416826" w:rsidRPr="00A545D2" w:rsidRDefault="00416826" w:rsidP="00416826">
      <w:pPr>
        <w:pStyle w:val="ListNumber"/>
        <w:spacing w:after="0"/>
        <w:rPr>
          <w:rFonts w:ascii="Times New Roman" w:hAnsi="Times New Roman"/>
          <w:szCs w:val="24"/>
        </w:rPr>
      </w:pPr>
      <w:r w:rsidRPr="00A545D2">
        <w:rPr>
          <w:rFonts w:ascii="Times New Roman" w:hAnsi="Times New Roman"/>
          <w:szCs w:val="24"/>
        </w:rPr>
        <w:t>The amendments have been requested by AHBIC</w:t>
      </w:r>
      <w:r w:rsidR="009870E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who consulted with, and received majority support from, actual and potential levy and charge payers.</w:t>
      </w:r>
    </w:p>
    <w:p w:rsidR="00416826" w:rsidRPr="00A545D2" w:rsidRDefault="00416826" w:rsidP="00416826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:rsidR="00416826" w:rsidRDefault="00416826" w:rsidP="0041682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Department of Treasury has confirmed </w:t>
      </w:r>
      <w:proofErr w:type="spellStart"/>
      <w:r>
        <w:rPr>
          <w:rFonts w:ascii="Times New Roman" w:eastAsia="Calibri" w:hAnsi="Times New Roman" w:cs="Times New Roman"/>
          <w:sz w:val="24"/>
        </w:rPr>
        <w:t>costings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undertaken by the Department of Agriculture (the Department) for the proposal and that the changes will have no net impact on the Budget.</w:t>
      </w:r>
    </w:p>
    <w:p w:rsidR="00416826" w:rsidRDefault="00416826" w:rsidP="00416826">
      <w:pPr>
        <w:rPr>
          <w:rFonts w:ascii="Times New Roman" w:eastAsia="Calibri" w:hAnsi="Times New Roman" w:cs="Times New Roman"/>
          <w:sz w:val="24"/>
        </w:rPr>
      </w:pPr>
    </w:p>
    <w:p w:rsidR="00BD3981" w:rsidRPr="00A545D2" w:rsidRDefault="00416826" w:rsidP="00BD3981">
      <w:pPr>
        <w:pStyle w:val="ListNumber"/>
        <w:spacing w:after="0"/>
        <w:rPr>
          <w:rFonts w:ascii="Times New Roman" w:hAnsi="Times New Roman"/>
          <w:szCs w:val="24"/>
        </w:rPr>
      </w:pPr>
      <w:r w:rsidRPr="00A545D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Department consulted with the Office of Parliamentary Counsel in the drafting of the amendments</w:t>
      </w:r>
      <w:r w:rsidR="001B3F5F">
        <w:rPr>
          <w:rFonts w:ascii="Times New Roman" w:hAnsi="Times New Roman"/>
          <w:szCs w:val="24"/>
        </w:rPr>
        <w:t xml:space="preserve">. </w:t>
      </w:r>
      <w:r w:rsidR="00BD3981" w:rsidRPr="00FE62C4">
        <w:rPr>
          <w:rFonts w:ascii="Times New Roman" w:hAnsi="Times New Roman"/>
          <w:szCs w:val="24"/>
        </w:rPr>
        <w:t xml:space="preserve">The Office of Best Practice Regulation (OBPR) advised that </w:t>
      </w:r>
      <w:r w:rsidR="00FE62C4" w:rsidRPr="00FE62C4">
        <w:rPr>
          <w:rFonts w:ascii="Times New Roman" w:hAnsi="Times New Roman"/>
          <w:szCs w:val="24"/>
        </w:rPr>
        <w:t xml:space="preserve">the regulation impact statement (RIS) meets best practice consistent with the </w:t>
      </w:r>
      <w:r w:rsidR="00FE62C4" w:rsidRPr="00FE62C4">
        <w:rPr>
          <w:rFonts w:ascii="Times New Roman" w:hAnsi="Times New Roman"/>
          <w:i/>
          <w:szCs w:val="24"/>
        </w:rPr>
        <w:t>Australian Government Guide to Regulation</w:t>
      </w:r>
      <w:r w:rsidR="00BD3981" w:rsidRPr="00FE62C4">
        <w:rPr>
          <w:rFonts w:ascii="Times New Roman" w:hAnsi="Times New Roman"/>
          <w:szCs w:val="24"/>
        </w:rPr>
        <w:t xml:space="preserve"> (OBPR reference 17593).</w:t>
      </w:r>
    </w:p>
    <w:p w:rsidR="00416826" w:rsidRPr="00A545D2" w:rsidRDefault="00416826" w:rsidP="00BD3981">
      <w:pPr>
        <w:pStyle w:val="ListNumber"/>
        <w:spacing w:after="0"/>
        <w:rPr>
          <w:rFonts w:ascii="Times New Roman" w:hAnsi="Times New Roman"/>
        </w:rPr>
      </w:pPr>
    </w:p>
    <w:p w:rsidR="00416826" w:rsidRDefault="00416826" w:rsidP="00416826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Amendment Regulation is compatible with the human rights and freedoms recognised or declared under section 3 of the </w:t>
      </w:r>
      <w:r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>
        <w:rPr>
          <w:rFonts w:ascii="Times New Roman" w:eastAsia="Calibri" w:hAnsi="Times New Roman" w:cs="Times New Roman"/>
          <w:sz w:val="24"/>
        </w:rPr>
        <w:t xml:space="preserve">. A full statement of compatibility is set out in the </w:t>
      </w:r>
      <w:r>
        <w:rPr>
          <w:rFonts w:ascii="Times New Roman" w:eastAsia="Calibri" w:hAnsi="Times New Roman" w:cs="Times New Roman"/>
          <w:sz w:val="24"/>
          <w:u w:val="single"/>
        </w:rPr>
        <w:t>Attachment</w:t>
      </w:r>
      <w:r>
        <w:rPr>
          <w:rFonts w:ascii="Times New Roman" w:eastAsia="Calibri" w:hAnsi="Times New Roman" w:cs="Times New Roman"/>
          <w:sz w:val="24"/>
        </w:rPr>
        <w:t>.</w:t>
      </w:r>
    </w:p>
    <w:p w:rsidR="007A30DA" w:rsidRDefault="007A30DA" w:rsidP="00CF6F69">
      <w:pPr>
        <w:shd w:val="clear" w:color="auto" w:fill="FFFFFF" w:themeFill="background1"/>
        <w:tabs>
          <w:tab w:val="left" w:pos="1701"/>
          <w:tab w:val="right" w:pos="9072"/>
        </w:tabs>
        <w:rPr>
          <w:rFonts w:ascii="Times New Roman" w:eastAsia="Calibri" w:hAnsi="Times New Roman" w:cs="Times New Roman"/>
          <w:b/>
          <w:sz w:val="24"/>
          <w:u w:val="single"/>
        </w:rPr>
      </w:pPr>
    </w:p>
    <w:p w:rsidR="00416826" w:rsidRPr="005913C5" w:rsidRDefault="00416826" w:rsidP="00416826">
      <w:pPr>
        <w:shd w:val="clear" w:color="auto" w:fill="FFFFFF" w:themeFill="background1"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  <w:u w:val="single"/>
        </w:rPr>
      </w:pPr>
      <w:r w:rsidRPr="005913C5">
        <w:rPr>
          <w:rFonts w:ascii="Times New Roman" w:eastAsia="Calibri" w:hAnsi="Times New Roman" w:cs="Times New Roman"/>
          <w:b/>
          <w:sz w:val="24"/>
          <w:u w:val="single"/>
        </w:rPr>
        <w:t xml:space="preserve">Details of the </w:t>
      </w:r>
      <w:r>
        <w:rPr>
          <w:rFonts w:ascii="Times New Roman" w:hAnsi="Times New Roman" w:cs="Times New Roman"/>
          <w:b/>
          <w:i/>
          <w:snapToGrid w:val="0"/>
          <w:sz w:val="24"/>
          <w:u w:val="single"/>
        </w:rPr>
        <w:t>Primary Industries Levies and Charges Collection Amendment (Honey) Regulation 2015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</w:rPr>
      </w:pPr>
    </w:p>
    <w:p w:rsidR="00416826" w:rsidRPr="005913C5" w:rsidRDefault="00416826" w:rsidP="00416826">
      <w:pPr>
        <w:pStyle w:val="Normal-em"/>
        <w:shd w:val="clear" w:color="auto" w:fill="FFFFFF" w:themeFill="background1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</w:t>
      </w:r>
      <w:r w:rsidRPr="005913C5">
        <w:rPr>
          <w:color w:val="auto"/>
          <w:szCs w:val="24"/>
          <w:u w:val="single"/>
        </w:rPr>
        <w:t xml:space="preserve"> 1 – Name 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</w:rPr>
      </w:pPr>
      <w:r w:rsidRPr="005913C5">
        <w:rPr>
          <w:color w:val="auto"/>
          <w:szCs w:val="24"/>
        </w:rPr>
        <w:t xml:space="preserve">This </w:t>
      </w:r>
      <w:r>
        <w:rPr>
          <w:color w:val="auto"/>
          <w:szCs w:val="24"/>
        </w:rPr>
        <w:t>section</w:t>
      </w:r>
      <w:r w:rsidRPr="005913C5">
        <w:rPr>
          <w:color w:val="auto"/>
          <w:szCs w:val="24"/>
        </w:rPr>
        <w:t xml:space="preserve"> provide</w:t>
      </w:r>
      <w:r>
        <w:rPr>
          <w:color w:val="auto"/>
          <w:szCs w:val="24"/>
        </w:rPr>
        <w:t xml:space="preserve">s that the name of the Amendment Regulation is the </w:t>
      </w:r>
      <w:r>
        <w:rPr>
          <w:i/>
          <w:snapToGrid w:val="0"/>
          <w:color w:val="auto"/>
          <w:szCs w:val="24"/>
        </w:rPr>
        <w:t>Primary Industries Levies and Charges Collection Amendment (Honey) Regulation 2015.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</w:rPr>
      </w:pP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</w:t>
      </w:r>
      <w:r w:rsidRPr="005913C5">
        <w:rPr>
          <w:color w:val="auto"/>
          <w:szCs w:val="24"/>
          <w:u w:val="single"/>
        </w:rPr>
        <w:t xml:space="preserve"> 2 – Commencement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  <w:highlight w:val="yellow"/>
        </w:rPr>
      </w:pPr>
      <w:r w:rsidRPr="005913C5">
        <w:rPr>
          <w:color w:val="auto"/>
          <w:szCs w:val="24"/>
        </w:rPr>
        <w:t xml:space="preserve">This </w:t>
      </w:r>
      <w:r>
        <w:rPr>
          <w:color w:val="auto"/>
          <w:szCs w:val="24"/>
        </w:rPr>
        <w:t xml:space="preserve">section </w:t>
      </w:r>
      <w:r w:rsidRPr="005913C5">
        <w:rPr>
          <w:color w:val="auto"/>
          <w:szCs w:val="24"/>
        </w:rPr>
        <w:t>provide</w:t>
      </w:r>
      <w:r>
        <w:rPr>
          <w:color w:val="auto"/>
          <w:szCs w:val="24"/>
        </w:rPr>
        <w:t>s</w:t>
      </w:r>
      <w:r w:rsidRPr="005913C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that the Amendment Regulation </w:t>
      </w:r>
      <w:r w:rsidRPr="005913C5">
        <w:rPr>
          <w:rFonts w:eastAsia="Calibri"/>
          <w:szCs w:val="24"/>
        </w:rPr>
        <w:t>commence</w:t>
      </w:r>
      <w:r>
        <w:rPr>
          <w:rFonts w:eastAsia="Calibri"/>
          <w:szCs w:val="24"/>
        </w:rPr>
        <w:t>s</w:t>
      </w:r>
      <w:r w:rsidRPr="005913C5">
        <w:rPr>
          <w:rFonts w:eastAsia="Calibri"/>
          <w:szCs w:val="24"/>
        </w:rPr>
        <w:t xml:space="preserve"> on </w:t>
      </w:r>
      <w:r w:rsidRPr="00FE62C4">
        <w:rPr>
          <w:rFonts w:eastAsia="Calibri"/>
          <w:szCs w:val="24"/>
        </w:rPr>
        <w:t>1 </w:t>
      </w:r>
      <w:r w:rsidR="000240DB" w:rsidRPr="00FE62C4">
        <w:rPr>
          <w:rFonts w:eastAsia="Calibri"/>
          <w:szCs w:val="24"/>
        </w:rPr>
        <w:t>July</w:t>
      </w:r>
      <w:r w:rsidRPr="00FE62C4">
        <w:rPr>
          <w:rFonts w:eastAsia="Calibri"/>
          <w:szCs w:val="24"/>
        </w:rPr>
        <w:t> 2015</w:t>
      </w:r>
      <w:r w:rsidRPr="005913C5">
        <w:rPr>
          <w:rFonts w:eastAsia="Calibri"/>
          <w:szCs w:val="24"/>
        </w:rPr>
        <w:t>.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</w:rPr>
      </w:pPr>
    </w:p>
    <w:p w:rsidR="00416826" w:rsidRPr="005913C5" w:rsidRDefault="00416826" w:rsidP="00416826">
      <w:pPr>
        <w:pStyle w:val="Normal-em"/>
        <w:shd w:val="clear" w:color="auto" w:fill="FFFFFF" w:themeFill="background1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</w:t>
      </w:r>
      <w:r w:rsidRPr="005913C5">
        <w:rPr>
          <w:color w:val="auto"/>
          <w:szCs w:val="24"/>
          <w:u w:val="single"/>
        </w:rPr>
        <w:t xml:space="preserve"> 3 – Authority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iCs/>
          <w:color w:val="auto"/>
          <w:szCs w:val="24"/>
        </w:rPr>
      </w:pPr>
      <w:r w:rsidRPr="005913C5">
        <w:rPr>
          <w:color w:val="auto"/>
          <w:szCs w:val="24"/>
        </w:rPr>
        <w:t xml:space="preserve">This </w:t>
      </w:r>
      <w:r>
        <w:rPr>
          <w:color w:val="auto"/>
          <w:szCs w:val="24"/>
        </w:rPr>
        <w:t xml:space="preserve">section </w:t>
      </w:r>
      <w:r w:rsidRPr="005913C5">
        <w:rPr>
          <w:color w:val="auto"/>
          <w:szCs w:val="24"/>
        </w:rPr>
        <w:t>provide</w:t>
      </w:r>
      <w:r>
        <w:rPr>
          <w:color w:val="auto"/>
          <w:szCs w:val="24"/>
        </w:rPr>
        <w:t>s</w:t>
      </w:r>
      <w:r w:rsidRPr="005913C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that the Amendment Regulation is made under the </w:t>
      </w:r>
      <w:r>
        <w:rPr>
          <w:i/>
          <w:iCs/>
          <w:color w:val="auto"/>
          <w:szCs w:val="24"/>
        </w:rPr>
        <w:t>Primary Industries Levies and Charges Collection Act 1991</w:t>
      </w:r>
      <w:r w:rsidRPr="005913C5">
        <w:rPr>
          <w:color w:val="auto"/>
          <w:szCs w:val="24"/>
        </w:rPr>
        <w:t>.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iCs/>
          <w:color w:val="auto"/>
          <w:szCs w:val="24"/>
        </w:rPr>
      </w:pPr>
    </w:p>
    <w:p w:rsidR="00416826" w:rsidRPr="005913C5" w:rsidRDefault="00416826" w:rsidP="00416826">
      <w:pPr>
        <w:pStyle w:val="Normal-em"/>
        <w:shd w:val="clear" w:color="auto" w:fill="FFFFFF" w:themeFill="background1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</w:t>
      </w:r>
      <w:r w:rsidRPr="005913C5">
        <w:rPr>
          <w:color w:val="auto"/>
          <w:szCs w:val="24"/>
          <w:u w:val="single"/>
        </w:rPr>
        <w:t xml:space="preserve"> 4 – Schedule</w:t>
      </w:r>
    </w:p>
    <w:p w:rsidR="00416826" w:rsidRPr="005913C5" w:rsidRDefault="00416826" w:rsidP="00416826">
      <w:pPr>
        <w:pStyle w:val="Normal-em"/>
        <w:shd w:val="clear" w:color="auto" w:fill="FFFFFF" w:themeFill="background1"/>
        <w:rPr>
          <w:color w:val="auto"/>
          <w:szCs w:val="24"/>
        </w:rPr>
      </w:pPr>
      <w:r w:rsidRPr="005913C5">
        <w:rPr>
          <w:color w:val="auto"/>
          <w:szCs w:val="24"/>
        </w:rPr>
        <w:t xml:space="preserve">This </w:t>
      </w:r>
      <w:r>
        <w:rPr>
          <w:color w:val="auto"/>
          <w:szCs w:val="24"/>
        </w:rPr>
        <w:t xml:space="preserve">section </w:t>
      </w:r>
      <w:r w:rsidRPr="005913C5">
        <w:rPr>
          <w:color w:val="auto"/>
          <w:szCs w:val="24"/>
        </w:rPr>
        <w:t>provide</w:t>
      </w:r>
      <w:r>
        <w:rPr>
          <w:color w:val="auto"/>
          <w:szCs w:val="24"/>
        </w:rPr>
        <w:t xml:space="preserve">s that </w:t>
      </w:r>
      <w:r w:rsidRPr="001F1DF8">
        <w:rPr>
          <w:i/>
          <w:color w:val="auto"/>
          <w:szCs w:val="24"/>
        </w:rPr>
        <w:t>Primary Industries Levies and Charges Collection Regulations 1991</w:t>
      </w:r>
      <w:r>
        <w:rPr>
          <w:color w:val="auto"/>
          <w:szCs w:val="24"/>
        </w:rPr>
        <w:t xml:space="preserve"> are </w:t>
      </w:r>
      <w:r w:rsidRPr="005913C5">
        <w:rPr>
          <w:color w:val="auto"/>
          <w:szCs w:val="24"/>
        </w:rPr>
        <w:t>amended as set out in Schedule 1.</w:t>
      </w:r>
    </w:p>
    <w:p w:rsidR="00416826" w:rsidRDefault="00416826" w:rsidP="00416826">
      <w:pPr>
        <w:pStyle w:val="Normal-em"/>
        <w:shd w:val="clear" w:color="auto" w:fill="FFFFFF" w:themeFill="background1"/>
        <w:rPr>
          <w:iCs/>
          <w:color w:val="auto"/>
          <w:szCs w:val="24"/>
        </w:rPr>
      </w:pPr>
    </w:p>
    <w:p w:rsidR="00BC642C" w:rsidRDefault="00BC642C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u w:val="single"/>
        </w:rPr>
        <w:br w:type="page"/>
      </w:r>
    </w:p>
    <w:p w:rsidR="00416826" w:rsidRPr="005913C5" w:rsidRDefault="00416826" w:rsidP="00416826">
      <w:pPr>
        <w:pStyle w:val="Normal-em"/>
        <w:rPr>
          <w:color w:val="auto"/>
          <w:szCs w:val="24"/>
        </w:rPr>
      </w:pPr>
      <w:r w:rsidRPr="005913C5">
        <w:rPr>
          <w:color w:val="auto"/>
          <w:szCs w:val="24"/>
          <w:u w:val="single"/>
        </w:rPr>
        <w:lastRenderedPageBreak/>
        <w:t>Schedule 1 – Amendments</w:t>
      </w:r>
    </w:p>
    <w:p w:rsidR="00416826" w:rsidRDefault="00416826" w:rsidP="00416826">
      <w:pPr>
        <w:rPr>
          <w:rFonts w:ascii="Times New Roman" w:hAnsi="Times New Roman" w:cs="Times New Roman"/>
          <w:b/>
          <w:sz w:val="24"/>
        </w:rPr>
      </w:pPr>
    </w:p>
    <w:p w:rsidR="00416826" w:rsidRDefault="00416826" w:rsidP="00416826">
      <w:pPr>
        <w:tabs>
          <w:tab w:val="right" w:pos="9072"/>
        </w:tabs>
        <w:rPr>
          <w:rFonts w:ascii="Times New Roman" w:eastAsia="Times New Roman" w:hAnsi="Times New Roman" w:cs="Times New Roman"/>
          <w:iCs/>
          <w:sz w:val="24"/>
        </w:rPr>
      </w:pPr>
      <w:r w:rsidRPr="007A4539">
        <w:rPr>
          <w:rFonts w:ascii="Times New Roman" w:hAnsi="Times New Roman" w:cs="Times New Roman"/>
          <w:b/>
          <w:sz w:val="24"/>
        </w:rPr>
        <w:t xml:space="preserve">Item 1 </w:t>
      </w:r>
      <w:r w:rsidRPr="007A4539">
        <w:rPr>
          <w:rFonts w:ascii="Times New Roman" w:eastAsia="Times New Roman" w:hAnsi="Times New Roman" w:cs="Times New Roman"/>
          <w:sz w:val="24"/>
        </w:rPr>
        <w:t>amend</w:t>
      </w:r>
      <w:r>
        <w:rPr>
          <w:rFonts w:ascii="Times New Roman" w:eastAsia="Times New Roman" w:hAnsi="Times New Roman" w:cs="Times New Roman"/>
          <w:sz w:val="24"/>
        </w:rPr>
        <w:t>s</w:t>
      </w:r>
      <w:r w:rsidRPr="007A4539">
        <w:rPr>
          <w:rFonts w:ascii="Times New Roman" w:eastAsia="Times New Roman" w:hAnsi="Times New Roman" w:cs="Times New Roman"/>
          <w:sz w:val="24"/>
        </w:rPr>
        <w:t xml:space="preserve"> the definition of </w:t>
      </w:r>
      <w:r w:rsidRPr="007A4539">
        <w:rPr>
          <w:rFonts w:ascii="Times New Roman" w:eastAsia="Times New Roman" w:hAnsi="Times New Roman" w:cs="Times New Roman"/>
          <w:i/>
          <w:sz w:val="24"/>
        </w:rPr>
        <w:t xml:space="preserve">charge </w:t>
      </w:r>
      <w:r w:rsidRPr="007A4539">
        <w:rPr>
          <w:rFonts w:ascii="Times New Roman" w:eastAsia="Times New Roman" w:hAnsi="Times New Roman" w:cs="Times New Roman"/>
          <w:sz w:val="24"/>
        </w:rPr>
        <w:t>to refer to</w:t>
      </w:r>
      <w:r w:rsidRPr="007A453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Calibri" w:hAnsi="Times New Roman" w:cs="Times New Roman"/>
          <w:sz w:val="24"/>
        </w:rPr>
        <w:t>E</w:t>
      </w:r>
      <w:r w:rsidRPr="007A4539">
        <w:rPr>
          <w:rFonts w:ascii="Times New Roman" w:eastAsia="Calibri" w:hAnsi="Times New Roman" w:cs="Times New Roman"/>
          <w:sz w:val="24"/>
        </w:rPr>
        <w:t xml:space="preserve">mergency </w:t>
      </w:r>
      <w:r>
        <w:rPr>
          <w:rFonts w:ascii="Times New Roman" w:eastAsia="Calibri" w:hAnsi="Times New Roman" w:cs="Times New Roman"/>
          <w:sz w:val="24"/>
        </w:rPr>
        <w:t>P</w:t>
      </w:r>
      <w:r w:rsidRPr="007A4539">
        <w:rPr>
          <w:rFonts w:ascii="Times New Roman" w:eastAsia="Calibri" w:hAnsi="Times New Roman" w:cs="Times New Roman"/>
          <w:sz w:val="24"/>
        </w:rPr>
        <w:t xml:space="preserve">lant </w:t>
      </w:r>
      <w:r>
        <w:rPr>
          <w:rFonts w:ascii="Times New Roman" w:eastAsia="Calibri" w:hAnsi="Times New Roman" w:cs="Times New Roman"/>
          <w:sz w:val="24"/>
        </w:rPr>
        <w:t>P</w:t>
      </w:r>
      <w:r w:rsidRPr="007A4539">
        <w:rPr>
          <w:rFonts w:ascii="Times New Roman" w:eastAsia="Calibri" w:hAnsi="Times New Roman" w:cs="Times New Roman"/>
          <w:sz w:val="24"/>
        </w:rPr>
        <w:t xml:space="preserve">est </w:t>
      </w:r>
      <w:r>
        <w:rPr>
          <w:rFonts w:ascii="Times New Roman" w:eastAsia="Calibri" w:hAnsi="Times New Roman" w:cs="Times New Roman"/>
          <w:sz w:val="24"/>
        </w:rPr>
        <w:t>R</w:t>
      </w:r>
      <w:r w:rsidRPr="007A4539">
        <w:rPr>
          <w:rFonts w:ascii="Times New Roman" w:eastAsia="Calibri" w:hAnsi="Times New Roman" w:cs="Times New Roman"/>
          <w:sz w:val="24"/>
        </w:rPr>
        <w:t>esponse (EPPR) charge imposed by Schedule 9 to the Customs Charges Regulations or</w:t>
      </w:r>
      <w:r>
        <w:rPr>
          <w:rFonts w:ascii="Times New Roman" w:eastAsia="Calibri" w:hAnsi="Times New Roman" w:cs="Times New Roman"/>
          <w:sz w:val="24"/>
        </w:rPr>
        <w:t xml:space="preserve"> the Plant Health Australia (PHA) charge imposed by Schedule 9 to the Customs Charges Regulations. This item removes the reference to the E</w:t>
      </w:r>
      <w:r w:rsidRPr="00DF7846">
        <w:rPr>
          <w:rFonts w:ascii="Times New Roman" w:eastAsia="Calibri" w:hAnsi="Times New Roman" w:cs="Times New Roman"/>
          <w:sz w:val="24"/>
        </w:rPr>
        <w:t xml:space="preserve">mergency </w:t>
      </w:r>
      <w:r>
        <w:rPr>
          <w:rFonts w:ascii="Times New Roman" w:eastAsia="Calibri" w:hAnsi="Times New Roman" w:cs="Times New Roman"/>
          <w:sz w:val="24"/>
        </w:rPr>
        <w:t>A</w:t>
      </w:r>
      <w:r w:rsidRPr="00DF7846">
        <w:rPr>
          <w:rFonts w:ascii="Times New Roman" w:eastAsia="Calibri" w:hAnsi="Times New Roman" w:cs="Times New Roman"/>
          <w:sz w:val="24"/>
        </w:rPr>
        <w:t xml:space="preserve">nimal </w:t>
      </w:r>
      <w:r>
        <w:rPr>
          <w:rFonts w:ascii="Times New Roman" w:eastAsia="Calibri" w:hAnsi="Times New Roman" w:cs="Times New Roman"/>
          <w:sz w:val="24"/>
        </w:rPr>
        <w:t>D</w:t>
      </w:r>
      <w:r w:rsidRPr="00DF7846">
        <w:rPr>
          <w:rFonts w:ascii="Times New Roman" w:eastAsia="Calibri" w:hAnsi="Times New Roman" w:cs="Times New Roman"/>
          <w:sz w:val="24"/>
        </w:rPr>
        <w:t xml:space="preserve">isease </w:t>
      </w:r>
      <w:r>
        <w:rPr>
          <w:rFonts w:ascii="Times New Roman" w:eastAsia="Calibri" w:hAnsi="Times New Roman" w:cs="Times New Roman"/>
          <w:sz w:val="24"/>
        </w:rPr>
        <w:t>R</w:t>
      </w:r>
      <w:r w:rsidRPr="00DF7846">
        <w:rPr>
          <w:rFonts w:ascii="Times New Roman" w:eastAsia="Calibri" w:hAnsi="Times New Roman" w:cs="Times New Roman"/>
          <w:sz w:val="24"/>
        </w:rPr>
        <w:t xml:space="preserve">esponse (EADR) charge imposed on honey by clause 2 of Schedule 9 </w:t>
      </w:r>
      <w:r>
        <w:rPr>
          <w:rFonts w:ascii="Times New Roman" w:eastAsia="Calibri" w:hAnsi="Times New Roman" w:cs="Times New Roman"/>
          <w:sz w:val="24"/>
        </w:rPr>
        <w:t>to</w:t>
      </w:r>
      <w:r w:rsidRPr="00DF7846">
        <w:rPr>
          <w:rFonts w:ascii="Times New Roman" w:eastAsia="Calibri" w:hAnsi="Times New Roman" w:cs="Times New Roman"/>
          <w:sz w:val="24"/>
        </w:rPr>
        <w:t xml:space="preserve"> the Customs Charges Regulations</w:t>
      </w:r>
      <w:r>
        <w:rPr>
          <w:rFonts w:ascii="Times New Roman" w:eastAsia="Calibri" w:hAnsi="Times New Roman" w:cs="Times New Roman"/>
          <w:sz w:val="24"/>
        </w:rPr>
        <w:t>.</w:t>
      </w:r>
    </w:p>
    <w:p w:rsidR="00416826" w:rsidRDefault="00416826" w:rsidP="00416826">
      <w:pPr>
        <w:rPr>
          <w:rFonts w:ascii="Times New Roman" w:eastAsia="Times New Roman" w:hAnsi="Times New Roman" w:cs="Times New Roman"/>
          <w:sz w:val="24"/>
        </w:rPr>
      </w:pPr>
    </w:p>
    <w:p w:rsidR="00416826" w:rsidRDefault="00416826" w:rsidP="00416826">
      <w:pPr>
        <w:tabs>
          <w:tab w:val="right" w:pos="9072"/>
        </w:tabs>
        <w:jc w:val="both"/>
        <w:rPr>
          <w:rFonts w:ascii="Times New Roman" w:eastAsia="Times New Roman" w:hAnsi="Times New Roman" w:cs="Times New Roman"/>
          <w:sz w:val="24"/>
        </w:rPr>
      </w:pPr>
      <w:r w:rsidRPr="007A4539">
        <w:rPr>
          <w:rFonts w:ascii="Times New Roman" w:eastAsia="Times New Roman" w:hAnsi="Times New Roman" w:cs="Times New Roman"/>
          <w:b/>
          <w:sz w:val="24"/>
        </w:rPr>
        <w:t>Item 2</w:t>
      </w:r>
      <w:r w:rsidRPr="007A4539">
        <w:rPr>
          <w:rFonts w:ascii="Times New Roman" w:eastAsia="Times New Roman" w:hAnsi="Times New Roman" w:cs="Times New Roman"/>
          <w:sz w:val="24"/>
        </w:rPr>
        <w:t xml:space="preserve"> amend</w:t>
      </w:r>
      <w:r>
        <w:rPr>
          <w:rFonts w:ascii="Times New Roman" w:eastAsia="Times New Roman" w:hAnsi="Times New Roman" w:cs="Times New Roman"/>
          <w:sz w:val="24"/>
        </w:rPr>
        <w:t>s</w:t>
      </w:r>
      <w:r w:rsidRPr="007A4539">
        <w:rPr>
          <w:rFonts w:ascii="Times New Roman" w:eastAsia="Times New Roman" w:hAnsi="Times New Roman" w:cs="Times New Roman"/>
          <w:sz w:val="24"/>
        </w:rPr>
        <w:t xml:space="preserve"> the definition of </w:t>
      </w:r>
      <w:r w:rsidRPr="007A4539">
        <w:rPr>
          <w:rFonts w:ascii="Times New Roman" w:eastAsia="Times New Roman" w:hAnsi="Times New Roman" w:cs="Times New Roman"/>
          <w:i/>
          <w:sz w:val="24"/>
        </w:rPr>
        <w:t xml:space="preserve">levy </w:t>
      </w:r>
      <w:r w:rsidRPr="007A4539">
        <w:rPr>
          <w:rFonts w:ascii="Times New Roman" w:eastAsia="Times New Roman" w:hAnsi="Times New Roman" w:cs="Times New Roman"/>
          <w:sz w:val="24"/>
        </w:rPr>
        <w:t>to refer to</w:t>
      </w:r>
      <w:r w:rsidRPr="007A453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7A4539">
        <w:rPr>
          <w:rFonts w:ascii="Times New Roman" w:eastAsia="Calibri" w:hAnsi="Times New Roman" w:cs="Times New Roman"/>
          <w:sz w:val="24"/>
        </w:rPr>
        <w:t>EPPR levy imposed by Schedule 14 o</w:t>
      </w:r>
      <w:r w:rsidRPr="006F41E1">
        <w:rPr>
          <w:rFonts w:ascii="Times New Roman" w:eastAsia="Calibri" w:hAnsi="Times New Roman" w:cs="Times New Roman"/>
          <w:sz w:val="24"/>
        </w:rPr>
        <w:t>f the Excise Levies Regulations</w:t>
      </w:r>
      <w:r w:rsidRPr="007A4539">
        <w:rPr>
          <w:rFonts w:ascii="Times New Roman" w:eastAsia="Calibri" w:hAnsi="Times New Roman" w:cs="Times New Roman"/>
          <w:sz w:val="24"/>
        </w:rPr>
        <w:t xml:space="preserve"> or</w:t>
      </w:r>
      <w:r>
        <w:rPr>
          <w:rFonts w:ascii="Times New Roman" w:eastAsia="Calibri" w:hAnsi="Times New Roman" w:cs="Times New Roman"/>
          <w:sz w:val="24"/>
        </w:rPr>
        <w:t xml:space="preserve"> the PHA levy imposed by Schedule 14 of the Excise Levies Regulations. This item removes the reference to the </w:t>
      </w:r>
      <w:r w:rsidRPr="00DF7846">
        <w:rPr>
          <w:rFonts w:ascii="Times New Roman" w:eastAsia="Calibri" w:hAnsi="Times New Roman" w:cs="Times New Roman"/>
          <w:sz w:val="24"/>
        </w:rPr>
        <w:t xml:space="preserve">EADR </w:t>
      </w:r>
      <w:r>
        <w:rPr>
          <w:rFonts w:ascii="Times New Roman" w:eastAsia="Calibri" w:hAnsi="Times New Roman" w:cs="Times New Roman"/>
          <w:sz w:val="24"/>
        </w:rPr>
        <w:t>levy</w:t>
      </w:r>
      <w:r w:rsidRPr="00DF7846">
        <w:rPr>
          <w:rFonts w:ascii="Times New Roman" w:eastAsia="Calibri" w:hAnsi="Times New Roman" w:cs="Times New Roman"/>
          <w:sz w:val="24"/>
        </w:rPr>
        <w:t xml:space="preserve"> imposed on honey by clause</w:t>
      </w:r>
      <w:r w:rsidR="000240DB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3 of Schedule 14 to the Excise Levies Regulations.</w:t>
      </w:r>
    </w:p>
    <w:p w:rsidR="00416826" w:rsidRDefault="00416826" w:rsidP="00416826">
      <w:pPr>
        <w:tabs>
          <w:tab w:val="right" w:pos="9072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F00789" w:rsidRPr="005913C5" w:rsidRDefault="00416826" w:rsidP="00416826">
      <w:pPr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Item 3 </w:t>
      </w:r>
      <w:r>
        <w:rPr>
          <w:rFonts w:ascii="Times New Roman" w:eastAsia="Times New Roman" w:hAnsi="Times New Roman" w:cs="Times New Roman"/>
          <w:sz w:val="24"/>
        </w:rPr>
        <w:t>amends paragraph 9(b) of Schedule 21</w:t>
      </w:r>
      <w:r w:rsidRPr="000E610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so that a producer of honey must lodge a return for a levy year if, among other things, the total weight of the honey sold or used in that levy year is more than 1500 kilograms (previously 600 kilograms).</w:t>
      </w:r>
    </w:p>
    <w:p w:rsidR="00333B23" w:rsidRDefault="00333B23" w:rsidP="00333B23">
      <w:pPr>
        <w:rPr>
          <w:rFonts w:ascii="Times New Roman" w:eastAsia="Times New Roman" w:hAnsi="Times New Roman" w:cs="Times New Roman"/>
          <w:sz w:val="24"/>
        </w:rPr>
      </w:pPr>
    </w:p>
    <w:p w:rsidR="00D4289A" w:rsidRPr="00E84D87" w:rsidRDefault="007F5BA8" w:rsidP="00333F42">
      <w:pPr>
        <w:pStyle w:val="Normal-em"/>
        <w:jc w:val="right"/>
        <w:rPr>
          <w:b/>
          <w:caps/>
          <w:u w:val="single"/>
        </w:rPr>
      </w:pPr>
      <w:r>
        <w:br w:type="page"/>
      </w:r>
      <w:r w:rsidR="00AD653A" w:rsidRPr="00F00789">
        <w:rPr>
          <w:b/>
          <w:caps/>
          <w:u w:val="single"/>
        </w:rPr>
        <w:t>Attachment</w:t>
      </w:r>
    </w:p>
    <w:p w:rsidR="00D4289A" w:rsidRDefault="00D4289A">
      <w:pPr>
        <w:pStyle w:val="Normal-em"/>
        <w:rPr>
          <w:color w:val="auto"/>
          <w:szCs w:val="24"/>
        </w:rPr>
      </w:pPr>
    </w:p>
    <w:p w:rsidR="00D4289A" w:rsidRPr="00220CC5" w:rsidRDefault="007F5BA8">
      <w:pPr>
        <w:spacing w:before="360" w:after="120"/>
        <w:jc w:val="center"/>
        <w:rPr>
          <w:rFonts w:ascii="Times New Roman" w:hAnsi="Times New Roman" w:cs="Times New Roman"/>
          <w:b/>
          <w:sz w:val="24"/>
        </w:rPr>
      </w:pPr>
      <w:r w:rsidRPr="00220CC5">
        <w:rPr>
          <w:rFonts w:ascii="Times New Roman" w:hAnsi="Times New Roman" w:cs="Times New Roman"/>
          <w:b/>
          <w:sz w:val="24"/>
        </w:rPr>
        <w:t>Statement of Compatibility with Human Rights</w:t>
      </w:r>
    </w:p>
    <w:p w:rsidR="00D4289A" w:rsidRPr="00220CC5" w:rsidRDefault="00E84D87" w:rsidP="00D1103B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220CC5">
        <w:rPr>
          <w:rFonts w:ascii="Times New Roman" w:hAnsi="Times New Roman" w:cs="Times New Roman"/>
          <w:sz w:val="24"/>
        </w:rPr>
        <w:t>Prepared in accordance with Part 3 of the</w:t>
      </w:r>
      <w:r w:rsidRPr="00220CC5">
        <w:rPr>
          <w:rFonts w:ascii="Times New Roman" w:hAnsi="Times New Roman" w:cs="Times New Roman"/>
          <w:i/>
          <w:sz w:val="24"/>
        </w:rPr>
        <w:t xml:space="preserve"> Human Rights (Parliamentary Scrutiny) Act 2011</w:t>
      </w:r>
    </w:p>
    <w:p w:rsidR="00D1103B" w:rsidRPr="00D1103B" w:rsidRDefault="00D1103B" w:rsidP="00D1103B">
      <w:pPr>
        <w:contextualSpacing/>
        <w:jc w:val="center"/>
        <w:rPr>
          <w:i/>
        </w:rPr>
      </w:pPr>
    </w:p>
    <w:p w:rsidR="00416826" w:rsidRDefault="00416826" w:rsidP="00416826">
      <w:pPr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</w:rPr>
      </w:pPr>
      <w:r w:rsidRPr="00543D88">
        <w:rPr>
          <w:rFonts w:ascii="Times New Roman" w:eastAsia="Times New Roman" w:hAnsi="Times New Roman" w:cs="Times New Roman"/>
          <w:b/>
          <w:i/>
          <w:snapToGrid w:val="0"/>
          <w:sz w:val="24"/>
        </w:rPr>
        <w:t>Primary Industries Levies and Charges Collection Amendment (Honey) Regulation 2015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F8A9DC1DB44449CA84D4B95CD63C50F0"/>
        </w:placeholder>
        <w:group/>
      </w:sdtPr>
      <w:sdtEndPr>
        <w:rPr>
          <w:b/>
        </w:rPr>
      </w:sdtEndPr>
      <w:sdtContent>
        <w:p w:rsidR="00D4289A" w:rsidRDefault="00D4289A">
          <w:pPr>
            <w:jc w:val="center"/>
            <w:rPr>
              <w:rFonts w:ascii="Times New Roman" w:hAnsi="Times New Roman"/>
              <w:sz w:val="24"/>
            </w:rPr>
          </w:pPr>
        </w:p>
        <w:p w:rsidR="00D4289A" w:rsidRDefault="007F5BA8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>
            <w:rPr>
              <w:rFonts w:ascii="Times New Roman" w:hAnsi="Times New Roman"/>
              <w:i/>
              <w:sz w:val="24"/>
            </w:rPr>
            <w:t>Human Rights (Parliamentary Scrutiny) Act 2011</w:t>
          </w:r>
          <w:r>
            <w:rPr>
              <w:rFonts w:ascii="Times New Roman" w:hAnsi="Times New Roman"/>
              <w:sz w:val="24"/>
            </w:rPr>
            <w:t>.</w:t>
          </w:r>
        </w:p>
        <w:p w:rsidR="00D4289A" w:rsidRDefault="00D4289A">
          <w:pPr>
            <w:rPr>
              <w:rFonts w:ascii="Times New Roman" w:hAnsi="Times New Roman"/>
              <w:sz w:val="24"/>
            </w:rPr>
          </w:pPr>
        </w:p>
        <w:p w:rsidR="00D4289A" w:rsidRDefault="007F5BA8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:rsidR="00416826" w:rsidRDefault="00416826" w:rsidP="00416826">
      <w:pPr>
        <w:rPr>
          <w:rFonts w:ascii="Times New Roman" w:hAnsi="Times New Roman" w:cs="Times New Roman"/>
          <w:sz w:val="24"/>
          <w:lang w:val="en-GB"/>
        </w:rPr>
      </w:pPr>
      <w:r w:rsidRPr="00220CC5">
        <w:rPr>
          <w:rFonts w:ascii="Times New Roman" w:eastAsia="Calibri" w:hAnsi="Times New Roman" w:cs="Times New Roman"/>
          <w:sz w:val="24"/>
        </w:rPr>
        <w:t>This Legislative Instrument amends the</w:t>
      </w:r>
      <w:r w:rsidRPr="00220CC5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543D88">
        <w:rPr>
          <w:rFonts w:ascii="Times New Roman" w:hAnsi="Times New Roman" w:cs="Times New Roman"/>
          <w:i/>
          <w:sz w:val="24"/>
        </w:rPr>
        <w:t xml:space="preserve">Primary Industries Levies and Charges Collection Amendment (Honey) Regulation 2015 </w:t>
      </w:r>
      <w:r w:rsidRPr="00220CC5">
        <w:rPr>
          <w:rFonts w:ascii="Times New Roman" w:hAnsi="Times New Roman" w:cs="Times New Roman"/>
          <w:sz w:val="24"/>
          <w:lang w:val="en-GB"/>
        </w:rPr>
        <w:t>to</w:t>
      </w:r>
      <w:r>
        <w:rPr>
          <w:rFonts w:ascii="Times New Roman" w:hAnsi="Times New Roman" w:cs="Times New Roman"/>
          <w:sz w:val="24"/>
          <w:lang w:val="en-GB"/>
        </w:rPr>
        <w:t>:</w:t>
      </w:r>
    </w:p>
    <w:p w:rsidR="00416826" w:rsidRPr="00BB32D7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BB32D7">
        <w:rPr>
          <w:rFonts w:ascii="Times New Roman" w:eastAsia="Calibri" w:hAnsi="Times New Roman" w:cs="Times New Roman"/>
          <w:sz w:val="24"/>
        </w:rPr>
        <w:t>remove the Emergency Animal Disease response (EADR) charge and levy imposed on honey from the definitions;</w:t>
      </w:r>
    </w:p>
    <w:p w:rsidR="00416826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introduce an Emergency Plant Pest Response (EPPR) charge and levy imposed on honey to the definitions;</w:t>
      </w:r>
    </w:p>
    <w:p w:rsidR="00416826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introduce a Plant Health Australia (PHA) charge and levy imposed on honey to the definitions; and</w:t>
      </w:r>
    </w:p>
    <w:p w:rsidR="00416826" w:rsidRPr="001F1DF8" w:rsidRDefault="00416826" w:rsidP="00416826">
      <w:pPr>
        <w:pStyle w:val="ListParagraph"/>
        <w:numPr>
          <w:ilvl w:val="0"/>
          <w:numId w:val="23"/>
        </w:num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increase the threshold for producers of </w:t>
      </w:r>
      <w:proofErr w:type="spellStart"/>
      <w:r>
        <w:rPr>
          <w:rFonts w:ascii="Times New Roman" w:eastAsia="Calibri" w:hAnsi="Times New Roman" w:cs="Times New Roman"/>
          <w:sz w:val="24"/>
        </w:rPr>
        <w:t>leviable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honey who must lodge an annual return from a total weight of the honey sold or used of 600 to 1500 kilograms</w:t>
      </w:r>
      <w:r w:rsidRPr="001F1DF8">
        <w:rPr>
          <w:rFonts w:ascii="Times New Roman" w:eastAsia="Times New Roman" w:hAnsi="Times New Roman" w:cs="Times New Roman"/>
          <w:sz w:val="24"/>
        </w:rPr>
        <w:t>.</w:t>
      </w:r>
    </w:p>
    <w:sdt>
      <w:sdtPr>
        <w:rPr>
          <w:rFonts w:ascii="Times New Roman" w:hAnsi="Times New Roman"/>
          <w:sz w:val="24"/>
        </w:rPr>
        <w:id w:val="962787081"/>
        <w:lock w:val="contentLocked"/>
        <w:placeholder>
          <w:docPart w:val="F8A9DC1DB44449CA84D4B95CD63C50F0"/>
        </w:placeholder>
        <w:group/>
      </w:sdtPr>
      <w:sdtEndPr/>
      <w:sdtContent>
        <w:p w:rsidR="00D4289A" w:rsidRDefault="00D4289A">
          <w:pPr>
            <w:rPr>
              <w:rFonts w:ascii="Times New Roman" w:hAnsi="Times New Roman"/>
              <w:sz w:val="24"/>
            </w:rPr>
          </w:pPr>
        </w:p>
        <w:p w:rsidR="00D4289A" w:rsidRDefault="007F5BA8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Human rights implications</w:t>
          </w:r>
        </w:p>
        <w:p w:rsidR="00D4289A" w:rsidRDefault="007F5BA8">
          <w:pPr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This Legislative Instrument does not engage any of the applicable rights or freedoms.</w:t>
          </w:r>
        </w:p>
        <w:p w:rsidR="00D4289A" w:rsidRDefault="00D4289A">
          <w:pPr>
            <w:rPr>
              <w:rFonts w:ascii="Times New Roman" w:hAnsi="Times New Roman"/>
              <w:sz w:val="24"/>
            </w:rPr>
          </w:pPr>
        </w:p>
        <w:p w:rsidR="00D4289A" w:rsidRDefault="007F5BA8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Conclusion</w:t>
          </w:r>
        </w:p>
        <w:p w:rsidR="00D4289A" w:rsidRDefault="007F5BA8">
          <w:pPr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This Legislative Instrument is compatible with human rights as it does not raise any human rights issues.</w:t>
          </w:r>
        </w:p>
        <w:p w:rsidR="00D4289A" w:rsidRDefault="00D4289A">
          <w:pPr>
            <w:rPr>
              <w:rFonts w:ascii="Times New Roman" w:hAnsi="Times New Roman"/>
              <w:sz w:val="24"/>
            </w:rPr>
          </w:pPr>
        </w:p>
        <w:p w:rsidR="00D4289A" w:rsidRDefault="00504B93">
          <w:pPr>
            <w:rPr>
              <w:rFonts w:ascii="Times New Roman" w:hAnsi="Times New Roman"/>
              <w:sz w:val="24"/>
            </w:rPr>
          </w:pPr>
        </w:p>
      </w:sdtContent>
    </w:sdt>
    <w:p w:rsidR="00D4289A" w:rsidRDefault="007F5BA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Hon. Barnaby Joyce MP</w:t>
      </w:r>
    </w:p>
    <w:p w:rsidR="00D4289A" w:rsidRDefault="007F5BA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Minister for Agriculture</w:t>
      </w:r>
    </w:p>
    <w:p w:rsidR="00D4289A" w:rsidRDefault="00D4289A">
      <w:pPr>
        <w:rPr>
          <w:rFonts w:ascii="Times New Roman" w:hAnsi="Times New Roman" w:cs="Times New Roman"/>
          <w:sz w:val="24"/>
        </w:rPr>
      </w:pPr>
    </w:p>
    <w:p w:rsidR="00D4289A" w:rsidRDefault="00D4289A">
      <w:pPr>
        <w:rPr>
          <w:rFonts w:ascii="Times New Roman" w:hAnsi="Times New Roman" w:cs="Times New Roman"/>
          <w:lang w:val="en-GB"/>
        </w:rPr>
      </w:pPr>
    </w:p>
    <w:sectPr w:rsidR="00D4289A" w:rsidSect="00D4289A"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AD" w:rsidRDefault="006E6CAD">
      <w:r>
        <w:separator/>
      </w:r>
    </w:p>
  </w:endnote>
  <w:endnote w:type="continuationSeparator" w:id="0">
    <w:p w:rsidR="006E6CAD" w:rsidRDefault="006E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E6CAD" w:rsidRDefault="00E626A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6E6CAD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04B93">
          <w:rPr>
            <w:rFonts w:ascii="Times New Roman" w:hAnsi="Times New Roman" w:cs="Times New Roman"/>
            <w:noProof/>
            <w:sz w:val="22"/>
            <w:szCs w:val="22"/>
          </w:rPr>
          <w:t>4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AD" w:rsidRDefault="006E6CAD">
      <w:r>
        <w:separator/>
      </w:r>
    </w:p>
  </w:footnote>
  <w:footnote w:type="continuationSeparator" w:id="0">
    <w:p w:rsidR="006E6CAD" w:rsidRDefault="006E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E7E"/>
    <w:multiLevelType w:val="hybridMultilevel"/>
    <w:tmpl w:val="59B28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F16B8"/>
    <w:multiLevelType w:val="hybridMultilevel"/>
    <w:tmpl w:val="6A14018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0">
    <w:nsid w:val="37834AAC"/>
    <w:multiLevelType w:val="hybridMultilevel"/>
    <w:tmpl w:val="F84E692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B47E25"/>
    <w:multiLevelType w:val="hybridMultilevel"/>
    <w:tmpl w:val="70DAB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B7179"/>
    <w:multiLevelType w:val="hybridMultilevel"/>
    <w:tmpl w:val="26226B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B78BD"/>
    <w:multiLevelType w:val="hybridMultilevel"/>
    <w:tmpl w:val="A7E80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500AD3"/>
    <w:multiLevelType w:val="hybridMultilevel"/>
    <w:tmpl w:val="E2D0DF3A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65456429"/>
    <w:multiLevelType w:val="multilevel"/>
    <w:tmpl w:val="A51E1CF6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6"/>
  </w:num>
  <w:num w:numId="11">
    <w:abstractNumId w:val="20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10"/>
  </w:num>
  <w:num w:numId="19">
    <w:abstractNumId w:val="11"/>
  </w:num>
  <w:num w:numId="20">
    <w:abstractNumId w:val="19"/>
  </w:num>
  <w:num w:numId="21">
    <w:abstractNumId w:val="18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89A"/>
    <w:rsid w:val="000240DB"/>
    <w:rsid w:val="00025CCD"/>
    <w:rsid w:val="00040BC6"/>
    <w:rsid w:val="00065E03"/>
    <w:rsid w:val="00077C40"/>
    <w:rsid w:val="00086B6C"/>
    <w:rsid w:val="000B2E7F"/>
    <w:rsid w:val="000C0456"/>
    <w:rsid w:val="000F123B"/>
    <w:rsid w:val="00114347"/>
    <w:rsid w:val="001253CA"/>
    <w:rsid w:val="00167A2E"/>
    <w:rsid w:val="00196579"/>
    <w:rsid w:val="001B3F5F"/>
    <w:rsid w:val="001C5DF1"/>
    <w:rsid w:val="001C66D4"/>
    <w:rsid w:val="00220CC5"/>
    <w:rsid w:val="00267CDB"/>
    <w:rsid w:val="00290E1C"/>
    <w:rsid w:val="00306D1B"/>
    <w:rsid w:val="00307719"/>
    <w:rsid w:val="00333B23"/>
    <w:rsid w:val="00333F42"/>
    <w:rsid w:val="00364DAE"/>
    <w:rsid w:val="003F3511"/>
    <w:rsid w:val="00416826"/>
    <w:rsid w:val="00487041"/>
    <w:rsid w:val="004E1FBB"/>
    <w:rsid w:val="00504B93"/>
    <w:rsid w:val="005315E1"/>
    <w:rsid w:val="005870E6"/>
    <w:rsid w:val="005B7F5D"/>
    <w:rsid w:val="005C26A5"/>
    <w:rsid w:val="00607602"/>
    <w:rsid w:val="006421FB"/>
    <w:rsid w:val="00655D36"/>
    <w:rsid w:val="006B0B6F"/>
    <w:rsid w:val="006C3851"/>
    <w:rsid w:val="006E3034"/>
    <w:rsid w:val="006E6CAD"/>
    <w:rsid w:val="006F42F4"/>
    <w:rsid w:val="00705074"/>
    <w:rsid w:val="007431EE"/>
    <w:rsid w:val="00746A0B"/>
    <w:rsid w:val="007A30DA"/>
    <w:rsid w:val="007D226B"/>
    <w:rsid w:val="007E1B05"/>
    <w:rsid w:val="007F5BA8"/>
    <w:rsid w:val="0081034F"/>
    <w:rsid w:val="008231FA"/>
    <w:rsid w:val="008956D9"/>
    <w:rsid w:val="0094615A"/>
    <w:rsid w:val="009713D5"/>
    <w:rsid w:val="00974172"/>
    <w:rsid w:val="00984E22"/>
    <w:rsid w:val="009870EA"/>
    <w:rsid w:val="009A5ED4"/>
    <w:rsid w:val="009E05E5"/>
    <w:rsid w:val="009E3ED8"/>
    <w:rsid w:val="00A3067A"/>
    <w:rsid w:val="00A67FE7"/>
    <w:rsid w:val="00A75B61"/>
    <w:rsid w:val="00AA4062"/>
    <w:rsid w:val="00AC3288"/>
    <w:rsid w:val="00AD653A"/>
    <w:rsid w:val="00AD79F7"/>
    <w:rsid w:val="00AF74D7"/>
    <w:rsid w:val="00B2236A"/>
    <w:rsid w:val="00B44505"/>
    <w:rsid w:val="00B573EF"/>
    <w:rsid w:val="00B741E8"/>
    <w:rsid w:val="00BC642C"/>
    <w:rsid w:val="00BD3981"/>
    <w:rsid w:val="00C17901"/>
    <w:rsid w:val="00C4065E"/>
    <w:rsid w:val="00C45722"/>
    <w:rsid w:val="00C63B8D"/>
    <w:rsid w:val="00C67455"/>
    <w:rsid w:val="00C949CF"/>
    <w:rsid w:val="00CE5BEE"/>
    <w:rsid w:val="00CF3B5B"/>
    <w:rsid w:val="00CF6F69"/>
    <w:rsid w:val="00D1103B"/>
    <w:rsid w:val="00D16FB5"/>
    <w:rsid w:val="00D23CB5"/>
    <w:rsid w:val="00D4289A"/>
    <w:rsid w:val="00D5500B"/>
    <w:rsid w:val="00D834E8"/>
    <w:rsid w:val="00D9043C"/>
    <w:rsid w:val="00DA0D68"/>
    <w:rsid w:val="00DF5578"/>
    <w:rsid w:val="00E368B1"/>
    <w:rsid w:val="00E626A4"/>
    <w:rsid w:val="00E84D87"/>
    <w:rsid w:val="00E96311"/>
    <w:rsid w:val="00EA5073"/>
    <w:rsid w:val="00F00789"/>
    <w:rsid w:val="00F2074C"/>
    <w:rsid w:val="00F217D7"/>
    <w:rsid w:val="00F365F5"/>
    <w:rsid w:val="00F44614"/>
    <w:rsid w:val="00F55235"/>
    <w:rsid w:val="00FA1CA1"/>
    <w:rsid w:val="00FC46F9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9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289A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289A"/>
    <w:rPr>
      <w:sz w:val="19"/>
    </w:rPr>
  </w:style>
  <w:style w:type="paragraph" w:styleId="Footer">
    <w:name w:val="footer"/>
    <w:basedOn w:val="Normal"/>
    <w:link w:val="FooterChar"/>
    <w:uiPriority w:val="99"/>
    <w:rsid w:val="00D4289A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D4289A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9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2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8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89A"/>
  </w:style>
  <w:style w:type="table" w:styleId="TableGrid">
    <w:name w:val="Table Grid"/>
    <w:basedOn w:val="TableNormal"/>
    <w:uiPriority w:val="59"/>
    <w:rsid w:val="00D42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D4289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D4289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D4289A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D4289A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42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9A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D4289A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D4289A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4289A"/>
    <w:rPr>
      <w:rFonts w:ascii="Arial Rounded MT Bold" w:eastAsia="Times New Roman" w:hAnsi="Arial Rounded MT Bold" w:cs="Times New Roman"/>
      <w:b/>
      <w:szCs w:val="20"/>
    </w:rPr>
  </w:style>
  <w:style w:type="paragraph" w:customStyle="1" w:styleId="norm1">
    <w:name w:val="norm 1"/>
    <w:basedOn w:val="Normal"/>
    <w:rsid w:val="00D428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qFormat/>
    <w:rsid w:val="00D4289A"/>
    <w:pPr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subsection">
    <w:name w:val="subsection"/>
    <w:aliases w:val="ss"/>
    <w:basedOn w:val="Normal"/>
    <w:link w:val="subsectionChar"/>
    <w:rsid w:val="00D5500B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500B"/>
    <w:rPr>
      <w:rFonts w:ascii="Times New Roman" w:eastAsia="Times New Roman" w:hAnsi="Times New Roman" w:cs="Times New Roman"/>
      <w:sz w:val="22"/>
      <w:szCs w:val="20"/>
      <w:lang w:eastAsia="en-AU"/>
    </w:rPr>
  </w:style>
  <w:style w:type="paragraph" w:styleId="ListNumber">
    <w:name w:val="List Number"/>
    <w:basedOn w:val="Normal"/>
    <w:autoRedefine/>
    <w:uiPriority w:val="99"/>
    <w:qFormat/>
    <w:rsid w:val="00705074"/>
    <w:p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705074"/>
    <w:pPr>
      <w:numPr>
        <w:ilvl w:val="2"/>
        <w:numId w:val="20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705074"/>
    <w:pPr>
      <w:numPr>
        <w:ilvl w:val="3"/>
        <w:numId w:val="20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705074"/>
    <w:pPr>
      <w:numPr>
        <w:ilvl w:val="4"/>
        <w:numId w:val="20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customStyle="1" w:styleId="RGPara">
    <w:name w:val="RGPara"/>
    <w:aliases w:val="Readers Guide Para"/>
    <w:basedOn w:val="Normal"/>
    <w:rsid w:val="00E96311"/>
    <w:pPr>
      <w:spacing w:before="120" w:line="260" w:lineRule="exact"/>
      <w:jc w:val="both"/>
    </w:pPr>
    <w:rPr>
      <w:rFonts w:ascii="Times New Roman" w:eastAsiaTheme="minorHAnsi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962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3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A9DC1DB44449CA84D4B95CD63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DDD8-2F87-4941-84D2-49F10EE77DC0}"/>
      </w:docPartPr>
      <w:docPartBody>
        <w:p w:rsidR="0026120B" w:rsidRDefault="0026120B">
          <w:pPr>
            <w:pStyle w:val="F8A9DC1DB44449CA84D4B95CD63C50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5E3907C4F34CD6AD4ABD29DCDD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8381-A6AA-4BAA-9B4B-1224921021DE}"/>
      </w:docPartPr>
      <w:docPartBody>
        <w:p w:rsidR="00C445C3" w:rsidRDefault="008816F1" w:rsidP="008816F1">
          <w:pPr>
            <w:pStyle w:val="125E3907C4F34CD6AD4ABD29DCDD66E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120B"/>
    <w:rsid w:val="001310C8"/>
    <w:rsid w:val="00190357"/>
    <w:rsid w:val="001C18C9"/>
    <w:rsid w:val="00206AAE"/>
    <w:rsid w:val="002130D2"/>
    <w:rsid w:val="00232659"/>
    <w:rsid w:val="0026120B"/>
    <w:rsid w:val="0036423F"/>
    <w:rsid w:val="004118B6"/>
    <w:rsid w:val="00447203"/>
    <w:rsid w:val="004C4C90"/>
    <w:rsid w:val="00611E55"/>
    <w:rsid w:val="006B1313"/>
    <w:rsid w:val="00781BBF"/>
    <w:rsid w:val="00876B12"/>
    <w:rsid w:val="008816F1"/>
    <w:rsid w:val="009B2490"/>
    <w:rsid w:val="00A04827"/>
    <w:rsid w:val="00A35B0E"/>
    <w:rsid w:val="00AC3F6E"/>
    <w:rsid w:val="00BE075E"/>
    <w:rsid w:val="00BF48E1"/>
    <w:rsid w:val="00C445C3"/>
    <w:rsid w:val="00DE5E3E"/>
    <w:rsid w:val="00E32626"/>
    <w:rsid w:val="00EC33CB"/>
    <w:rsid w:val="00F65AD9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6F1"/>
    <w:rPr>
      <w:color w:val="808080"/>
    </w:rPr>
  </w:style>
  <w:style w:type="paragraph" w:customStyle="1" w:styleId="F8A9DC1DB44449CA84D4B95CD63C50F0">
    <w:name w:val="F8A9DC1DB44449CA84D4B95CD63C50F0"/>
    <w:rsid w:val="0026120B"/>
  </w:style>
  <w:style w:type="paragraph" w:customStyle="1" w:styleId="125E3907C4F34CD6AD4ABD29DCDD66E0">
    <w:name w:val="125E3907C4F34CD6AD4ABD29DCDD66E0"/>
    <w:rsid w:val="008816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B06286-021A-47CC-99ED-06C93C5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 PETER</dc:creator>
  <cp:lastModifiedBy>Alabaster, John</cp:lastModifiedBy>
  <cp:revision>2</cp:revision>
  <cp:lastPrinted>2015-02-05T03:42:00Z</cp:lastPrinted>
  <dcterms:created xsi:type="dcterms:W3CDTF">2015-04-28T23:04:00Z</dcterms:created>
  <dcterms:modified xsi:type="dcterms:W3CDTF">2015-04-28T23:04:00Z</dcterms:modified>
</cp:coreProperties>
</file>