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5671F" w14:textId="77777777" w:rsidR="00C10133" w:rsidRPr="00BD6C5A" w:rsidRDefault="00C10133" w:rsidP="00C10133">
      <w:pPr>
        <w:pStyle w:val="Heading1"/>
        <w:rPr>
          <w:rFonts w:ascii="Times New Roman" w:hAnsi="Times New Roman"/>
        </w:rPr>
      </w:pPr>
      <w:r w:rsidRPr="00BD6C5A">
        <w:rPr>
          <w:rFonts w:ascii="Times New Roman" w:hAnsi="Times New Roman"/>
        </w:rPr>
        <w:t>EXPLANATORY STATEMENT</w:t>
      </w:r>
    </w:p>
    <w:p w14:paraId="6F6FFE39" w14:textId="26C0B6DC" w:rsidR="001E002E" w:rsidRPr="001E002E" w:rsidRDefault="001E002E" w:rsidP="001E002E">
      <w:pPr>
        <w:pStyle w:val="Heading2"/>
        <w:jc w:val="center"/>
      </w:pPr>
      <w:r>
        <w:t xml:space="preserve">Select Legislative Instrument No. </w:t>
      </w:r>
      <w:r>
        <w:t>63</w:t>
      </w:r>
      <w:bookmarkStart w:id="0" w:name="_GoBack"/>
      <w:bookmarkEnd w:id="0"/>
      <w:r>
        <w:t>, 2015</w:t>
      </w:r>
    </w:p>
    <w:p w14:paraId="7271F32A" w14:textId="2FF7CD41" w:rsidR="00C10133" w:rsidRPr="00503E44" w:rsidRDefault="00C10133" w:rsidP="00C10133">
      <w:pPr>
        <w:pStyle w:val="Heading2"/>
        <w:jc w:val="center"/>
      </w:pPr>
      <w:r w:rsidRPr="00503E44">
        <w:t xml:space="preserve">Issued by authority of the </w:t>
      </w:r>
      <w:r w:rsidR="002368EB">
        <w:t>Minister for Small Business</w:t>
      </w:r>
    </w:p>
    <w:p w14:paraId="49040DA2" w14:textId="77777777" w:rsidR="00BD6C5A" w:rsidRDefault="00BD6C5A" w:rsidP="00BD6C5A">
      <w:pPr>
        <w:spacing w:before="0" w:after="0"/>
        <w:jc w:val="center"/>
        <w:rPr>
          <w:i/>
        </w:rPr>
      </w:pPr>
    </w:p>
    <w:p w14:paraId="188A8979" w14:textId="77777777" w:rsidR="00C10133" w:rsidRDefault="00C10133" w:rsidP="00BD6C5A">
      <w:pPr>
        <w:spacing w:before="0" w:after="0"/>
        <w:jc w:val="center"/>
        <w:rPr>
          <w:i/>
        </w:rPr>
      </w:pPr>
      <w:r>
        <w:rPr>
          <w:i/>
        </w:rPr>
        <w:t>Income Tax Assessment Act 1997</w:t>
      </w:r>
    </w:p>
    <w:p w14:paraId="23A40470" w14:textId="77777777" w:rsidR="00BD6C5A" w:rsidRPr="00D4675A" w:rsidRDefault="00BD6C5A" w:rsidP="00BD6C5A">
      <w:pPr>
        <w:spacing w:before="0" w:after="0"/>
        <w:jc w:val="center"/>
        <w:rPr>
          <w:i/>
        </w:rPr>
      </w:pPr>
    </w:p>
    <w:p w14:paraId="7E4FDFAD" w14:textId="77777777" w:rsidR="00BD6C5A" w:rsidRDefault="00BD6C5A" w:rsidP="00BD6C5A">
      <w:pPr>
        <w:spacing w:before="0" w:after="0"/>
        <w:jc w:val="center"/>
        <w:rPr>
          <w:i/>
        </w:rPr>
      </w:pPr>
      <w:r w:rsidRPr="00BD6C5A">
        <w:rPr>
          <w:i/>
        </w:rPr>
        <w:t>Income Tax Assessment Amendment (Employee Share Schemes) Regulation 2015</w:t>
      </w:r>
    </w:p>
    <w:p w14:paraId="5DB0BCEE" w14:textId="77777777" w:rsidR="00BD6C5A" w:rsidRDefault="00BD6C5A" w:rsidP="00BD6C5A">
      <w:pPr>
        <w:spacing w:before="0" w:after="0"/>
        <w:jc w:val="center"/>
        <w:rPr>
          <w:i/>
        </w:rPr>
      </w:pPr>
    </w:p>
    <w:p w14:paraId="4BCDE683" w14:textId="77777777" w:rsidR="00C10133" w:rsidRDefault="00C10133" w:rsidP="00BD6C5A">
      <w:pPr>
        <w:spacing w:before="0" w:after="0"/>
      </w:pPr>
      <w:r>
        <w:t xml:space="preserve">Section </w:t>
      </w:r>
      <w:r w:rsidRPr="00824C08">
        <w:t>909-1</w:t>
      </w:r>
      <w:r>
        <w:t xml:space="preserve"> </w:t>
      </w:r>
      <w:r w:rsidRPr="00503E44">
        <w:t xml:space="preserve">of the </w:t>
      </w:r>
      <w:r>
        <w:rPr>
          <w:i/>
        </w:rPr>
        <w:t>Income Tax Assessment Act 1997</w:t>
      </w:r>
      <w:r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0730948C" w14:textId="77777777" w:rsidR="00BD6C5A" w:rsidRDefault="00BD6C5A" w:rsidP="00BD6C5A">
      <w:pPr>
        <w:spacing w:before="0" w:after="0"/>
      </w:pPr>
    </w:p>
    <w:p w14:paraId="35111977" w14:textId="2251E3B1" w:rsidR="00C10133" w:rsidRDefault="00C10133" w:rsidP="00BD6C5A">
      <w:pPr>
        <w:pStyle w:val="base-text-paragraph"/>
        <w:spacing w:before="0" w:after="0"/>
        <w:ind w:left="0"/>
        <w:rPr>
          <w:lang w:val="en"/>
        </w:rPr>
      </w:pPr>
      <w:r>
        <w:t xml:space="preserve">The </w:t>
      </w:r>
      <w:r w:rsidRPr="00847C70">
        <w:rPr>
          <w:i/>
        </w:rPr>
        <w:t>Income Tax Assessment Amendment (Employee Share Schemes) Regulation 2015</w:t>
      </w:r>
      <w:r>
        <w:t xml:space="preserve"> (Regulation) amends the </w:t>
      </w:r>
      <w:r>
        <w:rPr>
          <w:i/>
          <w:lang w:val="en"/>
        </w:rPr>
        <w:t xml:space="preserve">Income Tax Assessment Regulations 1997 </w:t>
      </w:r>
      <w:r>
        <w:rPr>
          <w:lang w:val="en"/>
        </w:rPr>
        <w:t>(</w:t>
      </w:r>
      <w:proofErr w:type="spellStart"/>
      <w:r>
        <w:rPr>
          <w:lang w:val="en"/>
        </w:rPr>
        <w:t>ITAR</w:t>
      </w:r>
      <w:proofErr w:type="spellEnd"/>
      <w:r>
        <w:rPr>
          <w:lang w:val="en"/>
        </w:rPr>
        <w:t xml:space="preserve"> 1997) as detailed below.</w:t>
      </w:r>
    </w:p>
    <w:p w14:paraId="1260B023" w14:textId="77777777" w:rsidR="00BD6C5A" w:rsidRDefault="00BD6C5A" w:rsidP="00BD6C5A">
      <w:pPr>
        <w:pStyle w:val="base-text-paragraph"/>
        <w:spacing w:before="0" w:after="0"/>
        <w:ind w:left="0"/>
      </w:pPr>
    </w:p>
    <w:p w14:paraId="6C0AB6F4" w14:textId="65067447" w:rsidR="00C10133" w:rsidRDefault="00C10133" w:rsidP="00BD6C5A">
      <w:pPr>
        <w:pStyle w:val="Heading3"/>
        <w:spacing w:before="0" w:after="0"/>
      </w:pPr>
      <w:r>
        <w:t xml:space="preserve">Purpose </w:t>
      </w:r>
    </w:p>
    <w:p w14:paraId="280EAF7B" w14:textId="77777777" w:rsidR="00BD6C5A" w:rsidRDefault="00BD6C5A" w:rsidP="00BD6C5A">
      <w:pPr>
        <w:spacing w:before="0" w:after="0"/>
      </w:pPr>
    </w:p>
    <w:p w14:paraId="7219AED7" w14:textId="65333E4F" w:rsidR="00C10133" w:rsidRDefault="00C10133" w:rsidP="00BD6C5A">
      <w:pPr>
        <w:spacing w:before="0" w:after="0"/>
      </w:pPr>
      <w:r>
        <w:t xml:space="preserve">The purpose of the Regulation is to amend the existing employee share scheme taxing rules to </w:t>
      </w:r>
      <w:r w:rsidRPr="00687EDC">
        <w:t xml:space="preserve">improve the </w:t>
      </w:r>
      <w:r>
        <w:t xml:space="preserve">international </w:t>
      </w:r>
      <w:r w:rsidRPr="00687EDC">
        <w:t xml:space="preserve">competitiveness and productivity of Australian companies, to </w:t>
      </w:r>
      <w:r>
        <w:t xml:space="preserve">assist companies to attract and retain staff, </w:t>
      </w:r>
      <w:r w:rsidRPr="00687EDC">
        <w:t xml:space="preserve">to encourage start-up companies to </w:t>
      </w:r>
      <w:r>
        <w:t xml:space="preserve">be </w:t>
      </w:r>
      <w:r w:rsidRPr="00687EDC">
        <w:t>establish</w:t>
      </w:r>
      <w:r>
        <w:t>ed</w:t>
      </w:r>
      <w:r w:rsidRPr="00687EDC">
        <w:t xml:space="preserve"> in Australia, to assist start-up companies to succeed</w:t>
      </w:r>
      <w:r>
        <w:t>,</w:t>
      </w:r>
      <w:r w:rsidRPr="00687EDC">
        <w:t xml:space="preserve"> and to encourage further innovation in Australia</w:t>
      </w:r>
      <w:r w:rsidRPr="002B4DC1">
        <w:t xml:space="preserve">. </w:t>
      </w:r>
      <w:r w:rsidR="00E001EC" w:rsidRPr="001C0513">
        <w:t xml:space="preserve">The Regulation will provide greater flexibility for taxpayers by extending the </w:t>
      </w:r>
      <w:r w:rsidR="002B4DC1" w:rsidRPr="001C0513">
        <w:t xml:space="preserve">scope of the simplified valuation tables so that it covers </w:t>
      </w:r>
      <w:r w:rsidR="00E001EC" w:rsidRPr="001C0513">
        <w:t>unlisted right</w:t>
      </w:r>
      <w:r w:rsidR="002B4DC1" w:rsidRPr="001C0513">
        <w:t>s</w:t>
      </w:r>
      <w:r w:rsidR="00E001EC" w:rsidRPr="001C0513">
        <w:t xml:space="preserve"> </w:t>
      </w:r>
      <w:r w:rsidR="002B4DC1" w:rsidRPr="001C0513">
        <w:t xml:space="preserve">that </w:t>
      </w:r>
      <w:r w:rsidR="00E001EC" w:rsidRPr="001C0513">
        <w:t xml:space="preserve">may be exercised </w:t>
      </w:r>
      <w:r w:rsidR="002B4DC1" w:rsidRPr="001C0513">
        <w:t xml:space="preserve">between </w:t>
      </w:r>
      <w:r w:rsidR="00E001EC" w:rsidRPr="001C0513">
        <w:t xml:space="preserve">10 </w:t>
      </w:r>
      <w:r w:rsidR="002B4DC1" w:rsidRPr="001C0513">
        <w:t xml:space="preserve">and </w:t>
      </w:r>
      <w:r w:rsidR="00E001EC" w:rsidRPr="001C0513">
        <w:t xml:space="preserve">15 years. The valuation </w:t>
      </w:r>
      <w:r w:rsidR="002B4DC1">
        <w:t>tables</w:t>
      </w:r>
      <w:r w:rsidR="002B4DC1" w:rsidRPr="001C0513">
        <w:t xml:space="preserve"> </w:t>
      </w:r>
      <w:r w:rsidR="00E001EC" w:rsidRPr="001C0513">
        <w:t>will also be clarified through the inclusion of the assumptions used to determine the values listed in tables in the Regulations</w:t>
      </w:r>
      <w:r w:rsidR="002B4DC1">
        <w:t xml:space="preserve"> which have been updated to reflect current market conditions</w:t>
      </w:r>
      <w:r w:rsidR="00E001EC" w:rsidRPr="001C0513">
        <w:t>.</w:t>
      </w:r>
    </w:p>
    <w:p w14:paraId="2255B6F9" w14:textId="574B33B4" w:rsidR="00BD6C5A" w:rsidRPr="00A633B5" w:rsidRDefault="00BD6C5A" w:rsidP="00DD7118">
      <w:pPr>
        <w:spacing w:before="0" w:after="0"/>
      </w:pPr>
    </w:p>
    <w:p w14:paraId="5E556637" w14:textId="540746E6" w:rsidR="00C10133" w:rsidRPr="00503E44" w:rsidRDefault="00C10133" w:rsidP="00840B04">
      <w:pPr>
        <w:pStyle w:val="Heading3"/>
        <w:spacing w:before="0" w:after="0"/>
      </w:pPr>
      <w:r>
        <w:t>Context</w:t>
      </w:r>
    </w:p>
    <w:p w14:paraId="42B78495" w14:textId="77777777" w:rsidR="00BD6C5A" w:rsidRDefault="00BD6C5A" w:rsidP="00BD6C5A">
      <w:pPr>
        <w:spacing w:before="0" w:after="0"/>
      </w:pPr>
    </w:p>
    <w:p w14:paraId="0D3F2C6B" w14:textId="02AC3A1A" w:rsidR="00C10133" w:rsidRDefault="00C10133" w:rsidP="00BD6C5A">
      <w:pPr>
        <w:spacing w:before="0" w:after="0"/>
      </w:pPr>
      <w:r w:rsidRPr="009A16A4">
        <w:t>An employee share scheme (</w:t>
      </w:r>
      <w:proofErr w:type="spellStart"/>
      <w:r w:rsidRPr="009A16A4">
        <w:t>ESS</w:t>
      </w:r>
      <w:proofErr w:type="spellEnd"/>
      <w:r w:rsidRPr="009A16A4">
        <w:t>) is a scheme under which shares, stapled securities or rights to acquire them (</w:t>
      </w:r>
      <w:proofErr w:type="spellStart"/>
      <w:r w:rsidRPr="009A16A4">
        <w:t>ESS</w:t>
      </w:r>
      <w:proofErr w:type="spellEnd"/>
      <w:r w:rsidRPr="009A16A4">
        <w:t xml:space="preserve"> interests) in a company are provided to an employee or their associate in relatio</w:t>
      </w:r>
      <w:r w:rsidR="00BD6C5A">
        <w:t>n to the employee's employment.</w:t>
      </w:r>
    </w:p>
    <w:p w14:paraId="405E749B" w14:textId="77777777" w:rsidR="00BD6C5A" w:rsidRPr="009A16A4" w:rsidRDefault="00BD6C5A" w:rsidP="00BD6C5A">
      <w:pPr>
        <w:spacing w:before="0" w:after="0"/>
      </w:pPr>
    </w:p>
    <w:p w14:paraId="4B97AF94" w14:textId="77777777" w:rsidR="00C10133" w:rsidRDefault="00C10133" w:rsidP="00BD6C5A">
      <w:pPr>
        <w:spacing w:before="0" w:after="0"/>
      </w:pPr>
      <w:r>
        <w:t xml:space="preserve">Some companies encourage employees to participate in employee share schemes by offering employees shares, stapled securities, or </w:t>
      </w:r>
      <w:proofErr w:type="spellStart"/>
      <w:r>
        <w:t>ESS</w:t>
      </w:r>
      <w:proofErr w:type="spellEnd"/>
      <w:r>
        <w:t xml:space="preserve"> interests (including options) at a discount. </w:t>
      </w:r>
      <w:proofErr w:type="spellStart"/>
      <w:r>
        <w:t>ESS</w:t>
      </w:r>
      <w:proofErr w:type="spellEnd"/>
      <w:r>
        <w:t xml:space="preserve"> income tax rules apply to this discount.</w:t>
      </w:r>
    </w:p>
    <w:p w14:paraId="710DC79C" w14:textId="77777777" w:rsidR="00BD6C5A" w:rsidRDefault="00BD6C5A" w:rsidP="00BD6C5A">
      <w:pPr>
        <w:spacing w:before="0" w:after="0"/>
      </w:pPr>
    </w:p>
    <w:p w14:paraId="74C98536" w14:textId="610192C4" w:rsidR="00BD6C5A" w:rsidRDefault="00C10133" w:rsidP="00BD6C5A">
      <w:pPr>
        <w:spacing w:before="0" w:after="0"/>
      </w:pPr>
      <w:r>
        <w:t xml:space="preserve">The tax law contains specific rules about how tax applies to </w:t>
      </w:r>
      <w:proofErr w:type="spellStart"/>
      <w:r>
        <w:t>ESS</w:t>
      </w:r>
      <w:proofErr w:type="spellEnd"/>
      <w:r>
        <w:t xml:space="preserve"> interests. These rules apply to shares, stapled securities and rights to acquire them (including options), that have been provided to employees at a discount under an </w:t>
      </w:r>
      <w:proofErr w:type="spellStart"/>
      <w:r>
        <w:t>ESS</w:t>
      </w:r>
      <w:proofErr w:type="spellEnd"/>
      <w:r>
        <w:t>.</w:t>
      </w:r>
    </w:p>
    <w:p w14:paraId="04B2F8DB" w14:textId="77777777" w:rsidR="00BD6C5A" w:rsidRDefault="00BD6C5A" w:rsidP="00BD6C5A">
      <w:pPr>
        <w:spacing w:before="0" w:after="0"/>
      </w:pPr>
    </w:p>
    <w:p w14:paraId="6A7B302F" w14:textId="45596996" w:rsidR="00C10133" w:rsidRDefault="00C10133" w:rsidP="00BD6C5A">
      <w:pPr>
        <w:spacing w:before="0" w:after="0"/>
      </w:pPr>
      <w:r>
        <w:rPr>
          <w:lang w:val="en"/>
        </w:rPr>
        <w:t xml:space="preserve">Market value is generally used to determine the value of any </w:t>
      </w:r>
      <w:proofErr w:type="spellStart"/>
      <w:r>
        <w:rPr>
          <w:lang w:val="en"/>
        </w:rPr>
        <w:t>ESS</w:t>
      </w:r>
      <w:proofErr w:type="spellEnd"/>
      <w:r>
        <w:rPr>
          <w:lang w:val="en"/>
        </w:rPr>
        <w:t xml:space="preserve"> interest and any discount provided on its issue to an employee. However, valuation of </w:t>
      </w:r>
      <w:proofErr w:type="spellStart"/>
      <w:r>
        <w:rPr>
          <w:lang w:val="en"/>
        </w:rPr>
        <w:t>ESS</w:t>
      </w:r>
      <w:proofErr w:type="spellEnd"/>
      <w:r>
        <w:rPr>
          <w:lang w:val="en"/>
        </w:rPr>
        <w:t xml:space="preserve"> options can instead be determined by reference to rules set out in </w:t>
      </w:r>
      <w:proofErr w:type="spellStart"/>
      <w:r w:rsidR="00AF451F">
        <w:rPr>
          <w:lang w:val="en"/>
        </w:rPr>
        <w:t>ITAR</w:t>
      </w:r>
      <w:proofErr w:type="spellEnd"/>
      <w:r w:rsidR="00AF451F">
        <w:rPr>
          <w:lang w:val="en"/>
        </w:rPr>
        <w:t xml:space="preserve"> 1997</w:t>
      </w:r>
      <w:r>
        <w:rPr>
          <w:lang w:val="en"/>
        </w:rPr>
        <w:t xml:space="preserve">. Division 83A of the </w:t>
      </w:r>
      <w:proofErr w:type="spellStart"/>
      <w:r>
        <w:rPr>
          <w:lang w:val="en"/>
        </w:rPr>
        <w:t>ITAR</w:t>
      </w:r>
      <w:proofErr w:type="spellEnd"/>
      <w:r>
        <w:rPr>
          <w:lang w:val="en"/>
        </w:rPr>
        <w:t xml:space="preserve"> 1997 sets out alternate rules and valuation tables that can be used to determine the value of an </w:t>
      </w:r>
      <w:proofErr w:type="spellStart"/>
      <w:r>
        <w:rPr>
          <w:lang w:val="en"/>
        </w:rPr>
        <w:t>ESS</w:t>
      </w:r>
      <w:proofErr w:type="spellEnd"/>
      <w:r>
        <w:rPr>
          <w:lang w:val="en"/>
        </w:rPr>
        <w:t xml:space="preserve"> right. </w:t>
      </w:r>
      <w:r w:rsidRPr="00C64A43">
        <w:t>Use of these regulatio</w:t>
      </w:r>
      <w:r>
        <w:t xml:space="preserve">ns by a taxpayer is voluntary, and </w:t>
      </w:r>
      <w:r>
        <w:lastRenderedPageBreak/>
        <w:t>t</w:t>
      </w:r>
      <w:r w:rsidRPr="00C64A43">
        <w:t xml:space="preserve">axpayers may </w:t>
      </w:r>
      <w:r>
        <w:t xml:space="preserve">instead </w:t>
      </w:r>
      <w:r w:rsidRPr="00C64A43">
        <w:t>choose to calculate market</w:t>
      </w:r>
      <w:r>
        <w:t xml:space="preserve"> value using general principles.</w:t>
      </w:r>
      <w:r w:rsidR="00C35867">
        <w:t xml:space="preserve"> </w:t>
      </w:r>
      <w:r w:rsidR="00C35867" w:rsidRPr="001C0513">
        <w:t xml:space="preserve">Further, if the rights are </w:t>
      </w:r>
      <w:r w:rsidR="0093661E" w:rsidRPr="001C0513">
        <w:t>capable of</w:t>
      </w:r>
      <w:r w:rsidR="00C35867" w:rsidRPr="001C0513">
        <w:t xml:space="preserve"> exercise </w:t>
      </w:r>
      <w:r w:rsidR="0093661E" w:rsidRPr="001C0513">
        <w:t>beyond</w:t>
      </w:r>
      <w:r w:rsidR="00C35867" w:rsidRPr="001C0513">
        <w:t xml:space="preserve"> 15 years, taxpayers </w:t>
      </w:r>
      <w:r w:rsidR="002B4DC1" w:rsidRPr="001C0513">
        <w:t xml:space="preserve">will continue to be </w:t>
      </w:r>
      <w:r w:rsidR="00C35867" w:rsidRPr="001C0513">
        <w:t>required to calculate market value using general principles</w:t>
      </w:r>
      <w:r w:rsidR="002B4DC1" w:rsidRPr="001C0513">
        <w:t>, if a relevant taxing point occurs</w:t>
      </w:r>
      <w:r w:rsidR="00C35867" w:rsidRPr="001C0513">
        <w:t>.</w:t>
      </w:r>
    </w:p>
    <w:p w14:paraId="5824D8F6" w14:textId="77777777" w:rsidR="00BD6C5A" w:rsidRPr="00C64A43" w:rsidRDefault="00BD6C5A" w:rsidP="00BD6C5A">
      <w:pPr>
        <w:spacing w:before="0" w:after="0"/>
      </w:pPr>
    </w:p>
    <w:p w14:paraId="12F46759" w14:textId="254DD99D" w:rsidR="00C10133" w:rsidRDefault="00C10133" w:rsidP="00BD6C5A">
      <w:pPr>
        <w:pStyle w:val="Heading3"/>
        <w:spacing w:before="0" w:after="0"/>
      </w:pPr>
      <w:r>
        <w:t>Application</w:t>
      </w:r>
    </w:p>
    <w:p w14:paraId="57A7ECF0" w14:textId="77777777" w:rsidR="00BD6C5A" w:rsidRDefault="00BD6C5A" w:rsidP="00BD6C5A">
      <w:pPr>
        <w:spacing w:before="0" w:after="0"/>
      </w:pPr>
    </w:p>
    <w:p w14:paraId="452D86DE" w14:textId="12346E8B" w:rsidR="00C10133" w:rsidRDefault="00C10133" w:rsidP="00BD6C5A">
      <w:pPr>
        <w:spacing w:before="0" w:after="0"/>
      </w:pPr>
      <w:r>
        <w:t xml:space="preserve">This </w:t>
      </w:r>
      <w:r w:rsidR="00DD7118">
        <w:t>R</w:t>
      </w:r>
      <w:r>
        <w:t xml:space="preserve">egulation replaces the tables set out in </w:t>
      </w:r>
      <w:proofErr w:type="spellStart"/>
      <w:r>
        <w:t>subregulations</w:t>
      </w:r>
      <w:proofErr w:type="spellEnd"/>
      <w:r>
        <w:t xml:space="preserve"> 83A</w:t>
      </w:r>
      <w:r>
        <w:noBreakHyphen/>
        <w:t>315.08(1) and 83A</w:t>
      </w:r>
      <w:r>
        <w:noBreakHyphen/>
        <w:t xml:space="preserve">315.08(1) of the </w:t>
      </w:r>
      <w:proofErr w:type="spellStart"/>
      <w:r>
        <w:t>ITAR</w:t>
      </w:r>
      <w:proofErr w:type="spellEnd"/>
      <w:r>
        <w:t xml:space="preserve"> 1997 to reflect current market conditions. The full tables are set out in the </w:t>
      </w:r>
      <w:r w:rsidRPr="00C64A43">
        <w:rPr>
          <w:u w:val="single"/>
        </w:rPr>
        <w:t>Attachment</w:t>
      </w:r>
      <w:r w:rsidR="00CA75FA">
        <w:t xml:space="preserve"> and apply from 1 July 2015.</w:t>
      </w:r>
      <w:r w:rsidR="00E04EAF">
        <w:t xml:space="preserve"> The amendments made by Schedule 1 apply in relation to an </w:t>
      </w:r>
      <w:proofErr w:type="spellStart"/>
      <w:r w:rsidR="00E04EAF">
        <w:t>ESS</w:t>
      </w:r>
      <w:proofErr w:type="spellEnd"/>
      <w:r w:rsidR="00E04EAF">
        <w:t xml:space="preserve"> interest from commencement on 1 July 2015, even if the interest was acquired before that date.</w:t>
      </w:r>
    </w:p>
    <w:p w14:paraId="311E4F69" w14:textId="77777777" w:rsidR="00BD6C5A" w:rsidRDefault="00BD6C5A" w:rsidP="00BD6C5A">
      <w:pPr>
        <w:spacing w:before="0" w:after="0"/>
      </w:pPr>
    </w:p>
    <w:p w14:paraId="7E9BBBB3" w14:textId="77777777" w:rsidR="00C10133" w:rsidRDefault="00C10133" w:rsidP="00BD6C5A">
      <w:pPr>
        <w:spacing w:before="0" w:after="0"/>
      </w:pPr>
      <w:r>
        <w:t xml:space="preserve">In a report </w:t>
      </w:r>
      <w:r w:rsidRPr="0035695C">
        <w:t>produced in 2009-2010</w:t>
      </w:r>
      <w:r>
        <w:t>,</w:t>
      </w:r>
      <w:r w:rsidRPr="0035695C">
        <w:t xml:space="preserve"> </w:t>
      </w:r>
      <w:r>
        <w:t>t</w:t>
      </w:r>
      <w:r w:rsidRPr="0035695C">
        <w:t xml:space="preserve">he Board of Taxation recommended </w:t>
      </w:r>
      <w:r>
        <w:t xml:space="preserve">that </w:t>
      </w:r>
      <w:r w:rsidRPr="0035695C">
        <w:t>the Government should include the assumptions used t</w:t>
      </w:r>
      <w:r>
        <w:t>o update the</w:t>
      </w:r>
      <w:r w:rsidRPr="0035695C">
        <w:t xml:space="preserve"> </w:t>
      </w:r>
      <w:r>
        <w:t>t</w:t>
      </w:r>
      <w:r w:rsidRPr="0035695C">
        <w:t>ables</w:t>
      </w:r>
      <w:r>
        <w:t xml:space="preserve">. The assumptions underlying the tables are set out in the </w:t>
      </w:r>
      <w:r w:rsidRPr="00C64A43">
        <w:rPr>
          <w:u w:val="single"/>
        </w:rPr>
        <w:t>Attachment</w:t>
      </w:r>
      <w:r w:rsidRPr="00C64A43">
        <w:t>.</w:t>
      </w:r>
      <w:r>
        <w:t xml:space="preserve"> </w:t>
      </w:r>
    </w:p>
    <w:p w14:paraId="3BD98AEA" w14:textId="77777777" w:rsidR="00BD6C5A" w:rsidRDefault="00BD6C5A" w:rsidP="00BD6C5A">
      <w:pPr>
        <w:spacing w:before="0" w:after="0"/>
      </w:pPr>
    </w:p>
    <w:p w14:paraId="377CC60D" w14:textId="77777777" w:rsidR="00C10133" w:rsidRDefault="00C10133" w:rsidP="00BD6C5A">
      <w:pPr>
        <w:spacing w:before="0" w:after="0"/>
      </w:pPr>
      <w:r>
        <w:t xml:space="preserve">This measure is part of the Government’s Industry Innovation and Competitiveness Agenda. </w:t>
      </w:r>
    </w:p>
    <w:p w14:paraId="612A2F92" w14:textId="77777777" w:rsidR="00BD6C5A" w:rsidRDefault="00BD6C5A" w:rsidP="00BD6C5A">
      <w:pPr>
        <w:spacing w:before="0" w:after="0"/>
      </w:pPr>
    </w:p>
    <w:p w14:paraId="48C6BC82" w14:textId="207CAF72" w:rsidR="00C10133" w:rsidRDefault="00C10133" w:rsidP="00BD6C5A">
      <w:pPr>
        <w:pStyle w:val="Heading3"/>
        <w:spacing w:before="0" w:after="0"/>
      </w:pPr>
      <w:r>
        <w:t>Conditions</w:t>
      </w:r>
    </w:p>
    <w:p w14:paraId="242AE666" w14:textId="77777777" w:rsidR="00BD6C5A" w:rsidRDefault="00BD6C5A" w:rsidP="00BD6C5A">
      <w:pPr>
        <w:spacing w:before="0" w:after="0"/>
      </w:pPr>
    </w:p>
    <w:p w14:paraId="0B3AB4A0" w14:textId="77777777" w:rsidR="00C10133" w:rsidRDefault="00C10133" w:rsidP="00BD6C5A">
      <w:pPr>
        <w:spacing w:before="0" w:after="0"/>
      </w:pPr>
      <w:r w:rsidRPr="00986BE1">
        <w:t xml:space="preserve">The Regulation is a legislative instrument for the purposes of the </w:t>
      </w:r>
      <w:r w:rsidRPr="00986BE1">
        <w:rPr>
          <w:i/>
          <w:iCs/>
        </w:rPr>
        <w:t>Legislative Instruments Act</w:t>
      </w:r>
      <w:r>
        <w:rPr>
          <w:i/>
          <w:iCs/>
        </w:rPr>
        <w:t> </w:t>
      </w:r>
      <w:r w:rsidRPr="00986BE1">
        <w:rPr>
          <w:i/>
          <w:iCs/>
        </w:rPr>
        <w:t>2003</w:t>
      </w:r>
      <w:r w:rsidRPr="00986BE1">
        <w:t>.</w:t>
      </w:r>
    </w:p>
    <w:p w14:paraId="16273F25" w14:textId="77777777" w:rsidR="00BD6C5A" w:rsidRPr="00986BE1" w:rsidRDefault="00BD6C5A" w:rsidP="00BD6C5A">
      <w:pPr>
        <w:spacing w:before="0" w:after="0"/>
      </w:pPr>
    </w:p>
    <w:p w14:paraId="66301917" w14:textId="2F76F732" w:rsidR="00C10133" w:rsidRDefault="00C10133" w:rsidP="00BD6C5A">
      <w:pPr>
        <w:spacing w:before="0" w:after="0"/>
      </w:pPr>
      <w:r w:rsidRPr="00CA75FA">
        <w:t xml:space="preserve">The Regulation commences on </w:t>
      </w:r>
      <w:r w:rsidR="00F7060A" w:rsidRPr="00CA75FA">
        <w:t>1 July 2015</w:t>
      </w:r>
      <w:r w:rsidRPr="00CA75FA">
        <w:t>.</w:t>
      </w:r>
    </w:p>
    <w:p w14:paraId="6CEAD90C" w14:textId="77777777" w:rsidR="00BD6C5A" w:rsidRPr="00CA75FA" w:rsidRDefault="00BD6C5A" w:rsidP="00BD6C5A">
      <w:pPr>
        <w:spacing w:before="0" w:after="0"/>
      </w:pPr>
    </w:p>
    <w:p w14:paraId="307426F2" w14:textId="12C05F82" w:rsidR="000276C5" w:rsidRPr="00CA75FA" w:rsidRDefault="000276C5" w:rsidP="00BD6C5A">
      <w:pPr>
        <w:pStyle w:val="Heading3"/>
        <w:spacing w:before="0" w:after="0"/>
      </w:pPr>
      <w:r w:rsidRPr="00CA75FA">
        <w:t xml:space="preserve">Description of </w:t>
      </w:r>
      <w:r w:rsidR="00C10133" w:rsidRPr="00CA75FA">
        <w:t>Consultation</w:t>
      </w:r>
    </w:p>
    <w:p w14:paraId="7FFB4EB4" w14:textId="77777777" w:rsidR="00BD6C5A" w:rsidRDefault="00BD6C5A" w:rsidP="00BD6C5A">
      <w:pPr>
        <w:spacing w:before="0" w:after="0"/>
      </w:pPr>
    </w:p>
    <w:p w14:paraId="5A10F428" w14:textId="7E33E8B6" w:rsidR="000276C5" w:rsidRDefault="00CA75FA" w:rsidP="00BD6C5A">
      <w:pPr>
        <w:spacing w:before="0" w:after="0"/>
      </w:pPr>
      <w:r w:rsidRPr="00CA75FA">
        <w:t xml:space="preserve">Public consultation was undertaken on the </w:t>
      </w:r>
      <w:r w:rsidR="00910384">
        <w:t>measure for 4 weeks commencing 14</w:t>
      </w:r>
      <w:r w:rsidRPr="00CA75FA">
        <w:t> January 2015 and concluding on 6 February 2015, through a release of the exposure drafts onto the Treasury website.</w:t>
      </w:r>
      <w:r w:rsidR="00971C86" w:rsidRPr="00CA75FA">
        <w:t xml:space="preserve"> </w:t>
      </w:r>
      <w:r w:rsidRPr="00CA75FA">
        <w:t>N</w:t>
      </w:r>
      <w:r w:rsidR="00971C86" w:rsidRPr="00CA75FA">
        <w:t xml:space="preserve">o </w:t>
      </w:r>
      <w:r w:rsidRPr="00CA75FA">
        <w:t>material</w:t>
      </w:r>
      <w:r w:rsidR="00971C86" w:rsidRPr="00CA75FA">
        <w:t xml:space="preserve"> concerns were raised regarding the changes made by th</w:t>
      </w:r>
      <w:r w:rsidR="0095375E">
        <w:t>is</w:t>
      </w:r>
      <w:r w:rsidR="00971C86" w:rsidRPr="00CA75FA">
        <w:t xml:space="preserve"> Regulation.</w:t>
      </w:r>
    </w:p>
    <w:p w14:paraId="20586D96" w14:textId="77777777" w:rsidR="00BD6C5A" w:rsidRPr="00CA75FA" w:rsidRDefault="00BD6C5A" w:rsidP="00BD6C5A">
      <w:pPr>
        <w:spacing w:before="0" w:after="0"/>
      </w:pPr>
    </w:p>
    <w:p w14:paraId="7286652C" w14:textId="77777777" w:rsidR="000276C5" w:rsidRDefault="000276C5" w:rsidP="00BD6C5A">
      <w:pPr>
        <w:pStyle w:val="Heading3"/>
        <w:spacing w:before="0" w:after="0"/>
        <w:jc w:val="center"/>
      </w:pPr>
      <w:r>
        <w:t>Statement of Compatibility with Human Rights</w:t>
      </w:r>
    </w:p>
    <w:p w14:paraId="2F2C0513" w14:textId="77777777" w:rsidR="00BD6C5A" w:rsidRPr="00BD6C5A" w:rsidRDefault="00BD6C5A" w:rsidP="00BD6C5A">
      <w:pPr>
        <w:pStyle w:val="base-text-paragraph"/>
        <w:spacing w:before="0" w:after="0"/>
      </w:pPr>
    </w:p>
    <w:p w14:paraId="59E9B2C0" w14:textId="3B8CBC43" w:rsidR="000276C5" w:rsidRDefault="000276C5" w:rsidP="00BD6C5A">
      <w:pPr>
        <w:spacing w:before="0" w:after="0"/>
        <w:jc w:val="center"/>
        <w:rPr>
          <w:i/>
        </w:rPr>
      </w:pPr>
      <w:r w:rsidRPr="00E4438C">
        <w:rPr>
          <w:i/>
        </w:rPr>
        <w:t>Prepared in accordance with Part 3 of the Human Rights (Parliamentary Scrutiny) Act 2011</w:t>
      </w:r>
    </w:p>
    <w:p w14:paraId="31BF828F" w14:textId="77777777" w:rsidR="00BD6C5A" w:rsidRPr="00F7060A" w:rsidRDefault="00BD6C5A" w:rsidP="00BD6C5A">
      <w:pPr>
        <w:spacing w:before="0" w:after="0"/>
        <w:jc w:val="center"/>
        <w:rPr>
          <w:i/>
        </w:rPr>
      </w:pPr>
    </w:p>
    <w:p w14:paraId="757B5799" w14:textId="77777777" w:rsidR="000276C5" w:rsidRDefault="000276C5" w:rsidP="00BD6C5A">
      <w:pPr>
        <w:spacing w:before="0" w:after="0"/>
      </w:pPr>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6A58B277" w14:textId="77777777" w:rsidR="00BD6C5A" w:rsidRDefault="00BD6C5A" w:rsidP="00BD6C5A">
      <w:pPr>
        <w:spacing w:before="0" w:after="0"/>
      </w:pPr>
    </w:p>
    <w:p w14:paraId="0CEE5731" w14:textId="77777777" w:rsidR="000276C5" w:rsidRPr="000276C5" w:rsidRDefault="000276C5" w:rsidP="00BD6C5A">
      <w:pPr>
        <w:pStyle w:val="Heading4"/>
        <w:spacing w:before="0"/>
        <w:rPr>
          <w:rFonts w:ascii="Times New Roman" w:hAnsi="Times New Roman" w:cs="Times New Roman"/>
          <w:i w:val="0"/>
          <w:color w:val="auto"/>
        </w:rPr>
      </w:pPr>
      <w:r w:rsidRPr="000276C5">
        <w:rPr>
          <w:rFonts w:ascii="Times New Roman" w:hAnsi="Times New Roman" w:cs="Times New Roman"/>
          <w:i w:val="0"/>
          <w:color w:val="auto"/>
        </w:rPr>
        <w:t>Overview of the Legislative Instrument</w:t>
      </w:r>
    </w:p>
    <w:p w14:paraId="51D43934" w14:textId="77777777" w:rsidR="00BD6C5A" w:rsidRDefault="00BD6C5A" w:rsidP="00BD6C5A">
      <w:pPr>
        <w:spacing w:before="0" w:after="0"/>
      </w:pPr>
    </w:p>
    <w:p w14:paraId="2E93BDBB" w14:textId="6E702A88" w:rsidR="000276C5" w:rsidRDefault="00F7060A" w:rsidP="00BD6C5A">
      <w:pPr>
        <w:spacing w:before="0" w:after="0"/>
      </w:pPr>
      <w:r w:rsidRPr="00CA75FA">
        <w:t xml:space="preserve">The Legislative Instrument </w:t>
      </w:r>
      <w:r w:rsidR="00CA75FA" w:rsidRPr="00CA75FA">
        <w:t>updates</w:t>
      </w:r>
      <w:r w:rsidRPr="00CA75FA">
        <w:t xml:space="preserve"> the existing </w:t>
      </w:r>
      <w:r w:rsidR="00FE6597" w:rsidRPr="00CA75FA">
        <w:t xml:space="preserve">option </w:t>
      </w:r>
      <w:r w:rsidRPr="00CA75FA">
        <w:t>valuation tables under the employee share scheme taxing rules.</w:t>
      </w:r>
    </w:p>
    <w:p w14:paraId="47E6D200" w14:textId="77777777" w:rsidR="00BD6C5A" w:rsidRPr="00CA75FA" w:rsidRDefault="00BD6C5A" w:rsidP="00BD6C5A">
      <w:pPr>
        <w:spacing w:before="0" w:after="0"/>
      </w:pPr>
    </w:p>
    <w:p w14:paraId="74E27AFC" w14:textId="77777777" w:rsidR="000276C5" w:rsidRPr="000276C5" w:rsidRDefault="000276C5" w:rsidP="00BD6C5A">
      <w:pPr>
        <w:pStyle w:val="Heading4"/>
        <w:spacing w:before="0"/>
        <w:rPr>
          <w:rFonts w:ascii="Times New Roman" w:hAnsi="Times New Roman" w:cs="Times New Roman"/>
          <w:i w:val="0"/>
          <w:color w:val="auto"/>
        </w:rPr>
      </w:pPr>
      <w:r w:rsidRPr="00CA75FA">
        <w:rPr>
          <w:rFonts w:ascii="Times New Roman" w:hAnsi="Times New Roman" w:cs="Times New Roman"/>
          <w:i w:val="0"/>
          <w:color w:val="auto"/>
        </w:rPr>
        <w:t>Human rights implications</w:t>
      </w:r>
    </w:p>
    <w:p w14:paraId="51628530" w14:textId="77777777" w:rsidR="00BD6C5A" w:rsidRDefault="00BD6C5A" w:rsidP="00BD6C5A">
      <w:pPr>
        <w:spacing w:before="0" w:after="0"/>
      </w:pPr>
    </w:p>
    <w:p w14:paraId="2F94FD66" w14:textId="77777777" w:rsidR="000276C5" w:rsidRDefault="000276C5" w:rsidP="00BD6C5A">
      <w:pPr>
        <w:spacing w:before="0" w:after="0"/>
      </w:pPr>
      <w:r w:rsidRPr="000276C5">
        <w:lastRenderedPageBreak/>
        <w:t>This Legislative Instrument does not engage any of the applicable rights or freedoms.</w:t>
      </w:r>
    </w:p>
    <w:p w14:paraId="7A27038F" w14:textId="77777777" w:rsidR="00BD6C5A" w:rsidRPr="000276C5" w:rsidRDefault="00BD6C5A" w:rsidP="00BD6C5A">
      <w:pPr>
        <w:spacing w:before="0" w:after="0"/>
      </w:pPr>
    </w:p>
    <w:p w14:paraId="01CA0275" w14:textId="77777777" w:rsidR="000276C5" w:rsidRPr="000276C5" w:rsidRDefault="000276C5" w:rsidP="00BD6C5A">
      <w:pPr>
        <w:pStyle w:val="Heading4"/>
        <w:spacing w:before="0"/>
        <w:rPr>
          <w:rFonts w:ascii="Times New Roman" w:hAnsi="Times New Roman" w:cs="Times New Roman"/>
          <w:i w:val="0"/>
          <w:color w:val="auto"/>
        </w:rPr>
      </w:pPr>
      <w:r w:rsidRPr="000276C5">
        <w:rPr>
          <w:rFonts w:ascii="Times New Roman" w:hAnsi="Times New Roman" w:cs="Times New Roman"/>
          <w:i w:val="0"/>
          <w:color w:val="auto"/>
        </w:rPr>
        <w:t>Conclusion</w:t>
      </w:r>
    </w:p>
    <w:p w14:paraId="534A8693" w14:textId="77777777" w:rsidR="00BD6C5A" w:rsidRDefault="00BD6C5A" w:rsidP="00BD6C5A">
      <w:pPr>
        <w:spacing w:before="0" w:after="0"/>
      </w:pPr>
    </w:p>
    <w:p w14:paraId="3DCCF229" w14:textId="77777777" w:rsidR="000276C5" w:rsidRDefault="000276C5" w:rsidP="00BD6C5A">
      <w:pPr>
        <w:spacing w:before="0" w:after="0"/>
      </w:pPr>
      <w:r w:rsidRPr="000276C5">
        <w:t>This Legislative Instrument is compatible with human rights as it does not raise any human rights issues</w:t>
      </w:r>
      <w:r>
        <w:t>.</w:t>
      </w:r>
    </w:p>
    <w:p w14:paraId="531A312B" w14:textId="77777777" w:rsidR="000276C5" w:rsidRDefault="000276C5" w:rsidP="000276C5"/>
    <w:p w14:paraId="5DE738E1" w14:textId="77777777" w:rsidR="008742F6" w:rsidRDefault="008742F6" w:rsidP="000276C5"/>
    <w:p w14:paraId="6BBBC452" w14:textId="77777777" w:rsidR="00C10133" w:rsidRDefault="00C10133" w:rsidP="00C10133">
      <w:pPr>
        <w:spacing w:before="0" w:after="0"/>
        <w:rPr>
          <w:i/>
        </w:rPr>
      </w:pPr>
      <w:r>
        <w:rPr>
          <w:i/>
        </w:rPr>
        <w:br w:type="page"/>
      </w:r>
    </w:p>
    <w:p w14:paraId="1D677B39" w14:textId="77777777" w:rsidR="00C10133" w:rsidRPr="00155204" w:rsidRDefault="00C10133" w:rsidP="00C10133">
      <w:pPr>
        <w:jc w:val="right"/>
      </w:pPr>
      <w:r>
        <w:rPr>
          <w:b/>
          <w:u w:val="single"/>
        </w:rPr>
        <w:t>ATTACHMENT</w:t>
      </w:r>
    </w:p>
    <w:p w14:paraId="5A6FB159" w14:textId="77777777" w:rsidR="00C10133" w:rsidRPr="005800E0" w:rsidRDefault="00C10133" w:rsidP="00C10133">
      <w:pPr>
        <w:pStyle w:val="Heading3"/>
        <w:rPr>
          <w:rFonts w:ascii="Times New Roman" w:hAnsi="Times New Roman"/>
          <w:u w:val="single"/>
        </w:rPr>
      </w:pPr>
      <w:r w:rsidRPr="005800E0">
        <w:rPr>
          <w:rFonts w:ascii="Times New Roman" w:hAnsi="Times New Roman"/>
          <w:u w:val="single"/>
        </w:rPr>
        <w:t xml:space="preserve">Details of the </w:t>
      </w:r>
      <w:r w:rsidRPr="005800E0">
        <w:rPr>
          <w:rFonts w:ascii="Times New Roman" w:hAnsi="Times New Roman"/>
          <w:i/>
          <w:u w:val="single"/>
        </w:rPr>
        <w:t>Income Tax Assessment Amendment (Employee Share Schemes) Regulation 2015</w:t>
      </w:r>
    </w:p>
    <w:p w14:paraId="09F38A10" w14:textId="0081962E" w:rsidR="00C10133" w:rsidRDefault="00BD6C5A" w:rsidP="00C10133">
      <w:pPr>
        <w:pStyle w:val="Heading3"/>
        <w:rPr>
          <w:rFonts w:ascii="Times New Roman" w:hAnsi="Times New Roman"/>
          <w:b w:val="0"/>
        </w:rPr>
      </w:pPr>
      <w:r>
        <w:rPr>
          <w:rFonts w:ascii="Times New Roman" w:hAnsi="Times New Roman"/>
        </w:rPr>
        <w:t>Section</w:t>
      </w:r>
      <w:r w:rsidRPr="00847C70">
        <w:rPr>
          <w:rFonts w:ascii="Times New Roman" w:hAnsi="Times New Roman"/>
        </w:rPr>
        <w:t xml:space="preserve"> </w:t>
      </w:r>
      <w:r w:rsidR="00C10133" w:rsidRPr="00847C70">
        <w:rPr>
          <w:rFonts w:ascii="Times New Roman" w:hAnsi="Times New Roman"/>
        </w:rPr>
        <w:t xml:space="preserve">1 – </w:t>
      </w:r>
      <w:r w:rsidR="00C10133" w:rsidRPr="00AF451F">
        <w:rPr>
          <w:rFonts w:ascii="Times New Roman" w:hAnsi="Times New Roman"/>
        </w:rPr>
        <w:t>Name of Regulation</w:t>
      </w:r>
    </w:p>
    <w:p w14:paraId="5F043C69" w14:textId="521FE510" w:rsidR="00C10133" w:rsidRPr="00847C70" w:rsidRDefault="00C10133" w:rsidP="00C10133">
      <w:pPr>
        <w:pStyle w:val="base-text-paragraph"/>
        <w:ind w:left="0"/>
      </w:pPr>
      <w:r>
        <w:t xml:space="preserve">This </w:t>
      </w:r>
      <w:r w:rsidR="00BD6C5A">
        <w:t xml:space="preserve">section </w:t>
      </w:r>
      <w:r>
        <w:t xml:space="preserve">provides that the title of the Regulation is </w:t>
      </w:r>
      <w:r w:rsidRPr="00847C70">
        <w:rPr>
          <w:i/>
        </w:rPr>
        <w:t>Income Tax Assessment Amendment (Employee Share Schemes) Regulation 2015</w:t>
      </w:r>
      <w:r>
        <w:t xml:space="preserve"> (Regulation).</w:t>
      </w:r>
    </w:p>
    <w:p w14:paraId="408E759D" w14:textId="16044E5B" w:rsidR="00C10133" w:rsidRDefault="00BD6C5A" w:rsidP="00C10133">
      <w:pPr>
        <w:pStyle w:val="Heading3"/>
        <w:rPr>
          <w:rFonts w:ascii="Times New Roman" w:hAnsi="Times New Roman"/>
        </w:rPr>
      </w:pPr>
      <w:r>
        <w:rPr>
          <w:rFonts w:ascii="Times New Roman" w:hAnsi="Times New Roman"/>
        </w:rPr>
        <w:t>Section</w:t>
      </w:r>
      <w:r w:rsidRPr="00847C70">
        <w:rPr>
          <w:rFonts w:ascii="Times New Roman" w:hAnsi="Times New Roman"/>
        </w:rPr>
        <w:t xml:space="preserve"> </w:t>
      </w:r>
      <w:r w:rsidR="00C10133" w:rsidRPr="00847C70">
        <w:rPr>
          <w:rFonts w:ascii="Times New Roman" w:hAnsi="Times New Roman"/>
        </w:rPr>
        <w:t>2 – Commencement</w:t>
      </w:r>
    </w:p>
    <w:p w14:paraId="3442F056" w14:textId="3E3EC975" w:rsidR="00C10133" w:rsidRPr="00847C70" w:rsidRDefault="00C10133" w:rsidP="00C10133">
      <w:pPr>
        <w:pStyle w:val="base-text-paragraph"/>
        <w:ind w:left="0"/>
      </w:pPr>
      <w:r>
        <w:t>Th</w:t>
      </w:r>
      <w:r w:rsidR="00BD6C5A">
        <w:t xml:space="preserve">is section </w:t>
      </w:r>
      <w:r>
        <w:t xml:space="preserve">provides that the Regulation commences on </w:t>
      </w:r>
      <w:r w:rsidR="002368EB">
        <w:t>1 July 2015</w:t>
      </w:r>
      <w:r>
        <w:t>.</w:t>
      </w:r>
    </w:p>
    <w:p w14:paraId="070AE717" w14:textId="27CDD33D" w:rsidR="00C10133" w:rsidRDefault="00DD7118" w:rsidP="00C10133">
      <w:pPr>
        <w:pStyle w:val="Heading3"/>
        <w:rPr>
          <w:rFonts w:ascii="Times New Roman" w:hAnsi="Times New Roman"/>
        </w:rPr>
      </w:pPr>
      <w:r>
        <w:rPr>
          <w:rFonts w:ascii="Times New Roman" w:hAnsi="Times New Roman"/>
        </w:rPr>
        <w:t>Section</w:t>
      </w:r>
      <w:r w:rsidRPr="00847C70">
        <w:rPr>
          <w:rFonts w:ascii="Times New Roman" w:hAnsi="Times New Roman"/>
        </w:rPr>
        <w:t xml:space="preserve"> </w:t>
      </w:r>
      <w:r w:rsidR="00C10133" w:rsidRPr="00847C70">
        <w:rPr>
          <w:rFonts w:ascii="Times New Roman" w:hAnsi="Times New Roman"/>
        </w:rPr>
        <w:t>3 – Authority</w:t>
      </w:r>
    </w:p>
    <w:p w14:paraId="48501AA6" w14:textId="1E2D908C" w:rsidR="00C10133" w:rsidRPr="00847C70" w:rsidRDefault="00BD6C5A" w:rsidP="00C10133">
      <w:pPr>
        <w:pStyle w:val="base-text-paragraph"/>
        <w:ind w:left="0"/>
      </w:pPr>
      <w:r>
        <w:t>This section</w:t>
      </w:r>
      <w:r w:rsidR="00C10133">
        <w:t xml:space="preserve"> provides that the Regulation is made under the </w:t>
      </w:r>
      <w:r w:rsidR="00C10133" w:rsidRPr="00847C70">
        <w:rPr>
          <w:i/>
        </w:rPr>
        <w:t>Income Tax Assessment Act 1997</w:t>
      </w:r>
      <w:r w:rsidR="00C10133">
        <w:rPr>
          <w:i/>
        </w:rPr>
        <w:t xml:space="preserve">. </w:t>
      </w:r>
    </w:p>
    <w:p w14:paraId="441B1C1C" w14:textId="77777777" w:rsidR="00C10133" w:rsidRPr="00603AA0" w:rsidRDefault="00C10133" w:rsidP="00C10133">
      <w:pPr>
        <w:pStyle w:val="Heading3"/>
      </w:pPr>
      <w:r w:rsidRPr="00603AA0">
        <w:rPr>
          <w:rFonts w:ascii="Times New Roman" w:hAnsi="Times New Roman"/>
        </w:rPr>
        <w:t>Schedule 1: Amendments</w:t>
      </w:r>
    </w:p>
    <w:p w14:paraId="5F1234CA" w14:textId="48EEEC86" w:rsidR="00C10133" w:rsidRDefault="00C10133" w:rsidP="00C10133">
      <w:r>
        <w:t xml:space="preserve">The Regulation </w:t>
      </w:r>
      <w:r w:rsidR="00CA75FA">
        <w:t>replaced</w:t>
      </w:r>
      <w:r w:rsidRPr="00711A0C">
        <w:t xml:space="preserve"> the tables set out in </w:t>
      </w:r>
      <w:proofErr w:type="spellStart"/>
      <w:r w:rsidRPr="00711A0C">
        <w:t>subregulations</w:t>
      </w:r>
      <w:proofErr w:type="spellEnd"/>
      <w:r w:rsidR="002368EB">
        <w:t xml:space="preserve"> 83A-</w:t>
      </w:r>
      <w:r w:rsidRPr="00711A0C">
        <w:t>315.08(1) and 83A</w:t>
      </w:r>
      <w:r w:rsidR="002368EB">
        <w:t>-</w:t>
      </w:r>
      <w:r w:rsidRPr="00711A0C">
        <w:t>315.08(1)</w:t>
      </w:r>
      <w:r>
        <w:t xml:space="preserve"> of the </w:t>
      </w:r>
      <w:r w:rsidRPr="00711A0C">
        <w:rPr>
          <w:i/>
        </w:rPr>
        <w:t>Income Tax Assessment Regulation</w:t>
      </w:r>
      <w:r w:rsidR="003D67E0">
        <w:rPr>
          <w:i/>
        </w:rPr>
        <w:t>s</w:t>
      </w:r>
      <w:r w:rsidRPr="00711A0C">
        <w:rPr>
          <w:i/>
        </w:rPr>
        <w:t xml:space="preserve"> 1997</w:t>
      </w:r>
      <w:r>
        <w:t xml:space="preserve"> (</w:t>
      </w:r>
      <w:proofErr w:type="spellStart"/>
      <w:r>
        <w:t>ITAR</w:t>
      </w:r>
      <w:proofErr w:type="spellEnd"/>
      <w:r>
        <w:t xml:space="preserve"> 1997).</w:t>
      </w:r>
      <w:r w:rsidRPr="00711A0C">
        <w:t xml:space="preserve"> </w:t>
      </w:r>
    </w:p>
    <w:p w14:paraId="58800252" w14:textId="550F05FA" w:rsidR="00C10133" w:rsidRPr="00731C12" w:rsidRDefault="00C10133" w:rsidP="00C10133">
      <w:r>
        <w:t xml:space="preserve">Specifically, the purpose of the Regulation is to </w:t>
      </w:r>
      <w:r w:rsidR="00CA75FA">
        <w:t>update</w:t>
      </w:r>
      <w:r>
        <w:t xml:space="preserve"> the existing employee share scheme (</w:t>
      </w:r>
      <w:proofErr w:type="spellStart"/>
      <w:r>
        <w:t>ESS</w:t>
      </w:r>
      <w:proofErr w:type="spellEnd"/>
      <w:r>
        <w:t xml:space="preserve">) taxing rules by </w:t>
      </w:r>
      <w:r w:rsidRPr="00731C12">
        <w:t>updating the option valuation tables to reflect current market conditions.</w:t>
      </w:r>
    </w:p>
    <w:p w14:paraId="41E5F4EE" w14:textId="77777777" w:rsidR="00C10133" w:rsidRDefault="00C10133" w:rsidP="00C10133">
      <w:r w:rsidRPr="005800E0">
        <w:rPr>
          <w:b/>
          <w:i/>
        </w:rPr>
        <w:t xml:space="preserve">Assumptions behind the </w:t>
      </w:r>
      <w:r>
        <w:rPr>
          <w:b/>
          <w:i/>
        </w:rPr>
        <w:t xml:space="preserve">valuation </w:t>
      </w:r>
      <w:r w:rsidRPr="005800E0">
        <w:rPr>
          <w:b/>
          <w:i/>
        </w:rPr>
        <w:t>tables</w:t>
      </w:r>
      <w:r>
        <w:t>:</w:t>
      </w:r>
    </w:p>
    <w:p w14:paraId="2DF232F1" w14:textId="77777777" w:rsidR="00C10133" w:rsidRDefault="00C10133" w:rsidP="00C10133">
      <w:r w:rsidRPr="0035695C">
        <w:t xml:space="preserve">The Board of Taxation recommended in a report produced in 2009-2010 that when updating the tables, the Government should include the assumptions used to produce the tables. </w:t>
      </w:r>
      <w:r>
        <w:t>The assumptions used are:</w:t>
      </w:r>
    </w:p>
    <w:p w14:paraId="3F991148" w14:textId="77777777" w:rsidR="00C10133" w:rsidRDefault="00C10133" w:rsidP="00C10133">
      <w:pPr>
        <w:pStyle w:val="Bullet"/>
      </w:pPr>
      <w:r>
        <w:t>Risk-free interest rate – 4%</w:t>
      </w:r>
    </w:p>
    <w:p w14:paraId="6E38C6CD" w14:textId="77777777" w:rsidR="00C10133" w:rsidRDefault="00C10133" w:rsidP="00C10133">
      <w:pPr>
        <w:pStyle w:val="Bullet"/>
      </w:pPr>
      <w:r>
        <w:t>Dividend yield – 4%</w:t>
      </w:r>
    </w:p>
    <w:p w14:paraId="132FA9E6" w14:textId="77777777" w:rsidR="00C10133" w:rsidRDefault="00C10133" w:rsidP="00C10133">
      <w:pPr>
        <w:pStyle w:val="Bullet"/>
      </w:pPr>
      <w:r>
        <w:t>Volatility – 12%</w:t>
      </w:r>
    </w:p>
    <w:p w14:paraId="2695A6F6" w14:textId="77777777" w:rsidR="00C10133" w:rsidRPr="005800E0" w:rsidRDefault="00C10133" w:rsidP="00C10133">
      <w:pPr>
        <w:pStyle w:val="Bullet"/>
        <w:numPr>
          <w:ilvl w:val="0"/>
          <w:numId w:val="0"/>
        </w:numPr>
        <w:ind w:left="567" w:hanging="567"/>
        <w:rPr>
          <w:b/>
          <w:i/>
        </w:rPr>
      </w:pPr>
      <w:r>
        <w:rPr>
          <w:b/>
          <w:i/>
        </w:rPr>
        <w:t xml:space="preserve">New valuation </w:t>
      </w:r>
      <w:r w:rsidRPr="005800E0">
        <w:rPr>
          <w:b/>
          <w:i/>
        </w:rPr>
        <w:t>tables</w:t>
      </w:r>
    </w:p>
    <w:p w14:paraId="5632ED01" w14:textId="77777777" w:rsidR="00C10133" w:rsidRDefault="00C10133" w:rsidP="00C10133">
      <w:r>
        <w:t xml:space="preserve">To reflect current market conditions, the tables set out in </w:t>
      </w:r>
      <w:proofErr w:type="spellStart"/>
      <w:r>
        <w:t>subregulations</w:t>
      </w:r>
      <w:proofErr w:type="spellEnd"/>
      <w:r>
        <w:t xml:space="preserve"> 83A</w:t>
      </w:r>
      <w:r>
        <w:noBreakHyphen/>
        <w:t>315.08(1) and 83A</w:t>
      </w:r>
      <w:r>
        <w:noBreakHyphen/>
        <w:t>315.09(1) are to be replaced with the following tables:</w:t>
      </w:r>
    </w:p>
    <w:p w14:paraId="121D24F7" w14:textId="77777777" w:rsidR="00E04EAF" w:rsidRPr="00F52ACE" w:rsidRDefault="00E04EAF" w:rsidP="00E04EAF">
      <w:pPr>
        <w:pStyle w:val="Tabletext"/>
      </w:pP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2237"/>
        <w:gridCol w:w="870"/>
        <w:gridCol w:w="861"/>
        <w:gridCol w:w="861"/>
        <w:gridCol w:w="861"/>
        <w:gridCol w:w="861"/>
        <w:gridCol w:w="861"/>
        <w:gridCol w:w="997"/>
      </w:tblGrid>
      <w:tr w:rsidR="00E04EAF" w:rsidRPr="00E10372" w14:paraId="78AC006D" w14:textId="77777777" w:rsidTr="00BD6C5A">
        <w:trPr>
          <w:tblHeader/>
        </w:trPr>
        <w:tc>
          <w:tcPr>
            <w:tcW w:w="0" w:type="auto"/>
            <w:gridSpan w:val="8"/>
            <w:tcBorders>
              <w:top w:val="single" w:sz="12" w:space="0" w:color="auto"/>
              <w:bottom w:val="single" w:sz="12" w:space="0" w:color="auto"/>
            </w:tcBorders>
          </w:tcPr>
          <w:p w14:paraId="031FDE9E" w14:textId="77777777" w:rsidR="00E04EAF" w:rsidRPr="00EE2556" w:rsidRDefault="00E04EAF" w:rsidP="00BD6C5A">
            <w:pPr>
              <w:pStyle w:val="TableHeading"/>
            </w:pPr>
            <w:r w:rsidRPr="00EE2556">
              <w:t>Table 1—Table 1 percentages</w:t>
            </w:r>
          </w:p>
        </w:tc>
      </w:tr>
      <w:tr w:rsidR="00E04EAF" w:rsidRPr="00E10372" w14:paraId="0B71D715" w14:textId="77777777" w:rsidTr="00BD6C5A">
        <w:trPr>
          <w:tblHeader/>
        </w:trPr>
        <w:tc>
          <w:tcPr>
            <w:tcW w:w="0" w:type="auto"/>
            <w:gridSpan w:val="8"/>
            <w:tcBorders>
              <w:top w:val="single" w:sz="6" w:space="0" w:color="auto"/>
              <w:bottom w:val="nil"/>
            </w:tcBorders>
          </w:tcPr>
          <w:p w14:paraId="79995C2B" w14:textId="77777777" w:rsidR="00E04EAF" w:rsidRPr="00EE2556" w:rsidRDefault="00E04EAF" w:rsidP="00BD6C5A">
            <w:pPr>
              <w:pStyle w:val="TableHeading"/>
            </w:pPr>
            <w:r w:rsidRPr="00EE2556">
              <w:t>Calculation percentage 50% to 92.5%</w:t>
            </w:r>
          </w:p>
        </w:tc>
      </w:tr>
      <w:tr w:rsidR="00E04EAF" w:rsidRPr="00E10372" w14:paraId="030EA05E" w14:textId="77777777" w:rsidTr="00BD6C5A">
        <w:trPr>
          <w:tblHeader/>
        </w:trPr>
        <w:tc>
          <w:tcPr>
            <w:tcW w:w="0" w:type="auto"/>
            <w:vMerge w:val="restart"/>
            <w:tcBorders>
              <w:top w:val="single" w:sz="6" w:space="0" w:color="auto"/>
            </w:tcBorders>
          </w:tcPr>
          <w:p w14:paraId="2955050A" w14:textId="77777777" w:rsidR="00E04EAF" w:rsidRPr="00EE2556" w:rsidRDefault="00E04EAF" w:rsidP="00BD6C5A">
            <w:pPr>
              <w:pStyle w:val="TableHeading"/>
            </w:pPr>
            <w:r w:rsidRPr="00EE2556">
              <w:t>Exercise period (months)</w:t>
            </w:r>
          </w:p>
        </w:tc>
        <w:tc>
          <w:tcPr>
            <w:tcW w:w="0" w:type="auto"/>
            <w:gridSpan w:val="7"/>
            <w:tcBorders>
              <w:top w:val="single" w:sz="6" w:space="0" w:color="auto"/>
              <w:bottom w:val="nil"/>
            </w:tcBorders>
            <w:shd w:val="clear" w:color="auto" w:fill="auto"/>
          </w:tcPr>
          <w:p w14:paraId="3DAF2441" w14:textId="77777777" w:rsidR="00E04EAF" w:rsidRPr="00EE2556" w:rsidRDefault="00E04EAF" w:rsidP="00BD6C5A">
            <w:pPr>
              <w:pStyle w:val="TableHeading"/>
            </w:pPr>
            <w:r w:rsidRPr="00EE2556">
              <w:t>Calculation percentage (%)</w:t>
            </w:r>
          </w:p>
        </w:tc>
      </w:tr>
      <w:tr w:rsidR="00E04EAF" w:rsidRPr="00E10372" w14:paraId="52476848" w14:textId="77777777" w:rsidTr="00BD6C5A">
        <w:trPr>
          <w:tblHeader/>
        </w:trPr>
        <w:tc>
          <w:tcPr>
            <w:tcW w:w="0" w:type="auto"/>
            <w:vMerge/>
            <w:tcBorders>
              <w:bottom w:val="single" w:sz="12" w:space="0" w:color="auto"/>
            </w:tcBorders>
          </w:tcPr>
          <w:p w14:paraId="632AE5F3" w14:textId="77777777" w:rsidR="00E04EAF" w:rsidRPr="00EE2556" w:rsidRDefault="00E04EAF" w:rsidP="00BD6C5A">
            <w:pPr>
              <w:pStyle w:val="TableHeading"/>
            </w:pPr>
          </w:p>
        </w:tc>
        <w:tc>
          <w:tcPr>
            <w:tcW w:w="0" w:type="auto"/>
            <w:tcBorders>
              <w:top w:val="nil"/>
              <w:bottom w:val="single" w:sz="12" w:space="0" w:color="auto"/>
            </w:tcBorders>
            <w:shd w:val="clear" w:color="auto" w:fill="auto"/>
          </w:tcPr>
          <w:p w14:paraId="7FC49722" w14:textId="77777777" w:rsidR="00E04EAF" w:rsidRPr="00EE2556" w:rsidRDefault="00E04EAF" w:rsidP="00BD6C5A">
            <w:pPr>
              <w:pStyle w:val="TableHeading"/>
            </w:pPr>
            <w:r w:rsidRPr="00EE2556">
              <w:t>50 to 60</w:t>
            </w:r>
          </w:p>
        </w:tc>
        <w:tc>
          <w:tcPr>
            <w:tcW w:w="0" w:type="auto"/>
            <w:tcBorders>
              <w:top w:val="nil"/>
              <w:bottom w:val="single" w:sz="12" w:space="0" w:color="auto"/>
            </w:tcBorders>
            <w:shd w:val="clear" w:color="auto" w:fill="auto"/>
          </w:tcPr>
          <w:p w14:paraId="33E6EDDC" w14:textId="77777777" w:rsidR="00E04EAF" w:rsidRPr="00EE2556" w:rsidRDefault="00E04EAF" w:rsidP="00BD6C5A">
            <w:pPr>
              <w:pStyle w:val="TableHeading"/>
            </w:pPr>
            <w:r w:rsidRPr="00EE2556">
              <w:t>60 to 70</w:t>
            </w:r>
          </w:p>
        </w:tc>
        <w:tc>
          <w:tcPr>
            <w:tcW w:w="0" w:type="auto"/>
            <w:tcBorders>
              <w:top w:val="nil"/>
              <w:bottom w:val="single" w:sz="12" w:space="0" w:color="auto"/>
            </w:tcBorders>
            <w:shd w:val="clear" w:color="auto" w:fill="auto"/>
          </w:tcPr>
          <w:p w14:paraId="3D3FEA29" w14:textId="77777777" w:rsidR="00E04EAF" w:rsidRPr="00EE2556" w:rsidRDefault="00E04EAF" w:rsidP="00BD6C5A">
            <w:pPr>
              <w:pStyle w:val="TableHeading"/>
            </w:pPr>
            <w:r w:rsidRPr="00EE2556">
              <w:t>70 to 75</w:t>
            </w:r>
          </w:p>
        </w:tc>
        <w:tc>
          <w:tcPr>
            <w:tcW w:w="0" w:type="auto"/>
            <w:tcBorders>
              <w:top w:val="nil"/>
              <w:bottom w:val="single" w:sz="12" w:space="0" w:color="auto"/>
            </w:tcBorders>
            <w:shd w:val="clear" w:color="auto" w:fill="auto"/>
          </w:tcPr>
          <w:p w14:paraId="58070D8C" w14:textId="77777777" w:rsidR="00E04EAF" w:rsidRPr="00EE2556" w:rsidRDefault="00E04EAF" w:rsidP="00BD6C5A">
            <w:pPr>
              <w:pStyle w:val="TableHeading"/>
            </w:pPr>
            <w:r w:rsidRPr="00EE2556">
              <w:t>75 to 80</w:t>
            </w:r>
          </w:p>
        </w:tc>
        <w:tc>
          <w:tcPr>
            <w:tcW w:w="0" w:type="auto"/>
            <w:tcBorders>
              <w:top w:val="nil"/>
              <w:bottom w:val="single" w:sz="12" w:space="0" w:color="auto"/>
            </w:tcBorders>
            <w:shd w:val="clear" w:color="auto" w:fill="auto"/>
          </w:tcPr>
          <w:p w14:paraId="219F87DB" w14:textId="77777777" w:rsidR="00E04EAF" w:rsidRPr="00EE2556" w:rsidRDefault="00E04EAF" w:rsidP="00BD6C5A">
            <w:pPr>
              <w:pStyle w:val="TableHeading"/>
            </w:pPr>
            <w:r w:rsidRPr="00EE2556">
              <w:t>80 to 85</w:t>
            </w:r>
          </w:p>
        </w:tc>
        <w:tc>
          <w:tcPr>
            <w:tcW w:w="0" w:type="auto"/>
            <w:tcBorders>
              <w:top w:val="nil"/>
              <w:bottom w:val="single" w:sz="12" w:space="0" w:color="auto"/>
            </w:tcBorders>
            <w:shd w:val="clear" w:color="auto" w:fill="auto"/>
          </w:tcPr>
          <w:p w14:paraId="002BA7CA" w14:textId="77777777" w:rsidR="00E04EAF" w:rsidRPr="00EE2556" w:rsidRDefault="00E04EAF" w:rsidP="00BD6C5A">
            <w:pPr>
              <w:pStyle w:val="TableHeading"/>
            </w:pPr>
            <w:r w:rsidRPr="00EE2556">
              <w:t>85 to 90</w:t>
            </w:r>
          </w:p>
        </w:tc>
        <w:tc>
          <w:tcPr>
            <w:tcW w:w="0" w:type="auto"/>
            <w:tcBorders>
              <w:top w:val="nil"/>
              <w:bottom w:val="single" w:sz="12" w:space="0" w:color="auto"/>
            </w:tcBorders>
            <w:shd w:val="clear" w:color="auto" w:fill="auto"/>
          </w:tcPr>
          <w:p w14:paraId="25D0B1F2" w14:textId="77777777" w:rsidR="00E04EAF" w:rsidRPr="00EE2556" w:rsidRDefault="00E04EAF" w:rsidP="00BD6C5A">
            <w:pPr>
              <w:pStyle w:val="TableHeading"/>
            </w:pPr>
            <w:r w:rsidRPr="00EE2556">
              <w:t>90 to 92.5</w:t>
            </w:r>
          </w:p>
        </w:tc>
      </w:tr>
      <w:tr w:rsidR="00E04EAF" w:rsidRPr="00E10372" w14:paraId="0C0E5A9D" w14:textId="77777777" w:rsidTr="00BD6C5A">
        <w:tc>
          <w:tcPr>
            <w:tcW w:w="0" w:type="auto"/>
            <w:tcBorders>
              <w:top w:val="single" w:sz="12" w:space="0" w:color="auto"/>
              <w:bottom w:val="single" w:sz="4" w:space="0" w:color="auto"/>
            </w:tcBorders>
          </w:tcPr>
          <w:p w14:paraId="18787271" w14:textId="77777777" w:rsidR="00E04EAF" w:rsidRPr="00EE2556" w:rsidRDefault="00E04EAF" w:rsidP="00BD6C5A">
            <w:pPr>
              <w:pStyle w:val="Tabletext"/>
            </w:pPr>
            <w:r w:rsidRPr="00EE2556">
              <w:t>1</w:t>
            </w:r>
            <w:r>
              <w:t>6</w:t>
            </w:r>
            <w:r w:rsidRPr="00EE2556">
              <w:t>8 to 1</w:t>
            </w:r>
            <w:r>
              <w:t>80</w:t>
            </w:r>
          </w:p>
        </w:tc>
        <w:tc>
          <w:tcPr>
            <w:tcW w:w="0" w:type="auto"/>
            <w:tcBorders>
              <w:top w:val="single" w:sz="12" w:space="0" w:color="auto"/>
              <w:bottom w:val="single" w:sz="4" w:space="0" w:color="auto"/>
            </w:tcBorders>
            <w:shd w:val="clear" w:color="auto" w:fill="auto"/>
          </w:tcPr>
          <w:p w14:paraId="5FCB1C2F" w14:textId="77777777" w:rsidR="00E04EAF" w:rsidRPr="00EE2556" w:rsidRDefault="00E04EAF" w:rsidP="00BD6C5A">
            <w:pPr>
              <w:pStyle w:val="Tabletext"/>
            </w:pPr>
            <w:r w:rsidRPr="00EE2556">
              <w:t>0.</w:t>
            </w:r>
            <w:r>
              <w:t>5</w:t>
            </w:r>
            <w:r w:rsidRPr="00EE2556">
              <w:t>%</w:t>
            </w:r>
          </w:p>
        </w:tc>
        <w:tc>
          <w:tcPr>
            <w:tcW w:w="0" w:type="auto"/>
            <w:tcBorders>
              <w:top w:val="single" w:sz="12" w:space="0" w:color="auto"/>
              <w:bottom w:val="single" w:sz="4" w:space="0" w:color="auto"/>
            </w:tcBorders>
            <w:shd w:val="clear" w:color="auto" w:fill="auto"/>
          </w:tcPr>
          <w:p w14:paraId="0E052DB0" w14:textId="77777777" w:rsidR="00E04EAF" w:rsidRPr="00EE2556" w:rsidRDefault="00E04EAF" w:rsidP="00BD6C5A">
            <w:pPr>
              <w:pStyle w:val="Tabletext"/>
            </w:pPr>
            <w:r>
              <w:t>1.3</w:t>
            </w:r>
            <w:r w:rsidRPr="00EE2556">
              <w:t>%</w:t>
            </w:r>
          </w:p>
        </w:tc>
        <w:tc>
          <w:tcPr>
            <w:tcW w:w="0" w:type="auto"/>
            <w:tcBorders>
              <w:top w:val="single" w:sz="12" w:space="0" w:color="auto"/>
              <w:bottom w:val="single" w:sz="4" w:space="0" w:color="auto"/>
            </w:tcBorders>
            <w:shd w:val="clear" w:color="auto" w:fill="auto"/>
          </w:tcPr>
          <w:p w14:paraId="77B68104" w14:textId="77777777" w:rsidR="00E04EAF" w:rsidRPr="00EE2556" w:rsidRDefault="00E04EAF" w:rsidP="00BD6C5A">
            <w:pPr>
              <w:pStyle w:val="Tabletext"/>
            </w:pPr>
            <w:r>
              <w:t>2.6</w:t>
            </w:r>
            <w:r w:rsidRPr="00EE2556">
              <w:t>%</w:t>
            </w:r>
          </w:p>
        </w:tc>
        <w:tc>
          <w:tcPr>
            <w:tcW w:w="0" w:type="auto"/>
            <w:tcBorders>
              <w:top w:val="single" w:sz="12" w:space="0" w:color="auto"/>
              <w:bottom w:val="single" w:sz="4" w:space="0" w:color="auto"/>
            </w:tcBorders>
            <w:shd w:val="clear" w:color="auto" w:fill="auto"/>
          </w:tcPr>
          <w:p w14:paraId="2F806C9E" w14:textId="77777777" w:rsidR="00E04EAF" w:rsidRPr="00EE2556" w:rsidRDefault="00E04EAF" w:rsidP="00BD6C5A">
            <w:pPr>
              <w:pStyle w:val="Tabletext"/>
            </w:pPr>
            <w:r>
              <w:t>3.5</w:t>
            </w:r>
            <w:r w:rsidRPr="00EE2556">
              <w:t>%</w:t>
            </w:r>
          </w:p>
        </w:tc>
        <w:tc>
          <w:tcPr>
            <w:tcW w:w="0" w:type="auto"/>
            <w:tcBorders>
              <w:top w:val="single" w:sz="12" w:space="0" w:color="auto"/>
              <w:bottom w:val="single" w:sz="4" w:space="0" w:color="auto"/>
            </w:tcBorders>
            <w:shd w:val="clear" w:color="auto" w:fill="auto"/>
          </w:tcPr>
          <w:p w14:paraId="6CD3AE1B" w14:textId="77777777" w:rsidR="00E04EAF" w:rsidRPr="00EE2556" w:rsidRDefault="00E04EAF" w:rsidP="00BD6C5A">
            <w:pPr>
              <w:pStyle w:val="Tabletext"/>
            </w:pPr>
            <w:r>
              <w:t>4.6</w:t>
            </w:r>
            <w:r w:rsidRPr="00EE2556">
              <w:t>%</w:t>
            </w:r>
          </w:p>
        </w:tc>
        <w:tc>
          <w:tcPr>
            <w:tcW w:w="0" w:type="auto"/>
            <w:tcBorders>
              <w:top w:val="single" w:sz="12" w:space="0" w:color="auto"/>
              <w:bottom w:val="single" w:sz="4" w:space="0" w:color="auto"/>
            </w:tcBorders>
            <w:shd w:val="clear" w:color="auto" w:fill="auto"/>
          </w:tcPr>
          <w:p w14:paraId="0FCB314E" w14:textId="77777777" w:rsidR="00E04EAF" w:rsidRPr="00EE2556" w:rsidRDefault="00E04EAF" w:rsidP="00BD6C5A">
            <w:pPr>
              <w:pStyle w:val="Tabletext"/>
            </w:pPr>
            <w:r>
              <w:t>5.8</w:t>
            </w:r>
            <w:r w:rsidRPr="00EE2556">
              <w:t>%</w:t>
            </w:r>
          </w:p>
        </w:tc>
        <w:tc>
          <w:tcPr>
            <w:tcW w:w="0" w:type="auto"/>
            <w:tcBorders>
              <w:top w:val="single" w:sz="12" w:space="0" w:color="auto"/>
              <w:bottom w:val="single" w:sz="4" w:space="0" w:color="auto"/>
            </w:tcBorders>
            <w:shd w:val="clear" w:color="auto" w:fill="auto"/>
          </w:tcPr>
          <w:p w14:paraId="012F3B9B" w14:textId="77777777" w:rsidR="00E04EAF" w:rsidRPr="00EE2556" w:rsidRDefault="00E04EAF" w:rsidP="00BD6C5A">
            <w:pPr>
              <w:pStyle w:val="Tabletext"/>
            </w:pPr>
            <w:r>
              <w:t>7.1</w:t>
            </w:r>
            <w:r w:rsidRPr="00EE2556">
              <w:t>%</w:t>
            </w:r>
          </w:p>
        </w:tc>
      </w:tr>
      <w:tr w:rsidR="00E04EAF" w:rsidRPr="00E10372" w14:paraId="2538BCB2" w14:textId="77777777" w:rsidTr="00BD6C5A">
        <w:tc>
          <w:tcPr>
            <w:tcW w:w="0" w:type="auto"/>
            <w:tcBorders>
              <w:top w:val="single" w:sz="4" w:space="0" w:color="auto"/>
              <w:bottom w:val="single" w:sz="4" w:space="0" w:color="auto"/>
            </w:tcBorders>
          </w:tcPr>
          <w:p w14:paraId="1DB70072" w14:textId="77777777" w:rsidR="00E04EAF" w:rsidRPr="00EE2556" w:rsidRDefault="00E04EAF" w:rsidP="00BD6C5A">
            <w:pPr>
              <w:pStyle w:val="Tabletext"/>
            </w:pPr>
            <w:r w:rsidRPr="00EE2556">
              <w:t>1</w:t>
            </w:r>
            <w:r>
              <w:t>56</w:t>
            </w:r>
            <w:r w:rsidRPr="00EE2556">
              <w:t xml:space="preserve"> to 1</w:t>
            </w:r>
            <w:r>
              <w:t>68</w:t>
            </w:r>
          </w:p>
        </w:tc>
        <w:tc>
          <w:tcPr>
            <w:tcW w:w="0" w:type="auto"/>
            <w:tcBorders>
              <w:top w:val="single" w:sz="4" w:space="0" w:color="auto"/>
              <w:bottom w:val="single" w:sz="4" w:space="0" w:color="auto"/>
            </w:tcBorders>
            <w:shd w:val="clear" w:color="auto" w:fill="auto"/>
          </w:tcPr>
          <w:p w14:paraId="1098D85E" w14:textId="77777777" w:rsidR="00E04EAF" w:rsidRPr="00EE2556" w:rsidRDefault="00E04EAF" w:rsidP="00BD6C5A">
            <w:pPr>
              <w:pStyle w:val="Tabletext"/>
            </w:pPr>
            <w:r w:rsidRPr="00EE2556">
              <w:t>0.</w:t>
            </w:r>
            <w:r>
              <w:t>42</w:t>
            </w:r>
            <w:r w:rsidRPr="00EE2556">
              <w:t>%</w:t>
            </w:r>
          </w:p>
        </w:tc>
        <w:tc>
          <w:tcPr>
            <w:tcW w:w="0" w:type="auto"/>
            <w:tcBorders>
              <w:top w:val="single" w:sz="4" w:space="0" w:color="auto"/>
              <w:bottom w:val="single" w:sz="4" w:space="0" w:color="auto"/>
            </w:tcBorders>
            <w:shd w:val="clear" w:color="auto" w:fill="auto"/>
          </w:tcPr>
          <w:p w14:paraId="52B139CB" w14:textId="77777777" w:rsidR="00E04EAF" w:rsidRPr="00EE2556" w:rsidRDefault="00E04EAF" w:rsidP="00BD6C5A">
            <w:pPr>
              <w:pStyle w:val="Tabletext"/>
            </w:pPr>
            <w:r>
              <w:t>1.2</w:t>
            </w:r>
            <w:r w:rsidRPr="00EE2556">
              <w:t>%</w:t>
            </w:r>
          </w:p>
        </w:tc>
        <w:tc>
          <w:tcPr>
            <w:tcW w:w="0" w:type="auto"/>
            <w:tcBorders>
              <w:top w:val="single" w:sz="4" w:space="0" w:color="auto"/>
              <w:bottom w:val="single" w:sz="4" w:space="0" w:color="auto"/>
            </w:tcBorders>
            <w:shd w:val="clear" w:color="auto" w:fill="auto"/>
          </w:tcPr>
          <w:p w14:paraId="7403064F" w14:textId="77777777" w:rsidR="00E04EAF" w:rsidRPr="00EE2556" w:rsidRDefault="00E04EAF" w:rsidP="00BD6C5A">
            <w:pPr>
              <w:pStyle w:val="Tabletext"/>
            </w:pPr>
            <w:r>
              <w:t>2.5</w:t>
            </w:r>
            <w:r w:rsidRPr="00EE2556">
              <w:t>%</w:t>
            </w:r>
          </w:p>
        </w:tc>
        <w:tc>
          <w:tcPr>
            <w:tcW w:w="0" w:type="auto"/>
            <w:tcBorders>
              <w:top w:val="single" w:sz="4" w:space="0" w:color="auto"/>
              <w:bottom w:val="single" w:sz="4" w:space="0" w:color="auto"/>
            </w:tcBorders>
            <w:shd w:val="clear" w:color="auto" w:fill="auto"/>
          </w:tcPr>
          <w:p w14:paraId="3315F9F7" w14:textId="77777777" w:rsidR="00E04EAF" w:rsidRPr="00EE2556" w:rsidRDefault="00E04EAF" w:rsidP="00BD6C5A">
            <w:pPr>
              <w:pStyle w:val="Tabletext"/>
            </w:pPr>
            <w:r>
              <w:t>3.4</w:t>
            </w:r>
            <w:r w:rsidRPr="00EE2556">
              <w:t>%</w:t>
            </w:r>
          </w:p>
        </w:tc>
        <w:tc>
          <w:tcPr>
            <w:tcW w:w="0" w:type="auto"/>
            <w:tcBorders>
              <w:top w:val="single" w:sz="4" w:space="0" w:color="auto"/>
              <w:bottom w:val="single" w:sz="4" w:space="0" w:color="auto"/>
            </w:tcBorders>
            <w:shd w:val="clear" w:color="auto" w:fill="auto"/>
          </w:tcPr>
          <w:p w14:paraId="6D23368B" w14:textId="77777777" w:rsidR="00E04EAF" w:rsidRPr="00EE2556" w:rsidRDefault="00E04EAF" w:rsidP="00BD6C5A">
            <w:pPr>
              <w:pStyle w:val="Tabletext"/>
            </w:pPr>
            <w:r>
              <w:t>4.4</w:t>
            </w:r>
            <w:r w:rsidRPr="00EE2556">
              <w:t>%</w:t>
            </w:r>
          </w:p>
        </w:tc>
        <w:tc>
          <w:tcPr>
            <w:tcW w:w="0" w:type="auto"/>
            <w:tcBorders>
              <w:top w:val="single" w:sz="4" w:space="0" w:color="auto"/>
              <w:bottom w:val="single" w:sz="4" w:space="0" w:color="auto"/>
            </w:tcBorders>
            <w:shd w:val="clear" w:color="auto" w:fill="auto"/>
          </w:tcPr>
          <w:p w14:paraId="7AF06D13" w14:textId="77777777" w:rsidR="00E04EAF" w:rsidRPr="00EE2556" w:rsidRDefault="00E04EAF" w:rsidP="00BD6C5A">
            <w:pPr>
              <w:pStyle w:val="Tabletext"/>
            </w:pPr>
            <w:r>
              <w:t>5.7</w:t>
            </w:r>
            <w:r w:rsidRPr="00EE2556">
              <w:t>%</w:t>
            </w:r>
          </w:p>
        </w:tc>
        <w:tc>
          <w:tcPr>
            <w:tcW w:w="0" w:type="auto"/>
            <w:tcBorders>
              <w:top w:val="single" w:sz="4" w:space="0" w:color="auto"/>
              <w:bottom w:val="single" w:sz="4" w:space="0" w:color="auto"/>
            </w:tcBorders>
            <w:shd w:val="clear" w:color="auto" w:fill="auto"/>
          </w:tcPr>
          <w:p w14:paraId="74957865" w14:textId="77777777" w:rsidR="00E04EAF" w:rsidRPr="00EE2556" w:rsidRDefault="00E04EAF" w:rsidP="00BD6C5A">
            <w:pPr>
              <w:pStyle w:val="Tabletext"/>
            </w:pPr>
            <w:r>
              <w:t>7.1</w:t>
            </w:r>
            <w:r w:rsidRPr="00EE2556">
              <w:t>%</w:t>
            </w:r>
          </w:p>
        </w:tc>
      </w:tr>
      <w:tr w:rsidR="00E04EAF" w:rsidRPr="00E10372" w14:paraId="2F589FB4" w14:textId="77777777" w:rsidTr="00BD6C5A">
        <w:tc>
          <w:tcPr>
            <w:tcW w:w="0" w:type="auto"/>
            <w:tcBorders>
              <w:top w:val="single" w:sz="4" w:space="0" w:color="auto"/>
              <w:bottom w:val="single" w:sz="4" w:space="0" w:color="auto"/>
            </w:tcBorders>
          </w:tcPr>
          <w:p w14:paraId="0CABB1D6" w14:textId="77777777" w:rsidR="00E04EAF" w:rsidRPr="00EE2556" w:rsidRDefault="00E04EAF" w:rsidP="00BD6C5A">
            <w:pPr>
              <w:pStyle w:val="Tabletext"/>
            </w:pPr>
            <w:r>
              <w:t>144</w:t>
            </w:r>
            <w:r w:rsidRPr="00EE2556">
              <w:t xml:space="preserve"> to 1</w:t>
            </w:r>
            <w:r>
              <w:t>56</w:t>
            </w:r>
          </w:p>
        </w:tc>
        <w:tc>
          <w:tcPr>
            <w:tcW w:w="0" w:type="auto"/>
            <w:tcBorders>
              <w:top w:val="single" w:sz="4" w:space="0" w:color="auto"/>
              <w:bottom w:val="single" w:sz="4" w:space="0" w:color="auto"/>
            </w:tcBorders>
            <w:shd w:val="clear" w:color="auto" w:fill="auto"/>
          </w:tcPr>
          <w:p w14:paraId="31D228EC" w14:textId="77777777" w:rsidR="00E04EAF" w:rsidRPr="00EE2556" w:rsidRDefault="00E04EAF" w:rsidP="00BD6C5A">
            <w:pPr>
              <w:pStyle w:val="Tabletext"/>
            </w:pPr>
            <w:r w:rsidRPr="00EE2556">
              <w:t>0.</w:t>
            </w:r>
            <w:r>
              <w:t>4</w:t>
            </w:r>
            <w:r w:rsidRPr="00EE2556">
              <w:t>%</w:t>
            </w:r>
          </w:p>
        </w:tc>
        <w:tc>
          <w:tcPr>
            <w:tcW w:w="0" w:type="auto"/>
            <w:tcBorders>
              <w:top w:val="single" w:sz="4" w:space="0" w:color="auto"/>
              <w:bottom w:val="single" w:sz="4" w:space="0" w:color="auto"/>
            </w:tcBorders>
            <w:shd w:val="clear" w:color="auto" w:fill="auto"/>
          </w:tcPr>
          <w:p w14:paraId="6678B8D4" w14:textId="77777777" w:rsidR="00E04EAF" w:rsidRPr="00EE2556" w:rsidRDefault="00E04EAF" w:rsidP="00BD6C5A">
            <w:pPr>
              <w:pStyle w:val="Tabletext"/>
            </w:pPr>
            <w:r>
              <w:t>1.0</w:t>
            </w:r>
            <w:r w:rsidRPr="00EE2556">
              <w:t>%</w:t>
            </w:r>
          </w:p>
        </w:tc>
        <w:tc>
          <w:tcPr>
            <w:tcW w:w="0" w:type="auto"/>
            <w:tcBorders>
              <w:top w:val="single" w:sz="4" w:space="0" w:color="auto"/>
              <w:bottom w:val="single" w:sz="4" w:space="0" w:color="auto"/>
            </w:tcBorders>
            <w:shd w:val="clear" w:color="auto" w:fill="auto"/>
          </w:tcPr>
          <w:p w14:paraId="405787B7" w14:textId="77777777" w:rsidR="00E04EAF" w:rsidRPr="00EE2556" w:rsidRDefault="00E04EAF" w:rsidP="00BD6C5A">
            <w:pPr>
              <w:pStyle w:val="Tabletext"/>
            </w:pPr>
            <w:r>
              <w:t>2.3</w:t>
            </w:r>
            <w:r w:rsidRPr="00EE2556">
              <w:t>%</w:t>
            </w:r>
          </w:p>
        </w:tc>
        <w:tc>
          <w:tcPr>
            <w:tcW w:w="0" w:type="auto"/>
            <w:tcBorders>
              <w:top w:val="single" w:sz="4" w:space="0" w:color="auto"/>
              <w:bottom w:val="single" w:sz="4" w:space="0" w:color="auto"/>
            </w:tcBorders>
            <w:shd w:val="clear" w:color="auto" w:fill="auto"/>
          </w:tcPr>
          <w:p w14:paraId="78FE4421" w14:textId="77777777" w:rsidR="00E04EAF" w:rsidRPr="00EE2556" w:rsidRDefault="00E04EAF" w:rsidP="00BD6C5A">
            <w:pPr>
              <w:pStyle w:val="Tabletext"/>
            </w:pPr>
            <w:r>
              <w:t>3.2</w:t>
            </w:r>
            <w:r w:rsidRPr="00EE2556">
              <w:t>%</w:t>
            </w:r>
          </w:p>
        </w:tc>
        <w:tc>
          <w:tcPr>
            <w:tcW w:w="0" w:type="auto"/>
            <w:tcBorders>
              <w:top w:val="single" w:sz="4" w:space="0" w:color="auto"/>
              <w:bottom w:val="single" w:sz="4" w:space="0" w:color="auto"/>
            </w:tcBorders>
            <w:shd w:val="clear" w:color="auto" w:fill="auto"/>
          </w:tcPr>
          <w:p w14:paraId="4D889F39" w14:textId="77777777" w:rsidR="00E04EAF" w:rsidRPr="00EE2556" w:rsidRDefault="00E04EAF" w:rsidP="00BD6C5A">
            <w:pPr>
              <w:pStyle w:val="Tabletext"/>
            </w:pPr>
            <w:r>
              <w:t>4.3</w:t>
            </w:r>
            <w:r w:rsidRPr="00EE2556">
              <w:t>%</w:t>
            </w:r>
          </w:p>
        </w:tc>
        <w:tc>
          <w:tcPr>
            <w:tcW w:w="0" w:type="auto"/>
            <w:tcBorders>
              <w:top w:val="single" w:sz="4" w:space="0" w:color="auto"/>
              <w:bottom w:val="single" w:sz="4" w:space="0" w:color="auto"/>
            </w:tcBorders>
            <w:shd w:val="clear" w:color="auto" w:fill="auto"/>
          </w:tcPr>
          <w:p w14:paraId="0D512381" w14:textId="77777777" w:rsidR="00E04EAF" w:rsidRPr="00EE2556" w:rsidRDefault="00E04EAF" w:rsidP="00BD6C5A">
            <w:pPr>
              <w:pStyle w:val="Tabletext"/>
            </w:pPr>
            <w:r>
              <w:t>5.5</w:t>
            </w:r>
            <w:r w:rsidRPr="00EE2556">
              <w:t>%</w:t>
            </w:r>
          </w:p>
        </w:tc>
        <w:tc>
          <w:tcPr>
            <w:tcW w:w="0" w:type="auto"/>
            <w:tcBorders>
              <w:top w:val="single" w:sz="4" w:space="0" w:color="auto"/>
              <w:bottom w:val="single" w:sz="4" w:space="0" w:color="auto"/>
            </w:tcBorders>
            <w:shd w:val="clear" w:color="auto" w:fill="auto"/>
          </w:tcPr>
          <w:p w14:paraId="7CCBBE83" w14:textId="77777777" w:rsidR="00E04EAF" w:rsidRPr="00EE2556" w:rsidRDefault="00E04EAF" w:rsidP="00BD6C5A">
            <w:pPr>
              <w:pStyle w:val="Tabletext"/>
            </w:pPr>
            <w:r>
              <w:t>7.0</w:t>
            </w:r>
            <w:r w:rsidRPr="00EE2556">
              <w:t>%</w:t>
            </w:r>
          </w:p>
        </w:tc>
      </w:tr>
      <w:tr w:rsidR="00E04EAF" w:rsidRPr="00E10372" w14:paraId="28A46D41" w14:textId="77777777" w:rsidTr="00BD6C5A">
        <w:tc>
          <w:tcPr>
            <w:tcW w:w="0" w:type="auto"/>
            <w:tcBorders>
              <w:top w:val="single" w:sz="4" w:space="0" w:color="auto"/>
              <w:bottom w:val="single" w:sz="4" w:space="0" w:color="auto"/>
            </w:tcBorders>
          </w:tcPr>
          <w:p w14:paraId="75F37675" w14:textId="77777777" w:rsidR="00E04EAF" w:rsidRPr="00EE2556" w:rsidRDefault="00E04EAF" w:rsidP="00BD6C5A">
            <w:pPr>
              <w:pStyle w:val="Tabletext"/>
            </w:pPr>
            <w:r w:rsidRPr="00EE2556">
              <w:t>1</w:t>
            </w:r>
            <w:r>
              <w:t>32</w:t>
            </w:r>
            <w:r w:rsidRPr="00EE2556">
              <w:t xml:space="preserve"> to 1</w:t>
            </w:r>
            <w:r>
              <w:t>44</w:t>
            </w:r>
          </w:p>
        </w:tc>
        <w:tc>
          <w:tcPr>
            <w:tcW w:w="0" w:type="auto"/>
            <w:tcBorders>
              <w:top w:val="single" w:sz="4" w:space="0" w:color="auto"/>
              <w:bottom w:val="single" w:sz="4" w:space="0" w:color="auto"/>
            </w:tcBorders>
            <w:shd w:val="clear" w:color="auto" w:fill="auto"/>
          </w:tcPr>
          <w:p w14:paraId="18145DF1" w14:textId="77777777" w:rsidR="00E04EAF" w:rsidRPr="00EE2556" w:rsidRDefault="00E04EAF" w:rsidP="00BD6C5A">
            <w:pPr>
              <w:pStyle w:val="Tabletext"/>
            </w:pPr>
            <w:r w:rsidRPr="00EE2556">
              <w:t>0.</w:t>
            </w:r>
            <w:r>
              <w:t>3</w:t>
            </w:r>
            <w:r w:rsidRPr="00EE2556">
              <w:t>%</w:t>
            </w:r>
          </w:p>
        </w:tc>
        <w:tc>
          <w:tcPr>
            <w:tcW w:w="0" w:type="auto"/>
            <w:tcBorders>
              <w:top w:val="single" w:sz="4" w:space="0" w:color="auto"/>
              <w:bottom w:val="single" w:sz="4" w:space="0" w:color="auto"/>
            </w:tcBorders>
            <w:shd w:val="clear" w:color="auto" w:fill="auto"/>
          </w:tcPr>
          <w:p w14:paraId="6064AE8E" w14:textId="77777777" w:rsidR="00E04EAF" w:rsidRPr="00EE2556" w:rsidRDefault="00E04EAF" w:rsidP="00BD6C5A">
            <w:pPr>
              <w:pStyle w:val="Tabletext"/>
            </w:pPr>
            <w:r>
              <w:t>0.9</w:t>
            </w:r>
            <w:r w:rsidRPr="00EE2556">
              <w:t>%</w:t>
            </w:r>
          </w:p>
        </w:tc>
        <w:tc>
          <w:tcPr>
            <w:tcW w:w="0" w:type="auto"/>
            <w:tcBorders>
              <w:top w:val="single" w:sz="4" w:space="0" w:color="auto"/>
              <w:bottom w:val="single" w:sz="4" w:space="0" w:color="auto"/>
            </w:tcBorders>
            <w:shd w:val="clear" w:color="auto" w:fill="auto"/>
          </w:tcPr>
          <w:p w14:paraId="11896CC8" w14:textId="77777777" w:rsidR="00E04EAF" w:rsidRPr="00EE2556" w:rsidRDefault="00E04EAF" w:rsidP="00BD6C5A">
            <w:pPr>
              <w:pStyle w:val="Tabletext"/>
            </w:pPr>
            <w:r>
              <w:t>2.2</w:t>
            </w:r>
            <w:r w:rsidRPr="00EE2556">
              <w:t>%</w:t>
            </w:r>
          </w:p>
        </w:tc>
        <w:tc>
          <w:tcPr>
            <w:tcW w:w="0" w:type="auto"/>
            <w:tcBorders>
              <w:top w:val="single" w:sz="4" w:space="0" w:color="auto"/>
              <w:bottom w:val="single" w:sz="4" w:space="0" w:color="auto"/>
            </w:tcBorders>
            <w:shd w:val="clear" w:color="auto" w:fill="auto"/>
          </w:tcPr>
          <w:p w14:paraId="601EFD69" w14:textId="77777777" w:rsidR="00E04EAF" w:rsidRPr="00EE2556" w:rsidRDefault="00E04EAF" w:rsidP="00BD6C5A">
            <w:pPr>
              <w:pStyle w:val="Tabletext"/>
            </w:pPr>
            <w:r>
              <w:t>3.0</w:t>
            </w:r>
            <w:r w:rsidRPr="00EE2556">
              <w:t>%</w:t>
            </w:r>
          </w:p>
        </w:tc>
        <w:tc>
          <w:tcPr>
            <w:tcW w:w="0" w:type="auto"/>
            <w:tcBorders>
              <w:top w:val="single" w:sz="4" w:space="0" w:color="auto"/>
              <w:bottom w:val="single" w:sz="4" w:space="0" w:color="auto"/>
            </w:tcBorders>
            <w:shd w:val="clear" w:color="auto" w:fill="auto"/>
          </w:tcPr>
          <w:p w14:paraId="1FEC8D4C" w14:textId="77777777" w:rsidR="00E04EAF" w:rsidRPr="00EE2556" w:rsidRDefault="00E04EAF" w:rsidP="00BD6C5A">
            <w:pPr>
              <w:pStyle w:val="Tabletext"/>
            </w:pPr>
            <w:r>
              <w:t>4.1</w:t>
            </w:r>
            <w:r w:rsidRPr="00EE2556">
              <w:t>%</w:t>
            </w:r>
          </w:p>
        </w:tc>
        <w:tc>
          <w:tcPr>
            <w:tcW w:w="0" w:type="auto"/>
            <w:tcBorders>
              <w:top w:val="single" w:sz="4" w:space="0" w:color="auto"/>
              <w:bottom w:val="single" w:sz="4" w:space="0" w:color="auto"/>
            </w:tcBorders>
            <w:shd w:val="clear" w:color="auto" w:fill="auto"/>
          </w:tcPr>
          <w:p w14:paraId="50F56284" w14:textId="77777777" w:rsidR="00E04EAF" w:rsidRPr="00EE2556" w:rsidRDefault="00E04EAF" w:rsidP="00BD6C5A">
            <w:pPr>
              <w:pStyle w:val="Tabletext"/>
            </w:pPr>
            <w:r>
              <w:t>5.4</w:t>
            </w:r>
            <w:r w:rsidRPr="00EE2556">
              <w:t>%</w:t>
            </w:r>
          </w:p>
        </w:tc>
        <w:tc>
          <w:tcPr>
            <w:tcW w:w="0" w:type="auto"/>
            <w:tcBorders>
              <w:top w:val="single" w:sz="4" w:space="0" w:color="auto"/>
              <w:bottom w:val="single" w:sz="4" w:space="0" w:color="auto"/>
            </w:tcBorders>
            <w:shd w:val="clear" w:color="auto" w:fill="auto"/>
          </w:tcPr>
          <w:p w14:paraId="70D14DD9" w14:textId="77777777" w:rsidR="00E04EAF" w:rsidRPr="00EE2556" w:rsidRDefault="00E04EAF" w:rsidP="00BD6C5A">
            <w:pPr>
              <w:pStyle w:val="Tabletext"/>
            </w:pPr>
            <w:r>
              <w:t>6.8</w:t>
            </w:r>
            <w:r w:rsidRPr="00EE2556">
              <w:t>%</w:t>
            </w:r>
          </w:p>
        </w:tc>
      </w:tr>
      <w:tr w:rsidR="00E04EAF" w:rsidRPr="00E10372" w14:paraId="5B723260" w14:textId="77777777" w:rsidTr="00BD6C5A">
        <w:tc>
          <w:tcPr>
            <w:tcW w:w="0" w:type="auto"/>
            <w:tcBorders>
              <w:top w:val="single" w:sz="4" w:space="0" w:color="auto"/>
              <w:bottom w:val="single" w:sz="4" w:space="0" w:color="auto"/>
            </w:tcBorders>
          </w:tcPr>
          <w:p w14:paraId="47000DFC" w14:textId="77777777" w:rsidR="00E04EAF" w:rsidRPr="00EE2556" w:rsidRDefault="00E04EAF" w:rsidP="00BD6C5A">
            <w:pPr>
              <w:pStyle w:val="Tabletext"/>
            </w:pPr>
            <w:r w:rsidRPr="00EE2556">
              <w:t>1</w:t>
            </w:r>
            <w:r>
              <w:t>20</w:t>
            </w:r>
            <w:r w:rsidRPr="00EE2556">
              <w:t xml:space="preserve"> to 1</w:t>
            </w:r>
            <w:r>
              <w:t>32</w:t>
            </w:r>
          </w:p>
        </w:tc>
        <w:tc>
          <w:tcPr>
            <w:tcW w:w="0" w:type="auto"/>
            <w:tcBorders>
              <w:top w:val="single" w:sz="4" w:space="0" w:color="auto"/>
              <w:bottom w:val="single" w:sz="4" w:space="0" w:color="auto"/>
            </w:tcBorders>
            <w:shd w:val="clear" w:color="auto" w:fill="auto"/>
          </w:tcPr>
          <w:p w14:paraId="68255F4D" w14:textId="77777777" w:rsidR="00E04EAF" w:rsidRPr="00EE2556" w:rsidRDefault="00E04EAF" w:rsidP="00BD6C5A">
            <w:pPr>
              <w:pStyle w:val="Tabletext"/>
            </w:pPr>
            <w:r w:rsidRPr="00EE2556">
              <w:t>0.</w:t>
            </w:r>
            <w:r>
              <w:t>2</w:t>
            </w:r>
            <w:r w:rsidRPr="00EE2556">
              <w:t>%</w:t>
            </w:r>
          </w:p>
        </w:tc>
        <w:tc>
          <w:tcPr>
            <w:tcW w:w="0" w:type="auto"/>
            <w:tcBorders>
              <w:top w:val="single" w:sz="4" w:space="0" w:color="auto"/>
              <w:bottom w:val="single" w:sz="4" w:space="0" w:color="auto"/>
            </w:tcBorders>
            <w:shd w:val="clear" w:color="auto" w:fill="auto"/>
          </w:tcPr>
          <w:p w14:paraId="7CC5F63E" w14:textId="77777777" w:rsidR="00E04EAF" w:rsidRPr="00EE2556" w:rsidRDefault="00E04EAF" w:rsidP="00BD6C5A">
            <w:pPr>
              <w:pStyle w:val="Tabletext"/>
            </w:pPr>
            <w:r>
              <w:t>0.8</w:t>
            </w:r>
            <w:r w:rsidRPr="00EE2556">
              <w:t>%</w:t>
            </w:r>
          </w:p>
        </w:tc>
        <w:tc>
          <w:tcPr>
            <w:tcW w:w="0" w:type="auto"/>
            <w:tcBorders>
              <w:top w:val="single" w:sz="4" w:space="0" w:color="auto"/>
              <w:bottom w:val="single" w:sz="4" w:space="0" w:color="auto"/>
            </w:tcBorders>
            <w:shd w:val="clear" w:color="auto" w:fill="auto"/>
          </w:tcPr>
          <w:p w14:paraId="5184B098" w14:textId="77777777" w:rsidR="00E04EAF" w:rsidRPr="00EE2556" w:rsidRDefault="00E04EAF" w:rsidP="00BD6C5A">
            <w:pPr>
              <w:pStyle w:val="Tabletext"/>
            </w:pPr>
            <w:r>
              <w:t>2.0</w:t>
            </w:r>
            <w:r w:rsidRPr="00EE2556">
              <w:t>%</w:t>
            </w:r>
          </w:p>
        </w:tc>
        <w:tc>
          <w:tcPr>
            <w:tcW w:w="0" w:type="auto"/>
            <w:tcBorders>
              <w:top w:val="single" w:sz="4" w:space="0" w:color="auto"/>
              <w:bottom w:val="single" w:sz="4" w:space="0" w:color="auto"/>
            </w:tcBorders>
            <w:shd w:val="clear" w:color="auto" w:fill="auto"/>
          </w:tcPr>
          <w:p w14:paraId="6A778BA9" w14:textId="77777777" w:rsidR="00E04EAF" w:rsidRPr="00EE2556" w:rsidRDefault="00E04EAF" w:rsidP="00BD6C5A">
            <w:pPr>
              <w:pStyle w:val="Tabletext"/>
            </w:pPr>
            <w:r>
              <w:t>2.8</w:t>
            </w:r>
            <w:r w:rsidRPr="00EE2556">
              <w:t>%</w:t>
            </w:r>
          </w:p>
        </w:tc>
        <w:tc>
          <w:tcPr>
            <w:tcW w:w="0" w:type="auto"/>
            <w:tcBorders>
              <w:top w:val="single" w:sz="4" w:space="0" w:color="auto"/>
              <w:bottom w:val="single" w:sz="4" w:space="0" w:color="auto"/>
            </w:tcBorders>
            <w:shd w:val="clear" w:color="auto" w:fill="auto"/>
          </w:tcPr>
          <w:p w14:paraId="0735C770" w14:textId="77777777" w:rsidR="00E04EAF" w:rsidRPr="00EE2556" w:rsidRDefault="00E04EAF" w:rsidP="00BD6C5A">
            <w:pPr>
              <w:pStyle w:val="Tabletext"/>
            </w:pPr>
            <w:r>
              <w:t>3.9</w:t>
            </w:r>
            <w:r w:rsidRPr="00EE2556">
              <w:t>%</w:t>
            </w:r>
          </w:p>
        </w:tc>
        <w:tc>
          <w:tcPr>
            <w:tcW w:w="0" w:type="auto"/>
            <w:tcBorders>
              <w:top w:val="single" w:sz="4" w:space="0" w:color="auto"/>
              <w:bottom w:val="single" w:sz="4" w:space="0" w:color="auto"/>
            </w:tcBorders>
            <w:shd w:val="clear" w:color="auto" w:fill="auto"/>
          </w:tcPr>
          <w:p w14:paraId="3530BC86" w14:textId="77777777" w:rsidR="00E04EAF" w:rsidRPr="00EE2556" w:rsidRDefault="00E04EAF" w:rsidP="00BD6C5A">
            <w:pPr>
              <w:pStyle w:val="Tabletext"/>
            </w:pPr>
            <w:r>
              <w:t>5.2</w:t>
            </w:r>
            <w:r w:rsidRPr="00EE2556">
              <w:t>%</w:t>
            </w:r>
          </w:p>
        </w:tc>
        <w:tc>
          <w:tcPr>
            <w:tcW w:w="0" w:type="auto"/>
            <w:tcBorders>
              <w:top w:val="single" w:sz="4" w:space="0" w:color="auto"/>
              <w:bottom w:val="single" w:sz="4" w:space="0" w:color="auto"/>
            </w:tcBorders>
            <w:shd w:val="clear" w:color="auto" w:fill="auto"/>
          </w:tcPr>
          <w:p w14:paraId="29BD3A4C" w14:textId="77777777" w:rsidR="00E04EAF" w:rsidRPr="00EE2556" w:rsidRDefault="00E04EAF" w:rsidP="00BD6C5A">
            <w:pPr>
              <w:pStyle w:val="Tabletext"/>
            </w:pPr>
            <w:r>
              <w:t>6.6</w:t>
            </w:r>
            <w:r w:rsidRPr="00EE2556">
              <w:t>%</w:t>
            </w:r>
          </w:p>
        </w:tc>
      </w:tr>
      <w:tr w:rsidR="00E04EAF" w:rsidRPr="00E10372" w14:paraId="6470E942" w14:textId="77777777" w:rsidTr="00BD6C5A">
        <w:tc>
          <w:tcPr>
            <w:tcW w:w="0" w:type="auto"/>
            <w:tcBorders>
              <w:top w:val="single" w:sz="4" w:space="0" w:color="auto"/>
            </w:tcBorders>
          </w:tcPr>
          <w:p w14:paraId="470372A1" w14:textId="77777777" w:rsidR="00E04EAF" w:rsidRPr="00EE2556" w:rsidRDefault="00E04EAF" w:rsidP="00BD6C5A">
            <w:pPr>
              <w:pStyle w:val="Tabletext"/>
            </w:pPr>
            <w:r w:rsidRPr="00EE2556">
              <w:t>108 to 120</w:t>
            </w:r>
          </w:p>
        </w:tc>
        <w:tc>
          <w:tcPr>
            <w:tcW w:w="0" w:type="auto"/>
            <w:tcBorders>
              <w:top w:val="single" w:sz="4" w:space="0" w:color="auto"/>
            </w:tcBorders>
            <w:shd w:val="clear" w:color="auto" w:fill="auto"/>
          </w:tcPr>
          <w:p w14:paraId="6A515796" w14:textId="77777777" w:rsidR="00E04EAF" w:rsidRPr="00EE2556" w:rsidRDefault="00E04EAF" w:rsidP="00BD6C5A">
            <w:pPr>
              <w:pStyle w:val="Tabletext"/>
            </w:pPr>
            <w:r w:rsidRPr="00EE2556">
              <w:t>0.</w:t>
            </w:r>
            <w:r>
              <w:t>2</w:t>
            </w:r>
            <w:r w:rsidRPr="00EE2556">
              <w:t>%</w:t>
            </w:r>
          </w:p>
        </w:tc>
        <w:tc>
          <w:tcPr>
            <w:tcW w:w="0" w:type="auto"/>
            <w:tcBorders>
              <w:top w:val="single" w:sz="4" w:space="0" w:color="auto"/>
            </w:tcBorders>
            <w:shd w:val="clear" w:color="auto" w:fill="auto"/>
          </w:tcPr>
          <w:p w14:paraId="4D9A122C" w14:textId="77777777" w:rsidR="00E04EAF" w:rsidRPr="00EE2556" w:rsidRDefault="00E04EAF" w:rsidP="00BD6C5A">
            <w:pPr>
              <w:pStyle w:val="Tabletext"/>
            </w:pPr>
            <w:r>
              <w:t>0.7</w:t>
            </w:r>
            <w:r w:rsidRPr="00EE2556">
              <w:t>%</w:t>
            </w:r>
          </w:p>
        </w:tc>
        <w:tc>
          <w:tcPr>
            <w:tcW w:w="0" w:type="auto"/>
            <w:tcBorders>
              <w:top w:val="single" w:sz="4" w:space="0" w:color="auto"/>
            </w:tcBorders>
            <w:shd w:val="clear" w:color="auto" w:fill="auto"/>
          </w:tcPr>
          <w:p w14:paraId="2AB8056A" w14:textId="77777777" w:rsidR="00E04EAF" w:rsidRPr="00EE2556" w:rsidRDefault="00E04EAF" w:rsidP="00BD6C5A">
            <w:pPr>
              <w:pStyle w:val="Tabletext"/>
            </w:pPr>
            <w:r>
              <w:t>1.8</w:t>
            </w:r>
            <w:r w:rsidRPr="00EE2556">
              <w:t>%</w:t>
            </w:r>
          </w:p>
        </w:tc>
        <w:tc>
          <w:tcPr>
            <w:tcW w:w="0" w:type="auto"/>
            <w:tcBorders>
              <w:top w:val="single" w:sz="4" w:space="0" w:color="auto"/>
            </w:tcBorders>
            <w:shd w:val="clear" w:color="auto" w:fill="auto"/>
          </w:tcPr>
          <w:p w14:paraId="70B48EC5" w14:textId="77777777" w:rsidR="00E04EAF" w:rsidRPr="00EE2556" w:rsidRDefault="00E04EAF" w:rsidP="00BD6C5A">
            <w:pPr>
              <w:pStyle w:val="Tabletext"/>
            </w:pPr>
            <w:r>
              <w:t>2.6</w:t>
            </w:r>
            <w:r w:rsidRPr="00EE2556">
              <w:t>%</w:t>
            </w:r>
          </w:p>
        </w:tc>
        <w:tc>
          <w:tcPr>
            <w:tcW w:w="0" w:type="auto"/>
            <w:tcBorders>
              <w:top w:val="single" w:sz="4" w:space="0" w:color="auto"/>
            </w:tcBorders>
            <w:shd w:val="clear" w:color="auto" w:fill="auto"/>
          </w:tcPr>
          <w:p w14:paraId="59D5FE8C" w14:textId="77777777" w:rsidR="00E04EAF" w:rsidRPr="00EE2556" w:rsidRDefault="00E04EAF" w:rsidP="00BD6C5A">
            <w:pPr>
              <w:pStyle w:val="Tabletext"/>
            </w:pPr>
            <w:r>
              <w:t>3.7</w:t>
            </w:r>
            <w:r w:rsidRPr="00EE2556">
              <w:t>%</w:t>
            </w:r>
          </w:p>
        </w:tc>
        <w:tc>
          <w:tcPr>
            <w:tcW w:w="0" w:type="auto"/>
            <w:tcBorders>
              <w:top w:val="single" w:sz="4" w:space="0" w:color="auto"/>
            </w:tcBorders>
            <w:shd w:val="clear" w:color="auto" w:fill="auto"/>
          </w:tcPr>
          <w:p w14:paraId="019318C1" w14:textId="77777777" w:rsidR="00E04EAF" w:rsidRPr="00EE2556" w:rsidRDefault="00E04EAF" w:rsidP="00BD6C5A">
            <w:pPr>
              <w:pStyle w:val="Tabletext"/>
            </w:pPr>
            <w:r>
              <w:t>4.9</w:t>
            </w:r>
            <w:r w:rsidRPr="00EE2556">
              <w:t>%</w:t>
            </w:r>
          </w:p>
        </w:tc>
        <w:tc>
          <w:tcPr>
            <w:tcW w:w="0" w:type="auto"/>
            <w:tcBorders>
              <w:top w:val="single" w:sz="4" w:space="0" w:color="auto"/>
            </w:tcBorders>
            <w:shd w:val="clear" w:color="auto" w:fill="auto"/>
          </w:tcPr>
          <w:p w14:paraId="03295A11" w14:textId="77777777" w:rsidR="00E04EAF" w:rsidRPr="00EE2556" w:rsidRDefault="00E04EAF" w:rsidP="00BD6C5A">
            <w:pPr>
              <w:pStyle w:val="Tabletext"/>
            </w:pPr>
            <w:r>
              <w:t>6.4</w:t>
            </w:r>
            <w:r w:rsidRPr="00EE2556">
              <w:t>%</w:t>
            </w:r>
          </w:p>
        </w:tc>
      </w:tr>
      <w:tr w:rsidR="00E04EAF" w:rsidRPr="00E10372" w14:paraId="647526E1" w14:textId="77777777" w:rsidTr="00BD6C5A">
        <w:tc>
          <w:tcPr>
            <w:tcW w:w="0" w:type="auto"/>
          </w:tcPr>
          <w:p w14:paraId="5AB17F52" w14:textId="77777777" w:rsidR="00E04EAF" w:rsidRPr="00EE2556" w:rsidRDefault="00E04EAF" w:rsidP="00BD6C5A">
            <w:pPr>
              <w:pStyle w:val="Tabletext"/>
            </w:pPr>
            <w:r w:rsidRPr="00EE2556">
              <w:t>96 to 108</w:t>
            </w:r>
          </w:p>
        </w:tc>
        <w:tc>
          <w:tcPr>
            <w:tcW w:w="0" w:type="auto"/>
            <w:shd w:val="clear" w:color="auto" w:fill="auto"/>
          </w:tcPr>
          <w:p w14:paraId="666E656C" w14:textId="77777777" w:rsidR="00E04EAF" w:rsidRPr="00EE2556" w:rsidRDefault="00E04EAF" w:rsidP="00BD6C5A">
            <w:pPr>
              <w:pStyle w:val="Tabletext"/>
            </w:pPr>
            <w:r w:rsidRPr="00EE2556">
              <w:t>0.1%</w:t>
            </w:r>
          </w:p>
        </w:tc>
        <w:tc>
          <w:tcPr>
            <w:tcW w:w="0" w:type="auto"/>
            <w:shd w:val="clear" w:color="auto" w:fill="auto"/>
          </w:tcPr>
          <w:p w14:paraId="3435CB02" w14:textId="77777777" w:rsidR="00E04EAF" w:rsidRPr="00EE2556" w:rsidRDefault="00E04EAF" w:rsidP="00BD6C5A">
            <w:pPr>
              <w:pStyle w:val="Tabletext"/>
            </w:pPr>
            <w:r w:rsidRPr="00EE2556">
              <w:t>0.6%</w:t>
            </w:r>
          </w:p>
        </w:tc>
        <w:tc>
          <w:tcPr>
            <w:tcW w:w="0" w:type="auto"/>
            <w:shd w:val="clear" w:color="auto" w:fill="auto"/>
          </w:tcPr>
          <w:p w14:paraId="0EB9DF5A" w14:textId="77777777" w:rsidR="00E04EAF" w:rsidRPr="00EE2556" w:rsidRDefault="00E04EAF" w:rsidP="00BD6C5A">
            <w:pPr>
              <w:pStyle w:val="Tabletext"/>
            </w:pPr>
            <w:r w:rsidRPr="00EE2556">
              <w:t>1.6%</w:t>
            </w:r>
          </w:p>
        </w:tc>
        <w:tc>
          <w:tcPr>
            <w:tcW w:w="0" w:type="auto"/>
            <w:shd w:val="clear" w:color="auto" w:fill="auto"/>
          </w:tcPr>
          <w:p w14:paraId="0BBA2816" w14:textId="77777777" w:rsidR="00E04EAF" w:rsidRPr="00EE2556" w:rsidRDefault="00E04EAF" w:rsidP="00BD6C5A">
            <w:pPr>
              <w:pStyle w:val="Tabletext"/>
            </w:pPr>
            <w:r w:rsidRPr="00EE2556">
              <w:t>2.4%</w:t>
            </w:r>
          </w:p>
        </w:tc>
        <w:tc>
          <w:tcPr>
            <w:tcW w:w="0" w:type="auto"/>
            <w:shd w:val="clear" w:color="auto" w:fill="auto"/>
          </w:tcPr>
          <w:p w14:paraId="7FA083CB" w14:textId="77777777" w:rsidR="00E04EAF" w:rsidRPr="00EE2556" w:rsidRDefault="00E04EAF" w:rsidP="00BD6C5A">
            <w:pPr>
              <w:pStyle w:val="Tabletext"/>
            </w:pPr>
            <w:r w:rsidRPr="00EE2556">
              <w:t>3.4%</w:t>
            </w:r>
          </w:p>
        </w:tc>
        <w:tc>
          <w:tcPr>
            <w:tcW w:w="0" w:type="auto"/>
            <w:shd w:val="clear" w:color="auto" w:fill="auto"/>
          </w:tcPr>
          <w:p w14:paraId="4BECFE9A" w14:textId="77777777" w:rsidR="00E04EAF" w:rsidRPr="00EE2556" w:rsidRDefault="00E04EAF" w:rsidP="00BD6C5A">
            <w:pPr>
              <w:pStyle w:val="Tabletext"/>
            </w:pPr>
            <w:r w:rsidRPr="00EE2556">
              <w:t>4.6%</w:t>
            </w:r>
          </w:p>
        </w:tc>
        <w:tc>
          <w:tcPr>
            <w:tcW w:w="0" w:type="auto"/>
            <w:shd w:val="clear" w:color="auto" w:fill="auto"/>
          </w:tcPr>
          <w:p w14:paraId="5DF03D86" w14:textId="77777777" w:rsidR="00E04EAF" w:rsidRPr="00EE2556" w:rsidRDefault="00E04EAF" w:rsidP="00BD6C5A">
            <w:pPr>
              <w:pStyle w:val="Tabletext"/>
            </w:pPr>
            <w:r w:rsidRPr="00EE2556">
              <w:t>6.1%</w:t>
            </w:r>
          </w:p>
        </w:tc>
      </w:tr>
      <w:tr w:rsidR="00E04EAF" w:rsidRPr="00E10372" w14:paraId="3BBB8614" w14:textId="77777777" w:rsidTr="00BD6C5A">
        <w:tc>
          <w:tcPr>
            <w:tcW w:w="0" w:type="auto"/>
          </w:tcPr>
          <w:p w14:paraId="7D616079" w14:textId="77777777" w:rsidR="00E04EAF" w:rsidRPr="00EE2556" w:rsidRDefault="00E04EAF" w:rsidP="00BD6C5A">
            <w:pPr>
              <w:pStyle w:val="Tabletext"/>
            </w:pPr>
            <w:r w:rsidRPr="00EE2556">
              <w:t>84 to 96</w:t>
            </w:r>
          </w:p>
        </w:tc>
        <w:tc>
          <w:tcPr>
            <w:tcW w:w="0" w:type="auto"/>
            <w:shd w:val="clear" w:color="auto" w:fill="auto"/>
          </w:tcPr>
          <w:p w14:paraId="1BBF00E3" w14:textId="77777777" w:rsidR="00E04EAF" w:rsidRPr="00EE2556" w:rsidRDefault="00E04EAF" w:rsidP="00BD6C5A">
            <w:pPr>
              <w:pStyle w:val="Tabletext"/>
            </w:pPr>
            <w:r w:rsidRPr="00EE2556">
              <w:t>0.1%</w:t>
            </w:r>
          </w:p>
        </w:tc>
        <w:tc>
          <w:tcPr>
            <w:tcW w:w="0" w:type="auto"/>
            <w:shd w:val="clear" w:color="auto" w:fill="auto"/>
          </w:tcPr>
          <w:p w14:paraId="0991D2C5" w14:textId="77777777" w:rsidR="00E04EAF" w:rsidRPr="00EE2556" w:rsidRDefault="00E04EAF" w:rsidP="00BD6C5A">
            <w:pPr>
              <w:pStyle w:val="Tabletext"/>
            </w:pPr>
            <w:r w:rsidRPr="00EE2556">
              <w:t>0.4%</w:t>
            </w:r>
          </w:p>
        </w:tc>
        <w:tc>
          <w:tcPr>
            <w:tcW w:w="0" w:type="auto"/>
            <w:shd w:val="clear" w:color="auto" w:fill="auto"/>
          </w:tcPr>
          <w:p w14:paraId="3A4F7BED" w14:textId="77777777" w:rsidR="00E04EAF" w:rsidRPr="00EE2556" w:rsidRDefault="00E04EAF" w:rsidP="00BD6C5A">
            <w:pPr>
              <w:pStyle w:val="Tabletext"/>
            </w:pPr>
            <w:r w:rsidRPr="00EE2556">
              <w:t>1.3%</w:t>
            </w:r>
          </w:p>
        </w:tc>
        <w:tc>
          <w:tcPr>
            <w:tcW w:w="0" w:type="auto"/>
            <w:shd w:val="clear" w:color="auto" w:fill="auto"/>
          </w:tcPr>
          <w:p w14:paraId="1651FAF5" w14:textId="77777777" w:rsidR="00E04EAF" w:rsidRPr="00EE2556" w:rsidRDefault="00E04EAF" w:rsidP="00BD6C5A">
            <w:pPr>
              <w:pStyle w:val="Tabletext"/>
            </w:pPr>
            <w:r w:rsidRPr="00EE2556">
              <w:t>2.1%</w:t>
            </w:r>
          </w:p>
        </w:tc>
        <w:tc>
          <w:tcPr>
            <w:tcW w:w="0" w:type="auto"/>
            <w:shd w:val="clear" w:color="auto" w:fill="auto"/>
          </w:tcPr>
          <w:p w14:paraId="621543E5" w14:textId="77777777" w:rsidR="00E04EAF" w:rsidRPr="00EE2556" w:rsidRDefault="00E04EAF" w:rsidP="00BD6C5A">
            <w:pPr>
              <w:pStyle w:val="Tabletext"/>
            </w:pPr>
            <w:r w:rsidRPr="00EE2556">
              <w:t>3.0%</w:t>
            </w:r>
          </w:p>
        </w:tc>
        <w:tc>
          <w:tcPr>
            <w:tcW w:w="0" w:type="auto"/>
            <w:shd w:val="clear" w:color="auto" w:fill="auto"/>
          </w:tcPr>
          <w:p w14:paraId="64DA9F8D" w14:textId="77777777" w:rsidR="00E04EAF" w:rsidRPr="00EE2556" w:rsidRDefault="00E04EAF" w:rsidP="00BD6C5A">
            <w:pPr>
              <w:pStyle w:val="Tabletext"/>
            </w:pPr>
            <w:r w:rsidRPr="00EE2556">
              <w:t>4.3%</w:t>
            </w:r>
          </w:p>
        </w:tc>
        <w:tc>
          <w:tcPr>
            <w:tcW w:w="0" w:type="auto"/>
            <w:shd w:val="clear" w:color="auto" w:fill="auto"/>
          </w:tcPr>
          <w:p w14:paraId="3227CBA0" w14:textId="77777777" w:rsidR="00E04EAF" w:rsidRPr="00EE2556" w:rsidRDefault="00E04EAF" w:rsidP="00BD6C5A">
            <w:pPr>
              <w:pStyle w:val="Tabletext"/>
            </w:pPr>
            <w:r w:rsidRPr="00EE2556">
              <w:t>5.8%</w:t>
            </w:r>
          </w:p>
        </w:tc>
      </w:tr>
      <w:tr w:rsidR="00E04EAF" w:rsidRPr="00E10372" w14:paraId="29275D83" w14:textId="77777777" w:rsidTr="00BD6C5A">
        <w:tc>
          <w:tcPr>
            <w:tcW w:w="0" w:type="auto"/>
          </w:tcPr>
          <w:p w14:paraId="241375A6" w14:textId="77777777" w:rsidR="00E04EAF" w:rsidRPr="00EE2556" w:rsidRDefault="00E04EAF" w:rsidP="00BD6C5A">
            <w:pPr>
              <w:pStyle w:val="Tabletext"/>
            </w:pPr>
            <w:r w:rsidRPr="00EE2556">
              <w:t>72 to 84</w:t>
            </w:r>
          </w:p>
        </w:tc>
        <w:tc>
          <w:tcPr>
            <w:tcW w:w="0" w:type="auto"/>
            <w:shd w:val="clear" w:color="auto" w:fill="auto"/>
          </w:tcPr>
          <w:p w14:paraId="1995269E" w14:textId="77777777" w:rsidR="00E04EAF" w:rsidRPr="00EE2556" w:rsidRDefault="00E04EAF" w:rsidP="00BD6C5A">
            <w:pPr>
              <w:pStyle w:val="Tabletext"/>
            </w:pPr>
            <w:r w:rsidRPr="00EE2556">
              <w:t>0.1%</w:t>
            </w:r>
          </w:p>
        </w:tc>
        <w:tc>
          <w:tcPr>
            <w:tcW w:w="0" w:type="auto"/>
            <w:shd w:val="clear" w:color="auto" w:fill="auto"/>
          </w:tcPr>
          <w:p w14:paraId="09F72F8D" w14:textId="77777777" w:rsidR="00E04EAF" w:rsidRPr="00EE2556" w:rsidRDefault="00E04EAF" w:rsidP="00BD6C5A">
            <w:pPr>
              <w:pStyle w:val="Tabletext"/>
            </w:pPr>
            <w:r w:rsidRPr="00EE2556">
              <w:t>0.3%</w:t>
            </w:r>
          </w:p>
        </w:tc>
        <w:tc>
          <w:tcPr>
            <w:tcW w:w="0" w:type="auto"/>
            <w:shd w:val="clear" w:color="auto" w:fill="auto"/>
          </w:tcPr>
          <w:p w14:paraId="6AE7F7E1" w14:textId="77777777" w:rsidR="00E04EAF" w:rsidRPr="00EE2556" w:rsidRDefault="00E04EAF" w:rsidP="00BD6C5A">
            <w:pPr>
              <w:pStyle w:val="Tabletext"/>
            </w:pPr>
            <w:r w:rsidRPr="00EE2556">
              <w:t>1.1%</w:t>
            </w:r>
          </w:p>
        </w:tc>
        <w:tc>
          <w:tcPr>
            <w:tcW w:w="0" w:type="auto"/>
            <w:shd w:val="clear" w:color="auto" w:fill="auto"/>
          </w:tcPr>
          <w:p w14:paraId="601D73C3" w14:textId="77777777" w:rsidR="00E04EAF" w:rsidRPr="00EE2556" w:rsidRDefault="00E04EAF" w:rsidP="00BD6C5A">
            <w:pPr>
              <w:pStyle w:val="Tabletext"/>
            </w:pPr>
            <w:r w:rsidRPr="00EE2556">
              <w:t>1.7%</w:t>
            </w:r>
          </w:p>
        </w:tc>
        <w:tc>
          <w:tcPr>
            <w:tcW w:w="0" w:type="auto"/>
            <w:shd w:val="clear" w:color="auto" w:fill="auto"/>
          </w:tcPr>
          <w:p w14:paraId="64EEF7CC" w14:textId="77777777" w:rsidR="00E04EAF" w:rsidRPr="00EE2556" w:rsidRDefault="00E04EAF" w:rsidP="00BD6C5A">
            <w:pPr>
              <w:pStyle w:val="Tabletext"/>
            </w:pPr>
            <w:r w:rsidRPr="00EE2556">
              <w:t>2.7%</w:t>
            </w:r>
          </w:p>
        </w:tc>
        <w:tc>
          <w:tcPr>
            <w:tcW w:w="0" w:type="auto"/>
            <w:shd w:val="clear" w:color="auto" w:fill="auto"/>
          </w:tcPr>
          <w:p w14:paraId="3EA545E5" w14:textId="77777777" w:rsidR="00E04EAF" w:rsidRPr="00EE2556" w:rsidRDefault="00E04EAF" w:rsidP="00BD6C5A">
            <w:pPr>
              <w:pStyle w:val="Tabletext"/>
            </w:pPr>
            <w:r w:rsidRPr="00EE2556">
              <w:t>3.9%</w:t>
            </w:r>
          </w:p>
        </w:tc>
        <w:tc>
          <w:tcPr>
            <w:tcW w:w="0" w:type="auto"/>
            <w:shd w:val="clear" w:color="auto" w:fill="auto"/>
          </w:tcPr>
          <w:p w14:paraId="65773489" w14:textId="77777777" w:rsidR="00E04EAF" w:rsidRPr="00EE2556" w:rsidRDefault="00E04EAF" w:rsidP="00BD6C5A">
            <w:pPr>
              <w:pStyle w:val="Tabletext"/>
            </w:pPr>
            <w:r w:rsidRPr="00EE2556">
              <w:t>5.4%</w:t>
            </w:r>
          </w:p>
        </w:tc>
      </w:tr>
      <w:tr w:rsidR="00E04EAF" w:rsidRPr="00E10372" w14:paraId="353A9D60" w14:textId="77777777" w:rsidTr="00BD6C5A">
        <w:tc>
          <w:tcPr>
            <w:tcW w:w="0" w:type="auto"/>
          </w:tcPr>
          <w:p w14:paraId="663B3A16" w14:textId="77777777" w:rsidR="00E04EAF" w:rsidRPr="00EE2556" w:rsidRDefault="00E04EAF" w:rsidP="00BD6C5A">
            <w:pPr>
              <w:pStyle w:val="Tabletext"/>
            </w:pPr>
            <w:r w:rsidRPr="00EE2556">
              <w:t>60 to 72</w:t>
            </w:r>
          </w:p>
        </w:tc>
        <w:tc>
          <w:tcPr>
            <w:tcW w:w="0" w:type="auto"/>
            <w:shd w:val="clear" w:color="auto" w:fill="auto"/>
          </w:tcPr>
          <w:p w14:paraId="0930537C" w14:textId="77777777" w:rsidR="00E04EAF" w:rsidRPr="00EE2556" w:rsidRDefault="00E04EAF" w:rsidP="00BD6C5A">
            <w:pPr>
              <w:pStyle w:val="Tabletext"/>
            </w:pPr>
            <w:r w:rsidRPr="00EE2556">
              <w:t>0.0%</w:t>
            </w:r>
          </w:p>
        </w:tc>
        <w:tc>
          <w:tcPr>
            <w:tcW w:w="0" w:type="auto"/>
            <w:shd w:val="clear" w:color="auto" w:fill="auto"/>
          </w:tcPr>
          <w:p w14:paraId="1DFF6855" w14:textId="77777777" w:rsidR="00E04EAF" w:rsidRPr="00EE2556" w:rsidRDefault="00E04EAF" w:rsidP="00BD6C5A">
            <w:pPr>
              <w:pStyle w:val="Tabletext"/>
            </w:pPr>
            <w:r w:rsidRPr="00EE2556">
              <w:t>0.2%</w:t>
            </w:r>
          </w:p>
        </w:tc>
        <w:tc>
          <w:tcPr>
            <w:tcW w:w="0" w:type="auto"/>
            <w:shd w:val="clear" w:color="auto" w:fill="auto"/>
          </w:tcPr>
          <w:p w14:paraId="6A5245C4" w14:textId="77777777" w:rsidR="00E04EAF" w:rsidRPr="00EE2556" w:rsidRDefault="00E04EAF" w:rsidP="00BD6C5A">
            <w:pPr>
              <w:pStyle w:val="Tabletext"/>
            </w:pPr>
            <w:r w:rsidRPr="00EE2556">
              <w:t>0.8%</w:t>
            </w:r>
          </w:p>
        </w:tc>
        <w:tc>
          <w:tcPr>
            <w:tcW w:w="0" w:type="auto"/>
            <w:shd w:val="clear" w:color="auto" w:fill="auto"/>
          </w:tcPr>
          <w:p w14:paraId="714B5594" w14:textId="77777777" w:rsidR="00E04EAF" w:rsidRPr="00EE2556" w:rsidRDefault="00E04EAF" w:rsidP="00BD6C5A">
            <w:pPr>
              <w:pStyle w:val="Tabletext"/>
            </w:pPr>
            <w:r w:rsidRPr="00EE2556">
              <w:t>1.4%</w:t>
            </w:r>
          </w:p>
        </w:tc>
        <w:tc>
          <w:tcPr>
            <w:tcW w:w="0" w:type="auto"/>
            <w:shd w:val="clear" w:color="auto" w:fill="auto"/>
          </w:tcPr>
          <w:p w14:paraId="721F05C0" w14:textId="77777777" w:rsidR="00E04EAF" w:rsidRPr="00EE2556" w:rsidRDefault="00E04EAF" w:rsidP="00BD6C5A">
            <w:pPr>
              <w:pStyle w:val="Tabletext"/>
            </w:pPr>
            <w:r w:rsidRPr="00EE2556">
              <w:t>2.2%</w:t>
            </w:r>
          </w:p>
        </w:tc>
        <w:tc>
          <w:tcPr>
            <w:tcW w:w="0" w:type="auto"/>
            <w:shd w:val="clear" w:color="auto" w:fill="auto"/>
          </w:tcPr>
          <w:p w14:paraId="2B2C81AD" w14:textId="77777777" w:rsidR="00E04EAF" w:rsidRPr="00EE2556" w:rsidRDefault="00E04EAF" w:rsidP="00BD6C5A">
            <w:pPr>
              <w:pStyle w:val="Tabletext"/>
            </w:pPr>
            <w:r w:rsidRPr="00EE2556">
              <w:t>3.4%</w:t>
            </w:r>
          </w:p>
        </w:tc>
        <w:tc>
          <w:tcPr>
            <w:tcW w:w="0" w:type="auto"/>
            <w:shd w:val="clear" w:color="auto" w:fill="auto"/>
          </w:tcPr>
          <w:p w14:paraId="6577851D" w14:textId="77777777" w:rsidR="00E04EAF" w:rsidRPr="00EE2556" w:rsidRDefault="00E04EAF" w:rsidP="00BD6C5A">
            <w:pPr>
              <w:pStyle w:val="Tabletext"/>
            </w:pPr>
            <w:r w:rsidRPr="00EE2556">
              <w:t>4.9%</w:t>
            </w:r>
          </w:p>
        </w:tc>
      </w:tr>
      <w:tr w:rsidR="00E04EAF" w:rsidRPr="00E10372" w14:paraId="11C28364" w14:textId="77777777" w:rsidTr="00BD6C5A">
        <w:tc>
          <w:tcPr>
            <w:tcW w:w="0" w:type="auto"/>
          </w:tcPr>
          <w:p w14:paraId="24B43EAC" w14:textId="77777777" w:rsidR="00E04EAF" w:rsidRPr="00EE2556" w:rsidRDefault="00E04EAF" w:rsidP="00BD6C5A">
            <w:pPr>
              <w:pStyle w:val="Tabletext"/>
            </w:pPr>
            <w:r w:rsidRPr="00EE2556">
              <w:t>48 to 60</w:t>
            </w:r>
          </w:p>
        </w:tc>
        <w:tc>
          <w:tcPr>
            <w:tcW w:w="0" w:type="auto"/>
            <w:shd w:val="clear" w:color="auto" w:fill="auto"/>
          </w:tcPr>
          <w:p w14:paraId="31D51B4F" w14:textId="77777777" w:rsidR="00E04EAF" w:rsidRPr="00EE2556" w:rsidRDefault="00E04EAF" w:rsidP="00BD6C5A">
            <w:pPr>
              <w:pStyle w:val="Tabletext"/>
            </w:pPr>
            <w:r w:rsidRPr="00EE2556">
              <w:t>0.0%</w:t>
            </w:r>
          </w:p>
        </w:tc>
        <w:tc>
          <w:tcPr>
            <w:tcW w:w="0" w:type="auto"/>
            <w:shd w:val="clear" w:color="auto" w:fill="auto"/>
          </w:tcPr>
          <w:p w14:paraId="578582D5" w14:textId="77777777" w:rsidR="00E04EAF" w:rsidRPr="00EE2556" w:rsidRDefault="00E04EAF" w:rsidP="00BD6C5A">
            <w:pPr>
              <w:pStyle w:val="Tabletext"/>
            </w:pPr>
            <w:r w:rsidRPr="00EE2556">
              <w:t>0.1%</w:t>
            </w:r>
          </w:p>
        </w:tc>
        <w:tc>
          <w:tcPr>
            <w:tcW w:w="0" w:type="auto"/>
            <w:shd w:val="clear" w:color="auto" w:fill="auto"/>
          </w:tcPr>
          <w:p w14:paraId="37F91D1D" w14:textId="77777777" w:rsidR="00E04EAF" w:rsidRPr="00EE2556" w:rsidRDefault="00E04EAF" w:rsidP="00BD6C5A">
            <w:pPr>
              <w:pStyle w:val="Tabletext"/>
            </w:pPr>
            <w:r w:rsidRPr="00EE2556">
              <w:t>0.5%</w:t>
            </w:r>
          </w:p>
        </w:tc>
        <w:tc>
          <w:tcPr>
            <w:tcW w:w="0" w:type="auto"/>
            <w:shd w:val="clear" w:color="auto" w:fill="auto"/>
          </w:tcPr>
          <w:p w14:paraId="6ADEC56A" w14:textId="77777777" w:rsidR="00E04EAF" w:rsidRPr="00EE2556" w:rsidRDefault="00E04EAF" w:rsidP="00BD6C5A">
            <w:pPr>
              <w:pStyle w:val="Tabletext"/>
            </w:pPr>
            <w:r w:rsidRPr="00EE2556">
              <w:t>1.0%</w:t>
            </w:r>
          </w:p>
        </w:tc>
        <w:tc>
          <w:tcPr>
            <w:tcW w:w="0" w:type="auto"/>
            <w:shd w:val="clear" w:color="auto" w:fill="auto"/>
          </w:tcPr>
          <w:p w14:paraId="7F485237" w14:textId="77777777" w:rsidR="00E04EAF" w:rsidRPr="00EE2556" w:rsidRDefault="00E04EAF" w:rsidP="00BD6C5A">
            <w:pPr>
              <w:pStyle w:val="Tabletext"/>
            </w:pPr>
            <w:r w:rsidRPr="00EE2556">
              <w:t>1.7%</w:t>
            </w:r>
          </w:p>
        </w:tc>
        <w:tc>
          <w:tcPr>
            <w:tcW w:w="0" w:type="auto"/>
            <w:shd w:val="clear" w:color="auto" w:fill="auto"/>
          </w:tcPr>
          <w:p w14:paraId="1486F89A" w14:textId="77777777" w:rsidR="00E04EAF" w:rsidRPr="00EE2556" w:rsidRDefault="00E04EAF" w:rsidP="00BD6C5A">
            <w:pPr>
              <w:pStyle w:val="Tabletext"/>
            </w:pPr>
            <w:r w:rsidRPr="00EE2556">
              <w:t>2.8%</w:t>
            </w:r>
          </w:p>
        </w:tc>
        <w:tc>
          <w:tcPr>
            <w:tcW w:w="0" w:type="auto"/>
            <w:shd w:val="clear" w:color="auto" w:fill="auto"/>
          </w:tcPr>
          <w:p w14:paraId="18FBDFB9" w14:textId="77777777" w:rsidR="00E04EAF" w:rsidRPr="00EE2556" w:rsidRDefault="00E04EAF" w:rsidP="00BD6C5A">
            <w:pPr>
              <w:pStyle w:val="Tabletext"/>
            </w:pPr>
            <w:r w:rsidRPr="00EE2556">
              <w:t>4.2%</w:t>
            </w:r>
          </w:p>
        </w:tc>
      </w:tr>
      <w:tr w:rsidR="00E04EAF" w:rsidRPr="00E10372" w14:paraId="29F2D629" w14:textId="77777777" w:rsidTr="00BD6C5A">
        <w:tc>
          <w:tcPr>
            <w:tcW w:w="0" w:type="auto"/>
          </w:tcPr>
          <w:p w14:paraId="6E375C3B" w14:textId="77777777" w:rsidR="00E04EAF" w:rsidRPr="00EE2556" w:rsidRDefault="00E04EAF" w:rsidP="00BD6C5A">
            <w:pPr>
              <w:pStyle w:val="Tabletext"/>
            </w:pPr>
            <w:r w:rsidRPr="00EE2556">
              <w:t>36 to 48</w:t>
            </w:r>
          </w:p>
        </w:tc>
        <w:tc>
          <w:tcPr>
            <w:tcW w:w="0" w:type="auto"/>
            <w:shd w:val="clear" w:color="auto" w:fill="auto"/>
          </w:tcPr>
          <w:p w14:paraId="5CDA3985" w14:textId="77777777" w:rsidR="00E04EAF" w:rsidRPr="00EE2556" w:rsidRDefault="00E04EAF" w:rsidP="00BD6C5A">
            <w:pPr>
              <w:pStyle w:val="Tabletext"/>
            </w:pPr>
            <w:r w:rsidRPr="00EE2556">
              <w:t>0.0%</w:t>
            </w:r>
          </w:p>
        </w:tc>
        <w:tc>
          <w:tcPr>
            <w:tcW w:w="0" w:type="auto"/>
            <w:shd w:val="clear" w:color="auto" w:fill="auto"/>
          </w:tcPr>
          <w:p w14:paraId="3ADD8759" w14:textId="77777777" w:rsidR="00E04EAF" w:rsidRPr="00EE2556" w:rsidRDefault="00E04EAF" w:rsidP="00BD6C5A">
            <w:pPr>
              <w:pStyle w:val="Tabletext"/>
            </w:pPr>
            <w:r w:rsidRPr="00EE2556">
              <w:t>0.0%</w:t>
            </w:r>
          </w:p>
        </w:tc>
        <w:tc>
          <w:tcPr>
            <w:tcW w:w="0" w:type="auto"/>
            <w:shd w:val="clear" w:color="auto" w:fill="auto"/>
          </w:tcPr>
          <w:p w14:paraId="5F9E279D" w14:textId="77777777" w:rsidR="00E04EAF" w:rsidRPr="00EE2556" w:rsidRDefault="00E04EAF" w:rsidP="00BD6C5A">
            <w:pPr>
              <w:pStyle w:val="Tabletext"/>
            </w:pPr>
            <w:r w:rsidRPr="00EE2556">
              <w:t>0.3%</w:t>
            </w:r>
          </w:p>
        </w:tc>
        <w:tc>
          <w:tcPr>
            <w:tcW w:w="0" w:type="auto"/>
            <w:shd w:val="clear" w:color="auto" w:fill="auto"/>
          </w:tcPr>
          <w:p w14:paraId="51629A69" w14:textId="77777777" w:rsidR="00E04EAF" w:rsidRPr="00EE2556" w:rsidRDefault="00E04EAF" w:rsidP="00BD6C5A">
            <w:pPr>
              <w:pStyle w:val="Tabletext"/>
            </w:pPr>
            <w:r w:rsidRPr="00EE2556">
              <w:t>0.6%</w:t>
            </w:r>
          </w:p>
        </w:tc>
        <w:tc>
          <w:tcPr>
            <w:tcW w:w="0" w:type="auto"/>
            <w:shd w:val="clear" w:color="auto" w:fill="auto"/>
          </w:tcPr>
          <w:p w14:paraId="4ECA88F5" w14:textId="77777777" w:rsidR="00E04EAF" w:rsidRPr="00EE2556" w:rsidRDefault="00E04EAF" w:rsidP="00BD6C5A">
            <w:pPr>
              <w:pStyle w:val="Tabletext"/>
            </w:pPr>
            <w:r w:rsidRPr="00EE2556">
              <w:t>1.2%</w:t>
            </w:r>
          </w:p>
        </w:tc>
        <w:tc>
          <w:tcPr>
            <w:tcW w:w="0" w:type="auto"/>
            <w:shd w:val="clear" w:color="auto" w:fill="auto"/>
          </w:tcPr>
          <w:p w14:paraId="4AF4FE8A" w14:textId="77777777" w:rsidR="00E04EAF" w:rsidRPr="00EE2556" w:rsidRDefault="00E04EAF" w:rsidP="00BD6C5A">
            <w:pPr>
              <w:pStyle w:val="Tabletext"/>
            </w:pPr>
            <w:r w:rsidRPr="00EE2556">
              <w:t>2.1%</w:t>
            </w:r>
          </w:p>
        </w:tc>
        <w:tc>
          <w:tcPr>
            <w:tcW w:w="0" w:type="auto"/>
            <w:shd w:val="clear" w:color="auto" w:fill="auto"/>
          </w:tcPr>
          <w:p w14:paraId="33D5BE50" w14:textId="77777777" w:rsidR="00E04EAF" w:rsidRPr="00EE2556" w:rsidRDefault="00E04EAF" w:rsidP="00BD6C5A">
            <w:pPr>
              <w:pStyle w:val="Tabletext"/>
            </w:pPr>
            <w:r w:rsidRPr="00EE2556">
              <w:t>3.4%</w:t>
            </w:r>
          </w:p>
        </w:tc>
      </w:tr>
      <w:tr w:rsidR="00E04EAF" w:rsidRPr="00E10372" w14:paraId="5BC476AE" w14:textId="77777777" w:rsidTr="00BD6C5A">
        <w:tc>
          <w:tcPr>
            <w:tcW w:w="0" w:type="auto"/>
          </w:tcPr>
          <w:p w14:paraId="640EA73A" w14:textId="77777777" w:rsidR="00E04EAF" w:rsidRPr="00EE2556" w:rsidRDefault="00E04EAF" w:rsidP="00BD6C5A">
            <w:pPr>
              <w:pStyle w:val="Tabletext"/>
            </w:pPr>
            <w:r w:rsidRPr="00EE2556">
              <w:t>24 to 36</w:t>
            </w:r>
          </w:p>
        </w:tc>
        <w:tc>
          <w:tcPr>
            <w:tcW w:w="0" w:type="auto"/>
            <w:shd w:val="clear" w:color="auto" w:fill="auto"/>
          </w:tcPr>
          <w:p w14:paraId="21324F16" w14:textId="77777777" w:rsidR="00E04EAF" w:rsidRPr="00EE2556" w:rsidRDefault="00E04EAF" w:rsidP="00BD6C5A">
            <w:pPr>
              <w:pStyle w:val="Tabletext"/>
            </w:pPr>
            <w:r w:rsidRPr="00EE2556">
              <w:t>0.0%</w:t>
            </w:r>
          </w:p>
        </w:tc>
        <w:tc>
          <w:tcPr>
            <w:tcW w:w="0" w:type="auto"/>
            <w:shd w:val="clear" w:color="auto" w:fill="auto"/>
          </w:tcPr>
          <w:p w14:paraId="2210D1DD" w14:textId="77777777" w:rsidR="00E04EAF" w:rsidRPr="00EE2556" w:rsidRDefault="00E04EAF" w:rsidP="00BD6C5A">
            <w:pPr>
              <w:pStyle w:val="Tabletext"/>
            </w:pPr>
            <w:r w:rsidRPr="00EE2556">
              <w:t>0.0%</w:t>
            </w:r>
          </w:p>
        </w:tc>
        <w:tc>
          <w:tcPr>
            <w:tcW w:w="0" w:type="auto"/>
            <w:shd w:val="clear" w:color="auto" w:fill="auto"/>
          </w:tcPr>
          <w:p w14:paraId="7A4FE113" w14:textId="77777777" w:rsidR="00E04EAF" w:rsidRPr="00EE2556" w:rsidRDefault="00E04EAF" w:rsidP="00BD6C5A">
            <w:pPr>
              <w:pStyle w:val="Tabletext"/>
            </w:pPr>
            <w:r w:rsidRPr="00EE2556">
              <w:t>0.1%</w:t>
            </w:r>
          </w:p>
        </w:tc>
        <w:tc>
          <w:tcPr>
            <w:tcW w:w="0" w:type="auto"/>
            <w:shd w:val="clear" w:color="auto" w:fill="auto"/>
          </w:tcPr>
          <w:p w14:paraId="657A9547" w14:textId="77777777" w:rsidR="00E04EAF" w:rsidRPr="00EE2556" w:rsidRDefault="00E04EAF" w:rsidP="00BD6C5A">
            <w:pPr>
              <w:pStyle w:val="Tabletext"/>
            </w:pPr>
            <w:r w:rsidRPr="00EE2556">
              <w:t>0.3%</w:t>
            </w:r>
          </w:p>
        </w:tc>
        <w:tc>
          <w:tcPr>
            <w:tcW w:w="0" w:type="auto"/>
            <w:shd w:val="clear" w:color="auto" w:fill="auto"/>
          </w:tcPr>
          <w:p w14:paraId="2ABDBCE8" w14:textId="77777777" w:rsidR="00E04EAF" w:rsidRPr="00EE2556" w:rsidRDefault="00E04EAF" w:rsidP="00BD6C5A">
            <w:pPr>
              <w:pStyle w:val="Tabletext"/>
            </w:pPr>
            <w:r w:rsidRPr="00EE2556">
              <w:t>0.6%</w:t>
            </w:r>
          </w:p>
        </w:tc>
        <w:tc>
          <w:tcPr>
            <w:tcW w:w="0" w:type="auto"/>
            <w:shd w:val="clear" w:color="auto" w:fill="auto"/>
          </w:tcPr>
          <w:p w14:paraId="4C04CA46" w14:textId="77777777" w:rsidR="00E04EAF" w:rsidRPr="00EE2556" w:rsidRDefault="00E04EAF" w:rsidP="00BD6C5A">
            <w:pPr>
              <w:pStyle w:val="Tabletext"/>
            </w:pPr>
            <w:r w:rsidRPr="00EE2556">
              <w:t>1.3%</w:t>
            </w:r>
          </w:p>
        </w:tc>
        <w:tc>
          <w:tcPr>
            <w:tcW w:w="0" w:type="auto"/>
            <w:shd w:val="clear" w:color="auto" w:fill="auto"/>
          </w:tcPr>
          <w:p w14:paraId="6ED0CFE5" w14:textId="77777777" w:rsidR="00E04EAF" w:rsidRPr="00EE2556" w:rsidRDefault="00E04EAF" w:rsidP="00BD6C5A">
            <w:pPr>
              <w:pStyle w:val="Tabletext"/>
            </w:pPr>
            <w:r w:rsidRPr="00EE2556">
              <w:t>2.4%</w:t>
            </w:r>
          </w:p>
        </w:tc>
      </w:tr>
      <w:tr w:rsidR="00E04EAF" w:rsidRPr="00E10372" w14:paraId="02A6C6FF" w14:textId="77777777" w:rsidTr="00BD6C5A">
        <w:tc>
          <w:tcPr>
            <w:tcW w:w="0" w:type="auto"/>
          </w:tcPr>
          <w:p w14:paraId="1B09E008" w14:textId="77777777" w:rsidR="00E04EAF" w:rsidRPr="00EE2556" w:rsidRDefault="00E04EAF" w:rsidP="00BD6C5A">
            <w:pPr>
              <w:pStyle w:val="Tabletext"/>
            </w:pPr>
            <w:r w:rsidRPr="00EE2556">
              <w:t>18 to 24</w:t>
            </w:r>
          </w:p>
        </w:tc>
        <w:tc>
          <w:tcPr>
            <w:tcW w:w="0" w:type="auto"/>
            <w:shd w:val="clear" w:color="auto" w:fill="auto"/>
          </w:tcPr>
          <w:p w14:paraId="64E45F2E" w14:textId="77777777" w:rsidR="00E04EAF" w:rsidRPr="00EE2556" w:rsidRDefault="00E04EAF" w:rsidP="00BD6C5A">
            <w:pPr>
              <w:pStyle w:val="Tabletext"/>
            </w:pPr>
            <w:r w:rsidRPr="00EE2556">
              <w:t>0.0%</w:t>
            </w:r>
          </w:p>
        </w:tc>
        <w:tc>
          <w:tcPr>
            <w:tcW w:w="0" w:type="auto"/>
            <w:shd w:val="clear" w:color="auto" w:fill="auto"/>
          </w:tcPr>
          <w:p w14:paraId="28246478" w14:textId="77777777" w:rsidR="00E04EAF" w:rsidRPr="00EE2556" w:rsidRDefault="00E04EAF" w:rsidP="00BD6C5A">
            <w:pPr>
              <w:pStyle w:val="Tabletext"/>
            </w:pPr>
            <w:r w:rsidRPr="00EE2556">
              <w:t>0.0%</w:t>
            </w:r>
          </w:p>
        </w:tc>
        <w:tc>
          <w:tcPr>
            <w:tcW w:w="0" w:type="auto"/>
            <w:shd w:val="clear" w:color="auto" w:fill="auto"/>
          </w:tcPr>
          <w:p w14:paraId="172F13A2" w14:textId="77777777" w:rsidR="00E04EAF" w:rsidRPr="00EE2556" w:rsidRDefault="00E04EAF" w:rsidP="00BD6C5A">
            <w:pPr>
              <w:pStyle w:val="Tabletext"/>
            </w:pPr>
            <w:r w:rsidRPr="00EE2556">
              <w:t>0.0%</w:t>
            </w:r>
          </w:p>
        </w:tc>
        <w:tc>
          <w:tcPr>
            <w:tcW w:w="0" w:type="auto"/>
            <w:shd w:val="clear" w:color="auto" w:fill="auto"/>
          </w:tcPr>
          <w:p w14:paraId="0410DEA2" w14:textId="77777777" w:rsidR="00E04EAF" w:rsidRPr="00EE2556" w:rsidRDefault="00E04EAF" w:rsidP="00BD6C5A">
            <w:pPr>
              <w:pStyle w:val="Tabletext"/>
            </w:pPr>
            <w:r w:rsidRPr="00EE2556">
              <w:t>0.1%</w:t>
            </w:r>
          </w:p>
        </w:tc>
        <w:tc>
          <w:tcPr>
            <w:tcW w:w="0" w:type="auto"/>
            <w:shd w:val="clear" w:color="auto" w:fill="auto"/>
          </w:tcPr>
          <w:p w14:paraId="1639A9D9" w14:textId="77777777" w:rsidR="00E04EAF" w:rsidRPr="00EE2556" w:rsidRDefault="00E04EAF" w:rsidP="00BD6C5A">
            <w:pPr>
              <w:pStyle w:val="Tabletext"/>
            </w:pPr>
            <w:r w:rsidRPr="00EE2556">
              <w:t>0.3%</w:t>
            </w:r>
          </w:p>
        </w:tc>
        <w:tc>
          <w:tcPr>
            <w:tcW w:w="0" w:type="auto"/>
            <w:shd w:val="clear" w:color="auto" w:fill="auto"/>
          </w:tcPr>
          <w:p w14:paraId="3D3597C3" w14:textId="77777777" w:rsidR="00E04EAF" w:rsidRPr="00EE2556" w:rsidRDefault="00E04EAF" w:rsidP="00BD6C5A">
            <w:pPr>
              <w:pStyle w:val="Tabletext"/>
            </w:pPr>
            <w:r w:rsidRPr="00EE2556">
              <w:t>0.9%</w:t>
            </w:r>
          </w:p>
        </w:tc>
        <w:tc>
          <w:tcPr>
            <w:tcW w:w="0" w:type="auto"/>
            <w:shd w:val="clear" w:color="auto" w:fill="auto"/>
          </w:tcPr>
          <w:p w14:paraId="4C0BFAF1" w14:textId="77777777" w:rsidR="00E04EAF" w:rsidRPr="00EE2556" w:rsidRDefault="00E04EAF" w:rsidP="00BD6C5A">
            <w:pPr>
              <w:pStyle w:val="Tabletext"/>
            </w:pPr>
            <w:r w:rsidRPr="00EE2556">
              <w:t>1.8%</w:t>
            </w:r>
          </w:p>
        </w:tc>
      </w:tr>
      <w:tr w:rsidR="00E04EAF" w:rsidRPr="00E10372" w14:paraId="64DE04FC" w14:textId="77777777" w:rsidTr="00BD6C5A">
        <w:tc>
          <w:tcPr>
            <w:tcW w:w="0" w:type="auto"/>
          </w:tcPr>
          <w:p w14:paraId="532CD723" w14:textId="77777777" w:rsidR="00E04EAF" w:rsidRPr="00EE2556" w:rsidRDefault="00E04EAF" w:rsidP="00BD6C5A">
            <w:pPr>
              <w:pStyle w:val="Tabletext"/>
            </w:pPr>
            <w:r w:rsidRPr="00EE2556">
              <w:t>12 to 18</w:t>
            </w:r>
          </w:p>
        </w:tc>
        <w:tc>
          <w:tcPr>
            <w:tcW w:w="0" w:type="auto"/>
            <w:shd w:val="clear" w:color="auto" w:fill="auto"/>
          </w:tcPr>
          <w:p w14:paraId="7A4643E3" w14:textId="77777777" w:rsidR="00E04EAF" w:rsidRPr="00EE2556" w:rsidRDefault="00E04EAF" w:rsidP="00BD6C5A">
            <w:pPr>
              <w:pStyle w:val="Tabletext"/>
            </w:pPr>
            <w:r w:rsidRPr="00EE2556">
              <w:t>0.0%</w:t>
            </w:r>
          </w:p>
        </w:tc>
        <w:tc>
          <w:tcPr>
            <w:tcW w:w="0" w:type="auto"/>
            <w:shd w:val="clear" w:color="auto" w:fill="auto"/>
          </w:tcPr>
          <w:p w14:paraId="74A75B11" w14:textId="77777777" w:rsidR="00E04EAF" w:rsidRPr="00EE2556" w:rsidRDefault="00E04EAF" w:rsidP="00BD6C5A">
            <w:pPr>
              <w:pStyle w:val="Tabletext"/>
            </w:pPr>
            <w:r w:rsidRPr="00EE2556">
              <w:t>0.0%</w:t>
            </w:r>
          </w:p>
        </w:tc>
        <w:tc>
          <w:tcPr>
            <w:tcW w:w="0" w:type="auto"/>
            <w:shd w:val="clear" w:color="auto" w:fill="auto"/>
          </w:tcPr>
          <w:p w14:paraId="535D81E7" w14:textId="77777777" w:rsidR="00E04EAF" w:rsidRPr="00EE2556" w:rsidRDefault="00E04EAF" w:rsidP="00BD6C5A">
            <w:pPr>
              <w:pStyle w:val="Tabletext"/>
            </w:pPr>
            <w:r w:rsidRPr="00EE2556">
              <w:t>0.0%</w:t>
            </w:r>
          </w:p>
        </w:tc>
        <w:tc>
          <w:tcPr>
            <w:tcW w:w="0" w:type="auto"/>
            <w:shd w:val="clear" w:color="auto" w:fill="auto"/>
          </w:tcPr>
          <w:p w14:paraId="454D55F5" w14:textId="77777777" w:rsidR="00E04EAF" w:rsidRPr="00EE2556" w:rsidRDefault="00E04EAF" w:rsidP="00BD6C5A">
            <w:pPr>
              <w:pStyle w:val="Tabletext"/>
            </w:pPr>
            <w:r w:rsidRPr="00EE2556">
              <w:t>0.0%</w:t>
            </w:r>
          </w:p>
        </w:tc>
        <w:tc>
          <w:tcPr>
            <w:tcW w:w="0" w:type="auto"/>
            <w:shd w:val="clear" w:color="auto" w:fill="auto"/>
          </w:tcPr>
          <w:p w14:paraId="42E76614" w14:textId="77777777" w:rsidR="00E04EAF" w:rsidRPr="00EE2556" w:rsidRDefault="00E04EAF" w:rsidP="00BD6C5A">
            <w:pPr>
              <w:pStyle w:val="Tabletext"/>
            </w:pPr>
            <w:r w:rsidRPr="00EE2556">
              <w:t>0.1%</w:t>
            </w:r>
          </w:p>
        </w:tc>
        <w:tc>
          <w:tcPr>
            <w:tcW w:w="0" w:type="auto"/>
            <w:shd w:val="clear" w:color="auto" w:fill="auto"/>
          </w:tcPr>
          <w:p w14:paraId="4243F172" w14:textId="77777777" w:rsidR="00E04EAF" w:rsidRPr="00EE2556" w:rsidRDefault="00E04EAF" w:rsidP="00BD6C5A">
            <w:pPr>
              <w:pStyle w:val="Tabletext"/>
            </w:pPr>
            <w:r w:rsidRPr="00EE2556">
              <w:t>0.4%</w:t>
            </w:r>
          </w:p>
        </w:tc>
        <w:tc>
          <w:tcPr>
            <w:tcW w:w="0" w:type="auto"/>
            <w:shd w:val="clear" w:color="auto" w:fill="auto"/>
          </w:tcPr>
          <w:p w14:paraId="439276A2" w14:textId="77777777" w:rsidR="00E04EAF" w:rsidRPr="00EE2556" w:rsidRDefault="00E04EAF" w:rsidP="00BD6C5A">
            <w:pPr>
              <w:pStyle w:val="Tabletext"/>
            </w:pPr>
            <w:r w:rsidRPr="00EE2556">
              <w:t>1.1%</w:t>
            </w:r>
          </w:p>
        </w:tc>
      </w:tr>
      <w:tr w:rsidR="00E04EAF" w:rsidRPr="00E10372" w14:paraId="6136E11C" w14:textId="77777777" w:rsidTr="00BD6C5A">
        <w:tc>
          <w:tcPr>
            <w:tcW w:w="0" w:type="auto"/>
          </w:tcPr>
          <w:p w14:paraId="3472131C" w14:textId="77777777" w:rsidR="00E04EAF" w:rsidRPr="00EE2556" w:rsidRDefault="00E04EAF" w:rsidP="00BD6C5A">
            <w:pPr>
              <w:pStyle w:val="Tabletext"/>
            </w:pPr>
            <w:r w:rsidRPr="00EE2556">
              <w:t>9 to 12</w:t>
            </w:r>
          </w:p>
        </w:tc>
        <w:tc>
          <w:tcPr>
            <w:tcW w:w="0" w:type="auto"/>
            <w:shd w:val="clear" w:color="auto" w:fill="auto"/>
          </w:tcPr>
          <w:p w14:paraId="1753F1AA" w14:textId="77777777" w:rsidR="00E04EAF" w:rsidRPr="00EE2556" w:rsidRDefault="00E04EAF" w:rsidP="00BD6C5A">
            <w:pPr>
              <w:pStyle w:val="Tabletext"/>
            </w:pPr>
            <w:r w:rsidRPr="00EE2556">
              <w:t>0.0%</w:t>
            </w:r>
          </w:p>
        </w:tc>
        <w:tc>
          <w:tcPr>
            <w:tcW w:w="0" w:type="auto"/>
            <w:shd w:val="clear" w:color="auto" w:fill="auto"/>
          </w:tcPr>
          <w:p w14:paraId="0A6ACE18" w14:textId="77777777" w:rsidR="00E04EAF" w:rsidRPr="00EE2556" w:rsidRDefault="00E04EAF" w:rsidP="00BD6C5A">
            <w:pPr>
              <w:pStyle w:val="Tabletext"/>
            </w:pPr>
            <w:r w:rsidRPr="00EE2556">
              <w:t>0.0%</w:t>
            </w:r>
          </w:p>
        </w:tc>
        <w:tc>
          <w:tcPr>
            <w:tcW w:w="0" w:type="auto"/>
            <w:shd w:val="clear" w:color="auto" w:fill="auto"/>
          </w:tcPr>
          <w:p w14:paraId="3E711F33" w14:textId="77777777" w:rsidR="00E04EAF" w:rsidRPr="00EE2556" w:rsidRDefault="00E04EAF" w:rsidP="00BD6C5A">
            <w:pPr>
              <w:pStyle w:val="Tabletext"/>
            </w:pPr>
            <w:r w:rsidRPr="00EE2556">
              <w:t>0.0%</w:t>
            </w:r>
          </w:p>
        </w:tc>
        <w:tc>
          <w:tcPr>
            <w:tcW w:w="0" w:type="auto"/>
            <w:shd w:val="clear" w:color="auto" w:fill="auto"/>
          </w:tcPr>
          <w:p w14:paraId="14C6AF03" w14:textId="77777777" w:rsidR="00E04EAF" w:rsidRPr="00EE2556" w:rsidRDefault="00E04EAF" w:rsidP="00BD6C5A">
            <w:pPr>
              <w:pStyle w:val="Tabletext"/>
            </w:pPr>
            <w:r w:rsidRPr="00EE2556">
              <w:t>0.0%</w:t>
            </w:r>
          </w:p>
        </w:tc>
        <w:tc>
          <w:tcPr>
            <w:tcW w:w="0" w:type="auto"/>
            <w:shd w:val="clear" w:color="auto" w:fill="auto"/>
          </w:tcPr>
          <w:p w14:paraId="2534C482" w14:textId="77777777" w:rsidR="00E04EAF" w:rsidRPr="00EE2556" w:rsidRDefault="00E04EAF" w:rsidP="00BD6C5A">
            <w:pPr>
              <w:pStyle w:val="Tabletext"/>
            </w:pPr>
            <w:r w:rsidRPr="00EE2556">
              <w:t>0.1%</w:t>
            </w:r>
          </w:p>
        </w:tc>
        <w:tc>
          <w:tcPr>
            <w:tcW w:w="0" w:type="auto"/>
            <w:shd w:val="clear" w:color="auto" w:fill="auto"/>
          </w:tcPr>
          <w:p w14:paraId="74636E77" w14:textId="77777777" w:rsidR="00E04EAF" w:rsidRPr="00EE2556" w:rsidRDefault="00E04EAF" w:rsidP="00BD6C5A">
            <w:pPr>
              <w:pStyle w:val="Tabletext"/>
            </w:pPr>
            <w:r w:rsidRPr="00EE2556">
              <w:t>0.2%</w:t>
            </w:r>
          </w:p>
        </w:tc>
        <w:tc>
          <w:tcPr>
            <w:tcW w:w="0" w:type="auto"/>
            <w:shd w:val="clear" w:color="auto" w:fill="auto"/>
          </w:tcPr>
          <w:p w14:paraId="2591B0C3" w14:textId="77777777" w:rsidR="00E04EAF" w:rsidRPr="00EE2556" w:rsidRDefault="00E04EAF" w:rsidP="00BD6C5A">
            <w:pPr>
              <w:pStyle w:val="Tabletext"/>
            </w:pPr>
            <w:r w:rsidRPr="00EE2556">
              <w:t>0.8%</w:t>
            </w:r>
          </w:p>
        </w:tc>
      </w:tr>
      <w:tr w:rsidR="00E04EAF" w:rsidRPr="00E10372" w14:paraId="6CE61EA7" w14:textId="77777777" w:rsidTr="00BD6C5A">
        <w:tc>
          <w:tcPr>
            <w:tcW w:w="0" w:type="auto"/>
          </w:tcPr>
          <w:p w14:paraId="1166D8D3" w14:textId="77777777" w:rsidR="00E04EAF" w:rsidRPr="00EE2556" w:rsidRDefault="00E04EAF" w:rsidP="00BD6C5A">
            <w:pPr>
              <w:pStyle w:val="Tabletext"/>
            </w:pPr>
            <w:r w:rsidRPr="00EE2556">
              <w:t>6 to 9</w:t>
            </w:r>
          </w:p>
        </w:tc>
        <w:tc>
          <w:tcPr>
            <w:tcW w:w="0" w:type="auto"/>
            <w:shd w:val="clear" w:color="auto" w:fill="auto"/>
          </w:tcPr>
          <w:p w14:paraId="3198CE7A" w14:textId="77777777" w:rsidR="00E04EAF" w:rsidRPr="00EE2556" w:rsidRDefault="00E04EAF" w:rsidP="00BD6C5A">
            <w:pPr>
              <w:pStyle w:val="Tabletext"/>
            </w:pPr>
            <w:r w:rsidRPr="00EE2556">
              <w:t>0.0%</w:t>
            </w:r>
          </w:p>
        </w:tc>
        <w:tc>
          <w:tcPr>
            <w:tcW w:w="0" w:type="auto"/>
            <w:shd w:val="clear" w:color="auto" w:fill="auto"/>
          </w:tcPr>
          <w:p w14:paraId="4E35DE29" w14:textId="77777777" w:rsidR="00E04EAF" w:rsidRPr="00EE2556" w:rsidRDefault="00E04EAF" w:rsidP="00BD6C5A">
            <w:pPr>
              <w:pStyle w:val="Tabletext"/>
            </w:pPr>
            <w:r w:rsidRPr="00EE2556">
              <w:t>0.0%</w:t>
            </w:r>
          </w:p>
        </w:tc>
        <w:tc>
          <w:tcPr>
            <w:tcW w:w="0" w:type="auto"/>
            <w:shd w:val="clear" w:color="auto" w:fill="auto"/>
          </w:tcPr>
          <w:p w14:paraId="03989B72" w14:textId="77777777" w:rsidR="00E04EAF" w:rsidRPr="00EE2556" w:rsidRDefault="00E04EAF" w:rsidP="00BD6C5A">
            <w:pPr>
              <w:pStyle w:val="Tabletext"/>
            </w:pPr>
            <w:r w:rsidRPr="00EE2556">
              <w:t>0.0%</w:t>
            </w:r>
          </w:p>
        </w:tc>
        <w:tc>
          <w:tcPr>
            <w:tcW w:w="0" w:type="auto"/>
            <w:shd w:val="clear" w:color="auto" w:fill="auto"/>
          </w:tcPr>
          <w:p w14:paraId="10902202" w14:textId="77777777" w:rsidR="00E04EAF" w:rsidRPr="00EE2556" w:rsidRDefault="00E04EAF" w:rsidP="00BD6C5A">
            <w:pPr>
              <w:pStyle w:val="Tabletext"/>
            </w:pPr>
            <w:r w:rsidRPr="00EE2556">
              <w:t>0.0%</w:t>
            </w:r>
          </w:p>
        </w:tc>
        <w:tc>
          <w:tcPr>
            <w:tcW w:w="0" w:type="auto"/>
            <w:shd w:val="clear" w:color="auto" w:fill="auto"/>
          </w:tcPr>
          <w:p w14:paraId="0475660C" w14:textId="77777777" w:rsidR="00E04EAF" w:rsidRPr="00EE2556" w:rsidRDefault="00E04EAF" w:rsidP="00BD6C5A">
            <w:pPr>
              <w:pStyle w:val="Tabletext"/>
            </w:pPr>
            <w:r w:rsidRPr="00EE2556">
              <w:t>0.0%</w:t>
            </w:r>
          </w:p>
        </w:tc>
        <w:tc>
          <w:tcPr>
            <w:tcW w:w="0" w:type="auto"/>
            <w:shd w:val="clear" w:color="auto" w:fill="auto"/>
          </w:tcPr>
          <w:p w14:paraId="26D87A21" w14:textId="77777777" w:rsidR="00E04EAF" w:rsidRPr="00EE2556" w:rsidRDefault="00E04EAF" w:rsidP="00BD6C5A">
            <w:pPr>
              <w:pStyle w:val="Tabletext"/>
            </w:pPr>
            <w:r w:rsidRPr="00EE2556">
              <w:t>0.1%</w:t>
            </w:r>
          </w:p>
        </w:tc>
        <w:tc>
          <w:tcPr>
            <w:tcW w:w="0" w:type="auto"/>
            <w:shd w:val="clear" w:color="auto" w:fill="auto"/>
          </w:tcPr>
          <w:p w14:paraId="59D21E6D" w14:textId="77777777" w:rsidR="00E04EAF" w:rsidRPr="00EE2556" w:rsidRDefault="00E04EAF" w:rsidP="00BD6C5A">
            <w:pPr>
              <w:pStyle w:val="Tabletext"/>
            </w:pPr>
            <w:r w:rsidRPr="00EE2556">
              <w:t>0.4%</w:t>
            </w:r>
          </w:p>
        </w:tc>
      </w:tr>
      <w:tr w:rsidR="00E04EAF" w:rsidRPr="00E10372" w14:paraId="5AF2A1A7" w14:textId="77777777" w:rsidTr="00BD6C5A">
        <w:tc>
          <w:tcPr>
            <w:tcW w:w="0" w:type="auto"/>
            <w:tcBorders>
              <w:bottom w:val="single" w:sz="4" w:space="0" w:color="auto"/>
            </w:tcBorders>
          </w:tcPr>
          <w:p w14:paraId="5332CB74" w14:textId="77777777" w:rsidR="00E04EAF" w:rsidRPr="00EE2556" w:rsidRDefault="00E04EAF" w:rsidP="00BD6C5A">
            <w:pPr>
              <w:pStyle w:val="Tabletext"/>
            </w:pPr>
            <w:r w:rsidRPr="00EE2556">
              <w:t>3 to 6</w:t>
            </w:r>
          </w:p>
        </w:tc>
        <w:tc>
          <w:tcPr>
            <w:tcW w:w="0" w:type="auto"/>
            <w:tcBorders>
              <w:bottom w:val="single" w:sz="4" w:space="0" w:color="auto"/>
            </w:tcBorders>
            <w:shd w:val="clear" w:color="auto" w:fill="auto"/>
          </w:tcPr>
          <w:p w14:paraId="5EB3F270" w14:textId="77777777" w:rsidR="00E04EAF" w:rsidRPr="00EE2556" w:rsidRDefault="00E04EAF" w:rsidP="00BD6C5A">
            <w:pPr>
              <w:pStyle w:val="Tabletext"/>
            </w:pPr>
            <w:r w:rsidRPr="00EE2556">
              <w:t>0.0%</w:t>
            </w:r>
          </w:p>
        </w:tc>
        <w:tc>
          <w:tcPr>
            <w:tcW w:w="0" w:type="auto"/>
            <w:tcBorders>
              <w:bottom w:val="single" w:sz="4" w:space="0" w:color="auto"/>
            </w:tcBorders>
            <w:shd w:val="clear" w:color="auto" w:fill="auto"/>
          </w:tcPr>
          <w:p w14:paraId="38688F99" w14:textId="77777777" w:rsidR="00E04EAF" w:rsidRPr="00EE2556" w:rsidRDefault="00E04EAF" w:rsidP="00BD6C5A">
            <w:pPr>
              <w:pStyle w:val="Tabletext"/>
            </w:pPr>
            <w:r w:rsidRPr="00EE2556">
              <w:t>0.0%</w:t>
            </w:r>
          </w:p>
        </w:tc>
        <w:tc>
          <w:tcPr>
            <w:tcW w:w="0" w:type="auto"/>
            <w:tcBorders>
              <w:bottom w:val="single" w:sz="4" w:space="0" w:color="auto"/>
            </w:tcBorders>
            <w:shd w:val="clear" w:color="auto" w:fill="auto"/>
          </w:tcPr>
          <w:p w14:paraId="1E59C36A" w14:textId="77777777" w:rsidR="00E04EAF" w:rsidRPr="00EE2556" w:rsidRDefault="00E04EAF" w:rsidP="00BD6C5A">
            <w:pPr>
              <w:pStyle w:val="Tabletext"/>
            </w:pPr>
            <w:r w:rsidRPr="00EE2556">
              <w:t>0.0%</w:t>
            </w:r>
          </w:p>
        </w:tc>
        <w:tc>
          <w:tcPr>
            <w:tcW w:w="0" w:type="auto"/>
            <w:tcBorders>
              <w:bottom w:val="single" w:sz="4" w:space="0" w:color="auto"/>
            </w:tcBorders>
            <w:shd w:val="clear" w:color="auto" w:fill="auto"/>
          </w:tcPr>
          <w:p w14:paraId="74AA8362" w14:textId="77777777" w:rsidR="00E04EAF" w:rsidRPr="00EE2556" w:rsidRDefault="00E04EAF" w:rsidP="00BD6C5A">
            <w:pPr>
              <w:pStyle w:val="Tabletext"/>
            </w:pPr>
            <w:r w:rsidRPr="00EE2556">
              <w:t>0.0%</w:t>
            </w:r>
          </w:p>
        </w:tc>
        <w:tc>
          <w:tcPr>
            <w:tcW w:w="0" w:type="auto"/>
            <w:tcBorders>
              <w:bottom w:val="single" w:sz="4" w:space="0" w:color="auto"/>
            </w:tcBorders>
            <w:shd w:val="clear" w:color="auto" w:fill="auto"/>
          </w:tcPr>
          <w:p w14:paraId="4C7F4A8D" w14:textId="77777777" w:rsidR="00E04EAF" w:rsidRPr="00EE2556" w:rsidRDefault="00E04EAF" w:rsidP="00BD6C5A">
            <w:pPr>
              <w:pStyle w:val="Tabletext"/>
            </w:pPr>
            <w:r w:rsidRPr="00EE2556">
              <w:t>0.0%</w:t>
            </w:r>
          </w:p>
        </w:tc>
        <w:tc>
          <w:tcPr>
            <w:tcW w:w="0" w:type="auto"/>
            <w:tcBorders>
              <w:bottom w:val="single" w:sz="4" w:space="0" w:color="auto"/>
            </w:tcBorders>
            <w:shd w:val="clear" w:color="auto" w:fill="auto"/>
          </w:tcPr>
          <w:p w14:paraId="4A5BD81E" w14:textId="77777777" w:rsidR="00E04EAF" w:rsidRPr="00EE2556" w:rsidRDefault="00E04EAF" w:rsidP="00BD6C5A">
            <w:pPr>
              <w:pStyle w:val="Tabletext"/>
            </w:pPr>
            <w:r w:rsidRPr="00EE2556">
              <w:t>0.0%</w:t>
            </w:r>
          </w:p>
        </w:tc>
        <w:tc>
          <w:tcPr>
            <w:tcW w:w="0" w:type="auto"/>
            <w:tcBorders>
              <w:bottom w:val="single" w:sz="4" w:space="0" w:color="auto"/>
            </w:tcBorders>
            <w:shd w:val="clear" w:color="auto" w:fill="auto"/>
          </w:tcPr>
          <w:p w14:paraId="407EC905" w14:textId="77777777" w:rsidR="00E04EAF" w:rsidRPr="00EE2556" w:rsidRDefault="00E04EAF" w:rsidP="00BD6C5A">
            <w:pPr>
              <w:pStyle w:val="Tabletext"/>
            </w:pPr>
            <w:r w:rsidRPr="00EE2556">
              <w:t>0.1%</w:t>
            </w:r>
          </w:p>
        </w:tc>
      </w:tr>
      <w:tr w:rsidR="00E04EAF" w:rsidRPr="00E10372" w14:paraId="76597FB8" w14:textId="77777777" w:rsidTr="00BD6C5A">
        <w:tc>
          <w:tcPr>
            <w:tcW w:w="0" w:type="auto"/>
            <w:tcBorders>
              <w:bottom w:val="nil"/>
            </w:tcBorders>
          </w:tcPr>
          <w:p w14:paraId="29305F88" w14:textId="77777777" w:rsidR="00E04EAF" w:rsidRPr="00EE2556" w:rsidRDefault="00E04EAF" w:rsidP="00BD6C5A">
            <w:pPr>
              <w:pStyle w:val="Tabletext"/>
            </w:pPr>
            <w:r w:rsidRPr="00EE2556">
              <w:t>0 to 3</w:t>
            </w:r>
          </w:p>
        </w:tc>
        <w:tc>
          <w:tcPr>
            <w:tcW w:w="0" w:type="auto"/>
            <w:tcBorders>
              <w:bottom w:val="nil"/>
            </w:tcBorders>
            <w:shd w:val="clear" w:color="auto" w:fill="auto"/>
          </w:tcPr>
          <w:p w14:paraId="3FCDB268" w14:textId="77777777" w:rsidR="00E04EAF" w:rsidRPr="00EE2556" w:rsidRDefault="00E04EAF" w:rsidP="00BD6C5A">
            <w:pPr>
              <w:pStyle w:val="Tabletext"/>
            </w:pPr>
            <w:r w:rsidRPr="00EE2556">
              <w:t>0.0%</w:t>
            </w:r>
          </w:p>
        </w:tc>
        <w:tc>
          <w:tcPr>
            <w:tcW w:w="0" w:type="auto"/>
            <w:tcBorders>
              <w:bottom w:val="nil"/>
            </w:tcBorders>
            <w:shd w:val="clear" w:color="auto" w:fill="auto"/>
          </w:tcPr>
          <w:p w14:paraId="51421CFE" w14:textId="77777777" w:rsidR="00E04EAF" w:rsidRPr="00EE2556" w:rsidRDefault="00E04EAF" w:rsidP="00BD6C5A">
            <w:pPr>
              <w:pStyle w:val="Tabletext"/>
            </w:pPr>
            <w:r w:rsidRPr="00EE2556">
              <w:t>0.0%</w:t>
            </w:r>
          </w:p>
        </w:tc>
        <w:tc>
          <w:tcPr>
            <w:tcW w:w="0" w:type="auto"/>
            <w:tcBorders>
              <w:bottom w:val="nil"/>
            </w:tcBorders>
            <w:shd w:val="clear" w:color="auto" w:fill="auto"/>
          </w:tcPr>
          <w:p w14:paraId="705F149C" w14:textId="77777777" w:rsidR="00E04EAF" w:rsidRPr="00EE2556" w:rsidRDefault="00E04EAF" w:rsidP="00BD6C5A">
            <w:pPr>
              <w:pStyle w:val="Tabletext"/>
            </w:pPr>
            <w:r w:rsidRPr="00EE2556">
              <w:t>0.0%</w:t>
            </w:r>
          </w:p>
        </w:tc>
        <w:tc>
          <w:tcPr>
            <w:tcW w:w="0" w:type="auto"/>
            <w:tcBorders>
              <w:bottom w:val="nil"/>
            </w:tcBorders>
            <w:shd w:val="clear" w:color="auto" w:fill="auto"/>
          </w:tcPr>
          <w:p w14:paraId="0AA6AACC" w14:textId="77777777" w:rsidR="00E04EAF" w:rsidRPr="00EE2556" w:rsidRDefault="00E04EAF" w:rsidP="00BD6C5A">
            <w:pPr>
              <w:pStyle w:val="Tabletext"/>
            </w:pPr>
            <w:r w:rsidRPr="00EE2556">
              <w:t>0.0%</w:t>
            </w:r>
          </w:p>
        </w:tc>
        <w:tc>
          <w:tcPr>
            <w:tcW w:w="0" w:type="auto"/>
            <w:tcBorders>
              <w:bottom w:val="nil"/>
            </w:tcBorders>
            <w:shd w:val="clear" w:color="auto" w:fill="auto"/>
          </w:tcPr>
          <w:p w14:paraId="36F30CD5" w14:textId="77777777" w:rsidR="00E04EAF" w:rsidRPr="00EE2556" w:rsidRDefault="00E04EAF" w:rsidP="00BD6C5A">
            <w:pPr>
              <w:pStyle w:val="Tabletext"/>
            </w:pPr>
            <w:r w:rsidRPr="00EE2556">
              <w:t>0.0%</w:t>
            </w:r>
          </w:p>
        </w:tc>
        <w:tc>
          <w:tcPr>
            <w:tcW w:w="0" w:type="auto"/>
            <w:tcBorders>
              <w:bottom w:val="nil"/>
            </w:tcBorders>
            <w:shd w:val="clear" w:color="auto" w:fill="auto"/>
          </w:tcPr>
          <w:p w14:paraId="25400E1D" w14:textId="77777777" w:rsidR="00E04EAF" w:rsidRPr="00EE2556" w:rsidRDefault="00E04EAF" w:rsidP="00BD6C5A">
            <w:pPr>
              <w:pStyle w:val="Tabletext"/>
            </w:pPr>
            <w:r w:rsidRPr="00EE2556">
              <w:t>0.0%</w:t>
            </w:r>
          </w:p>
        </w:tc>
        <w:tc>
          <w:tcPr>
            <w:tcW w:w="0" w:type="auto"/>
            <w:tcBorders>
              <w:bottom w:val="nil"/>
            </w:tcBorders>
            <w:shd w:val="clear" w:color="auto" w:fill="auto"/>
          </w:tcPr>
          <w:p w14:paraId="256A33FF" w14:textId="77777777" w:rsidR="00E04EAF" w:rsidRPr="00EE2556" w:rsidRDefault="00E04EAF" w:rsidP="00BD6C5A">
            <w:pPr>
              <w:pStyle w:val="Tabletext"/>
            </w:pPr>
            <w:r w:rsidRPr="00EE2556">
              <w:t>0.0%</w:t>
            </w:r>
          </w:p>
        </w:tc>
      </w:tr>
    </w:tbl>
    <w:p w14:paraId="6285BDFD" w14:textId="77777777" w:rsidR="00E04EAF" w:rsidRPr="00F52ACE" w:rsidRDefault="00E04EAF" w:rsidP="00E04EAF">
      <w:pPr>
        <w:pStyle w:val="Tabletext"/>
        <w:spacing w:before="0" w:line="14" w:lineRule="exact"/>
      </w:pP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1638"/>
        <w:gridCol w:w="823"/>
        <w:gridCol w:w="823"/>
        <w:gridCol w:w="870"/>
        <w:gridCol w:w="970"/>
        <w:gridCol w:w="970"/>
        <w:gridCol w:w="970"/>
        <w:gridCol w:w="1345"/>
      </w:tblGrid>
      <w:tr w:rsidR="00E04EAF" w:rsidRPr="00E10372" w14:paraId="20561094" w14:textId="77777777" w:rsidTr="00BD6C5A">
        <w:trPr>
          <w:tblHeader/>
        </w:trPr>
        <w:tc>
          <w:tcPr>
            <w:tcW w:w="0" w:type="auto"/>
            <w:gridSpan w:val="8"/>
            <w:tcBorders>
              <w:top w:val="single" w:sz="12" w:space="0" w:color="auto"/>
              <w:bottom w:val="nil"/>
            </w:tcBorders>
          </w:tcPr>
          <w:p w14:paraId="3FD66E66" w14:textId="77777777" w:rsidR="00E04EAF" w:rsidRPr="00EE2556" w:rsidRDefault="00E04EAF" w:rsidP="00BD6C5A">
            <w:pPr>
              <w:pStyle w:val="TableHeading"/>
            </w:pPr>
            <w:r w:rsidRPr="00EE2556">
              <w:t>Calculation percentage 92.5% to less than 110%</w:t>
            </w:r>
          </w:p>
        </w:tc>
      </w:tr>
      <w:tr w:rsidR="00E04EAF" w:rsidRPr="00E10372" w14:paraId="0DF6D992" w14:textId="77777777" w:rsidTr="00BD6C5A">
        <w:trPr>
          <w:tblHeader/>
        </w:trPr>
        <w:tc>
          <w:tcPr>
            <w:tcW w:w="0" w:type="auto"/>
            <w:vMerge w:val="restart"/>
            <w:tcBorders>
              <w:top w:val="single" w:sz="6" w:space="0" w:color="auto"/>
            </w:tcBorders>
          </w:tcPr>
          <w:p w14:paraId="20C6C938" w14:textId="77777777" w:rsidR="00E04EAF" w:rsidRPr="00EE2556" w:rsidRDefault="00E04EAF" w:rsidP="00BD6C5A">
            <w:pPr>
              <w:pStyle w:val="TableHeading"/>
            </w:pPr>
            <w:r w:rsidRPr="00EE2556">
              <w:t>Exercise period (months)</w:t>
            </w:r>
          </w:p>
        </w:tc>
        <w:tc>
          <w:tcPr>
            <w:tcW w:w="0" w:type="auto"/>
            <w:gridSpan w:val="7"/>
            <w:tcBorders>
              <w:top w:val="single" w:sz="6" w:space="0" w:color="auto"/>
              <w:bottom w:val="nil"/>
            </w:tcBorders>
            <w:shd w:val="clear" w:color="auto" w:fill="auto"/>
          </w:tcPr>
          <w:p w14:paraId="05223FD1" w14:textId="77777777" w:rsidR="00E04EAF" w:rsidRPr="00EE2556" w:rsidRDefault="00E04EAF" w:rsidP="00BD6C5A">
            <w:pPr>
              <w:pStyle w:val="TableHeading"/>
            </w:pPr>
            <w:r w:rsidRPr="00EE2556">
              <w:t>Calculation percentage (%)</w:t>
            </w:r>
          </w:p>
        </w:tc>
      </w:tr>
      <w:tr w:rsidR="00E04EAF" w:rsidRPr="00E10372" w14:paraId="1657D0D7" w14:textId="77777777" w:rsidTr="00BD6C5A">
        <w:trPr>
          <w:tblHeader/>
        </w:trPr>
        <w:tc>
          <w:tcPr>
            <w:tcW w:w="0" w:type="auto"/>
            <w:vMerge/>
            <w:tcBorders>
              <w:bottom w:val="single" w:sz="12" w:space="0" w:color="auto"/>
            </w:tcBorders>
          </w:tcPr>
          <w:p w14:paraId="520562B2" w14:textId="77777777" w:rsidR="00E04EAF" w:rsidRPr="00EE2556" w:rsidRDefault="00E04EAF" w:rsidP="00BD6C5A">
            <w:pPr>
              <w:pStyle w:val="TableHeading"/>
            </w:pPr>
          </w:p>
        </w:tc>
        <w:tc>
          <w:tcPr>
            <w:tcW w:w="0" w:type="auto"/>
            <w:tcBorders>
              <w:top w:val="nil"/>
              <w:bottom w:val="single" w:sz="12" w:space="0" w:color="auto"/>
            </w:tcBorders>
            <w:shd w:val="clear" w:color="auto" w:fill="auto"/>
          </w:tcPr>
          <w:p w14:paraId="33A82A65" w14:textId="77777777" w:rsidR="00E04EAF" w:rsidRPr="00EE2556" w:rsidRDefault="00E04EAF" w:rsidP="00BD6C5A">
            <w:pPr>
              <w:pStyle w:val="TableHeading"/>
            </w:pPr>
            <w:r w:rsidRPr="00EE2556">
              <w:t>92.5 to 95</w:t>
            </w:r>
          </w:p>
        </w:tc>
        <w:tc>
          <w:tcPr>
            <w:tcW w:w="0" w:type="auto"/>
            <w:tcBorders>
              <w:top w:val="nil"/>
              <w:bottom w:val="single" w:sz="12" w:space="0" w:color="auto"/>
            </w:tcBorders>
            <w:shd w:val="clear" w:color="auto" w:fill="auto"/>
          </w:tcPr>
          <w:p w14:paraId="556F3577" w14:textId="77777777" w:rsidR="00E04EAF" w:rsidRPr="00EE2556" w:rsidRDefault="00E04EAF" w:rsidP="00BD6C5A">
            <w:pPr>
              <w:pStyle w:val="TableHeading"/>
            </w:pPr>
            <w:r w:rsidRPr="00EE2556">
              <w:t>95 to 97.5</w:t>
            </w:r>
          </w:p>
        </w:tc>
        <w:tc>
          <w:tcPr>
            <w:tcW w:w="0" w:type="auto"/>
            <w:tcBorders>
              <w:top w:val="nil"/>
              <w:bottom w:val="single" w:sz="12" w:space="0" w:color="auto"/>
            </w:tcBorders>
            <w:shd w:val="clear" w:color="auto" w:fill="auto"/>
          </w:tcPr>
          <w:p w14:paraId="2662E8BA" w14:textId="77777777" w:rsidR="00E04EAF" w:rsidRPr="00EE2556" w:rsidRDefault="00E04EAF" w:rsidP="00BD6C5A">
            <w:pPr>
              <w:pStyle w:val="TableHeading"/>
            </w:pPr>
            <w:r w:rsidRPr="00EE2556">
              <w:t>97.5 to 100</w:t>
            </w:r>
          </w:p>
        </w:tc>
        <w:tc>
          <w:tcPr>
            <w:tcW w:w="0" w:type="auto"/>
            <w:tcBorders>
              <w:top w:val="nil"/>
              <w:bottom w:val="single" w:sz="12" w:space="0" w:color="auto"/>
            </w:tcBorders>
            <w:shd w:val="clear" w:color="auto" w:fill="auto"/>
          </w:tcPr>
          <w:p w14:paraId="3B8700E3" w14:textId="77777777" w:rsidR="00E04EAF" w:rsidRPr="00EE2556" w:rsidRDefault="00E04EAF" w:rsidP="00BD6C5A">
            <w:pPr>
              <w:pStyle w:val="TableHeading"/>
            </w:pPr>
            <w:r w:rsidRPr="00EE2556">
              <w:t>100 to 102.5</w:t>
            </w:r>
          </w:p>
        </w:tc>
        <w:tc>
          <w:tcPr>
            <w:tcW w:w="0" w:type="auto"/>
            <w:tcBorders>
              <w:top w:val="nil"/>
              <w:bottom w:val="single" w:sz="12" w:space="0" w:color="auto"/>
            </w:tcBorders>
            <w:shd w:val="clear" w:color="auto" w:fill="auto"/>
          </w:tcPr>
          <w:p w14:paraId="4539CBB9" w14:textId="77777777" w:rsidR="00E04EAF" w:rsidRPr="00EE2556" w:rsidRDefault="00E04EAF" w:rsidP="00BD6C5A">
            <w:pPr>
              <w:pStyle w:val="TableHeading"/>
            </w:pPr>
            <w:r w:rsidRPr="00EE2556">
              <w:t>102.5 to 105</w:t>
            </w:r>
          </w:p>
        </w:tc>
        <w:tc>
          <w:tcPr>
            <w:tcW w:w="0" w:type="auto"/>
            <w:tcBorders>
              <w:top w:val="nil"/>
              <w:bottom w:val="single" w:sz="12" w:space="0" w:color="auto"/>
            </w:tcBorders>
            <w:shd w:val="clear" w:color="auto" w:fill="auto"/>
          </w:tcPr>
          <w:p w14:paraId="55494814" w14:textId="77777777" w:rsidR="00E04EAF" w:rsidRPr="00EE2556" w:rsidRDefault="00E04EAF" w:rsidP="00BD6C5A">
            <w:pPr>
              <w:pStyle w:val="TableHeading"/>
            </w:pPr>
            <w:r w:rsidRPr="00EE2556">
              <w:t>105 to 107.5</w:t>
            </w:r>
          </w:p>
        </w:tc>
        <w:tc>
          <w:tcPr>
            <w:tcW w:w="0" w:type="auto"/>
            <w:tcBorders>
              <w:top w:val="nil"/>
              <w:bottom w:val="single" w:sz="12" w:space="0" w:color="auto"/>
            </w:tcBorders>
            <w:shd w:val="clear" w:color="auto" w:fill="auto"/>
          </w:tcPr>
          <w:p w14:paraId="775F193A" w14:textId="77777777" w:rsidR="00E04EAF" w:rsidRPr="00EE2556" w:rsidRDefault="00E04EAF" w:rsidP="00BD6C5A">
            <w:pPr>
              <w:pStyle w:val="TableHeading"/>
            </w:pPr>
            <w:r w:rsidRPr="00EE2556">
              <w:t>107.5 to less than 110</w:t>
            </w:r>
          </w:p>
        </w:tc>
      </w:tr>
      <w:tr w:rsidR="00E04EAF" w:rsidRPr="00E10372" w14:paraId="444553E3" w14:textId="77777777" w:rsidTr="00BD6C5A">
        <w:tc>
          <w:tcPr>
            <w:tcW w:w="0" w:type="auto"/>
            <w:tcBorders>
              <w:top w:val="single" w:sz="6" w:space="0" w:color="auto"/>
            </w:tcBorders>
          </w:tcPr>
          <w:p w14:paraId="41F38ADE" w14:textId="77777777" w:rsidR="00E04EAF" w:rsidRPr="00EE2556" w:rsidRDefault="00E04EAF" w:rsidP="00BD6C5A">
            <w:pPr>
              <w:pStyle w:val="Tabletext"/>
            </w:pPr>
            <w:r w:rsidRPr="00EE2556">
              <w:t>1</w:t>
            </w:r>
            <w:r>
              <w:t>68</w:t>
            </w:r>
            <w:r w:rsidRPr="00EE2556">
              <w:t xml:space="preserve"> to 1</w:t>
            </w:r>
            <w:r>
              <w:t>80</w:t>
            </w:r>
          </w:p>
        </w:tc>
        <w:tc>
          <w:tcPr>
            <w:tcW w:w="0" w:type="auto"/>
            <w:tcBorders>
              <w:top w:val="single" w:sz="6" w:space="0" w:color="auto"/>
            </w:tcBorders>
            <w:shd w:val="clear" w:color="auto" w:fill="auto"/>
          </w:tcPr>
          <w:p w14:paraId="37233A6B" w14:textId="77777777" w:rsidR="00E04EAF" w:rsidRPr="00EE2556" w:rsidRDefault="00E04EAF" w:rsidP="00BD6C5A">
            <w:pPr>
              <w:pStyle w:val="Tabletext"/>
            </w:pPr>
            <w:r w:rsidRPr="00EE2556">
              <w:t>7.</w:t>
            </w:r>
            <w:r>
              <w:t>9</w:t>
            </w:r>
            <w:r w:rsidRPr="00EE2556">
              <w:t>%</w:t>
            </w:r>
          </w:p>
        </w:tc>
        <w:tc>
          <w:tcPr>
            <w:tcW w:w="0" w:type="auto"/>
            <w:tcBorders>
              <w:top w:val="single" w:sz="6" w:space="0" w:color="auto"/>
            </w:tcBorders>
            <w:shd w:val="clear" w:color="auto" w:fill="auto"/>
          </w:tcPr>
          <w:p w14:paraId="5D84F78E" w14:textId="77777777" w:rsidR="00E04EAF" w:rsidRPr="00EE2556" w:rsidRDefault="00E04EAF" w:rsidP="00BD6C5A">
            <w:pPr>
              <w:pStyle w:val="Tabletext"/>
            </w:pPr>
            <w:r w:rsidRPr="00EE2556">
              <w:t>8.</w:t>
            </w:r>
            <w:r>
              <w:t>6</w:t>
            </w:r>
            <w:r w:rsidRPr="00EE2556">
              <w:t>%</w:t>
            </w:r>
          </w:p>
        </w:tc>
        <w:tc>
          <w:tcPr>
            <w:tcW w:w="0" w:type="auto"/>
            <w:tcBorders>
              <w:top w:val="single" w:sz="6" w:space="0" w:color="auto"/>
            </w:tcBorders>
            <w:shd w:val="clear" w:color="auto" w:fill="auto"/>
          </w:tcPr>
          <w:p w14:paraId="5119F6E0" w14:textId="77777777" w:rsidR="00E04EAF" w:rsidRPr="00EE2556" w:rsidRDefault="00E04EAF" w:rsidP="00BD6C5A">
            <w:pPr>
              <w:pStyle w:val="Tabletext"/>
            </w:pPr>
            <w:r w:rsidRPr="00EE2556">
              <w:t>9.</w:t>
            </w:r>
            <w:r>
              <w:t>4</w:t>
            </w:r>
            <w:r w:rsidRPr="00EE2556">
              <w:t>%</w:t>
            </w:r>
          </w:p>
        </w:tc>
        <w:tc>
          <w:tcPr>
            <w:tcW w:w="0" w:type="auto"/>
            <w:tcBorders>
              <w:top w:val="single" w:sz="6" w:space="0" w:color="auto"/>
            </w:tcBorders>
            <w:shd w:val="clear" w:color="auto" w:fill="auto"/>
          </w:tcPr>
          <w:p w14:paraId="6C20C59D" w14:textId="77777777" w:rsidR="00E04EAF" w:rsidRPr="00EE2556" w:rsidRDefault="00E04EAF" w:rsidP="00BD6C5A">
            <w:pPr>
              <w:pStyle w:val="Tabletext"/>
            </w:pPr>
            <w:r w:rsidRPr="00EE2556">
              <w:t>10.</w:t>
            </w:r>
            <w:r>
              <w:t>3</w:t>
            </w:r>
            <w:r w:rsidRPr="00EE2556">
              <w:t>%</w:t>
            </w:r>
          </w:p>
        </w:tc>
        <w:tc>
          <w:tcPr>
            <w:tcW w:w="0" w:type="auto"/>
            <w:tcBorders>
              <w:top w:val="single" w:sz="6" w:space="0" w:color="auto"/>
            </w:tcBorders>
            <w:shd w:val="clear" w:color="auto" w:fill="auto"/>
          </w:tcPr>
          <w:p w14:paraId="404A1ADC" w14:textId="77777777" w:rsidR="00E04EAF" w:rsidRPr="00EE2556" w:rsidRDefault="00E04EAF" w:rsidP="00BD6C5A">
            <w:pPr>
              <w:pStyle w:val="Tabletext"/>
            </w:pPr>
            <w:r w:rsidRPr="00EE2556">
              <w:t>11.</w:t>
            </w:r>
            <w:r>
              <w:t>2</w:t>
            </w:r>
            <w:r w:rsidRPr="00EE2556">
              <w:t>%</w:t>
            </w:r>
          </w:p>
        </w:tc>
        <w:tc>
          <w:tcPr>
            <w:tcW w:w="0" w:type="auto"/>
            <w:tcBorders>
              <w:top w:val="single" w:sz="6" w:space="0" w:color="auto"/>
            </w:tcBorders>
            <w:shd w:val="clear" w:color="auto" w:fill="auto"/>
          </w:tcPr>
          <w:p w14:paraId="75F5494D" w14:textId="77777777" w:rsidR="00E04EAF" w:rsidRPr="00EE2556" w:rsidRDefault="00E04EAF" w:rsidP="00BD6C5A">
            <w:pPr>
              <w:pStyle w:val="Tabletext"/>
            </w:pPr>
            <w:r w:rsidRPr="00EE2556">
              <w:t>12.</w:t>
            </w:r>
            <w:r>
              <w:t>2</w:t>
            </w:r>
            <w:r w:rsidRPr="00EE2556">
              <w:t>%</w:t>
            </w:r>
          </w:p>
        </w:tc>
        <w:tc>
          <w:tcPr>
            <w:tcW w:w="0" w:type="auto"/>
            <w:tcBorders>
              <w:top w:val="single" w:sz="6" w:space="0" w:color="auto"/>
            </w:tcBorders>
            <w:shd w:val="clear" w:color="auto" w:fill="auto"/>
          </w:tcPr>
          <w:p w14:paraId="5E0A17F1" w14:textId="77777777" w:rsidR="00E04EAF" w:rsidRPr="00EE2556" w:rsidRDefault="00E04EAF" w:rsidP="00BD6C5A">
            <w:pPr>
              <w:pStyle w:val="Tabletext"/>
            </w:pPr>
            <w:r w:rsidRPr="00EE2556">
              <w:t>13.3%</w:t>
            </w:r>
          </w:p>
        </w:tc>
      </w:tr>
      <w:tr w:rsidR="00E04EAF" w:rsidRPr="00E10372" w14:paraId="135AE917" w14:textId="77777777" w:rsidTr="00BD6C5A">
        <w:tc>
          <w:tcPr>
            <w:tcW w:w="0" w:type="auto"/>
            <w:tcBorders>
              <w:top w:val="single" w:sz="6" w:space="0" w:color="auto"/>
            </w:tcBorders>
          </w:tcPr>
          <w:p w14:paraId="32B0156A" w14:textId="77777777" w:rsidR="00E04EAF" w:rsidRPr="00EE2556" w:rsidRDefault="00E04EAF" w:rsidP="00BD6C5A">
            <w:pPr>
              <w:pStyle w:val="Tabletext"/>
            </w:pPr>
            <w:r w:rsidRPr="00EE2556">
              <w:t>1</w:t>
            </w:r>
            <w:r>
              <w:t>56</w:t>
            </w:r>
            <w:r w:rsidRPr="00EE2556">
              <w:t xml:space="preserve"> to 1</w:t>
            </w:r>
            <w:r>
              <w:t>68</w:t>
            </w:r>
          </w:p>
        </w:tc>
        <w:tc>
          <w:tcPr>
            <w:tcW w:w="0" w:type="auto"/>
            <w:tcBorders>
              <w:top w:val="single" w:sz="6" w:space="0" w:color="auto"/>
            </w:tcBorders>
            <w:shd w:val="clear" w:color="auto" w:fill="auto"/>
          </w:tcPr>
          <w:p w14:paraId="28325734" w14:textId="77777777" w:rsidR="00E04EAF" w:rsidRPr="00EE2556" w:rsidRDefault="00E04EAF" w:rsidP="00BD6C5A">
            <w:pPr>
              <w:pStyle w:val="Tabletext"/>
            </w:pPr>
            <w:r w:rsidRPr="00EE2556">
              <w:t>7.</w:t>
            </w:r>
            <w:r>
              <w:t>8</w:t>
            </w:r>
            <w:r w:rsidRPr="00EE2556">
              <w:t>%</w:t>
            </w:r>
          </w:p>
        </w:tc>
        <w:tc>
          <w:tcPr>
            <w:tcW w:w="0" w:type="auto"/>
            <w:tcBorders>
              <w:top w:val="single" w:sz="6" w:space="0" w:color="auto"/>
            </w:tcBorders>
            <w:shd w:val="clear" w:color="auto" w:fill="auto"/>
          </w:tcPr>
          <w:p w14:paraId="2E483B9C" w14:textId="77777777" w:rsidR="00E04EAF" w:rsidRPr="00EE2556" w:rsidRDefault="00E04EAF" w:rsidP="00BD6C5A">
            <w:pPr>
              <w:pStyle w:val="Tabletext"/>
            </w:pPr>
            <w:r w:rsidRPr="00EE2556">
              <w:t>8.</w:t>
            </w:r>
            <w:r>
              <w:t>6</w:t>
            </w:r>
            <w:r w:rsidRPr="00EE2556">
              <w:t>%</w:t>
            </w:r>
          </w:p>
        </w:tc>
        <w:tc>
          <w:tcPr>
            <w:tcW w:w="0" w:type="auto"/>
            <w:tcBorders>
              <w:top w:val="single" w:sz="6" w:space="0" w:color="auto"/>
            </w:tcBorders>
            <w:shd w:val="clear" w:color="auto" w:fill="auto"/>
          </w:tcPr>
          <w:p w14:paraId="2423A1B8" w14:textId="77777777" w:rsidR="00E04EAF" w:rsidRPr="00EE2556" w:rsidRDefault="00E04EAF" w:rsidP="00BD6C5A">
            <w:pPr>
              <w:pStyle w:val="Tabletext"/>
            </w:pPr>
            <w:r w:rsidRPr="00EE2556">
              <w:t>9.</w:t>
            </w:r>
            <w:r>
              <w:t>4</w:t>
            </w:r>
            <w:r w:rsidRPr="00EE2556">
              <w:t>%</w:t>
            </w:r>
          </w:p>
        </w:tc>
        <w:tc>
          <w:tcPr>
            <w:tcW w:w="0" w:type="auto"/>
            <w:tcBorders>
              <w:top w:val="single" w:sz="6" w:space="0" w:color="auto"/>
            </w:tcBorders>
            <w:shd w:val="clear" w:color="auto" w:fill="auto"/>
          </w:tcPr>
          <w:p w14:paraId="05FFE5B7" w14:textId="77777777" w:rsidR="00E04EAF" w:rsidRPr="00EE2556" w:rsidRDefault="00E04EAF" w:rsidP="00BD6C5A">
            <w:pPr>
              <w:pStyle w:val="Tabletext"/>
            </w:pPr>
            <w:r w:rsidRPr="00EE2556">
              <w:t>10.</w:t>
            </w:r>
            <w:r>
              <w:t>3</w:t>
            </w:r>
            <w:r w:rsidRPr="00EE2556">
              <w:t>%</w:t>
            </w:r>
          </w:p>
        </w:tc>
        <w:tc>
          <w:tcPr>
            <w:tcW w:w="0" w:type="auto"/>
            <w:tcBorders>
              <w:top w:val="single" w:sz="6" w:space="0" w:color="auto"/>
            </w:tcBorders>
            <w:shd w:val="clear" w:color="auto" w:fill="auto"/>
          </w:tcPr>
          <w:p w14:paraId="451C571A" w14:textId="77777777" w:rsidR="00E04EAF" w:rsidRPr="00EE2556" w:rsidRDefault="00E04EAF" w:rsidP="00BD6C5A">
            <w:pPr>
              <w:pStyle w:val="Tabletext"/>
            </w:pPr>
            <w:r w:rsidRPr="00EE2556">
              <w:t>11.</w:t>
            </w:r>
            <w:r>
              <w:t>2</w:t>
            </w:r>
            <w:r w:rsidRPr="00EE2556">
              <w:t>%</w:t>
            </w:r>
          </w:p>
        </w:tc>
        <w:tc>
          <w:tcPr>
            <w:tcW w:w="0" w:type="auto"/>
            <w:tcBorders>
              <w:top w:val="single" w:sz="6" w:space="0" w:color="auto"/>
            </w:tcBorders>
            <w:shd w:val="clear" w:color="auto" w:fill="auto"/>
          </w:tcPr>
          <w:p w14:paraId="6B464E12" w14:textId="77777777" w:rsidR="00E04EAF" w:rsidRPr="00EE2556" w:rsidRDefault="00E04EAF" w:rsidP="00BD6C5A">
            <w:pPr>
              <w:pStyle w:val="Tabletext"/>
            </w:pPr>
            <w:r w:rsidRPr="00EE2556">
              <w:t>12.</w:t>
            </w:r>
            <w:r>
              <w:t>2</w:t>
            </w:r>
            <w:r w:rsidRPr="00EE2556">
              <w:t>%</w:t>
            </w:r>
          </w:p>
        </w:tc>
        <w:tc>
          <w:tcPr>
            <w:tcW w:w="0" w:type="auto"/>
            <w:tcBorders>
              <w:top w:val="single" w:sz="6" w:space="0" w:color="auto"/>
            </w:tcBorders>
            <w:shd w:val="clear" w:color="auto" w:fill="auto"/>
          </w:tcPr>
          <w:p w14:paraId="032DE947" w14:textId="77777777" w:rsidR="00E04EAF" w:rsidRPr="00EE2556" w:rsidRDefault="00E04EAF" w:rsidP="00BD6C5A">
            <w:pPr>
              <w:pStyle w:val="Tabletext"/>
            </w:pPr>
            <w:r w:rsidRPr="00EE2556">
              <w:t>13.3%</w:t>
            </w:r>
          </w:p>
        </w:tc>
      </w:tr>
      <w:tr w:rsidR="00E04EAF" w:rsidRPr="00E10372" w14:paraId="7F71A308" w14:textId="77777777" w:rsidTr="00BD6C5A">
        <w:tc>
          <w:tcPr>
            <w:tcW w:w="0" w:type="auto"/>
            <w:tcBorders>
              <w:top w:val="single" w:sz="6" w:space="0" w:color="auto"/>
            </w:tcBorders>
          </w:tcPr>
          <w:p w14:paraId="21ACD5DA" w14:textId="77777777" w:rsidR="00E04EAF" w:rsidRPr="00EE2556" w:rsidRDefault="00E04EAF" w:rsidP="00BD6C5A">
            <w:pPr>
              <w:pStyle w:val="Tabletext"/>
            </w:pPr>
            <w:r w:rsidRPr="00EE2556">
              <w:t>1</w:t>
            </w:r>
            <w:r>
              <w:t>44</w:t>
            </w:r>
            <w:r w:rsidRPr="00EE2556">
              <w:t xml:space="preserve"> to 1</w:t>
            </w:r>
            <w:r>
              <w:t>56</w:t>
            </w:r>
          </w:p>
        </w:tc>
        <w:tc>
          <w:tcPr>
            <w:tcW w:w="0" w:type="auto"/>
            <w:tcBorders>
              <w:top w:val="single" w:sz="6" w:space="0" w:color="auto"/>
            </w:tcBorders>
            <w:shd w:val="clear" w:color="auto" w:fill="auto"/>
          </w:tcPr>
          <w:p w14:paraId="7E94C30A" w14:textId="77777777" w:rsidR="00E04EAF" w:rsidRPr="00EE2556" w:rsidRDefault="00E04EAF" w:rsidP="00BD6C5A">
            <w:pPr>
              <w:pStyle w:val="Tabletext"/>
            </w:pPr>
            <w:r w:rsidRPr="00EE2556">
              <w:t>7.</w:t>
            </w:r>
            <w:r>
              <w:t>7</w:t>
            </w:r>
            <w:r w:rsidRPr="00EE2556">
              <w:t>%</w:t>
            </w:r>
          </w:p>
        </w:tc>
        <w:tc>
          <w:tcPr>
            <w:tcW w:w="0" w:type="auto"/>
            <w:tcBorders>
              <w:top w:val="single" w:sz="6" w:space="0" w:color="auto"/>
            </w:tcBorders>
            <w:shd w:val="clear" w:color="auto" w:fill="auto"/>
          </w:tcPr>
          <w:p w14:paraId="2C0B5557" w14:textId="77777777" w:rsidR="00E04EAF" w:rsidRPr="00EE2556" w:rsidRDefault="00E04EAF" w:rsidP="00BD6C5A">
            <w:pPr>
              <w:pStyle w:val="Tabletext"/>
            </w:pPr>
            <w:r w:rsidRPr="00EE2556">
              <w:t>8.</w:t>
            </w:r>
            <w:r>
              <w:t>5</w:t>
            </w:r>
            <w:r w:rsidRPr="00EE2556">
              <w:t>%</w:t>
            </w:r>
          </w:p>
        </w:tc>
        <w:tc>
          <w:tcPr>
            <w:tcW w:w="0" w:type="auto"/>
            <w:tcBorders>
              <w:top w:val="single" w:sz="6" w:space="0" w:color="auto"/>
            </w:tcBorders>
            <w:shd w:val="clear" w:color="auto" w:fill="auto"/>
          </w:tcPr>
          <w:p w14:paraId="49D5A413" w14:textId="77777777" w:rsidR="00E04EAF" w:rsidRPr="00EE2556" w:rsidRDefault="00E04EAF" w:rsidP="00BD6C5A">
            <w:pPr>
              <w:pStyle w:val="Tabletext"/>
            </w:pPr>
            <w:r w:rsidRPr="00EE2556">
              <w:t>9.</w:t>
            </w:r>
            <w:r>
              <w:t>4</w:t>
            </w:r>
            <w:r w:rsidRPr="00EE2556">
              <w:t>%</w:t>
            </w:r>
          </w:p>
        </w:tc>
        <w:tc>
          <w:tcPr>
            <w:tcW w:w="0" w:type="auto"/>
            <w:tcBorders>
              <w:top w:val="single" w:sz="6" w:space="0" w:color="auto"/>
            </w:tcBorders>
            <w:shd w:val="clear" w:color="auto" w:fill="auto"/>
          </w:tcPr>
          <w:p w14:paraId="240452F5" w14:textId="77777777" w:rsidR="00E04EAF" w:rsidRPr="00EE2556" w:rsidRDefault="00E04EAF" w:rsidP="00BD6C5A">
            <w:pPr>
              <w:pStyle w:val="Tabletext"/>
            </w:pPr>
            <w:r w:rsidRPr="00EE2556">
              <w:t>10.</w:t>
            </w:r>
            <w:r>
              <w:t>3</w:t>
            </w:r>
            <w:r w:rsidRPr="00EE2556">
              <w:t>%</w:t>
            </w:r>
          </w:p>
        </w:tc>
        <w:tc>
          <w:tcPr>
            <w:tcW w:w="0" w:type="auto"/>
            <w:tcBorders>
              <w:top w:val="single" w:sz="6" w:space="0" w:color="auto"/>
            </w:tcBorders>
            <w:shd w:val="clear" w:color="auto" w:fill="auto"/>
          </w:tcPr>
          <w:p w14:paraId="54EF439D" w14:textId="77777777" w:rsidR="00E04EAF" w:rsidRPr="00EE2556" w:rsidRDefault="00E04EAF" w:rsidP="00BD6C5A">
            <w:pPr>
              <w:pStyle w:val="Tabletext"/>
            </w:pPr>
            <w:r w:rsidRPr="00EE2556">
              <w:t>11.</w:t>
            </w:r>
            <w:r>
              <w:t>2</w:t>
            </w:r>
            <w:r w:rsidRPr="00EE2556">
              <w:t>%</w:t>
            </w:r>
          </w:p>
        </w:tc>
        <w:tc>
          <w:tcPr>
            <w:tcW w:w="0" w:type="auto"/>
            <w:tcBorders>
              <w:top w:val="single" w:sz="6" w:space="0" w:color="auto"/>
            </w:tcBorders>
            <w:shd w:val="clear" w:color="auto" w:fill="auto"/>
          </w:tcPr>
          <w:p w14:paraId="7A01CA3A" w14:textId="77777777" w:rsidR="00E04EAF" w:rsidRPr="00EE2556" w:rsidRDefault="00E04EAF" w:rsidP="00BD6C5A">
            <w:pPr>
              <w:pStyle w:val="Tabletext"/>
            </w:pPr>
            <w:r w:rsidRPr="00EE2556">
              <w:t>12.</w:t>
            </w:r>
            <w:r>
              <w:t>2</w:t>
            </w:r>
            <w:r w:rsidRPr="00EE2556">
              <w:t>%</w:t>
            </w:r>
          </w:p>
        </w:tc>
        <w:tc>
          <w:tcPr>
            <w:tcW w:w="0" w:type="auto"/>
            <w:tcBorders>
              <w:top w:val="single" w:sz="6" w:space="0" w:color="auto"/>
            </w:tcBorders>
            <w:shd w:val="clear" w:color="auto" w:fill="auto"/>
          </w:tcPr>
          <w:p w14:paraId="31B81E5D" w14:textId="77777777" w:rsidR="00E04EAF" w:rsidRPr="00EE2556" w:rsidRDefault="00E04EAF" w:rsidP="00BD6C5A">
            <w:pPr>
              <w:pStyle w:val="Tabletext"/>
            </w:pPr>
            <w:r w:rsidRPr="00EE2556">
              <w:t>13.3%</w:t>
            </w:r>
          </w:p>
        </w:tc>
      </w:tr>
      <w:tr w:rsidR="00E04EAF" w:rsidRPr="00E10372" w14:paraId="4489E5EF" w14:textId="77777777" w:rsidTr="00BD6C5A">
        <w:tc>
          <w:tcPr>
            <w:tcW w:w="0" w:type="auto"/>
            <w:tcBorders>
              <w:top w:val="single" w:sz="6" w:space="0" w:color="auto"/>
            </w:tcBorders>
          </w:tcPr>
          <w:p w14:paraId="45887486" w14:textId="77777777" w:rsidR="00E04EAF" w:rsidRPr="00EE2556" w:rsidRDefault="00E04EAF" w:rsidP="00BD6C5A">
            <w:pPr>
              <w:pStyle w:val="Tabletext"/>
            </w:pPr>
            <w:r w:rsidRPr="00EE2556">
              <w:t>1</w:t>
            </w:r>
            <w:r>
              <w:t>32</w:t>
            </w:r>
            <w:r w:rsidRPr="00EE2556">
              <w:t xml:space="preserve"> to 1</w:t>
            </w:r>
            <w:r>
              <w:t>44</w:t>
            </w:r>
          </w:p>
        </w:tc>
        <w:tc>
          <w:tcPr>
            <w:tcW w:w="0" w:type="auto"/>
            <w:tcBorders>
              <w:top w:val="single" w:sz="6" w:space="0" w:color="auto"/>
            </w:tcBorders>
            <w:shd w:val="clear" w:color="auto" w:fill="auto"/>
          </w:tcPr>
          <w:p w14:paraId="1EEB13DF" w14:textId="77777777" w:rsidR="00E04EAF" w:rsidRPr="00EE2556" w:rsidRDefault="00E04EAF" w:rsidP="00BD6C5A">
            <w:pPr>
              <w:pStyle w:val="Tabletext"/>
            </w:pPr>
            <w:r w:rsidRPr="00EE2556">
              <w:t>7.</w:t>
            </w:r>
            <w:r>
              <w:t>6</w:t>
            </w:r>
            <w:r w:rsidRPr="00EE2556">
              <w:t>%</w:t>
            </w:r>
          </w:p>
        </w:tc>
        <w:tc>
          <w:tcPr>
            <w:tcW w:w="0" w:type="auto"/>
            <w:tcBorders>
              <w:top w:val="single" w:sz="6" w:space="0" w:color="auto"/>
            </w:tcBorders>
            <w:shd w:val="clear" w:color="auto" w:fill="auto"/>
          </w:tcPr>
          <w:p w14:paraId="3B6607A9" w14:textId="77777777" w:rsidR="00E04EAF" w:rsidRPr="00EE2556" w:rsidRDefault="00E04EAF" w:rsidP="00BD6C5A">
            <w:pPr>
              <w:pStyle w:val="Tabletext"/>
            </w:pPr>
            <w:r w:rsidRPr="00EE2556">
              <w:t>8.</w:t>
            </w:r>
            <w:r>
              <w:t>4</w:t>
            </w:r>
            <w:r w:rsidRPr="00EE2556">
              <w:t>%</w:t>
            </w:r>
          </w:p>
        </w:tc>
        <w:tc>
          <w:tcPr>
            <w:tcW w:w="0" w:type="auto"/>
            <w:tcBorders>
              <w:top w:val="single" w:sz="6" w:space="0" w:color="auto"/>
            </w:tcBorders>
            <w:shd w:val="clear" w:color="auto" w:fill="auto"/>
          </w:tcPr>
          <w:p w14:paraId="5440BA55" w14:textId="77777777" w:rsidR="00E04EAF" w:rsidRPr="00EE2556" w:rsidRDefault="00E04EAF" w:rsidP="00BD6C5A">
            <w:pPr>
              <w:pStyle w:val="Tabletext"/>
            </w:pPr>
            <w:r w:rsidRPr="00EE2556">
              <w:t>9.</w:t>
            </w:r>
            <w:r>
              <w:t>3</w:t>
            </w:r>
            <w:r w:rsidRPr="00EE2556">
              <w:t>%</w:t>
            </w:r>
          </w:p>
        </w:tc>
        <w:tc>
          <w:tcPr>
            <w:tcW w:w="0" w:type="auto"/>
            <w:tcBorders>
              <w:top w:val="single" w:sz="6" w:space="0" w:color="auto"/>
            </w:tcBorders>
            <w:shd w:val="clear" w:color="auto" w:fill="auto"/>
          </w:tcPr>
          <w:p w14:paraId="523923D9" w14:textId="77777777" w:rsidR="00E04EAF" w:rsidRPr="00EE2556" w:rsidRDefault="00E04EAF" w:rsidP="00BD6C5A">
            <w:pPr>
              <w:pStyle w:val="Tabletext"/>
            </w:pPr>
            <w:r w:rsidRPr="00EE2556">
              <w:t>10.</w:t>
            </w:r>
            <w:r>
              <w:t>2</w:t>
            </w:r>
            <w:r w:rsidRPr="00EE2556">
              <w:t>%</w:t>
            </w:r>
          </w:p>
        </w:tc>
        <w:tc>
          <w:tcPr>
            <w:tcW w:w="0" w:type="auto"/>
            <w:tcBorders>
              <w:top w:val="single" w:sz="6" w:space="0" w:color="auto"/>
            </w:tcBorders>
            <w:shd w:val="clear" w:color="auto" w:fill="auto"/>
          </w:tcPr>
          <w:p w14:paraId="752114EB" w14:textId="77777777" w:rsidR="00E04EAF" w:rsidRPr="00EE2556" w:rsidRDefault="00E04EAF" w:rsidP="00BD6C5A">
            <w:pPr>
              <w:pStyle w:val="Tabletext"/>
            </w:pPr>
            <w:r w:rsidRPr="00EE2556">
              <w:t>11.</w:t>
            </w:r>
            <w:r>
              <w:t>2</w:t>
            </w:r>
            <w:r w:rsidRPr="00EE2556">
              <w:t>%</w:t>
            </w:r>
          </w:p>
        </w:tc>
        <w:tc>
          <w:tcPr>
            <w:tcW w:w="0" w:type="auto"/>
            <w:tcBorders>
              <w:top w:val="single" w:sz="6" w:space="0" w:color="auto"/>
            </w:tcBorders>
            <w:shd w:val="clear" w:color="auto" w:fill="auto"/>
          </w:tcPr>
          <w:p w14:paraId="112C7A74" w14:textId="77777777" w:rsidR="00E04EAF" w:rsidRPr="00EE2556" w:rsidRDefault="00E04EAF" w:rsidP="00BD6C5A">
            <w:pPr>
              <w:pStyle w:val="Tabletext"/>
            </w:pPr>
            <w:r w:rsidRPr="00EE2556">
              <w:t>12.</w:t>
            </w:r>
            <w:r>
              <w:t>2</w:t>
            </w:r>
            <w:r w:rsidRPr="00EE2556">
              <w:t>%</w:t>
            </w:r>
          </w:p>
        </w:tc>
        <w:tc>
          <w:tcPr>
            <w:tcW w:w="0" w:type="auto"/>
            <w:tcBorders>
              <w:top w:val="single" w:sz="6" w:space="0" w:color="auto"/>
            </w:tcBorders>
            <w:shd w:val="clear" w:color="auto" w:fill="auto"/>
          </w:tcPr>
          <w:p w14:paraId="72626A03" w14:textId="77777777" w:rsidR="00E04EAF" w:rsidRPr="00EE2556" w:rsidRDefault="00E04EAF" w:rsidP="00BD6C5A">
            <w:pPr>
              <w:pStyle w:val="Tabletext"/>
            </w:pPr>
            <w:r w:rsidRPr="00EE2556">
              <w:t>13.3%</w:t>
            </w:r>
          </w:p>
        </w:tc>
      </w:tr>
      <w:tr w:rsidR="00E04EAF" w:rsidRPr="00E10372" w14:paraId="7EFB30E7" w14:textId="77777777" w:rsidTr="00BD6C5A">
        <w:tc>
          <w:tcPr>
            <w:tcW w:w="0" w:type="auto"/>
            <w:tcBorders>
              <w:top w:val="single" w:sz="6" w:space="0" w:color="auto"/>
            </w:tcBorders>
          </w:tcPr>
          <w:p w14:paraId="7946CA6D" w14:textId="77777777" w:rsidR="00E04EAF" w:rsidRPr="00EE2556" w:rsidRDefault="00E04EAF" w:rsidP="00BD6C5A">
            <w:pPr>
              <w:pStyle w:val="Tabletext"/>
            </w:pPr>
            <w:r w:rsidRPr="00EE2556">
              <w:t>1</w:t>
            </w:r>
            <w:r>
              <w:t>20</w:t>
            </w:r>
            <w:r w:rsidRPr="00EE2556">
              <w:t xml:space="preserve"> to 1</w:t>
            </w:r>
            <w:r>
              <w:t>32</w:t>
            </w:r>
          </w:p>
        </w:tc>
        <w:tc>
          <w:tcPr>
            <w:tcW w:w="0" w:type="auto"/>
            <w:tcBorders>
              <w:top w:val="single" w:sz="6" w:space="0" w:color="auto"/>
            </w:tcBorders>
            <w:shd w:val="clear" w:color="auto" w:fill="auto"/>
          </w:tcPr>
          <w:p w14:paraId="2BD0B82D" w14:textId="77777777" w:rsidR="00E04EAF" w:rsidRPr="00EE2556" w:rsidRDefault="00E04EAF" w:rsidP="00BD6C5A">
            <w:pPr>
              <w:pStyle w:val="Tabletext"/>
            </w:pPr>
            <w:r w:rsidRPr="00EE2556">
              <w:t>7.</w:t>
            </w:r>
            <w:r>
              <w:t>5</w:t>
            </w:r>
            <w:r w:rsidRPr="00EE2556">
              <w:t>%</w:t>
            </w:r>
          </w:p>
        </w:tc>
        <w:tc>
          <w:tcPr>
            <w:tcW w:w="0" w:type="auto"/>
            <w:tcBorders>
              <w:top w:val="single" w:sz="6" w:space="0" w:color="auto"/>
            </w:tcBorders>
            <w:shd w:val="clear" w:color="auto" w:fill="auto"/>
          </w:tcPr>
          <w:p w14:paraId="01366481" w14:textId="77777777" w:rsidR="00E04EAF" w:rsidRPr="00EE2556" w:rsidRDefault="00E04EAF" w:rsidP="00BD6C5A">
            <w:pPr>
              <w:pStyle w:val="Tabletext"/>
            </w:pPr>
            <w:r w:rsidRPr="00EE2556">
              <w:t>8.</w:t>
            </w:r>
            <w:r>
              <w:t>3</w:t>
            </w:r>
            <w:r w:rsidRPr="00EE2556">
              <w:t>%</w:t>
            </w:r>
          </w:p>
        </w:tc>
        <w:tc>
          <w:tcPr>
            <w:tcW w:w="0" w:type="auto"/>
            <w:tcBorders>
              <w:top w:val="single" w:sz="6" w:space="0" w:color="auto"/>
            </w:tcBorders>
            <w:shd w:val="clear" w:color="auto" w:fill="auto"/>
          </w:tcPr>
          <w:p w14:paraId="1EBA4749" w14:textId="77777777" w:rsidR="00E04EAF" w:rsidRPr="00EE2556" w:rsidRDefault="00E04EAF" w:rsidP="00BD6C5A">
            <w:pPr>
              <w:pStyle w:val="Tabletext"/>
            </w:pPr>
            <w:r w:rsidRPr="00EE2556">
              <w:t>9.</w:t>
            </w:r>
            <w:r>
              <w:t>2</w:t>
            </w:r>
            <w:r w:rsidRPr="00EE2556">
              <w:t>%</w:t>
            </w:r>
          </w:p>
        </w:tc>
        <w:tc>
          <w:tcPr>
            <w:tcW w:w="0" w:type="auto"/>
            <w:tcBorders>
              <w:top w:val="single" w:sz="6" w:space="0" w:color="auto"/>
            </w:tcBorders>
            <w:shd w:val="clear" w:color="auto" w:fill="auto"/>
          </w:tcPr>
          <w:p w14:paraId="6B4D8B9E" w14:textId="77777777" w:rsidR="00E04EAF" w:rsidRPr="00EE2556" w:rsidRDefault="00E04EAF" w:rsidP="00BD6C5A">
            <w:pPr>
              <w:pStyle w:val="Tabletext"/>
            </w:pPr>
            <w:r w:rsidRPr="00EE2556">
              <w:t>10.</w:t>
            </w:r>
            <w:r>
              <w:t>2</w:t>
            </w:r>
            <w:r w:rsidRPr="00EE2556">
              <w:t>%</w:t>
            </w:r>
          </w:p>
        </w:tc>
        <w:tc>
          <w:tcPr>
            <w:tcW w:w="0" w:type="auto"/>
            <w:tcBorders>
              <w:top w:val="single" w:sz="6" w:space="0" w:color="auto"/>
            </w:tcBorders>
            <w:shd w:val="clear" w:color="auto" w:fill="auto"/>
          </w:tcPr>
          <w:p w14:paraId="18F21869" w14:textId="77777777" w:rsidR="00E04EAF" w:rsidRPr="00EE2556" w:rsidRDefault="00E04EAF" w:rsidP="00BD6C5A">
            <w:pPr>
              <w:pStyle w:val="Tabletext"/>
            </w:pPr>
            <w:r w:rsidRPr="00EE2556">
              <w:t>11.</w:t>
            </w:r>
            <w:r>
              <w:t>2</w:t>
            </w:r>
            <w:r w:rsidRPr="00EE2556">
              <w:t>%</w:t>
            </w:r>
          </w:p>
        </w:tc>
        <w:tc>
          <w:tcPr>
            <w:tcW w:w="0" w:type="auto"/>
            <w:tcBorders>
              <w:top w:val="single" w:sz="6" w:space="0" w:color="auto"/>
            </w:tcBorders>
            <w:shd w:val="clear" w:color="auto" w:fill="auto"/>
          </w:tcPr>
          <w:p w14:paraId="1A9F3483" w14:textId="77777777" w:rsidR="00E04EAF" w:rsidRPr="00EE2556" w:rsidRDefault="00E04EAF" w:rsidP="00BD6C5A">
            <w:pPr>
              <w:pStyle w:val="Tabletext"/>
            </w:pPr>
            <w:r w:rsidRPr="00EE2556">
              <w:t>12.</w:t>
            </w:r>
            <w:r>
              <w:t>2</w:t>
            </w:r>
            <w:r w:rsidRPr="00EE2556">
              <w:t>%</w:t>
            </w:r>
          </w:p>
        </w:tc>
        <w:tc>
          <w:tcPr>
            <w:tcW w:w="0" w:type="auto"/>
            <w:tcBorders>
              <w:top w:val="single" w:sz="6" w:space="0" w:color="auto"/>
            </w:tcBorders>
            <w:shd w:val="clear" w:color="auto" w:fill="auto"/>
          </w:tcPr>
          <w:p w14:paraId="68AE3A30" w14:textId="77777777" w:rsidR="00E04EAF" w:rsidRPr="00EE2556" w:rsidRDefault="00E04EAF" w:rsidP="00BD6C5A">
            <w:pPr>
              <w:pStyle w:val="Tabletext"/>
            </w:pPr>
            <w:r w:rsidRPr="00EE2556">
              <w:t>13.3%</w:t>
            </w:r>
          </w:p>
        </w:tc>
      </w:tr>
      <w:tr w:rsidR="00E04EAF" w:rsidRPr="00E10372" w14:paraId="015E0CE8" w14:textId="77777777" w:rsidTr="00BD6C5A">
        <w:tc>
          <w:tcPr>
            <w:tcW w:w="0" w:type="auto"/>
            <w:tcBorders>
              <w:top w:val="single" w:sz="6" w:space="0" w:color="auto"/>
            </w:tcBorders>
          </w:tcPr>
          <w:p w14:paraId="05901C96" w14:textId="77777777" w:rsidR="00E04EAF" w:rsidRPr="00EE2556" w:rsidRDefault="00E04EAF" w:rsidP="00BD6C5A">
            <w:pPr>
              <w:pStyle w:val="Tabletext"/>
            </w:pPr>
            <w:r w:rsidRPr="00EE2556">
              <w:t>108 to 120</w:t>
            </w:r>
          </w:p>
        </w:tc>
        <w:tc>
          <w:tcPr>
            <w:tcW w:w="0" w:type="auto"/>
            <w:tcBorders>
              <w:top w:val="single" w:sz="6" w:space="0" w:color="auto"/>
            </w:tcBorders>
            <w:shd w:val="clear" w:color="auto" w:fill="auto"/>
          </w:tcPr>
          <w:p w14:paraId="04A553FA" w14:textId="77777777" w:rsidR="00E04EAF" w:rsidRPr="00EE2556" w:rsidRDefault="00E04EAF" w:rsidP="00BD6C5A">
            <w:pPr>
              <w:pStyle w:val="Tabletext"/>
            </w:pPr>
            <w:r w:rsidRPr="00EE2556">
              <w:t>7.2%</w:t>
            </w:r>
          </w:p>
        </w:tc>
        <w:tc>
          <w:tcPr>
            <w:tcW w:w="0" w:type="auto"/>
            <w:tcBorders>
              <w:top w:val="single" w:sz="6" w:space="0" w:color="auto"/>
            </w:tcBorders>
            <w:shd w:val="clear" w:color="auto" w:fill="auto"/>
          </w:tcPr>
          <w:p w14:paraId="55935B1C" w14:textId="77777777" w:rsidR="00E04EAF" w:rsidRPr="00EE2556" w:rsidRDefault="00E04EAF" w:rsidP="00BD6C5A">
            <w:pPr>
              <w:pStyle w:val="Tabletext"/>
            </w:pPr>
            <w:r w:rsidRPr="00EE2556">
              <w:t>8.1%</w:t>
            </w:r>
          </w:p>
        </w:tc>
        <w:tc>
          <w:tcPr>
            <w:tcW w:w="0" w:type="auto"/>
            <w:tcBorders>
              <w:top w:val="single" w:sz="6" w:space="0" w:color="auto"/>
            </w:tcBorders>
            <w:shd w:val="clear" w:color="auto" w:fill="auto"/>
          </w:tcPr>
          <w:p w14:paraId="111B3158" w14:textId="77777777" w:rsidR="00E04EAF" w:rsidRPr="00EE2556" w:rsidRDefault="00E04EAF" w:rsidP="00BD6C5A">
            <w:pPr>
              <w:pStyle w:val="Tabletext"/>
            </w:pPr>
            <w:r w:rsidRPr="00EE2556">
              <w:t>9.1%</w:t>
            </w:r>
          </w:p>
        </w:tc>
        <w:tc>
          <w:tcPr>
            <w:tcW w:w="0" w:type="auto"/>
            <w:tcBorders>
              <w:top w:val="single" w:sz="6" w:space="0" w:color="auto"/>
            </w:tcBorders>
            <w:shd w:val="clear" w:color="auto" w:fill="auto"/>
          </w:tcPr>
          <w:p w14:paraId="5B40AD39" w14:textId="77777777" w:rsidR="00E04EAF" w:rsidRPr="00EE2556" w:rsidRDefault="00E04EAF" w:rsidP="00BD6C5A">
            <w:pPr>
              <w:pStyle w:val="Tabletext"/>
            </w:pPr>
            <w:r w:rsidRPr="00EE2556">
              <w:t>10.0%</w:t>
            </w:r>
          </w:p>
        </w:tc>
        <w:tc>
          <w:tcPr>
            <w:tcW w:w="0" w:type="auto"/>
            <w:tcBorders>
              <w:top w:val="single" w:sz="6" w:space="0" w:color="auto"/>
            </w:tcBorders>
            <w:shd w:val="clear" w:color="auto" w:fill="auto"/>
          </w:tcPr>
          <w:p w14:paraId="5B423CA5" w14:textId="77777777" w:rsidR="00E04EAF" w:rsidRPr="00EE2556" w:rsidRDefault="00E04EAF" w:rsidP="00BD6C5A">
            <w:pPr>
              <w:pStyle w:val="Tabletext"/>
            </w:pPr>
            <w:r w:rsidRPr="00EE2556">
              <w:t>11.1%</w:t>
            </w:r>
          </w:p>
        </w:tc>
        <w:tc>
          <w:tcPr>
            <w:tcW w:w="0" w:type="auto"/>
            <w:tcBorders>
              <w:top w:val="single" w:sz="6" w:space="0" w:color="auto"/>
            </w:tcBorders>
            <w:shd w:val="clear" w:color="auto" w:fill="auto"/>
          </w:tcPr>
          <w:p w14:paraId="171D7716" w14:textId="77777777" w:rsidR="00E04EAF" w:rsidRPr="00EE2556" w:rsidRDefault="00E04EAF" w:rsidP="00BD6C5A">
            <w:pPr>
              <w:pStyle w:val="Tabletext"/>
            </w:pPr>
            <w:r w:rsidRPr="00EE2556">
              <w:t>12.1%</w:t>
            </w:r>
          </w:p>
        </w:tc>
        <w:tc>
          <w:tcPr>
            <w:tcW w:w="0" w:type="auto"/>
            <w:tcBorders>
              <w:top w:val="single" w:sz="6" w:space="0" w:color="auto"/>
            </w:tcBorders>
            <w:shd w:val="clear" w:color="auto" w:fill="auto"/>
          </w:tcPr>
          <w:p w14:paraId="606E451B" w14:textId="77777777" w:rsidR="00E04EAF" w:rsidRPr="00EE2556" w:rsidRDefault="00E04EAF" w:rsidP="00BD6C5A">
            <w:pPr>
              <w:pStyle w:val="Tabletext"/>
            </w:pPr>
            <w:r w:rsidRPr="00EE2556">
              <w:t>13.3%</w:t>
            </w:r>
          </w:p>
        </w:tc>
      </w:tr>
      <w:tr w:rsidR="00E04EAF" w:rsidRPr="00E10372" w14:paraId="71D2A32E" w14:textId="77777777" w:rsidTr="00BD6C5A">
        <w:tc>
          <w:tcPr>
            <w:tcW w:w="0" w:type="auto"/>
          </w:tcPr>
          <w:p w14:paraId="1021C992" w14:textId="77777777" w:rsidR="00E04EAF" w:rsidRPr="00EE2556" w:rsidRDefault="00E04EAF" w:rsidP="00BD6C5A">
            <w:pPr>
              <w:pStyle w:val="Tabletext"/>
            </w:pPr>
            <w:r w:rsidRPr="00EE2556">
              <w:t>96 to 108</w:t>
            </w:r>
          </w:p>
        </w:tc>
        <w:tc>
          <w:tcPr>
            <w:tcW w:w="0" w:type="auto"/>
            <w:shd w:val="clear" w:color="auto" w:fill="auto"/>
          </w:tcPr>
          <w:p w14:paraId="7B3E9CBC" w14:textId="77777777" w:rsidR="00E04EAF" w:rsidRPr="00EE2556" w:rsidRDefault="00E04EAF" w:rsidP="00BD6C5A">
            <w:pPr>
              <w:pStyle w:val="Tabletext"/>
            </w:pPr>
            <w:r w:rsidRPr="00EE2556">
              <w:t>7.0%</w:t>
            </w:r>
          </w:p>
        </w:tc>
        <w:tc>
          <w:tcPr>
            <w:tcW w:w="0" w:type="auto"/>
            <w:shd w:val="clear" w:color="auto" w:fill="auto"/>
          </w:tcPr>
          <w:p w14:paraId="2C0FD491" w14:textId="77777777" w:rsidR="00E04EAF" w:rsidRPr="00EE2556" w:rsidRDefault="00E04EAF" w:rsidP="00BD6C5A">
            <w:pPr>
              <w:pStyle w:val="Tabletext"/>
            </w:pPr>
            <w:r w:rsidRPr="00EE2556">
              <w:t>7.9%</w:t>
            </w:r>
          </w:p>
        </w:tc>
        <w:tc>
          <w:tcPr>
            <w:tcW w:w="0" w:type="auto"/>
            <w:shd w:val="clear" w:color="auto" w:fill="auto"/>
          </w:tcPr>
          <w:p w14:paraId="765A8EEC" w14:textId="77777777" w:rsidR="00E04EAF" w:rsidRPr="00EE2556" w:rsidRDefault="00E04EAF" w:rsidP="00BD6C5A">
            <w:pPr>
              <w:pStyle w:val="Tabletext"/>
            </w:pPr>
            <w:r w:rsidRPr="00EE2556">
              <w:t>8.8%</w:t>
            </w:r>
          </w:p>
        </w:tc>
        <w:tc>
          <w:tcPr>
            <w:tcW w:w="0" w:type="auto"/>
            <w:shd w:val="clear" w:color="auto" w:fill="auto"/>
          </w:tcPr>
          <w:p w14:paraId="0B29E22F" w14:textId="77777777" w:rsidR="00E04EAF" w:rsidRPr="00EE2556" w:rsidRDefault="00E04EAF" w:rsidP="00BD6C5A">
            <w:pPr>
              <w:pStyle w:val="Tabletext"/>
            </w:pPr>
            <w:r w:rsidRPr="00EE2556">
              <w:t>9.8%</w:t>
            </w:r>
          </w:p>
        </w:tc>
        <w:tc>
          <w:tcPr>
            <w:tcW w:w="0" w:type="auto"/>
            <w:shd w:val="clear" w:color="auto" w:fill="auto"/>
          </w:tcPr>
          <w:p w14:paraId="60D6CE82" w14:textId="77777777" w:rsidR="00E04EAF" w:rsidRPr="00EE2556" w:rsidRDefault="00E04EAF" w:rsidP="00BD6C5A">
            <w:pPr>
              <w:pStyle w:val="Tabletext"/>
            </w:pPr>
            <w:r w:rsidRPr="00EE2556">
              <w:t>10.9%</w:t>
            </w:r>
          </w:p>
        </w:tc>
        <w:tc>
          <w:tcPr>
            <w:tcW w:w="0" w:type="auto"/>
            <w:shd w:val="clear" w:color="auto" w:fill="auto"/>
          </w:tcPr>
          <w:p w14:paraId="2BBD3C3A" w14:textId="77777777" w:rsidR="00E04EAF" w:rsidRPr="00EE2556" w:rsidRDefault="00E04EAF" w:rsidP="00BD6C5A">
            <w:pPr>
              <w:pStyle w:val="Tabletext"/>
            </w:pPr>
            <w:r w:rsidRPr="00EE2556">
              <w:t>12.0%</w:t>
            </w:r>
          </w:p>
        </w:tc>
        <w:tc>
          <w:tcPr>
            <w:tcW w:w="0" w:type="auto"/>
            <w:shd w:val="clear" w:color="auto" w:fill="auto"/>
          </w:tcPr>
          <w:p w14:paraId="15BC3F3C" w14:textId="77777777" w:rsidR="00E04EAF" w:rsidRPr="00EE2556" w:rsidRDefault="00E04EAF" w:rsidP="00BD6C5A">
            <w:pPr>
              <w:pStyle w:val="Tabletext"/>
            </w:pPr>
            <w:r w:rsidRPr="00EE2556">
              <w:t>13.2%</w:t>
            </w:r>
          </w:p>
        </w:tc>
      </w:tr>
      <w:tr w:rsidR="00E04EAF" w:rsidRPr="00E10372" w14:paraId="1E67EA63" w14:textId="77777777" w:rsidTr="00BD6C5A">
        <w:tc>
          <w:tcPr>
            <w:tcW w:w="0" w:type="auto"/>
          </w:tcPr>
          <w:p w14:paraId="38CB195E" w14:textId="77777777" w:rsidR="00E04EAF" w:rsidRPr="00EE2556" w:rsidRDefault="00E04EAF" w:rsidP="00BD6C5A">
            <w:pPr>
              <w:pStyle w:val="Tabletext"/>
            </w:pPr>
            <w:r w:rsidRPr="00EE2556">
              <w:t>84 to 96</w:t>
            </w:r>
          </w:p>
        </w:tc>
        <w:tc>
          <w:tcPr>
            <w:tcW w:w="0" w:type="auto"/>
            <w:shd w:val="clear" w:color="auto" w:fill="auto"/>
          </w:tcPr>
          <w:p w14:paraId="6298F626" w14:textId="77777777" w:rsidR="00E04EAF" w:rsidRPr="00EE2556" w:rsidRDefault="00E04EAF" w:rsidP="00BD6C5A">
            <w:pPr>
              <w:pStyle w:val="Tabletext"/>
            </w:pPr>
            <w:r w:rsidRPr="00EE2556">
              <w:t>6.6%</w:t>
            </w:r>
          </w:p>
        </w:tc>
        <w:tc>
          <w:tcPr>
            <w:tcW w:w="0" w:type="auto"/>
            <w:shd w:val="clear" w:color="auto" w:fill="auto"/>
          </w:tcPr>
          <w:p w14:paraId="21280931" w14:textId="77777777" w:rsidR="00E04EAF" w:rsidRPr="00EE2556" w:rsidRDefault="00E04EAF" w:rsidP="00BD6C5A">
            <w:pPr>
              <w:pStyle w:val="Tabletext"/>
            </w:pPr>
            <w:r w:rsidRPr="00EE2556">
              <w:t>7.6%</w:t>
            </w:r>
          </w:p>
        </w:tc>
        <w:tc>
          <w:tcPr>
            <w:tcW w:w="0" w:type="auto"/>
            <w:shd w:val="clear" w:color="auto" w:fill="auto"/>
          </w:tcPr>
          <w:p w14:paraId="17F55A2B" w14:textId="77777777" w:rsidR="00E04EAF" w:rsidRPr="00EE2556" w:rsidRDefault="00E04EAF" w:rsidP="00BD6C5A">
            <w:pPr>
              <w:pStyle w:val="Tabletext"/>
            </w:pPr>
            <w:r w:rsidRPr="00EE2556">
              <w:t>8.5%</w:t>
            </w:r>
          </w:p>
        </w:tc>
        <w:tc>
          <w:tcPr>
            <w:tcW w:w="0" w:type="auto"/>
            <w:shd w:val="clear" w:color="auto" w:fill="auto"/>
          </w:tcPr>
          <w:p w14:paraId="3A90F465" w14:textId="77777777" w:rsidR="00E04EAF" w:rsidRPr="00EE2556" w:rsidRDefault="00E04EAF" w:rsidP="00BD6C5A">
            <w:pPr>
              <w:pStyle w:val="Tabletext"/>
            </w:pPr>
            <w:r w:rsidRPr="00EE2556">
              <w:t>9.6%</w:t>
            </w:r>
          </w:p>
        </w:tc>
        <w:tc>
          <w:tcPr>
            <w:tcW w:w="0" w:type="auto"/>
            <w:shd w:val="clear" w:color="auto" w:fill="auto"/>
          </w:tcPr>
          <w:p w14:paraId="65FC992F" w14:textId="77777777" w:rsidR="00E04EAF" w:rsidRPr="00EE2556" w:rsidRDefault="00E04EAF" w:rsidP="00BD6C5A">
            <w:pPr>
              <w:pStyle w:val="Tabletext"/>
            </w:pPr>
            <w:r w:rsidRPr="00EE2556">
              <w:t>10.7%</w:t>
            </w:r>
          </w:p>
        </w:tc>
        <w:tc>
          <w:tcPr>
            <w:tcW w:w="0" w:type="auto"/>
            <w:shd w:val="clear" w:color="auto" w:fill="auto"/>
          </w:tcPr>
          <w:p w14:paraId="268D9FC1" w14:textId="77777777" w:rsidR="00E04EAF" w:rsidRPr="00EE2556" w:rsidRDefault="00E04EAF" w:rsidP="00BD6C5A">
            <w:pPr>
              <w:pStyle w:val="Tabletext"/>
            </w:pPr>
            <w:r w:rsidRPr="00EE2556">
              <w:t>11.8%</w:t>
            </w:r>
          </w:p>
        </w:tc>
        <w:tc>
          <w:tcPr>
            <w:tcW w:w="0" w:type="auto"/>
            <w:shd w:val="clear" w:color="auto" w:fill="auto"/>
          </w:tcPr>
          <w:p w14:paraId="2236765F" w14:textId="77777777" w:rsidR="00E04EAF" w:rsidRPr="00EE2556" w:rsidRDefault="00E04EAF" w:rsidP="00BD6C5A">
            <w:pPr>
              <w:pStyle w:val="Tabletext"/>
            </w:pPr>
            <w:r w:rsidRPr="00EE2556">
              <w:t>13.0%</w:t>
            </w:r>
          </w:p>
        </w:tc>
      </w:tr>
      <w:tr w:rsidR="00E04EAF" w:rsidRPr="00E10372" w14:paraId="6F6F2997" w14:textId="77777777" w:rsidTr="00BD6C5A">
        <w:tc>
          <w:tcPr>
            <w:tcW w:w="0" w:type="auto"/>
          </w:tcPr>
          <w:p w14:paraId="1397A392" w14:textId="77777777" w:rsidR="00E04EAF" w:rsidRPr="00EE2556" w:rsidRDefault="00E04EAF" w:rsidP="00BD6C5A">
            <w:pPr>
              <w:pStyle w:val="Tabletext"/>
            </w:pPr>
            <w:r w:rsidRPr="00EE2556">
              <w:t>72 to 84</w:t>
            </w:r>
          </w:p>
        </w:tc>
        <w:tc>
          <w:tcPr>
            <w:tcW w:w="0" w:type="auto"/>
            <w:shd w:val="clear" w:color="auto" w:fill="auto"/>
          </w:tcPr>
          <w:p w14:paraId="3B6AD615" w14:textId="77777777" w:rsidR="00E04EAF" w:rsidRPr="00EE2556" w:rsidRDefault="00E04EAF" w:rsidP="00BD6C5A">
            <w:pPr>
              <w:pStyle w:val="Tabletext"/>
            </w:pPr>
            <w:r w:rsidRPr="00EE2556">
              <w:t>6.2%</w:t>
            </w:r>
          </w:p>
        </w:tc>
        <w:tc>
          <w:tcPr>
            <w:tcW w:w="0" w:type="auto"/>
            <w:shd w:val="clear" w:color="auto" w:fill="auto"/>
          </w:tcPr>
          <w:p w14:paraId="0CA3A665" w14:textId="77777777" w:rsidR="00E04EAF" w:rsidRPr="00EE2556" w:rsidRDefault="00E04EAF" w:rsidP="00BD6C5A">
            <w:pPr>
              <w:pStyle w:val="Tabletext"/>
            </w:pPr>
            <w:r w:rsidRPr="00EE2556">
              <w:t>7.2%</w:t>
            </w:r>
          </w:p>
        </w:tc>
        <w:tc>
          <w:tcPr>
            <w:tcW w:w="0" w:type="auto"/>
            <w:shd w:val="clear" w:color="auto" w:fill="auto"/>
          </w:tcPr>
          <w:p w14:paraId="7D331E18" w14:textId="77777777" w:rsidR="00E04EAF" w:rsidRPr="00EE2556" w:rsidRDefault="00E04EAF" w:rsidP="00BD6C5A">
            <w:pPr>
              <w:pStyle w:val="Tabletext"/>
            </w:pPr>
            <w:r w:rsidRPr="00EE2556">
              <w:t>8.2%</w:t>
            </w:r>
          </w:p>
        </w:tc>
        <w:tc>
          <w:tcPr>
            <w:tcW w:w="0" w:type="auto"/>
            <w:shd w:val="clear" w:color="auto" w:fill="auto"/>
          </w:tcPr>
          <w:p w14:paraId="2D1681C5" w14:textId="77777777" w:rsidR="00E04EAF" w:rsidRPr="00EE2556" w:rsidRDefault="00E04EAF" w:rsidP="00BD6C5A">
            <w:pPr>
              <w:pStyle w:val="Tabletext"/>
            </w:pPr>
            <w:r w:rsidRPr="00EE2556">
              <w:t>9.2%</w:t>
            </w:r>
          </w:p>
        </w:tc>
        <w:tc>
          <w:tcPr>
            <w:tcW w:w="0" w:type="auto"/>
            <w:shd w:val="clear" w:color="auto" w:fill="auto"/>
          </w:tcPr>
          <w:p w14:paraId="537D3091" w14:textId="77777777" w:rsidR="00E04EAF" w:rsidRPr="00EE2556" w:rsidRDefault="00E04EAF" w:rsidP="00BD6C5A">
            <w:pPr>
              <w:pStyle w:val="Tabletext"/>
            </w:pPr>
            <w:r w:rsidRPr="00EE2556">
              <w:t>10.4%</w:t>
            </w:r>
          </w:p>
        </w:tc>
        <w:tc>
          <w:tcPr>
            <w:tcW w:w="0" w:type="auto"/>
            <w:shd w:val="clear" w:color="auto" w:fill="auto"/>
          </w:tcPr>
          <w:p w14:paraId="04BD07E4" w14:textId="77777777" w:rsidR="00E04EAF" w:rsidRPr="00EE2556" w:rsidRDefault="00E04EAF" w:rsidP="00BD6C5A">
            <w:pPr>
              <w:pStyle w:val="Tabletext"/>
            </w:pPr>
            <w:r w:rsidRPr="00EE2556">
              <w:t>11.6%</w:t>
            </w:r>
          </w:p>
        </w:tc>
        <w:tc>
          <w:tcPr>
            <w:tcW w:w="0" w:type="auto"/>
            <w:shd w:val="clear" w:color="auto" w:fill="auto"/>
          </w:tcPr>
          <w:p w14:paraId="62E467CE" w14:textId="77777777" w:rsidR="00E04EAF" w:rsidRPr="00EE2556" w:rsidRDefault="00E04EAF" w:rsidP="00BD6C5A">
            <w:pPr>
              <w:pStyle w:val="Tabletext"/>
            </w:pPr>
            <w:r w:rsidRPr="00EE2556">
              <w:t>12.8%</w:t>
            </w:r>
          </w:p>
        </w:tc>
      </w:tr>
      <w:tr w:rsidR="00E04EAF" w:rsidRPr="00E10372" w14:paraId="3FA43EA1" w14:textId="77777777" w:rsidTr="00BD6C5A">
        <w:tc>
          <w:tcPr>
            <w:tcW w:w="0" w:type="auto"/>
          </w:tcPr>
          <w:p w14:paraId="169B8B4E" w14:textId="77777777" w:rsidR="00E04EAF" w:rsidRPr="00EE2556" w:rsidRDefault="00E04EAF" w:rsidP="00BD6C5A">
            <w:pPr>
              <w:pStyle w:val="Tabletext"/>
            </w:pPr>
            <w:r w:rsidRPr="00EE2556">
              <w:t>60 to 72</w:t>
            </w:r>
          </w:p>
        </w:tc>
        <w:tc>
          <w:tcPr>
            <w:tcW w:w="0" w:type="auto"/>
            <w:shd w:val="clear" w:color="auto" w:fill="auto"/>
          </w:tcPr>
          <w:p w14:paraId="683BF624" w14:textId="77777777" w:rsidR="00E04EAF" w:rsidRPr="00EE2556" w:rsidRDefault="00E04EAF" w:rsidP="00BD6C5A">
            <w:pPr>
              <w:pStyle w:val="Tabletext"/>
            </w:pPr>
            <w:r w:rsidRPr="00EE2556">
              <w:t>5.7%</w:t>
            </w:r>
          </w:p>
        </w:tc>
        <w:tc>
          <w:tcPr>
            <w:tcW w:w="0" w:type="auto"/>
            <w:shd w:val="clear" w:color="auto" w:fill="auto"/>
          </w:tcPr>
          <w:p w14:paraId="5F5EB5DE" w14:textId="77777777" w:rsidR="00E04EAF" w:rsidRPr="00EE2556" w:rsidRDefault="00E04EAF" w:rsidP="00BD6C5A">
            <w:pPr>
              <w:pStyle w:val="Tabletext"/>
            </w:pPr>
            <w:r w:rsidRPr="00EE2556">
              <w:t>6.7%</w:t>
            </w:r>
          </w:p>
        </w:tc>
        <w:tc>
          <w:tcPr>
            <w:tcW w:w="0" w:type="auto"/>
            <w:shd w:val="clear" w:color="auto" w:fill="auto"/>
          </w:tcPr>
          <w:p w14:paraId="4F73E9FA" w14:textId="77777777" w:rsidR="00E04EAF" w:rsidRPr="00EE2556" w:rsidRDefault="00E04EAF" w:rsidP="00BD6C5A">
            <w:pPr>
              <w:pStyle w:val="Tabletext"/>
            </w:pPr>
            <w:r w:rsidRPr="00EE2556">
              <w:t>7.7%</w:t>
            </w:r>
          </w:p>
        </w:tc>
        <w:tc>
          <w:tcPr>
            <w:tcW w:w="0" w:type="auto"/>
            <w:shd w:val="clear" w:color="auto" w:fill="auto"/>
          </w:tcPr>
          <w:p w14:paraId="2CE3FDFA" w14:textId="77777777" w:rsidR="00E04EAF" w:rsidRPr="00EE2556" w:rsidRDefault="00E04EAF" w:rsidP="00BD6C5A">
            <w:pPr>
              <w:pStyle w:val="Tabletext"/>
            </w:pPr>
            <w:r w:rsidRPr="00EE2556">
              <w:t>8.8%</w:t>
            </w:r>
          </w:p>
        </w:tc>
        <w:tc>
          <w:tcPr>
            <w:tcW w:w="0" w:type="auto"/>
            <w:shd w:val="clear" w:color="auto" w:fill="auto"/>
          </w:tcPr>
          <w:p w14:paraId="419337B6" w14:textId="77777777" w:rsidR="00E04EAF" w:rsidRPr="00EE2556" w:rsidRDefault="00E04EAF" w:rsidP="00BD6C5A">
            <w:pPr>
              <w:pStyle w:val="Tabletext"/>
            </w:pPr>
            <w:r w:rsidRPr="00EE2556">
              <w:t>9.9%</w:t>
            </w:r>
          </w:p>
        </w:tc>
        <w:tc>
          <w:tcPr>
            <w:tcW w:w="0" w:type="auto"/>
            <w:shd w:val="clear" w:color="auto" w:fill="auto"/>
          </w:tcPr>
          <w:p w14:paraId="47CD1D6E" w14:textId="77777777" w:rsidR="00E04EAF" w:rsidRPr="00EE2556" w:rsidRDefault="00E04EAF" w:rsidP="00BD6C5A">
            <w:pPr>
              <w:pStyle w:val="Tabletext"/>
            </w:pPr>
            <w:r w:rsidRPr="00EE2556">
              <w:t>11.2%</w:t>
            </w:r>
          </w:p>
        </w:tc>
        <w:tc>
          <w:tcPr>
            <w:tcW w:w="0" w:type="auto"/>
            <w:shd w:val="clear" w:color="auto" w:fill="auto"/>
          </w:tcPr>
          <w:p w14:paraId="22EED669" w14:textId="77777777" w:rsidR="00E04EAF" w:rsidRPr="00EE2556" w:rsidRDefault="00E04EAF" w:rsidP="00BD6C5A">
            <w:pPr>
              <w:pStyle w:val="Tabletext"/>
            </w:pPr>
            <w:r w:rsidRPr="00EE2556">
              <w:t>12.5%</w:t>
            </w:r>
          </w:p>
        </w:tc>
      </w:tr>
      <w:tr w:rsidR="00E04EAF" w:rsidRPr="00E10372" w14:paraId="53070007" w14:textId="77777777" w:rsidTr="00BD6C5A">
        <w:tc>
          <w:tcPr>
            <w:tcW w:w="0" w:type="auto"/>
          </w:tcPr>
          <w:p w14:paraId="1B038114" w14:textId="77777777" w:rsidR="00E04EAF" w:rsidRPr="00EE2556" w:rsidRDefault="00E04EAF" w:rsidP="00BD6C5A">
            <w:pPr>
              <w:pStyle w:val="Tabletext"/>
            </w:pPr>
            <w:r w:rsidRPr="00EE2556">
              <w:t>48 to 60</w:t>
            </w:r>
          </w:p>
        </w:tc>
        <w:tc>
          <w:tcPr>
            <w:tcW w:w="0" w:type="auto"/>
            <w:shd w:val="clear" w:color="auto" w:fill="auto"/>
          </w:tcPr>
          <w:p w14:paraId="707BA6E4" w14:textId="77777777" w:rsidR="00E04EAF" w:rsidRPr="00EE2556" w:rsidRDefault="00E04EAF" w:rsidP="00BD6C5A">
            <w:pPr>
              <w:pStyle w:val="Tabletext"/>
            </w:pPr>
            <w:r w:rsidRPr="00EE2556">
              <w:t>5.1%</w:t>
            </w:r>
          </w:p>
        </w:tc>
        <w:tc>
          <w:tcPr>
            <w:tcW w:w="0" w:type="auto"/>
            <w:shd w:val="clear" w:color="auto" w:fill="auto"/>
          </w:tcPr>
          <w:p w14:paraId="52BE75BC" w14:textId="77777777" w:rsidR="00E04EAF" w:rsidRPr="00EE2556" w:rsidRDefault="00E04EAF" w:rsidP="00BD6C5A">
            <w:pPr>
              <w:pStyle w:val="Tabletext"/>
            </w:pPr>
            <w:r w:rsidRPr="00EE2556">
              <w:t>6.0%</w:t>
            </w:r>
          </w:p>
        </w:tc>
        <w:tc>
          <w:tcPr>
            <w:tcW w:w="0" w:type="auto"/>
            <w:shd w:val="clear" w:color="auto" w:fill="auto"/>
          </w:tcPr>
          <w:p w14:paraId="6FB77F57" w14:textId="77777777" w:rsidR="00E04EAF" w:rsidRPr="00EE2556" w:rsidRDefault="00E04EAF" w:rsidP="00BD6C5A">
            <w:pPr>
              <w:pStyle w:val="Tabletext"/>
            </w:pPr>
            <w:r w:rsidRPr="00EE2556">
              <w:t>7.0%</w:t>
            </w:r>
          </w:p>
        </w:tc>
        <w:tc>
          <w:tcPr>
            <w:tcW w:w="0" w:type="auto"/>
            <w:shd w:val="clear" w:color="auto" w:fill="auto"/>
          </w:tcPr>
          <w:p w14:paraId="6D9D28D6" w14:textId="77777777" w:rsidR="00E04EAF" w:rsidRPr="00EE2556" w:rsidRDefault="00E04EAF" w:rsidP="00BD6C5A">
            <w:pPr>
              <w:pStyle w:val="Tabletext"/>
            </w:pPr>
            <w:r w:rsidRPr="00EE2556">
              <w:t>8.2%</w:t>
            </w:r>
          </w:p>
        </w:tc>
        <w:tc>
          <w:tcPr>
            <w:tcW w:w="0" w:type="auto"/>
            <w:shd w:val="clear" w:color="auto" w:fill="auto"/>
          </w:tcPr>
          <w:p w14:paraId="413479BA" w14:textId="77777777" w:rsidR="00E04EAF" w:rsidRPr="00EE2556" w:rsidRDefault="00E04EAF" w:rsidP="00BD6C5A">
            <w:pPr>
              <w:pStyle w:val="Tabletext"/>
            </w:pPr>
            <w:r w:rsidRPr="00EE2556">
              <w:t>9.4%</w:t>
            </w:r>
          </w:p>
        </w:tc>
        <w:tc>
          <w:tcPr>
            <w:tcW w:w="0" w:type="auto"/>
            <w:shd w:val="clear" w:color="auto" w:fill="auto"/>
          </w:tcPr>
          <w:p w14:paraId="152EA246" w14:textId="77777777" w:rsidR="00E04EAF" w:rsidRPr="00EE2556" w:rsidRDefault="00E04EAF" w:rsidP="00BD6C5A">
            <w:pPr>
              <w:pStyle w:val="Tabletext"/>
            </w:pPr>
            <w:r w:rsidRPr="00EE2556">
              <w:t>10.7%</w:t>
            </w:r>
          </w:p>
        </w:tc>
        <w:tc>
          <w:tcPr>
            <w:tcW w:w="0" w:type="auto"/>
            <w:shd w:val="clear" w:color="auto" w:fill="auto"/>
          </w:tcPr>
          <w:p w14:paraId="391418C5" w14:textId="77777777" w:rsidR="00E04EAF" w:rsidRPr="00EE2556" w:rsidRDefault="00E04EAF" w:rsidP="00BD6C5A">
            <w:pPr>
              <w:pStyle w:val="Tabletext"/>
            </w:pPr>
            <w:r w:rsidRPr="00EE2556">
              <w:t>12.1%</w:t>
            </w:r>
          </w:p>
        </w:tc>
      </w:tr>
      <w:tr w:rsidR="00E04EAF" w:rsidRPr="00E10372" w14:paraId="72114E20" w14:textId="77777777" w:rsidTr="00BD6C5A">
        <w:tc>
          <w:tcPr>
            <w:tcW w:w="0" w:type="auto"/>
          </w:tcPr>
          <w:p w14:paraId="4E98EACD" w14:textId="77777777" w:rsidR="00E04EAF" w:rsidRPr="00EE2556" w:rsidRDefault="00E04EAF" w:rsidP="00BD6C5A">
            <w:pPr>
              <w:pStyle w:val="Tabletext"/>
            </w:pPr>
            <w:r w:rsidRPr="00EE2556">
              <w:t>36 to 48</w:t>
            </w:r>
          </w:p>
        </w:tc>
        <w:tc>
          <w:tcPr>
            <w:tcW w:w="0" w:type="auto"/>
            <w:shd w:val="clear" w:color="auto" w:fill="auto"/>
          </w:tcPr>
          <w:p w14:paraId="5B74A7A4" w14:textId="77777777" w:rsidR="00E04EAF" w:rsidRPr="00EE2556" w:rsidRDefault="00E04EAF" w:rsidP="00BD6C5A">
            <w:pPr>
              <w:pStyle w:val="Tabletext"/>
            </w:pPr>
            <w:r w:rsidRPr="00EE2556">
              <w:t>4.2%</w:t>
            </w:r>
          </w:p>
        </w:tc>
        <w:tc>
          <w:tcPr>
            <w:tcW w:w="0" w:type="auto"/>
            <w:shd w:val="clear" w:color="auto" w:fill="auto"/>
          </w:tcPr>
          <w:p w14:paraId="2550315F" w14:textId="77777777" w:rsidR="00E04EAF" w:rsidRPr="00EE2556" w:rsidRDefault="00E04EAF" w:rsidP="00BD6C5A">
            <w:pPr>
              <w:pStyle w:val="Tabletext"/>
            </w:pPr>
            <w:r w:rsidRPr="00EE2556">
              <w:t>5.2%</w:t>
            </w:r>
          </w:p>
        </w:tc>
        <w:tc>
          <w:tcPr>
            <w:tcW w:w="0" w:type="auto"/>
            <w:shd w:val="clear" w:color="auto" w:fill="auto"/>
          </w:tcPr>
          <w:p w14:paraId="1082C77B" w14:textId="77777777" w:rsidR="00E04EAF" w:rsidRPr="00EE2556" w:rsidRDefault="00E04EAF" w:rsidP="00BD6C5A">
            <w:pPr>
              <w:pStyle w:val="Tabletext"/>
            </w:pPr>
            <w:r w:rsidRPr="00EE2556">
              <w:t>6.2%</w:t>
            </w:r>
          </w:p>
        </w:tc>
        <w:tc>
          <w:tcPr>
            <w:tcW w:w="0" w:type="auto"/>
            <w:shd w:val="clear" w:color="auto" w:fill="auto"/>
          </w:tcPr>
          <w:p w14:paraId="042B757B" w14:textId="77777777" w:rsidR="00E04EAF" w:rsidRPr="00EE2556" w:rsidRDefault="00E04EAF" w:rsidP="00BD6C5A">
            <w:pPr>
              <w:pStyle w:val="Tabletext"/>
            </w:pPr>
            <w:r w:rsidRPr="00EE2556">
              <w:t>7.4%</w:t>
            </w:r>
          </w:p>
        </w:tc>
        <w:tc>
          <w:tcPr>
            <w:tcW w:w="0" w:type="auto"/>
            <w:shd w:val="clear" w:color="auto" w:fill="auto"/>
          </w:tcPr>
          <w:p w14:paraId="1246A137" w14:textId="77777777" w:rsidR="00E04EAF" w:rsidRPr="00EE2556" w:rsidRDefault="00E04EAF" w:rsidP="00BD6C5A">
            <w:pPr>
              <w:pStyle w:val="Tabletext"/>
            </w:pPr>
            <w:r w:rsidRPr="00EE2556">
              <w:t>8.6%</w:t>
            </w:r>
          </w:p>
        </w:tc>
        <w:tc>
          <w:tcPr>
            <w:tcW w:w="0" w:type="auto"/>
            <w:shd w:val="clear" w:color="auto" w:fill="auto"/>
          </w:tcPr>
          <w:p w14:paraId="3AA370EE" w14:textId="77777777" w:rsidR="00E04EAF" w:rsidRPr="00EE2556" w:rsidRDefault="00E04EAF" w:rsidP="00BD6C5A">
            <w:pPr>
              <w:pStyle w:val="Tabletext"/>
            </w:pPr>
            <w:r w:rsidRPr="00EE2556">
              <w:t>10.0%</w:t>
            </w:r>
          </w:p>
        </w:tc>
        <w:tc>
          <w:tcPr>
            <w:tcW w:w="0" w:type="auto"/>
            <w:shd w:val="clear" w:color="auto" w:fill="auto"/>
          </w:tcPr>
          <w:p w14:paraId="2B302BE9" w14:textId="77777777" w:rsidR="00E04EAF" w:rsidRPr="00EE2556" w:rsidRDefault="00E04EAF" w:rsidP="00BD6C5A">
            <w:pPr>
              <w:pStyle w:val="Tabletext"/>
            </w:pPr>
            <w:r w:rsidRPr="00EE2556">
              <w:t>11.4%</w:t>
            </w:r>
          </w:p>
        </w:tc>
      </w:tr>
      <w:tr w:rsidR="00E04EAF" w:rsidRPr="00E10372" w14:paraId="125E91A8" w14:textId="77777777" w:rsidTr="00BD6C5A">
        <w:tc>
          <w:tcPr>
            <w:tcW w:w="0" w:type="auto"/>
          </w:tcPr>
          <w:p w14:paraId="1CEF2294" w14:textId="77777777" w:rsidR="00E04EAF" w:rsidRPr="00EE2556" w:rsidRDefault="00E04EAF" w:rsidP="00BD6C5A">
            <w:pPr>
              <w:pStyle w:val="Tabletext"/>
            </w:pPr>
            <w:r w:rsidRPr="00EE2556">
              <w:t>24 to 36</w:t>
            </w:r>
          </w:p>
        </w:tc>
        <w:tc>
          <w:tcPr>
            <w:tcW w:w="0" w:type="auto"/>
            <w:shd w:val="clear" w:color="auto" w:fill="auto"/>
          </w:tcPr>
          <w:p w14:paraId="1D0E5279" w14:textId="77777777" w:rsidR="00E04EAF" w:rsidRPr="00EE2556" w:rsidRDefault="00E04EAF" w:rsidP="00BD6C5A">
            <w:pPr>
              <w:pStyle w:val="Tabletext"/>
            </w:pPr>
            <w:r w:rsidRPr="00EE2556">
              <w:t>3.2%</w:t>
            </w:r>
          </w:p>
        </w:tc>
        <w:tc>
          <w:tcPr>
            <w:tcW w:w="0" w:type="auto"/>
            <w:shd w:val="clear" w:color="auto" w:fill="auto"/>
          </w:tcPr>
          <w:p w14:paraId="497EA31B" w14:textId="77777777" w:rsidR="00E04EAF" w:rsidRPr="00EE2556" w:rsidRDefault="00E04EAF" w:rsidP="00BD6C5A">
            <w:pPr>
              <w:pStyle w:val="Tabletext"/>
            </w:pPr>
            <w:r w:rsidRPr="00EE2556">
              <w:t>4.1%</w:t>
            </w:r>
          </w:p>
        </w:tc>
        <w:tc>
          <w:tcPr>
            <w:tcW w:w="0" w:type="auto"/>
            <w:shd w:val="clear" w:color="auto" w:fill="auto"/>
          </w:tcPr>
          <w:p w14:paraId="1A4410A9" w14:textId="77777777" w:rsidR="00E04EAF" w:rsidRPr="00EE2556" w:rsidRDefault="00E04EAF" w:rsidP="00BD6C5A">
            <w:pPr>
              <w:pStyle w:val="Tabletext"/>
            </w:pPr>
            <w:r w:rsidRPr="00EE2556">
              <w:t>5.1%</w:t>
            </w:r>
          </w:p>
        </w:tc>
        <w:tc>
          <w:tcPr>
            <w:tcW w:w="0" w:type="auto"/>
            <w:shd w:val="clear" w:color="auto" w:fill="auto"/>
          </w:tcPr>
          <w:p w14:paraId="403FF2AB" w14:textId="77777777" w:rsidR="00E04EAF" w:rsidRPr="00EE2556" w:rsidRDefault="00E04EAF" w:rsidP="00BD6C5A">
            <w:pPr>
              <w:pStyle w:val="Tabletext"/>
            </w:pPr>
            <w:r w:rsidRPr="00EE2556">
              <w:t>6.3%</w:t>
            </w:r>
          </w:p>
        </w:tc>
        <w:tc>
          <w:tcPr>
            <w:tcW w:w="0" w:type="auto"/>
            <w:shd w:val="clear" w:color="auto" w:fill="auto"/>
          </w:tcPr>
          <w:p w14:paraId="704D6AB3" w14:textId="77777777" w:rsidR="00E04EAF" w:rsidRPr="00EE2556" w:rsidRDefault="00E04EAF" w:rsidP="00BD6C5A">
            <w:pPr>
              <w:pStyle w:val="Tabletext"/>
            </w:pPr>
            <w:r w:rsidRPr="00EE2556">
              <w:t>7.6%</w:t>
            </w:r>
          </w:p>
        </w:tc>
        <w:tc>
          <w:tcPr>
            <w:tcW w:w="0" w:type="auto"/>
            <w:shd w:val="clear" w:color="auto" w:fill="auto"/>
          </w:tcPr>
          <w:p w14:paraId="65035A66" w14:textId="77777777" w:rsidR="00E04EAF" w:rsidRPr="00EE2556" w:rsidRDefault="00E04EAF" w:rsidP="00BD6C5A">
            <w:pPr>
              <w:pStyle w:val="Tabletext"/>
            </w:pPr>
            <w:r w:rsidRPr="00EE2556">
              <w:t>9.0%</w:t>
            </w:r>
          </w:p>
        </w:tc>
        <w:tc>
          <w:tcPr>
            <w:tcW w:w="0" w:type="auto"/>
            <w:shd w:val="clear" w:color="auto" w:fill="auto"/>
          </w:tcPr>
          <w:p w14:paraId="4CAFE12E" w14:textId="77777777" w:rsidR="00E04EAF" w:rsidRPr="00EE2556" w:rsidRDefault="00E04EAF" w:rsidP="00BD6C5A">
            <w:pPr>
              <w:pStyle w:val="Tabletext"/>
            </w:pPr>
            <w:r w:rsidRPr="00EE2556">
              <w:t>10.5%</w:t>
            </w:r>
          </w:p>
        </w:tc>
      </w:tr>
      <w:tr w:rsidR="00E04EAF" w:rsidRPr="00E10372" w14:paraId="6FB400C4" w14:textId="77777777" w:rsidTr="00BD6C5A">
        <w:tc>
          <w:tcPr>
            <w:tcW w:w="0" w:type="auto"/>
          </w:tcPr>
          <w:p w14:paraId="51069BBE" w14:textId="77777777" w:rsidR="00E04EAF" w:rsidRPr="00EE2556" w:rsidRDefault="00E04EAF" w:rsidP="00BD6C5A">
            <w:pPr>
              <w:pStyle w:val="Tabletext"/>
            </w:pPr>
            <w:r w:rsidRPr="00EE2556">
              <w:t>18 to 24</w:t>
            </w:r>
          </w:p>
        </w:tc>
        <w:tc>
          <w:tcPr>
            <w:tcW w:w="0" w:type="auto"/>
            <w:shd w:val="clear" w:color="auto" w:fill="auto"/>
          </w:tcPr>
          <w:p w14:paraId="0591AD55" w14:textId="77777777" w:rsidR="00E04EAF" w:rsidRPr="00EE2556" w:rsidRDefault="00E04EAF" w:rsidP="00BD6C5A">
            <w:pPr>
              <w:pStyle w:val="Tabletext"/>
            </w:pPr>
            <w:r w:rsidRPr="00EE2556">
              <w:t>2.5%</w:t>
            </w:r>
          </w:p>
        </w:tc>
        <w:tc>
          <w:tcPr>
            <w:tcW w:w="0" w:type="auto"/>
            <w:shd w:val="clear" w:color="auto" w:fill="auto"/>
          </w:tcPr>
          <w:p w14:paraId="40B3392C" w14:textId="77777777" w:rsidR="00E04EAF" w:rsidRPr="00EE2556" w:rsidRDefault="00E04EAF" w:rsidP="00BD6C5A">
            <w:pPr>
              <w:pStyle w:val="Tabletext"/>
            </w:pPr>
            <w:r w:rsidRPr="00EE2556">
              <w:t>3.4%</w:t>
            </w:r>
          </w:p>
        </w:tc>
        <w:tc>
          <w:tcPr>
            <w:tcW w:w="0" w:type="auto"/>
            <w:shd w:val="clear" w:color="auto" w:fill="auto"/>
          </w:tcPr>
          <w:p w14:paraId="36A515AA" w14:textId="77777777" w:rsidR="00E04EAF" w:rsidRPr="00EE2556" w:rsidRDefault="00E04EAF" w:rsidP="00BD6C5A">
            <w:pPr>
              <w:pStyle w:val="Tabletext"/>
            </w:pPr>
            <w:r w:rsidRPr="00EE2556">
              <w:t>4.4%</w:t>
            </w:r>
          </w:p>
        </w:tc>
        <w:tc>
          <w:tcPr>
            <w:tcW w:w="0" w:type="auto"/>
            <w:shd w:val="clear" w:color="auto" w:fill="auto"/>
          </w:tcPr>
          <w:p w14:paraId="763CFBF0" w14:textId="77777777" w:rsidR="00E04EAF" w:rsidRPr="00EE2556" w:rsidRDefault="00E04EAF" w:rsidP="00BD6C5A">
            <w:pPr>
              <w:pStyle w:val="Tabletext"/>
            </w:pPr>
            <w:r w:rsidRPr="00EE2556">
              <w:t>5.5%</w:t>
            </w:r>
          </w:p>
        </w:tc>
        <w:tc>
          <w:tcPr>
            <w:tcW w:w="0" w:type="auto"/>
            <w:shd w:val="clear" w:color="auto" w:fill="auto"/>
          </w:tcPr>
          <w:p w14:paraId="1C9A1695" w14:textId="77777777" w:rsidR="00E04EAF" w:rsidRPr="00EE2556" w:rsidRDefault="00E04EAF" w:rsidP="00BD6C5A">
            <w:pPr>
              <w:pStyle w:val="Tabletext"/>
            </w:pPr>
            <w:r w:rsidRPr="00EE2556">
              <w:t>6.8%</w:t>
            </w:r>
          </w:p>
        </w:tc>
        <w:tc>
          <w:tcPr>
            <w:tcW w:w="0" w:type="auto"/>
            <w:shd w:val="clear" w:color="auto" w:fill="auto"/>
          </w:tcPr>
          <w:p w14:paraId="5E611749" w14:textId="77777777" w:rsidR="00E04EAF" w:rsidRPr="00EE2556" w:rsidRDefault="00E04EAF" w:rsidP="00BD6C5A">
            <w:pPr>
              <w:pStyle w:val="Tabletext"/>
            </w:pPr>
            <w:r w:rsidRPr="00EE2556">
              <w:t>8.3%</w:t>
            </w:r>
          </w:p>
        </w:tc>
        <w:tc>
          <w:tcPr>
            <w:tcW w:w="0" w:type="auto"/>
            <w:shd w:val="clear" w:color="auto" w:fill="auto"/>
          </w:tcPr>
          <w:p w14:paraId="4DC73E76" w14:textId="77777777" w:rsidR="00E04EAF" w:rsidRPr="00EE2556" w:rsidRDefault="00E04EAF" w:rsidP="00BD6C5A">
            <w:pPr>
              <w:pStyle w:val="Tabletext"/>
            </w:pPr>
            <w:r w:rsidRPr="00EE2556">
              <w:t>9.9%</w:t>
            </w:r>
          </w:p>
        </w:tc>
      </w:tr>
      <w:tr w:rsidR="00E04EAF" w:rsidRPr="00E10372" w14:paraId="0A996AA2" w14:textId="77777777" w:rsidTr="00BD6C5A">
        <w:tc>
          <w:tcPr>
            <w:tcW w:w="0" w:type="auto"/>
          </w:tcPr>
          <w:p w14:paraId="678E5F7A" w14:textId="77777777" w:rsidR="00E04EAF" w:rsidRPr="00EE2556" w:rsidRDefault="00E04EAF" w:rsidP="00BD6C5A">
            <w:pPr>
              <w:pStyle w:val="Tabletext"/>
            </w:pPr>
            <w:r w:rsidRPr="00EE2556">
              <w:t>12 to 18</w:t>
            </w:r>
          </w:p>
        </w:tc>
        <w:tc>
          <w:tcPr>
            <w:tcW w:w="0" w:type="auto"/>
            <w:shd w:val="clear" w:color="auto" w:fill="auto"/>
          </w:tcPr>
          <w:p w14:paraId="5BF1CA53" w14:textId="77777777" w:rsidR="00E04EAF" w:rsidRPr="00EE2556" w:rsidRDefault="00E04EAF" w:rsidP="00BD6C5A">
            <w:pPr>
              <w:pStyle w:val="Tabletext"/>
            </w:pPr>
            <w:r w:rsidRPr="00EE2556">
              <w:t>1.7%</w:t>
            </w:r>
          </w:p>
        </w:tc>
        <w:tc>
          <w:tcPr>
            <w:tcW w:w="0" w:type="auto"/>
            <w:shd w:val="clear" w:color="auto" w:fill="auto"/>
          </w:tcPr>
          <w:p w14:paraId="65EBA76B" w14:textId="77777777" w:rsidR="00E04EAF" w:rsidRPr="00EE2556" w:rsidRDefault="00E04EAF" w:rsidP="00BD6C5A">
            <w:pPr>
              <w:pStyle w:val="Tabletext"/>
            </w:pPr>
            <w:r w:rsidRPr="00EE2556">
              <w:t>2.5%</w:t>
            </w:r>
          </w:p>
        </w:tc>
        <w:tc>
          <w:tcPr>
            <w:tcW w:w="0" w:type="auto"/>
            <w:shd w:val="clear" w:color="auto" w:fill="auto"/>
          </w:tcPr>
          <w:p w14:paraId="1C82A8D6" w14:textId="77777777" w:rsidR="00E04EAF" w:rsidRPr="00EE2556" w:rsidRDefault="00E04EAF" w:rsidP="00BD6C5A">
            <w:pPr>
              <w:pStyle w:val="Tabletext"/>
            </w:pPr>
            <w:r w:rsidRPr="00EE2556">
              <w:t>3.4%</w:t>
            </w:r>
          </w:p>
        </w:tc>
        <w:tc>
          <w:tcPr>
            <w:tcW w:w="0" w:type="auto"/>
            <w:shd w:val="clear" w:color="auto" w:fill="auto"/>
          </w:tcPr>
          <w:p w14:paraId="5B93E1F9" w14:textId="77777777" w:rsidR="00E04EAF" w:rsidRPr="00EE2556" w:rsidRDefault="00E04EAF" w:rsidP="00BD6C5A">
            <w:pPr>
              <w:pStyle w:val="Tabletext"/>
            </w:pPr>
            <w:r w:rsidRPr="00EE2556">
              <w:t>4.6%</w:t>
            </w:r>
          </w:p>
        </w:tc>
        <w:tc>
          <w:tcPr>
            <w:tcW w:w="0" w:type="auto"/>
            <w:shd w:val="clear" w:color="auto" w:fill="auto"/>
          </w:tcPr>
          <w:p w14:paraId="5350EB31" w14:textId="77777777" w:rsidR="00E04EAF" w:rsidRPr="00EE2556" w:rsidRDefault="00E04EAF" w:rsidP="00BD6C5A">
            <w:pPr>
              <w:pStyle w:val="Tabletext"/>
            </w:pPr>
            <w:r w:rsidRPr="00EE2556">
              <w:t>6.0%</w:t>
            </w:r>
          </w:p>
        </w:tc>
        <w:tc>
          <w:tcPr>
            <w:tcW w:w="0" w:type="auto"/>
            <w:shd w:val="clear" w:color="auto" w:fill="auto"/>
          </w:tcPr>
          <w:p w14:paraId="625B998E" w14:textId="77777777" w:rsidR="00E04EAF" w:rsidRPr="00EE2556" w:rsidRDefault="00E04EAF" w:rsidP="00BD6C5A">
            <w:pPr>
              <w:pStyle w:val="Tabletext"/>
            </w:pPr>
            <w:r w:rsidRPr="00EE2556">
              <w:t>7.5%</w:t>
            </w:r>
          </w:p>
        </w:tc>
        <w:tc>
          <w:tcPr>
            <w:tcW w:w="0" w:type="auto"/>
            <w:shd w:val="clear" w:color="auto" w:fill="auto"/>
          </w:tcPr>
          <w:p w14:paraId="6F1EC5DC" w14:textId="77777777" w:rsidR="00E04EAF" w:rsidRPr="00EE2556" w:rsidRDefault="00E04EAF" w:rsidP="00BD6C5A">
            <w:pPr>
              <w:pStyle w:val="Tabletext"/>
            </w:pPr>
            <w:r w:rsidRPr="00EE2556">
              <w:t>9.2%</w:t>
            </w:r>
          </w:p>
        </w:tc>
      </w:tr>
      <w:tr w:rsidR="00E04EAF" w:rsidRPr="00E10372" w14:paraId="5E6F33CF" w14:textId="77777777" w:rsidTr="00BD6C5A">
        <w:tc>
          <w:tcPr>
            <w:tcW w:w="0" w:type="auto"/>
          </w:tcPr>
          <w:p w14:paraId="3A9C76EF" w14:textId="77777777" w:rsidR="00E04EAF" w:rsidRPr="00EE2556" w:rsidRDefault="00E04EAF" w:rsidP="00BD6C5A">
            <w:pPr>
              <w:pStyle w:val="Tabletext"/>
            </w:pPr>
            <w:r w:rsidRPr="00EE2556">
              <w:t>9 to 12</w:t>
            </w:r>
          </w:p>
        </w:tc>
        <w:tc>
          <w:tcPr>
            <w:tcW w:w="0" w:type="auto"/>
            <w:shd w:val="clear" w:color="auto" w:fill="auto"/>
          </w:tcPr>
          <w:p w14:paraId="1F8B7D80" w14:textId="77777777" w:rsidR="00E04EAF" w:rsidRPr="00EE2556" w:rsidRDefault="00E04EAF" w:rsidP="00BD6C5A">
            <w:pPr>
              <w:pStyle w:val="Tabletext"/>
            </w:pPr>
            <w:r w:rsidRPr="00EE2556">
              <w:t>1.3%</w:t>
            </w:r>
          </w:p>
        </w:tc>
        <w:tc>
          <w:tcPr>
            <w:tcW w:w="0" w:type="auto"/>
            <w:shd w:val="clear" w:color="auto" w:fill="auto"/>
          </w:tcPr>
          <w:p w14:paraId="455A66B3" w14:textId="77777777" w:rsidR="00E04EAF" w:rsidRPr="00EE2556" w:rsidRDefault="00E04EAF" w:rsidP="00BD6C5A">
            <w:pPr>
              <w:pStyle w:val="Tabletext"/>
            </w:pPr>
            <w:r w:rsidRPr="00EE2556">
              <w:t>2.0%</w:t>
            </w:r>
          </w:p>
        </w:tc>
        <w:tc>
          <w:tcPr>
            <w:tcW w:w="0" w:type="auto"/>
            <w:shd w:val="clear" w:color="auto" w:fill="auto"/>
          </w:tcPr>
          <w:p w14:paraId="3822BAA4" w14:textId="77777777" w:rsidR="00E04EAF" w:rsidRPr="00EE2556" w:rsidRDefault="00E04EAF" w:rsidP="00BD6C5A">
            <w:pPr>
              <w:pStyle w:val="Tabletext"/>
            </w:pPr>
            <w:r w:rsidRPr="00EE2556">
              <w:t>2.9%</w:t>
            </w:r>
          </w:p>
        </w:tc>
        <w:tc>
          <w:tcPr>
            <w:tcW w:w="0" w:type="auto"/>
            <w:shd w:val="clear" w:color="auto" w:fill="auto"/>
          </w:tcPr>
          <w:p w14:paraId="275F08B6" w14:textId="77777777" w:rsidR="00E04EAF" w:rsidRPr="00EE2556" w:rsidRDefault="00E04EAF" w:rsidP="00BD6C5A">
            <w:pPr>
              <w:pStyle w:val="Tabletext"/>
            </w:pPr>
            <w:r w:rsidRPr="00EE2556">
              <w:t>4.0%</w:t>
            </w:r>
          </w:p>
        </w:tc>
        <w:tc>
          <w:tcPr>
            <w:tcW w:w="0" w:type="auto"/>
            <w:shd w:val="clear" w:color="auto" w:fill="auto"/>
          </w:tcPr>
          <w:p w14:paraId="03DDED83" w14:textId="77777777" w:rsidR="00E04EAF" w:rsidRPr="00EE2556" w:rsidRDefault="00E04EAF" w:rsidP="00BD6C5A">
            <w:pPr>
              <w:pStyle w:val="Tabletext"/>
            </w:pPr>
            <w:r w:rsidRPr="00EE2556">
              <w:t>5.4%</w:t>
            </w:r>
          </w:p>
        </w:tc>
        <w:tc>
          <w:tcPr>
            <w:tcW w:w="0" w:type="auto"/>
            <w:shd w:val="clear" w:color="auto" w:fill="auto"/>
          </w:tcPr>
          <w:p w14:paraId="73ED6153" w14:textId="77777777" w:rsidR="00E04EAF" w:rsidRPr="00EE2556" w:rsidRDefault="00E04EAF" w:rsidP="00BD6C5A">
            <w:pPr>
              <w:pStyle w:val="Tabletext"/>
            </w:pPr>
            <w:r w:rsidRPr="00EE2556">
              <w:t>7.0%</w:t>
            </w:r>
          </w:p>
        </w:tc>
        <w:tc>
          <w:tcPr>
            <w:tcW w:w="0" w:type="auto"/>
            <w:shd w:val="clear" w:color="auto" w:fill="auto"/>
          </w:tcPr>
          <w:p w14:paraId="74BBA9D5" w14:textId="77777777" w:rsidR="00E04EAF" w:rsidRPr="00EE2556" w:rsidRDefault="00E04EAF" w:rsidP="00BD6C5A">
            <w:pPr>
              <w:pStyle w:val="Tabletext"/>
            </w:pPr>
            <w:r w:rsidRPr="00EE2556">
              <w:t>8.8%</w:t>
            </w:r>
          </w:p>
        </w:tc>
      </w:tr>
      <w:tr w:rsidR="00E04EAF" w:rsidRPr="00E10372" w14:paraId="442254AC" w14:textId="77777777" w:rsidTr="00BD6C5A">
        <w:tc>
          <w:tcPr>
            <w:tcW w:w="0" w:type="auto"/>
          </w:tcPr>
          <w:p w14:paraId="6B236789" w14:textId="77777777" w:rsidR="00E04EAF" w:rsidRPr="00EE2556" w:rsidRDefault="00E04EAF" w:rsidP="00BD6C5A">
            <w:pPr>
              <w:pStyle w:val="Tabletext"/>
            </w:pPr>
            <w:r w:rsidRPr="00EE2556">
              <w:t>6 to 9</w:t>
            </w:r>
          </w:p>
        </w:tc>
        <w:tc>
          <w:tcPr>
            <w:tcW w:w="0" w:type="auto"/>
            <w:shd w:val="clear" w:color="auto" w:fill="auto"/>
          </w:tcPr>
          <w:p w14:paraId="4847DCB8" w14:textId="77777777" w:rsidR="00E04EAF" w:rsidRPr="00EE2556" w:rsidRDefault="00E04EAF" w:rsidP="00BD6C5A">
            <w:pPr>
              <w:pStyle w:val="Tabletext"/>
            </w:pPr>
            <w:r w:rsidRPr="00EE2556">
              <w:t>0.8%</w:t>
            </w:r>
          </w:p>
        </w:tc>
        <w:tc>
          <w:tcPr>
            <w:tcW w:w="0" w:type="auto"/>
            <w:shd w:val="clear" w:color="auto" w:fill="auto"/>
          </w:tcPr>
          <w:p w14:paraId="07EB528B" w14:textId="77777777" w:rsidR="00E04EAF" w:rsidRPr="00EE2556" w:rsidRDefault="00E04EAF" w:rsidP="00BD6C5A">
            <w:pPr>
              <w:pStyle w:val="Tabletext"/>
            </w:pPr>
            <w:r w:rsidRPr="00EE2556">
              <w:t>1.4%</w:t>
            </w:r>
          </w:p>
        </w:tc>
        <w:tc>
          <w:tcPr>
            <w:tcW w:w="0" w:type="auto"/>
            <w:shd w:val="clear" w:color="auto" w:fill="auto"/>
          </w:tcPr>
          <w:p w14:paraId="69CA4DD9" w14:textId="77777777" w:rsidR="00E04EAF" w:rsidRPr="00EE2556" w:rsidRDefault="00E04EAF" w:rsidP="00BD6C5A">
            <w:pPr>
              <w:pStyle w:val="Tabletext"/>
            </w:pPr>
            <w:r w:rsidRPr="00EE2556">
              <w:t>2.2%</w:t>
            </w:r>
          </w:p>
        </w:tc>
        <w:tc>
          <w:tcPr>
            <w:tcW w:w="0" w:type="auto"/>
            <w:shd w:val="clear" w:color="auto" w:fill="auto"/>
          </w:tcPr>
          <w:p w14:paraId="1119763F" w14:textId="77777777" w:rsidR="00E04EAF" w:rsidRPr="00EE2556" w:rsidRDefault="00E04EAF" w:rsidP="00BD6C5A">
            <w:pPr>
              <w:pStyle w:val="Tabletext"/>
            </w:pPr>
            <w:r w:rsidRPr="00EE2556">
              <w:t>3.3%</w:t>
            </w:r>
          </w:p>
        </w:tc>
        <w:tc>
          <w:tcPr>
            <w:tcW w:w="0" w:type="auto"/>
            <w:shd w:val="clear" w:color="auto" w:fill="auto"/>
          </w:tcPr>
          <w:p w14:paraId="18D9FE65" w14:textId="77777777" w:rsidR="00E04EAF" w:rsidRPr="00EE2556" w:rsidRDefault="00E04EAF" w:rsidP="00BD6C5A">
            <w:pPr>
              <w:pStyle w:val="Tabletext"/>
            </w:pPr>
            <w:r w:rsidRPr="00EE2556">
              <w:t>4.7%</w:t>
            </w:r>
          </w:p>
        </w:tc>
        <w:tc>
          <w:tcPr>
            <w:tcW w:w="0" w:type="auto"/>
            <w:shd w:val="clear" w:color="auto" w:fill="auto"/>
          </w:tcPr>
          <w:p w14:paraId="7E01224F" w14:textId="77777777" w:rsidR="00E04EAF" w:rsidRPr="00EE2556" w:rsidRDefault="00E04EAF" w:rsidP="00BD6C5A">
            <w:pPr>
              <w:pStyle w:val="Tabletext"/>
            </w:pPr>
            <w:r w:rsidRPr="00EE2556">
              <w:t>6.4%</w:t>
            </w:r>
          </w:p>
        </w:tc>
        <w:tc>
          <w:tcPr>
            <w:tcW w:w="0" w:type="auto"/>
            <w:shd w:val="clear" w:color="auto" w:fill="auto"/>
          </w:tcPr>
          <w:p w14:paraId="0C8E24B1" w14:textId="77777777" w:rsidR="00E04EAF" w:rsidRPr="00EE2556" w:rsidRDefault="00E04EAF" w:rsidP="00BD6C5A">
            <w:pPr>
              <w:pStyle w:val="Tabletext"/>
            </w:pPr>
            <w:r w:rsidRPr="00EE2556">
              <w:t>8.3%</w:t>
            </w:r>
          </w:p>
        </w:tc>
      </w:tr>
      <w:tr w:rsidR="00E04EAF" w:rsidRPr="00E10372" w14:paraId="2AEE929C" w14:textId="77777777" w:rsidTr="00BD6C5A">
        <w:tc>
          <w:tcPr>
            <w:tcW w:w="0" w:type="auto"/>
            <w:tcBorders>
              <w:bottom w:val="single" w:sz="4" w:space="0" w:color="auto"/>
            </w:tcBorders>
          </w:tcPr>
          <w:p w14:paraId="74171110" w14:textId="77777777" w:rsidR="00E04EAF" w:rsidRPr="00EE2556" w:rsidRDefault="00E04EAF" w:rsidP="00BD6C5A">
            <w:pPr>
              <w:pStyle w:val="Tabletext"/>
            </w:pPr>
            <w:r w:rsidRPr="00EE2556">
              <w:t>3 to 6</w:t>
            </w:r>
          </w:p>
        </w:tc>
        <w:tc>
          <w:tcPr>
            <w:tcW w:w="0" w:type="auto"/>
            <w:tcBorders>
              <w:bottom w:val="single" w:sz="4" w:space="0" w:color="auto"/>
            </w:tcBorders>
            <w:shd w:val="clear" w:color="auto" w:fill="auto"/>
          </w:tcPr>
          <w:p w14:paraId="33F69710" w14:textId="77777777" w:rsidR="00E04EAF" w:rsidRPr="00EE2556" w:rsidRDefault="00E04EAF" w:rsidP="00BD6C5A">
            <w:pPr>
              <w:pStyle w:val="Tabletext"/>
            </w:pPr>
            <w:r w:rsidRPr="00EE2556">
              <w:t>0.3%</w:t>
            </w:r>
          </w:p>
        </w:tc>
        <w:tc>
          <w:tcPr>
            <w:tcW w:w="0" w:type="auto"/>
            <w:tcBorders>
              <w:bottom w:val="single" w:sz="4" w:space="0" w:color="auto"/>
            </w:tcBorders>
            <w:shd w:val="clear" w:color="auto" w:fill="auto"/>
          </w:tcPr>
          <w:p w14:paraId="160E0B38" w14:textId="77777777" w:rsidR="00E04EAF" w:rsidRPr="00EE2556" w:rsidRDefault="00E04EAF" w:rsidP="00BD6C5A">
            <w:pPr>
              <w:pStyle w:val="Tabletext"/>
            </w:pPr>
            <w:r w:rsidRPr="00EE2556">
              <w:t>0.6%</w:t>
            </w:r>
          </w:p>
        </w:tc>
        <w:tc>
          <w:tcPr>
            <w:tcW w:w="0" w:type="auto"/>
            <w:tcBorders>
              <w:bottom w:val="single" w:sz="4" w:space="0" w:color="auto"/>
            </w:tcBorders>
            <w:shd w:val="clear" w:color="auto" w:fill="auto"/>
          </w:tcPr>
          <w:p w14:paraId="33D124FB" w14:textId="77777777" w:rsidR="00E04EAF" w:rsidRPr="00EE2556" w:rsidRDefault="00E04EAF" w:rsidP="00BD6C5A">
            <w:pPr>
              <w:pStyle w:val="Tabletext"/>
            </w:pPr>
            <w:r w:rsidRPr="00EE2556">
              <w:t>1.3%</w:t>
            </w:r>
          </w:p>
        </w:tc>
        <w:tc>
          <w:tcPr>
            <w:tcW w:w="0" w:type="auto"/>
            <w:tcBorders>
              <w:bottom w:val="single" w:sz="4" w:space="0" w:color="auto"/>
            </w:tcBorders>
            <w:shd w:val="clear" w:color="auto" w:fill="auto"/>
          </w:tcPr>
          <w:p w14:paraId="79848F84" w14:textId="77777777" w:rsidR="00E04EAF" w:rsidRPr="00EE2556" w:rsidRDefault="00E04EAF" w:rsidP="00BD6C5A">
            <w:pPr>
              <w:pStyle w:val="Tabletext"/>
            </w:pPr>
            <w:r w:rsidRPr="00EE2556">
              <w:t>2.4%</w:t>
            </w:r>
          </w:p>
        </w:tc>
        <w:tc>
          <w:tcPr>
            <w:tcW w:w="0" w:type="auto"/>
            <w:tcBorders>
              <w:bottom w:val="single" w:sz="4" w:space="0" w:color="auto"/>
            </w:tcBorders>
            <w:shd w:val="clear" w:color="auto" w:fill="auto"/>
          </w:tcPr>
          <w:p w14:paraId="6D82AF17" w14:textId="77777777" w:rsidR="00E04EAF" w:rsidRPr="00EE2556" w:rsidRDefault="00E04EAF" w:rsidP="00BD6C5A">
            <w:pPr>
              <w:pStyle w:val="Tabletext"/>
            </w:pPr>
            <w:r w:rsidRPr="00EE2556">
              <w:t>3.8%</w:t>
            </w:r>
          </w:p>
        </w:tc>
        <w:tc>
          <w:tcPr>
            <w:tcW w:w="0" w:type="auto"/>
            <w:tcBorders>
              <w:bottom w:val="single" w:sz="4" w:space="0" w:color="auto"/>
            </w:tcBorders>
            <w:shd w:val="clear" w:color="auto" w:fill="auto"/>
          </w:tcPr>
          <w:p w14:paraId="4983F406" w14:textId="77777777" w:rsidR="00E04EAF" w:rsidRPr="00EE2556" w:rsidRDefault="00E04EAF" w:rsidP="00BD6C5A">
            <w:pPr>
              <w:pStyle w:val="Tabletext"/>
            </w:pPr>
            <w:r w:rsidRPr="00EE2556">
              <w:t>5.7%</w:t>
            </w:r>
          </w:p>
        </w:tc>
        <w:tc>
          <w:tcPr>
            <w:tcW w:w="0" w:type="auto"/>
            <w:tcBorders>
              <w:bottom w:val="single" w:sz="4" w:space="0" w:color="auto"/>
            </w:tcBorders>
            <w:shd w:val="clear" w:color="auto" w:fill="auto"/>
          </w:tcPr>
          <w:p w14:paraId="66356EF5" w14:textId="77777777" w:rsidR="00E04EAF" w:rsidRPr="00EE2556" w:rsidRDefault="00E04EAF" w:rsidP="00BD6C5A">
            <w:pPr>
              <w:pStyle w:val="Tabletext"/>
            </w:pPr>
            <w:r w:rsidRPr="00EE2556">
              <w:t>7.8%</w:t>
            </w:r>
          </w:p>
        </w:tc>
      </w:tr>
      <w:tr w:rsidR="00E04EAF" w:rsidRPr="00E10372" w14:paraId="47BAD2C9" w14:textId="77777777" w:rsidTr="00BD6C5A">
        <w:tc>
          <w:tcPr>
            <w:tcW w:w="0" w:type="auto"/>
            <w:tcBorders>
              <w:bottom w:val="single" w:sz="12" w:space="0" w:color="auto"/>
            </w:tcBorders>
          </w:tcPr>
          <w:p w14:paraId="1D7B29D7" w14:textId="77777777" w:rsidR="00E04EAF" w:rsidRPr="00EE2556" w:rsidRDefault="00E04EAF" w:rsidP="00BD6C5A">
            <w:pPr>
              <w:pStyle w:val="Tabletext"/>
            </w:pPr>
            <w:r w:rsidRPr="00EE2556">
              <w:t>0 to 3</w:t>
            </w:r>
          </w:p>
        </w:tc>
        <w:tc>
          <w:tcPr>
            <w:tcW w:w="0" w:type="auto"/>
            <w:tcBorders>
              <w:bottom w:val="single" w:sz="12" w:space="0" w:color="auto"/>
            </w:tcBorders>
            <w:shd w:val="clear" w:color="auto" w:fill="auto"/>
          </w:tcPr>
          <w:p w14:paraId="1900D54E" w14:textId="77777777" w:rsidR="00E04EAF" w:rsidRPr="00EE2556" w:rsidRDefault="00E04EAF" w:rsidP="00BD6C5A">
            <w:pPr>
              <w:pStyle w:val="Tabletext"/>
            </w:pPr>
            <w:r w:rsidRPr="00EE2556">
              <w:t>0.0%</w:t>
            </w:r>
          </w:p>
        </w:tc>
        <w:tc>
          <w:tcPr>
            <w:tcW w:w="0" w:type="auto"/>
            <w:tcBorders>
              <w:bottom w:val="single" w:sz="12" w:space="0" w:color="auto"/>
            </w:tcBorders>
            <w:shd w:val="clear" w:color="auto" w:fill="auto"/>
          </w:tcPr>
          <w:p w14:paraId="5003CDA7" w14:textId="77777777" w:rsidR="00E04EAF" w:rsidRPr="00EE2556" w:rsidRDefault="00E04EAF" w:rsidP="00BD6C5A">
            <w:pPr>
              <w:pStyle w:val="Tabletext"/>
            </w:pPr>
            <w:r w:rsidRPr="00EE2556">
              <w:t>0.1%</w:t>
            </w:r>
          </w:p>
        </w:tc>
        <w:tc>
          <w:tcPr>
            <w:tcW w:w="0" w:type="auto"/>
            <w:tcBorders>
              <w:bottom w:val="single" w:sz="12" w:space="0" w:color="auto"/>
            </w:tcBorders>
            <w:shd w:val="clear" w:color="auto" w:fill="auto"/>
          </w:tcPr>
          <w:p w14:paraId="3CF561F9" w14:textId="77777777" w:rsidR="00E04EAF" w:rsidRPr="00EE2556" w:rsidRDefault="00E04EAF" w:rsidP="00BD6C5A">
            <w:pPr>
              <w:pStyle w:val="Tabletext"/>
            </w:pPr>
            <w:r w:rsidRPr="00EE2556">
              <w:t>0.5%</w:t>
            </w:r>
          </w:p>
        </w:tc>
        <w:tc>
          <w:tcPr>
            <w:tcW w:w="0" w:type="auto"/>
            <w:tcBorders>
              <w:bottom w:val="single" w:sz="12" w:space="0" w:color="auto"/>
            </w:tcBorders>
            <w:shd w:val="clear" w:color="auto" w:fill="auto"/>
          </w:tcPr>
          <w:p w14:paraId="2CBC7349" w14:textId="77777777" w:rsidR="00E04EAF" w:rsidRPr="00EE2556" w:rsidRDefault="00E04EAF" w:rsidP="00BD6C5A">
            <w:pPr>
              <w:pStyle w:val="Tabletext"/>
            </w:pPr>
            <w:r w:rsidRPr="00EE2556">
              <w:t>1.4%</w:t>
            </w:r>
          </w:p>
        </w:tc>
        <w:tc>
          <w:tcPr>
            <w:tcW w:w="0" w:type="auto"/>
            <w:tcBorders>
              <w:bottom w:val="single" w:sz="12" w:space="0" w:color="auto"/>
            </w:tcBorders>
            <w:shd w:val="clear" w:color="auto" w:fill="auto"/>
          </w:tcPr>
          <w:p w14:paraId="549F8B97" w14:textId="77777777" w:rsidR="00E04EAF" w:rsidRPr="00EE2556" w:rsidRDefault="00E04EAF" w:rsidP="00BD6C5A">
            <w:pPr>
              <w:pStyle w:val="Tabletext"/>
            </w:pPr>
            <w:r w:rsidRPr="00EE2556">
              <w:t>3.0%</w:t>
            </w:r>
          </w:p>
        </w:tc>
        <w:tc>
          <w:tcPr>
            <w:tcW w:w="0" w:type="auto"/>
            <w:tcBorders>
              <w:bottom w:val="single" w:sz="12" w:space="0" w:color="auto"/>
            </w:tcBorders>
            <w:shd w:val="clear" w:color="auto" w:fill="auto"/>
          </w:tcPr>
          <w:p w14:paraId="07BAF20E" w14:textId="77777777" w:rsidR="00E04EAF" w:rsidRPr="00EE2556" w:rsidRDefault="00E04EAF" w:rsidP="00BD6C5A">
            <w:pPr>
              <w:pStyle w:val="Tabletext"/>
            </w:pPr>
            <w:r w:rsidRPr="00EE2556">
              <w:t>5.1%</w:t>
            </w:r>
          </w:p>
        </w:tc>
        <w:tc>
          <w:tcPr>
            <w:tcW w:w="0" w:type="auto"/>
            <w:tcBorders>
              <w:bottom w:val="single" w:sz="12" w:space="0" w:color="auto"/>
            </w:tcBorders>
            <w:shd w:val="clear" w:color="auto" w:fill="auto"/>
          </w:tcPr>
          <w:p w14:paraId="29E4C087" w14:textId="77777777" w:rsidR="00E04EAF" w:rsidRPr="00EE2556" w:rsidRDefault="00E04EAF" w:rsidP="00BD6C5A">
            <w:pPr>
              <w:pStyle w:val="Tabletext"/>
            </w:pPr>
            <w:r w:rsidRPr="00EE2556">
              <w:t>7.5%</w:t>
            </w:r>
          </w:p>
        </w:tc>
      </w:tr>
    </w:tbl>
    <w:p w14:paraId="65353765" w14:textId="77777777" w:rsidR="00E04EAF" w:rsidRPr="00F52ACE" w:rsidRDefault="00E04EAF" w:rsidP="00E04EAF">
      <w:pPr>
        <w:pStyle w:val="Tabletext"/>
      </w:pPr>
    </w:p>
    <w:p w14:paraId="50EE0BB1" w14:textId="77777777" w:rsidR="00E04EAF" w:rsidRPr="00F52ACE" w:rsidRDefault="00E04EAF" w:rsidP="00E04EAF">
      <w:pPr>
        <w:pStyle w:val="Tabletext"/>
      </w:pPr>
    </w:p>
    <w:tbl>
      <w:tblPr>
        <w:tblW w:w="6521" w:type="dxa"/>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68"/>
        <w:gridCol w:w="2268"/>
        <w:gridCol w:w="1985"/>
      </w:tblGrid>
      <w:tr w:rsidR="00E04EAF" w:rsidRPr="00E10372" w14:paraId="5026E86B" w14:textId="77777777" w:rsidTr="00BD6C5A">
        <w:trPr>
          <w:tblHeader/>
        </w:trPr>
        <w:tc>
          <w:tcPr>
            <w:tcW w:w="6521" w:type="dxa"/>
            <w:gridSpan w:val="3"/>
            <w:tcBorders>
              <w:top w:val="single" w:sz="12" w:space="0" w:color="auto"/>
              <w:bottom w:val="single" w:sz="12" w:space="0" w:color="auto"/>
            </w:tcBorders>
            <w:shd w:val="clear" w:color="auto" w:fill="auto"/>
          </w:tcPr>
          <w:p w14:paraId="5743692E" w14:textId="77777777" w:rsidR="00E04EAF" w:rsidRPr="00F52ACE" w:rsidRDefault="00E04EAF" w:rsidP="00BD6C5A">
            <w:pPr>
              <w:pStyle w:val="TableHeading"/>
            </w:pPr>
            <w:r w:rsidRPr="00F52ACE">
              <w:t>Table 2—Base percentages</w:t>
            </w:r>
          </w:p>
        </w:tc>
      </w:tr>
      <w:tr w:rsidR="00E04EAF" w:rsidRPr="00E10372" w14:paraId="54987ECC" w14:textId="77777777" w:rsidTr="00BD6C5A">
        <w:trPr>
          <w:tblHeader/>
        </w:trPr>
        <w:tc>
          <w:tcPr>
            <w:tcW w:w="2268" w:type="dxa"/>
            <w:tcBorders>
              <w:top w:val="single" w:sz="6" w:space="0" w:color="auto"/>
              <w:bottom w:val="single" w:sz="12" w:space="0" w:color="auto"/>
            </w:tcBorders>
            <w:shd w:val="clear" w:color="auto" w:fill="auto"/>
          </w:tcPr>
          <w:p w14:paraId="7FAF417C" w14:textId="77777777" w:rsidR="00E04EAF" w:rsidRPr="00F52ACE" w:rsidRDefault="00E04EAF" w:rsidP="00BD6C5A">
            <w:pPr>
              <w:pStyle w:val="TableHeading"/>
            </w:pPr>
            <w:r w:rsidRPr="00F52ACE">
              <w:t>Exercise period (months)</w:t>
            </w:r>
          </w:p>
        </w:tc>
        <w:tc>
          <w:tcPr>
            <w:tcW w:w="2268" w:type="dxa"/>
            <w:tcBorders>
              <w:top w:val="single" w:sz="6" w:space="0" w:color="auto"/>
              <w:bottom w:val="single" w:sz="12" w:space="0" w:color="auto"/>
            </w:tcBorders>
            <w:shd w:val="clear" w:color="auto" w:fill="auto"/>
          </w:tcPr>
          <w:p w14:paraId="0170327A" w14:textId="77777777" w:rsidR="00E04EAF" w:rsidRPr="00F52ACE" w:rsidRDefault="00E04EAF" w:rsidP="00BD6C5A">
            <w:pPr>
              <w:pStyle w:val="TableHeading"/>
            </w:pPr>
            <w:r w:rsidRPr="00F52ACE">
              <w:t>Column 1</w:t>
            </w:r>
          </w:p>
        </w:tc>
        <w:tc>
          <w:tcPr>
            <w:tcW w:w="1985" w:type="dxa"/>
            <w:tcBorders>
              <w:top w:val="single" w:sz="6" w:space="0" w:color="auto"/>
              <w:bottom w:val="single" w:sz="12" w:space="0" w:color="auto"/>
            </w:tcBorders>
            <w:shd w:val="clear" w:color="auto" w:fill="auto"/>
          </w:tcPr>
          <w:p w14:paraId="484D3289" w14:textId="77777777" w:rsidR="00E04EAF" w:rsidRPr="00F52ACE" w:rsidRDefault="00E04EAF" w:rsidP="00BD6C5A">
            <w:pPr>
              <w:pStyle w:val="TableHeading"/>
            </w:pPr>
            <w:r w:rsidRPr="00F52ACE">
              <w:t>Column 2</w:t>
            </w:r>
          </w:p>
        </w:tc>
      </w:tr>
      <w:tr w:rsidR="00E04EAF" w:rsidRPr="00E10372" w14:paraId="7DB8FFED" w14:textId="77777777" w:rsidTr="00BD6C5A">
        <w:tc>
          <w:tcPr>
            <w:tcW w:w="2268" w:type="dxa"/>
            <w:tcBorders>
              <w:top w:val="single" w:sz="12" w:space="0" w:color="auto"/>
            </w:tcBorders>
            <w:shd w:val="clear" w:color="auto" w:fill="auto"/>
          </w:tcPr>
          <w:p w14:paraId="794532EB" w14:textId="77777777" w:rsidR="00E04EAF" w:rsidRPr="00F52ACE" w:rsidRDefault="00E04EAF" w:rsidP="00BD6C5A">
            <w:pPr>
              <w:pStyle w:val="Tabletext"/>
            </w:pPr>
            <w:r w:rsidRPr="00F52ACE">
              <w:t>1</w:t>
            </w:r>
            <w:r>
              <w:t>6</w:t>
            </w:r>
            <w:r w:rsidRPr="00F52ACE">
              <w:t>8 to 1</w:t>
            </w:r>
            <w:r>
              <w:t>80</w:t>
            </w:r>
          </w:p>
        </w:tc>
        <w:tc>
          <w:tcPr>
            <w:tcW w:w="2268" w:type="dxa"/>
            <w:tcBorders>
              <w:top w:val="single" w:sz="12" w:space="0" w:color="auto"/>
            </w:tcBorders>
            <w:shd w:val="clear" w:color="auto" w:fill="auto"/>
          </w:tcPr>
          <w:p w14:paraId="6EBF6744" w14:textId="77777777" w:rsidR="00E04EAF" w:rsidRPr="00F52ACE" w:rsidRDefault="00E04EAF" w:rsidP="00BD6C5A">
            <w:pPr>
              <w:pStyle w:val="Tabletext"/>
            </w:pPr>
            <w:r w:rsidRPr="00F52ACE">
              <w:t>13.3%</w:t>
            </w:r>
          </w:p>
        </w:tc>
        <w:tc>
          <w:tcPr>
            <w:tcW w:w="1985" w:type="dxa"/>
            <w:tcBorders>
              <w:top w:val="single" w:sz="12" w:space="0" w:color="auto"/>
            </w:tcBorders>
            <w:shd w:val="clear" w:color="auto" w:fill="auto"/>
          </w:tcPr>
          <w:p w14:paraId="3FE98C52" w14:textId="77777777" w:rsidR="00E04EAF" w:rsidRPr="00F52ACE" w:rsidRDefault="00E04EAF" w:rsidP="00BD6C5A">
            <w:pPr>
              <w:pStyle w:val="Tabletext"/>
            </w:pPr>
            <w:r w:rsidRPr="00F52ACE">
              <w:t>0.</w:t>
            </w:r>
            <w:r>
              <w:t>5</w:t>
            </w:r>
            <w:r w:rsidRPr="00F52ACE">
              <w:t>%</w:t>
            </w:r>
          </w:p>
        </w:tc>
      </w:tr>
      <w:tr w:rsidR="00E04EAF" w:rsidRPr="00E10372" w14:paraId="2A5A259E" w14:textId="77777777" w:rsidTr="00BD6C5A">
        <w:tc>
          <w:tcPr>
            <w:tcW w:w="2268" w:type="dxa"/>
            <w:tcBorders>
              <w:top w:val="single" w:sz="12" w:space="0" w:color="auto"/>
            </w:tcBorders>
            <w:shd w:val="clear" w:color="auto" w:fill="auto"/>
          </w:tcPr>
          <w:p w14:paraId="3D3F14A5" w14:textId="77777777" w:rsidR="00E04EAF" w:rsidRPr="00F52ACE" w:rsidRDefault="00E04EAF" w:rsidP="00BD6C5A">
            <w:pPr>
              <w:pStyle w:val="Tabletext"/>
            </w:pPr>
            <w:r w:rsidRPr="00F52ACE">
              <w:t>1</w:t>
            </w:r>
            <w:r>
              <w:t>56 t</w:t>
            </w:r>
            <w:r w:rsidRPr="00F52ACE">
              <w:t>o 1</w:t>
            </w:r>
            <w:r>
              <w:t>68</w:t>
            </w:r>
          </w:p>
        </w:tc>
        <w:tc>
          <w:tcPr>
            <w:tcW w:w="2268" w:type="dxa"/>
            <w:tcBorders>
              <w:top w:val="single" w:sz="12" w:space="0" w:color="auto"/>
            </w:tcBorders>
            <w:shd w:val="clear" w:color="auto" w:fill="auto"/>
          </w:tcPr>
          <w:p w14:paraId="3807C6D9" w14:textId="77777777" w:rsidR="00E04EAF" w:rsidRPr="00F52ACE" w:rsidRDefault="00E04EAF" w:rsidP="00BD6C5A">
            <w:pPr>
              <w:pStyle w:val="Tabletext"/>
            </w:pPr>
            <w:r w:rsidRPr="00F52ACE">
              <w:t>13.3%</w:t>
            </w:r>
          </w:p>
        </w:tc>
        <w:tc>
          <w:tcPr>
            <w:tcW w:w="1985" w:type="dxa"/>
            <w:tcBorders>
              <w:top w:val="single" w:sz="12" w:space="0" w:color="auto"/>
            </w:tcBorders>
            <w:shd w:val="clear" w:color="auto" w:fill="auto"/>
          </w:tcPr>
          <w:p w14:paraId="1D64428F" w14:textId="77777777" w:rsidR="00E04EAF" w:rsidRPr="00F52ACE" w:rsidRDefault="00E04EAF" w:rsidP="00BD6C5A">
            <w:pPr>
              <w:pStyle w:val="Tabletext"/>
            </w:pPr>
            <w:r w:rsidRPr="00F52ACE">
              <w:t>0.</w:t>
            </w:r>
            <w:r>
              <w:t>5</w:t>
            </w:r>
            <w:r w:rsidRPr="00F52ACE">
              <w:t>%</w:t>
            </w:r>
          </w:p>
        </w:tc>
      </w:tr>
      <w:tr w:rsidR="00E04EAF" w:rsidRPr="00E10372" w14:paraId="567FF7DE" w14:textId="77777777" w:rsidTr="00BD6C5A">
        <w:tc>
          <w:tcPr>
            <w:tcW w:w="2268" w:type="dxa"/>
            <w:tcBorders>
              <w:top w:val="single" w:sz="12" w:space="0" w:color="auto"/>
            </w:tcBorders>
            <w:shd w:val="clear" w:color="auto" w:fill="auto"/>
          </w:tcPr>
          <w:p w14:paraId="5F61E4AE" w14:textId="77777777" w:rsidR="00E04EAF" w:rsidRPr="00F52ACE" w:rsidRDefault="00E04EAF" w:rsidP="00BD6C5A">
            <w:pPr>
              <w:pStyle w:val="Tabletext"/>
            </w:pPr>
            <w:r w:rsidRPr="00F52ACE">
              <w:t>1</w:t>
            </w:r>
            <w:r>
              <w:t>44</w:t>
            </w:r>
            <w:r w:rsidRPr="00F52ACE">
              <w:t xml:space="preserve"> to 1</w:t>
            </w:r>
            <w:r>
              <w:t>56</w:t>
            </w:r>
          </w:p>
        </w:tc>
        <w:tc>
          <w:tcPr>
            <w:tcW w:w="2268" w:type="dxa"/>
            <w:tcBorders>
              <w:top w:val="single" w:sz="12" w:space="0" w:color="auto"/>
            </w:tcBorders>
            <w:shd w:val="clear" w:color="auto" w:fill="auto"/>
          </w:tcPr>
          <w:p w14:paraId="498ECF96" w14:textId="77777777" w:rsidR="00E04EAF" w:rsidRPr="00F52ACE" w:rsidRDefault="00E04EAF" w:rsidP="00BD6C5A">
            <w:pPr>
              <w:pStyle w:val="Tabletext"/>
            </w:pPr>
            <w:r w:rsidRPr="00F52ACE">
              <w:t>13.3%</w:t>
            </w:r>
          </w:p>
        </w:tc>
        <w:tc>
          <w:tcPr>
            <w:tcW w:w="1985" w:type="dxa"/>
            <w:tcBorders>
              <w:top w:val="single" w:sz="12" w:space="0" w:color="auto"/>
            </w:tcBorders>
            <w:shd w:val="clear" w:color="auto" w:fill="auto"/>
          </w:tcPr>
          <w:p w14:paraId="06BE884F" w14:textId="77777777" w:rsidR="00E04EAF" w:rsidRPr="00F52ACE" w:rsidRDefault="00E04EAF" w:rsidP="00BD6C5A">
            <w:pPr>
              <w:pStyle w:val="Tabletext"/>
            </w:pPr>
            <w:r w:rsidRPr="00F52ACE">
              <w:t>0.</w:t>
            </w:r>
            <w:r>
              <w:t>5</w:t>
            </w:r>
            <w:r w:rsidRPr="00F52ACE">
              <w:t>%</w:t>
            </w:r>
          </w:p>
        </w:tc>
      </w:tr>
      <w:tr w:rsidR="00E04EAF" w:rsidRPr="00E10372" w14:paraId="4519107B" w14:textId="77777777" w:rsidTr="00BD6C5A">
        <w:tc>
          <w:tcPr>
            <w:tcW w:w="2268" w:type="dxa"/>
            <w:tcBorders>
              <w:top w:val="single" w:sz="12" w:space="0" w:color="auto"/>
            </w:tcBorders>
            <w:shd w:val="clear" w:color="auto" w:fill="auto"/>
          </w:tcPr>
          <w:p w14:paraId="0654F032" w14:textId="77777777" w:rsidR="00E04EAF" w:rsidRPr="00F52ACE" w:rsidRDefault="00E04EAF" w:rsidP="00BD6C5A">
            <w:pPr>
              <w:pStyle w:val="Tabletext"/>
            </w:pPr>
            <w:r w:rsidRPr="00F52ACE">
              <w:t>1</w:t>
            </w:r>
            <w:r>
              <w:t>32</w:t>
            </w:r>
            <w:r w:rsidRPr="00F52ACE">
              <w:t xml:space="preserve"> to 1</w:t>
            </w:r>
            <w:r>
              <w:t>44</w:t>
            </w:r>
          </w:p>
        </w:tc>
        <w:tc>
          <w:tcPr>
            <w:tcW w:w="2268" w:type="dxa"/>
            <w:tcBorders>
              <w:top w:val="single" w:sz="12" w:space="0" w:color="auto"/>
            </w:tcBorders>
            <w:shd w:val="clear" w:color="auto" w:fill="auto"/>
          </w:tcPr>
          <w:p w14:paraId="038F5AE6" w14:textId="77777777" w:rsidR="00E04EAF" w:rsidRPr="00F52ACE" w:rsidRDefault="00E04EAF" w:rsidP="00BD6C5A">
            <w:pPr>
              <w:pStyle w:val="Tabletext"/>
            </w:pPr>
            <w:r w:rsidRPr="00F52ACE">
              <w:t>13.3%</w:t>
            </w:r>
          </w:p>
        </w:tc>
        <w:tc>
          <w:tcPr>
            <w:tcW w:w="1985" w:type="dxa"/>
            <w:tcBorders>
              <w:top w:val="single" w:sz="12" w:space="0" w:color="auto"/>
            </w:tcBorders>
            <w:shd w:val="clear" w:color="auto" w:fill="auto"/>
          </w:tcPr>
          <w:p w14:paraId="2D9EEDE4" w14:textId="77777777" w:rsidR="00E04EAF" w:rsidRPr="00F52ACE" w:rsidRDefault="00E04EAF" w:rsidP="00BD6C5A">
            <w:pPr>
              <w:pStyle w:val="Tabletext"/>
            </w:pPr>
            <w:r w:rsidRPr="00F52ACE">
              <w:t>0.6%</w:t>
            </w:r>
          </w:p>
        </w:tc>
      </w:tr>
      <w:tr w:rsidR="00E04EAF" w:rsidRPr="00E10372" w14:paraId="2914233C" w14:textId="77777777" w:rsidTr="00BD6C5A">
        <w:tc>
          <w:tcPr>
            <w:tcW w:w="2268" w:type="dxa"/>
            <w:tcBorders>
              <w:top w:val="single" w:sz="12" w:space="0" w:color="auto"/>
            </w:tcBorders>
            <w:shd w:val="clear" w:color="auto" w:fill="auto"/>
          </w:tcPr>
          <w:p w14:paraId="6D9A118D" w14:textId="77777777" w:rsidR="00E04EAF" w:rsidRPr="00F52ACE" w:rsidRDefault="00E04EAF" w:rsidP="00BD6C5A">
            <w:pPr>
              <w:pStyle w:val="Tabletext"/>
            </w:pPr>
            <w:r>
              <w:t>120 to 132</w:t>
            </w:r>
          </w:p>
        </w:tc>
        <w:tc>
          <w:tcPr>
            <w:tcW w:w="2268" w:type="dxa"/>
            <w:tcBorders>
              <w:top w:val="single" w:sz="12" w:space="0" w:color="auto"/>
            </w:tcBorders>
            <w:shd w:val="clear" w:color="auto" w:fill="auto"/>
          </w:tcPr>
          <w:p w14:paraId="4AA04A61" w14:textId="77777777" w:rsidR="00E04EAF" w:rsidRPr="00F52ACE" w:rsidRDefault="00E04EAF" w:rsidP="00BD6C5A">
            <w:pPr>
              <w:pStyle w:val="Tabletext"/>
            </w:pPr>
            <w:r>
              <w:t>13.3%</w:t>
            </w:r>
          </w:p>
        </w:tc>
        <w:tc>
          <w:tcPr>
            <w:tcW w:w="1985" w:type="dxa"/>
            <w:tcBorders>
              <w:top w:val="single" w:sz="12" w:space="0" w:color="auto"/>
            </w:tcBorders>
            <w:shd w:val="clear" w:color="auto" w:fill="auto"/>
          </w:tcPr>
          <w:p w14:paraId="02524455" w14:textId="77777777" w:rsidR="00E04EAF" w:rsidRPr="00F52ACE" w:rsidRDefault="00E04EAF" w:rsidP="00BD6C5A">
            <w:pPr>
              <w:pStyle w:val="Tabletext"/>
            </w:pPr>
            <w:r>
              <w:t>0.6%</w:t>
            </w:r>
          </w:p>
        </w:tc>
      </w:tr>
      <w:tr w:rsidR="00E04EAF" w:rsidRPr="00E10372" w14:paraId="604AF7E3" w14:textId="77777777" w:rsidTr="00BD6C5A">
        <w:tc>
          <w:tcPr>
            <w:tcW w:w="2268" w:type="dxa"/>
            <w:tcBorders>
              <w:top w:val="single" w:sz="12" w:space="0" w:color="auto"/>
            </w:tcBorders>
            <w:shd w:val="clear" w:color="auto" w:fill="auto"/>
          </w:tcPr>
          <w:p w14:paraId="04986AAD" w14:textId="77777777" w:rsidR="00E04EAF" w:rsidRPr="00F52ACE" w:rsidRDefault="00E04EAF" w:rsidP="00BD6C5A">
            <w:pPr>
              <w:pStyle w:val="Tabletext"/>
            </w:pPr>
            <w:r w:rsidRPr="00F52ACE">
              <w:t>108 to 120</w:t>
            </w:r>
          </w:p>
        </w:tc>
        <w:tc>
          <w:tcPr>
            <w:tcW w:w="2268" w:type="dxa"/>
            <w:tcBorders>
              <w:top w:val="single" w:sz="12" w:space="0" w:color="auto"/>
            </w:tcBorders>
            <w:shd w:val="clear" w:color="auto" w:fill="auto"/>
          </w:tcPr>
          <w:p w14:paraId="664129F7" w14:textId="77777777" w:rsidR="00E04EAF" w:rsidRPr="00F52ACE" w:rsidRDefault="00E04EAF" w:rsidP="00BD6C5A">
            <w:pPr>
              <w:pStyle w:val="Tabletext"/>
            </w:pPr>
            <w:r w:rsidRPr="00F52ACE">
              <w:t>13.3%</w:t>
            </w:r>
          </w:p>
        </w:tc>
        <w:tc>
          <w:tcPr>
            <w:tcW w:w="1985" w:type="dxa"/>
            <w:tcBorders>
              <w:top w:val="single" w:sz="12" w:space="0" w:color="auto"/>
            </w:tcBorders>
            <w:shd w:val="clear" w:color="auto" w:fill="auto"/>
          </w:tcPr>
          <w:p w14:paraId="6CF3CEA1" w14:textId="77777777" w:rsidR="00E04EAF" w:rsidRPr="00F52ACE" w:rsidRDefault="00E04EAF" w:rsidP="00BD6C5A">
            <w:pPr>
              <w:pStyle w:val="Tabletext"/>
            </w:pPr>
            <w:r w:rsidRPr="00F52ACE">
              <w:t>0.6%</w:t>
            </w:r>
          </w:p>
        </w:tc>
      </w:tr>
      <w:tr w:rsidR="00E04EAF" w:rsidRPr="00E10372" w14:paraId="1AC2B250" w14:textId="77777777" w:rsidTr="00BD6C5A">
        <w:tc>
          <w:tcPr>
            <w:tcW w:w="2268" w:type="dxa"/>
            <w:shd w:val="clear" w:color="auto" w:fill="auto"/>
          </w:tcPr>
          <w:p w14:paraId="3714B3FB" w14:textId="77777777" w:rsidR="00E04EAF" w:rsidRPr="00F52ACE" w:rsidRDefault="00E04EAF" w:rsidP="00BD6C5A">
            <w:pPr>
              <w:pStyle w:val="Tabletext"/>
            </w:pPr>
            <w:r w:rsidRPr="00F52ACE">
              <w:t>96 to 108</w:t>
            </w:r>
          </w:p>
        </w:tc>
        <w:tc>
          <w:tcPr>
            <w:tcW w:w="2268" w:type="dxa"/>
            <w:shd w:val="clear" w:color="auto" w:fill="auto"/>
          </w:tcPr>
          <w:p w14:paraId="304968F8" w14:textId="77777777" w:rsidR="00E04EAF" w:rsidRPr="00F52ACE" w:rsidRDefault="00E04EAF" w:rsidP="00BD6C5A">
            <w:pPr>
              <w:pStyle w:val="Tabletext"/>
            </w:pPr>
            <w:r w:rsidRPr="00F52ACE">
              <w:t>13.2%</w:t>
            </w:r>
          </w:p>
        </w:tc>
        <w:tc>
          <w:tcPr>
            <w:tcW w:w="1985" w:type="dxa"/>
            <w:shd w:val="clear" w:color="auto" w:fill="auto"/>
          </w:tcPr>
          <w:p w14:paraId="0B4CC232" w14:textId="77777777" w:rsidR="00E04EAF" w:rsidRPr="00F52ACE" w:rsidRDefault="00E04EAF" w:rsidP="00BD6C5A">
            <w:pPr>
              <w:pStyle w:val="Tabletext"/>
            </w:pPr>
            <w:r w:rsidRPr="00F52ACE">
              <w:t>0.6%</w:t>
            </w:r>
          </w:p>
        </w:tc>
      </w:tr>
      <w:tr w:rsidR="00E04EAF" w:rsidRPr="00E10372" w14:paraId="40BC4B6E" w14:textId="77777777" w:rsidTr="00BD6C5A">
        <w:tc>
          <w:tcPr>
            <w:tcW w:w="2268" w:type="dxa"/>
            <w:shd w:val="clear" w:color="auto" w:fill="auto"/>
          </w:tcPr>
          <w:p w14:paraId="3A3F58BE" w14:textId="77777777" w:rsidR="00E04EAF" w:rsidRPr="00F52ACE" w:rsidRDefault="00E04EAF" w:rsidP="00BD6C5A">
            <w:pPr>
              <w:pStyle w:val="Tabletext"/>
            </w:pPr>
            <w:r w:rsidRPr="00F52ACE">
              <w:t>84 to 96</w:t>
            </w:r>
          </w:p>
        </w:tc>
        <w:tc>
          <w:tcPr>
            <w:tcW w:w="2268" w:type="dxa"/>
            <w:shd w:val="clear" w:color="auto" w:fill="auto"/>
          </w:tcPr>
          <w:p w14:paraId="2B3C34E9" w14:textId="77777777" w:rsidR="00E04EAF" w:rsidRPr="00F52ACE" w:rsidRDefault="00E04EAF" w:rsidP="00BD6C5A">
            <w:pPr>
              <w:pStyle w:val="Tabletext"/>
            </w:pPr>
            <w:r w:rsidRPr="00F52ACE">
              <w:t>13.0%</w:t>
            </w:r>
          </w:p>
        </w:tc>
        <w:tc>
          <w:tcPr>
            <w:tcW w:w="1985" w:type="dxa"/>
            <w:shd w:val="clear" w:color="auto" w:fill="auto"/>
          </w:tcPr>
          <w:p w14:paraId="3FC697DA" w14:textId="77777777" w:rsidR="00E04EAF" w:rsidRPr="00F52ACE" w:rsidRDefault="00E04EAF" w:rsidP="00BD6C5A">
            <w:pPr>
              <w:pStyle w:val="Tabletext"/>
            </w:pPr>
            <w:r w:rsidRPr="00F52ACE">
              <w:t>0.</w:t>
            </w:r>
            <w:r>
              <w:t>6</w:t>
            </w:r>
            <w:r w:rsidRPr="00F52ACE">
              <w:t>%</w:t>
            </w:r>
          </w:p>
        </w:tc>
      </w:tr>
      <w:tr w:rsidR="00E04EAF" w:rsidRPr="00E10372" w14:paraId="039AFA93" w14:textId="77777777" w:rsidTr="00BD6C5A">
        <w:tc>
          <w:tcPr>
            <w:tcW w:w="2268" w:type="dxa"/>
            <w:shd w:val="clear" w:color="auto" w:fill="auto"/>
          </w:tcPr>
          <w:p w14:paraId="12A68E82" w14:textId="77777777" w:rsidR="00E04EAF" w:rsidRPr="00F52ACE" w:rsidRDefault="00E04EAF" w:rsidP="00BD6C5A">
            <w:pPr>
              <w:pStyle w:val="Tabletext"/>
            </w:pPr>
            <w:r w:rsidRPr="00F52ACE">
              <w:t>72 to 84</w:t>
            </w:r>
          </w:p>
        </w:tc>
        <w:tc>
          <w:tcPr>
            <w:tcW w:w="2268" w:type="dxa"/>
            <w:shd w:val="clear" w:color="auto" w:fill="auto"/>
          </w:tcPr>
          <w:p w14:paraId="1AB5D903" w14:textId="77777777" w:rsidR="00E04EAF" w:rsidRPr="00F52ACE" w:rsidRDefault="00E04EAF" w:rsidP="00BD6C5A">
            <w:pPr>
              <w:pStyle w:val="Tabletext"/>
            </w:pPr>
            <w:r w:rsidRPr="00F52ACE">
              <w:t>12.8%</w:t>
            </w:r>
          </w:p>
        </w:tc>
        <w:tc>
          <w:tcPr>
            <w:tcW w:w="1985" w:type="dxa"/>
            <w:shd w:val="clear" w:color="auto" w:fill="auto"/>
          </w:tcPr>
          <w:p w14:paraId="4D52FC04" w14:textId="77777777" w:rsidR="00E04EAF" w:rsidRPr="00F52ACE" w:rsidRDefault="00E04EAF" w:rsidP="00BD6C5A">
            <w:pPr>
              <w:pStyle w:val="Tabletext"/>
            </w:pPr>
            <w:r w:rsidRPr="00F52ACE">
              <w:t>0.7%</w:t>
            </w:r>
          </w:p>
        </w:tc>
      </w:tr>
      <w:tr w:rsidR="00E04EAF" w:rsidRPr="00E10372" w14:paraId="63E0E7AE" w14:textId="77777777" w:rsidTr="00BD6C5A">
        <w:tc>
          <w:tcPr>
            <w:tcW w:w="2268" w:type="dxa"/>
            <w:shd w:val="clear" w:color="auto" w:fill="auto"/>
          </w:tcPr>
          <w:p w14:paraId="6B8B9A10" w14:textId="77777777" w:rsidR="00E04EAF" w:rsidRPr="00F52ACE" w:rsidRDefault="00E04EAF" w:rsidP="00BD6C5A">
            <w:pPr>
              <w:pStyle w:val="Tabletext"/>
            </w:pPr>
            <w:r w:rsidRPr="00F52ACE">
              <w:t>60 to 72</w:t>
            </w:r>
          </w:p>
        </w:tc>
        <w:tc>
          <w:tcPr>
            <w:tcW w:w="2268" w:type="dxa"/>
            <w:shd w:val="clear" w:color="auto" w:fill="auto"/>
          </w:tcPr>
          <w:p w14:paraId="65A24EA6" w14:textId="77777777" w:rsidR="00E04EAF" w:rsidRPr="00F52ACE" w:rsidRDefault="00E04EAF" w:rsidP="00BD6C5A">
            <w:pPr>
              <w:pStyle w:val="Tabletext"/>
            </w:pPr>
            <w:r w:rsidRPr="00F52ACE">
              <w:t>12.5%</w:t>
            </w:r>
          </w:p>
        </w:tc>
        <w:tc>
          <w:tcPr>
            <w:tcW w:w="1985" w:type="dxa"/>
            <w:shd w:val="clear" w:color="auto" w:fill="auto"/>
          </w:tcPr>
          <w:p w14:paraId="1EB0134B" w14:textId="77777777" w:rsidR="00E04EAF" w:rsidRPr="00F52ACE" w:rsidRDefault="00E04EAF" w:rsidP="00BD6C5A">
            <w:pPr>
              <w:pStyle w:val="Tabletext"/>
            </w:pPr>
            <w:r w:rsidRPr="00F52ACE">
              <w:t>0.7%</w:t>
            </w:r>
          </w:p>
        </w:tc>
      </w:tr>
      <w:tr w:rsidR="00E04EAF" w:rsidRPr="00E10372" w14:paraId="51230D54" w14:textId="77777777" w:rsidTr="00BD6C5A">
        <w:tc>
          <w:tcPr>
            <w:tcW w:w="2268" w:type="dxa"/>
            <w:shd w:val="clear" w:color="auto" w:fill="auto"/>
          </w:tcPr>
          <w:p w14:paraId="4624EA55" w14:textId="77777777" w:rsidR="00E04EAF" w:rsidRPr="00F52ACE" w:rsidRDefault="00E04EAF" w:rsidP="00BD6C5A">
            <w:pPr>
              <w:pStyle w:val="Tabletext"/>
            </w:pPr>
            <w:r w:rsidRPr="00F52ACE">
              <w:t>48 to 60</w:t>
            </w:r>
          </w:p>
        </w:tc>
        <w:tc>
          <w:tcPr>
            <w:tcW w:w="2268" w:type="dxa"/>
            <w:shd w:val="clear" w:color="auto" w:fill="auto"/>
          </w:tcPr>
          <w:p w14:paraId="113E9CD8" w14:textId="77777777" w:rsidR="00E04EAF" w:rsidRPr="00F52ACE" w:rsidRDefault="00E04EAF" w:rsidP="00BD6C5A">
            <w:pPr>
              <w:pStyle w:val="Tabletext"/>
            </w:pPr>
            <w:r w:rsidRPr="00F52ACE">
              <w:t>12.1%</w:t>
            </w:r>
          </w:p>
        </w:tc>
        <w:tc>
          <w:tcPr>
            <w:tcW w:w="1985" w:type="dxa"/>
            <w:shd w:val="clear" w:color="auto" w:fill="auto"/>
          </w:tcPr>
          <w:p w14:paraId="2A13B568" w14:textId="77777777" w:rsidR="00E04EAF" w:rsidRPr="00F52ACE" w:rsidRDefault="00E04EAF" w:rsidP="00BD6C5A">
            <w:pPr>
              <w:pStyle w:val="Tabletext"/>
            </w:pPr>
            <w:r w:rsidRPr="00F52ACE">
              <w:t>0.7%</w:t>
            </w:r>
          </w:p>
        </w:tc>
      </w:tr>
      <w:tr w:rsidR="00E04EAF" w:rsidRPr="00E10372" w14:paraId="2012BAB6" w14:textId="77777777" w:rsidTr="00BD6C5A">
        <w:tc>
          <w:tcPr>
            <w:tcW w:w="2268" w:type="dxa"/>
            <w:shd w:val="clear" w:color="auto" w:fill="auto"/>
          </w:tcPr>
          <w:p w14:paraId="48C33259" w14:textId="77777777" w:rsidR="00E04EAF" w:rsidRPr="00F52ACE" w:rsidRDefault="00E04EAF" w:rsidP="00BD6C5A">
            <w:pPr>
              <w:pStyle w:val="Tabletext"/>
            </w:pPr>
            <w:r w:rsidRPr="00F52ACE">
              <w:t>36 to 48</w:t>
            </w:r>
          </w:p>
        </w:tc>
        <w:tc>
          <w:tcPr>
            <w:tcW w:w="2268" w:type="dxa"/>
            <w:shd w:val="clear" w:color="auto" w:fill="auto"/>
          </w:tcPr>
          <w:p w14:paraId="036F4A37" w14:textId="77777777" w:rsidR="00E04EAF" w:rsidRPr="00F52ACE" w:rsidRDefault="00E04EAF" w:rsidP="00BD6C5A">
            <w:pPr>
              <w:pStyle w:val="Tabletext"/>
            </w:pPr>
            <w:r w:rsidRPr="00F52ACE">
              <w:t>11.4%</w:t>
            </w:r>
          </w:p>
        </w:tc>
        <w:tc>
          <w:tcPr>
            <w:tcW w:w="1985" w:type="dxa"/>
            <w:shd w:val="clear" w:color="auto" w:fill="auto"/>
          </w:tcPr>
          <w:p w14:paraId="5F7ED733" w14:textId="77777777" w:rsidR="00E04EAF" w:rsidRPr="00F52ACE" w:rsidRDefault="00E04EAF" w:rsidP="00BD6C5A">
            <w:pPr>
              <w:pStyle w:val="Tabletext"/>
            </w:pPr>
            <w:r w:rsidRPr="00F52ACE">
              <w:t>0.8%</w:t>
            </w:r>
          </w:p>
        </w:tc>
      </w:tr>
      <w:tr w:rsidR="00E04EAF" w:rsidRPr="00E10372" w14:paraId="7B8EB5A4" w14:textId="77777777" w:rsidTr="00BD6C5A">
        <w:tc>
          <w:tcPr>
            <w:tcW w:w="2268" w:type="dxa"/>
            <w:shd w:val="clear" w:color="auto" w:fill="auto"/>
          </w:tcPr>
          <w:p w14:paraId="0991A346" w14:textId="77777777" w:rsidR="00E04EAF" w:rsidRPr="00F52ACE" w:rsidRDefault="00E04EAF" w:rsidP="00BD6C5A">
            <w:pPr>
              <w:pStyle w:val="Tabletext"/>
            </w:pPr>
            <w:r w:rsidRPr="00F52ACE">
              <w:t>24 to 36</w:t>
            </w:r>
          </w:p>
        </w:tc>
        <w:tc>
          <w:tcPr>
            <w:tcW w:w="2268" w:type="dxa"/>
            <w:shd w:val="clear" w:color="auto" w:fill="auto"/>
          </w:tcPr>
          <w:p w14:paraId="33316F06" w14:textId="77777777" w:rsidR="00E04EAF" w:rsidRPr="00F52ACE" w:rsidRDefault="00E04EAF" w:rsidP="00BD6C5A">
            <w:pPr>
              <w:pStyle w:val="Tabletext"/>
            </w:pPr>
            <w:r w:rsidRPr="00F52ACE">
              <w:t>10.5%</w:t>
            </w:r>
          </w:p>
        </w:tc>
        <w:tc>
          <w:tcPr>
            <w:tcW w:w="1985" w:type="dxa"/>
            <w:shd w:val="clear" w:color="auto" w:fill="auto"/>
          </w:tcPr>
          <w:p w14:paraId="0A7D14AC" w14:textId="77777777" w:rsidR="00E04EAF" w:rsidRPr="00F52ACE" w:rsidRDefault="00E04EAF" w:rsidP="00BD6C5A">
            <w:pPr>
              <w:pStyle w:val="Tabletext"/>
            </w:pPr>
            <w:r w:rsidRPr="00F52ACE">
              <w:t>0.8%</w:t>
            </w:r>
          </w:p>
        </w:tc>
      </w:tr>
      <w:tr w:rsidR="00E04EAF" w:rsidRPr="00E10372" w14:paraId="46946677" w14:textId="77777777" w:rsidTr="00BD6C5A">
        <w:tc>
          <w:tcPr>
            <w:tcW w:w="2268" w:type="dxa"/>
            <w:shd w:val="clear" w:color="auto" w:fill="auto"/>
          </w:tcPr>
          <w:p w14:paraId="2CDB4665" w14:textId="77777777" w:rsidR="00E04EAF" w:rsidRPr="00F52ACE" w:rsidRDefault="00E04EAF" w:rsidP="00BD6C5A">
            <w:pPr>
              <w:pStyle w:val="Tabletext"/>
            </w:pPr>
            <w:r w:rsidRPr="00F52ACE">
              <w:t>18 to 24</w:t>
            </w:r>
          </w:p>
        </w:tc>
        <w:tc>
          <w:tcPr>
            <w:tcW w:w="2268" w:type="dxa"/>
            <w:shd w:val="clear" w:color="auto" w:fill="auto"/>
          </w:tcPr>
          <w:p w14:paraId="7328673B" w14:textId="77777777" w:rsidR="00E04EAF" w:rsidRPr="00F52ACE" w:rsidRDefault="00E04EAF" w:rsidP="00BD6C5A">
            <w:pPr>
              <w:pStyle w:val="Tabletext"/>
            </w:pPr>
            <w:r w:rsidRPr="00F52ACE">
              <w:t>9.9%</w:t>
            </w:r>
          </w:p>
        </w:tc>
        <w:tc>
          <w:tcPr>
            <w:tcW w:w="1985" w:type="dxa"/>
            <w:shd w:val="clear" w:color="auto" w:fill="auto"/>
          </w:tcPr>
          <w:p w14:paraId="700D3AC4" w14:textId="77777777" w:rsidR="00E04EAF" w:rsidRPr="00F52ACE" w:rsidRDefault="00E04EAF" w:rsidP="00BD6C5A">
            <w:pPr>
              <w:pStyle w:val="Tabletext"/>
            </w:pPr>
            <w:r w:rsidRPr="00F52ACE">
              <w:t>0.8%</w:t>
            </w:r>
          </w:p>
        </w:tc>
      </w:tr>
      <w:tr w:rsidR="00E04EAF" w:rsidRPr="00E10372" w14:paraId="55B738EF" w14:textId="77777777" w:rsidTr="00BD6C5A">
        <w:tc>
          <w:tcPr>
            <w:tcW w:w="2268" w:type="dxa"/>
            <w:shd w:val="clear" w:color="auto" w:fill="auto"/>
          </w:tcPr>
          <w:p w14:paraId="462BC769" w14:textId="77777777" w:rsidR="00E04EAF" w:rsidRPr="00F52ACE" w:rsidRDefault="00E04EAF" w:rsidP="00BD6C5A">
            <w:pPr>
              <w:pStyle w:val="Tabletext"/>
            </w:pPr>
            <w:r w:rsidRPr="00F52ACE">
              <w:t>12 to 18</w:t>
            </w:r>
          </w:p>
        </w:tc>
        <w:tc>
          <w:tcPr>
            <w:tcW w:w="2268" w:type="dxa"/>
            <w:shd w:val="clear" w:color="auto" w:fill="auto"/>
          </w:tcPr>
          <w:p w14:paraId="188DDB5E" w14:textId="77777777" w:rsidR="00E04EAF" w:rsidRPr="00F52ACE" w:rsidRDefault="00E04EAF" w:rsidP="00BD6C5A">
            <w:pPr>
              <w:pStyle w:val="Tabletext"/>
            </w:pPr>
            <w:r w:rsidRPr="00F52ACE">
              <w:t>9.2%</w:t>
            </w:r>
          </w:p>
        </w:tc>
        <w:tc>
          <w:tcPr>
            <w:tcW w:w="1985" w:type="dxa"/>
            <w:shd w:val="clear" w:color="auto" w:fill="auto"/>
          </w:tcPr>
          <w:p w14:paraId="15255EEC" w14:textId="77777777" w:rsidR="00E04EAF" w:rsidRPr="00F52ACE" w:rsidRDefault="00E04EAF" w:rsidP="00BD6C5A">
            <w:pPr>
              <w:pStyle w:val="Tabletext"/>
            </w:pPr>
            <w:r w:rsidRPr="00F52ACE">
              <w:t>0.9%</w:t>
            </w:r>
          </w:p>
        </w:tc>
      </w:tr>
      <w:tr w:rsidR="00E04EAF" w:rsidRPr="00E10372" w14:paraId="7C527544" w14:textId="77777777" w:rsidTr="00BD6C5A">
        <w:tc>
          <w:tcPr>
            <w:tcW w:w="2268" w:type="dxa"/>
            <w:shd w:val="clear" w:color="auto" w:fill="auto"/>
          </w:tcPr>
          <w:p w14:paraId="71100150" w14:textId="77777777" w:rsidR="00E04EAF" w:rsidRPr="00F52ACE" w:rsidRDefault="00E04EAF" w:rsidP="00BD6C5A">
            <w:pPr>
              <w:pStyle w:val="Tabletext"/>
            </w:pPr>
            <w:r w:rsidRPr="00F52ACE">
              <w:t>9 to 12</w:t>
            </w:r>
          </w:p>
        </w:tc>
        <w:tc>
          <w:tcPr>
            <w:tcW w:w="2268" w:type="dxa"/>
            <w:shd w:val="clear" w:color="auto" w:fill="auto"/>
          </w:tcPr>
          <w:p w14:paraId="0E0F47C3" w14:textId="77777777" w:rsidR="00E04EAF" w:rsidRPr="00F52ACE" w:rsidRDefault="00E04EAF" w:rsidP="00BD6C5A">
            <w:pPr>
              <w:pStyle w:val="Tabletext"/>
            </w:pPr>
            <w:r w:rsidRPr="00F52ACE">
              <w:t>8.8%</w:t>
            </w:r>
          </w:p>
        </w:tc>
        <w:tc>
          <w:tcPr>
            <w:tcW w:w="1985" w:type="dxa"/>
            <w:shd w:val="clear" w:color="auto" w:fill="auto"/>
          </w:tcPr>
          <w:p w14:paraId="7B40B451" w14:textId="77777777" w:rsidR="00E04EAF" w:rsidRPr="00F52ACE" w:rsidRDefault="00E04EAF" w:rsidP="00BD6C5A">
            <w:pPr>
              <w:pStyle w:val="Tabletext"/>
            </w:pPr>
            <w:r w:rsidRPr="00F52ACE">
              <w:t>0.9%</w:t>
            </w:r>
          </w:p>
        </w:tc>
      </w:tr>
      <w:tr w:rsidR="00E04EAF" w:rsidRPr="00E10372" w14:paraId="473F33A1" w14:textId="77777777" w:rsidTr="00BD6C5A">
        <w:tc>
          <w:tcPr>
            <w:tcW w:w="2268" w:type="dxa"/>
            <w:shd w:val="clear" w:color="auto" w:fill="auto"/>
          </w:tcPr>
          <w:p w14:paraId="0269BCD9" w14:textId="77777777" w:rsidR="00E04EAF" w:rsidRPr="00F52ACE" w:rsidRDefault="00E04EAF" w:rsidP="00BD6C5A">
            <w:pPr>
              <w:pStyle w:val="Tabletext"/>
            </w:pPr>
            <w:r w:rsidRPr="00F52ACE">
              <w:t>6 to 9</w:t>
            </w:r>
          </w:p>
        </w:tc>
        <w:tc>
          <w:tcPr>
            <w:tcW w:w="2268" w:type="dxa"/>
            <w:shd w:val="clear" w:color="auto" w:fill="auto"/>
          </w:tcPr>
          <w:p w14:paraId="2D7E9026" w14:textId="77777777" w:rsidR="00E04EAF" w:rsidRPr="00F52ACE" w:rsidRDefault="00E04EAF" w:rsidP="00BD6C5A">
            <w:pPr>
              <w:pStyle w:val="Tabletext"/>
            </w:pPr>
            <w:r w:rsidRPr="00F52ACE">
              <w:t>8.3%</w:t>
            </w:r>
          </w:p>
        </w:tc>
        <w:tc>
          <w:tcPr>
            <w:tcW w:w="1985" w:type="dxa"/>
            <w:shd w:val="clear" w:color="auto" w:fill="auto"/>
          </w:tcPr>
          <w:p w14:paraId="6B6CC7F0" w14:textId="77777777" w:rsidR="00E04EAF" w:rsidRPr="00F52ACE" w:rsidRDefault="00E04EAF" w:rsidP="00BD6C5A">
            <w:pPr>
              <w:pStyle w:val="Tabletext"/>
            </w:pPr>
            <w:r w:rsidRPr="00F52ACE">
              <w:t>0.9%</w:t>
            </w:r>
          </w:p>
        </w:tc>
      </w:tr>
      <w:tr w:rsidR="00E04EAF" w:rsidRPr="00E10372" w14:paraId="036A02A6" w14:textId="77777777" w:rsidTr="00BD6C5A">
        <w:tc>
          <w:tcPr>
            <w:tcW w:w="2268" w:type="dxa"/>
            <w:tcBorders>
              <w:bottom w:val="single" w:sz="4" w:space="0" w:color="auto"/>
            </w:tcBorders>
            <w:shd w:val="clear" w:color="auto" w:fill="auto"/>
          </w:tcPr>
          <w:p w14:paraId="5EAC817A" w14:textId="77777777" w:rsidR="00E04EAF" w:rsidRPr="00F52ACE" w:rsidRDefault="00E04EAF" w:rsidP="00BD6C5A">
            <w:pPr>
              <w:pStyle w:val="Tabletext"/>
            </w:pPr>
            <w:r w:rsidRPr="00F52ACE">
              <w:t>3 to 6</w:t>
            </w:r>
          </w:p>
        </w:tc>
        <w:tc>
          <w:tcPr>
            <w:tcW w:w="2268" w:type="dxa"/>
            <w:tcBorders>
              <w:bottom w:val="single" w:sz="4" w:space="0" w:color="auto"/>
            </w:tcBorders>
            <w:shd w:val="clear" w:color="auto" w:fill="auto"/>
          </w:tcPr>
          <w:p w14:paraId="1AF004EE" w14:textId="77777777" w:rsidR="00E04EAF" w:rsidRPr="00F52ACE" w:rsidRDefault="00E04EAF" w:rsidP="00BD6C5A">
            <w:pPr>
              <w:pStyle w:val="Tabletext"/>
            </w:pPr>
            <w:r w:rsidRPr="00F52ACE">
              <w:t>7.8%</w:t>
            </w:r>
          </w:p>
        </w:tc>
        <w:tc>
          <w:tcPr>
            <w:tcW w:w="1985" w:type="dxa"/>
            <w:tcBorders>
              <w:bottom w:val="single" w:sz="4" w:space="0" w:color="auto"/>
            </w:tcBorders>
            <w:shd w:val="clear" w:color="auto" w:fill="auto"/>
          </w:tcPr>
          <w:p w14:paraId="04F9EF9D" w14:textId="77777777" w:rsidR="00E04EAF" w:rsidRPr="00F52ACE" w:rsidRDefault="00E04EAF" w:rsidP="00BD6C5A">
            <w:pPr>
              <w:pStyle w:val="Tabletext"/>
            </w:pPr>
            <w:r w:rsidRPr="00F52ACE">
              <w:t>0.9%</w:t>
            </w:r>
          </w:p>
        </w:tc>
      </w:tr>
      <w:tr w:rsidR="00E04EAF" w:rsidRPr="00E10372" w14:paraId="0E1F0F39" w14:textId="77777777" w:rsidTr="00BD6C5A">
        <w:tc>
          <w:tcPr>
            <w:tcW w:w="2268" w:type="dxa"/>
            <w:tcBorders>
              <w:bottom w:val="single" w:sz="12" w:space="0" w:color="auto"/>
            </w:tcBorders>
            <w:shd w:val="clear" w:color="auto" w:fill="auto"/>
          </w:tcPr>
          <w:p w14:paraId="14F45F04" w14:textId="77777777" w:rsidR="00E04EAF" w:rsidRPr="00F52ACE" w:rsidRDefault="00E04EAF" w:rsidP="00BD6C5A">
            <w:pPr>
              <w:pStyle w:val="Tabletext"/>
            </w:pPr>
            <w:r w:rsidRPr="00F52ACE">
              <w:t>0 to 3</w:t>
            </w:r>
          </w:p>
        </w:tc>
        <w:tc>
          <w:tcPr>
            <w:tcW w:w="2268" w:type="dxa"/>
            <w:tcBorders>
              <w:bottom w:val="single" w:sz="12" w:space="0" w:color="auto"/>
            </w:tcBorders>
            <w:shd w:val="clear" w:color="auto" w:fill="auto"/>
          </w:tcPr>
          <w:p w14:paraId="7DEDE594" w14:textId="77777777" w:rsidR="00E04EAF" w:rsidRPr="00F52ACE" w:rsidRDefault="00E04EAF" w:rsidP="00BD6C5A">
            <w:pPr>
              <w:pStyle w:val="Tabletext"/>
            </w:pPr>
            <w:r w:rsidRPr="00F52ACE">
              <w:t>7.5%</w:t>
            </w:r>
          </w:p>
        </w:tc>
        <w:tc>
          <w:tcPr>
            <w:tcW w:w="1985" w:type="dxa"/>
            <w:tcBorders>
              <w:bottom w:val="single" w:sz="12" w:space="0" w:color="auto"/>
            </w:tcBorders>
            <w:shd w:val="clear" w:color="auto" w:fill="auto"/>
          </w:tcPr>
          <w:p w14:paraId="2A8D69C2" w14:textId="77777777" w:rsidR="00E04EAF" w:rsidRPr="00F52ACE" w:rsidRDefault="00E04EAF" w:rsidP="00BD6C5A">
            <w:pPr>
              <w:pStyle w:val="Tabletext"/>
            </w:pPr>
            <w:r w:rsidRPr="00F52ACE">
              <w:t>1.0%</w:t>
            </w:r>
          </w:p>
        </w:tc>
      </w:tr>
    </w:tbl>
    <w:p w14:paraId="5897A5B8" w14:textId="77777777" w:rsidR="00E04EAF" w:rsidRPr="00F52ACE" w:rsidRDefault="00E04EAF" w:rsidP="00E04EAF">
      <w:pPr>
        <w:pStyle w:val="Tabletext"/>
      </w:pPr>
    </w:p>
    <w:p w14:paraId="4B141199" w14:textId="77777777" w:rsidR="00C10133" w:rsidRPr="002C12FA" w:rsidRDefault="00C10133" w:rsidP="00C10133"/>
    <w:p w14:paraId="5BF3E4C2" w14:textId="77777777" w:rsidR="00BD6C5A" w:rsidRDefault="00BD6C5A"/>
    <w:sectPr w:rsidR="00BD6C5A" w:rsidSect="00BD6C5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BD419" w14:textId="77777777" w:rsidR="00F94D09" w:rsidRDefault="00F94D09" w:rsidP="002368EB">
      <w:pPr>
        <w:spacing w:before="0" w:after="0"/>
      </w:pPr>
      <w:r>
        <w:separator/>
      </w:r>
    </w:p>
  </w:endnote>
  <w:endnote w:type="continuationSeparator" w:id="0">
    <w:p w14:paraId="54353FA3" w14:textId="77777777" w:rsidR="00F94D09" w:rsidRDefault="00F94D09" w:rsidP="002368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FED8C" w14:textId="77777777" w:rsidR="00F94D09" w:rsidRDefault="00F94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46156" w14:textId="77777777" w:rsidR="00F94D09" w:rsidRDefault="00F94D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B17DA" w14:textId="77777777" w:rsidR="00F94D09" w:rsidRDefault="00F94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EFC2D" w14:textId="77777777" w:rsidR="00F94D09" w:rsidRDefault="00F94D09" w:rsidP="002368EB">
      <w:pPr>
        <w:spacing w:before="0" w:after="0"/>
      </w:pPr>
      <w:r>
        <w:separator/>
      </w:r>
    </w:p>
  </w:footnote>
  <w:footnote w:type="continuationSeparator" w:id="0">
    <w:p w14:paraId="18861A88" w14:textId="77777777" w:rsidR="00F94D09" w:rsidRDefault="00F94D09" w:rsidP="002368E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BDFF0" w14:textId="5AE13AC5" w:rsidR="00F94D09" w:rsidRDefault="00F94D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BE756" w14:textId="0D987827" w:rsidR="00F94D09" w:rsidRDefault="00F94D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1BDED" w14:textId="1EB6838B" w:rsidR="00F94D09" w:rsidRDefault="00F94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43C0B"/>
    <w:multiLevelType w:val="multilevel"/>
    <w:tmpl w:val="D7B606D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33"/>
    <w:rsid w:val="000276C5"/>
    <w:rsid w:val="001C0513"/>
    <w:rsid w:val="001E002E"/>
    <w:rsid w:val="002368EB"/>
    <w:rsid w:val="002B4DC1"/>
    <w:rsid w:val="003D67E0"/>
    <w:rsid w:val="0040451F"/>
    <w:rsid w:val="00456933"/>
    <w:rsid w:val="004C04F5"/>
    <w:rsid w:val="00522E4F"/>
    <w:rsid w:val="00611921"/>
    <w:rsid w:val="00840B04"/>
    <w:rsid w:val="008742F6"/>
    <w:rsid w:val="008F67AA"/>
    <w:rsid w:val="00910384"/>
    <w:rsid w:val="0093661E"/>
    <w:rsid w:val="0095375E"/>
    <w:rsid w:val="00971C86"/>
    <w:rsid w:val="00AF451F"/>
    <w:rsid w:val="00BD6C5A"/>
    <w:rsid w:val="00C10133"/>
    <w:rsid w:val="00C35867"/>
    <w:rsid w:val="00CA2DA2"/>
    <w:rsid w:val="00CA75FA"/>
    <w:rsid w:val="00CE204B"/>
    <w:rsid w:val="00D816D5"/>
    <w:rsid w:val="00DD7118"/>
    <w:rsid w:val="00E001EC"/>
    <w:rsid w:val="00E04EAF"/>
    <w:rsid w:val="00F7060A"/>
    <w:rsid w:val="00F94D09"/>
    <w:rsid w:val="00FE6597"/>
    <w:rsid w:val="00FE6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0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33"/>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10133"/>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C10133"/>
    <w:pPr>
      <w:keepNext/>
      <w:spacing w:before="240" w:after="60"/>
      <w:outlineLvl w:val="1"/>
    </w:pPr>
    <w:rPr>
      <w:b/>
      <w:sz w:val="28"/>
      <w:u w:val="single"/>
    </w:rPr>
  </w:style>
  <w:style w:type="paragraph" w:styleId="Heading3">
    <w:name w:val="heading 3"/>
    <w:basedOn w:val="Heading2"/>
    <w:next w:val="base-text-paragraph"/>
    <w:link w:val="Heading3Char"/>
    <w:qFormat/>
    <w:rsid w:val="00C10133"/>
    <w:pPr>
      <w:tabs>
        <w:tab w:val="left" w:pos="1987"/>
      </w:tabs>
      <w:spacing w:after="120"/>
      <w:outlineLvl w:val="2"/>
    </w:pPr>
    <w:rPr>
      <w:rFonts w:ascii="Helvetica" w:hAnsi="Helvetica"/>
      <w:kern w:val="28"/>
      <w:sz w:val="24"/>
      <w:u w:val="none"/>
    </w:rPr>
  </w:style>
  <w:style w:type="paragraph" w:styleId="Heading4">
    <w:name w:val="heading 4"/>
    <w:basedOn w:val="Normal"/>
    <w:next w:val="Normal"/>
    <w:link w:val="Heading4Char"/>
    <w:uiPriority w:val="9"/>
    <w:semiHidden/>
    <w:unhideWhenUsed/>
    <w:qFormat/>
    <w:rsid w:val="00027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13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C10133"/>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C10133"/>
    <w:rPr>
      <w:rFonts w:ascii="Helvetica" w:eastAsia="Times New Roman" w:hAnsi="Helvetica" w:cs="Times New Roman"/>
      <w:b/>
      <w:kern w:val="28"/>
      <w:sz w:val="24"/>
      <w:szCs w:val="20"/>
      <w:lang w:eastAsia="en-AU"/>
    </w:rPr>
  </w:style>
  <w:style w:type="paragraph" w:customStyle="1" w:styleId="base-text-paragraph">
    <w:name w:val="base-text-paragraph"/>
    <w:link w:val="base-text-paragraphChar"/>
    <w:rsid w:val="00C10133"/>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customStyle="1" w:styleId="Bullet">
    <w:name w:val="Bullet"/>
    <w:basedOn w:val="Normal"/>
    <w:link w:val="BulletChar"/>
    <w:rsid w:val="00C10133"/>
    <w:pPr>
      <w:numPr>
        <w:numId w:val="1"/>
      </w:numPr>
      <w:spacing w:before="240"/>
    </w:pPr>
    <w:rPr>
      <w:szCs w:val="23"/>
    </w:rPr>
  </w:style>
  <w:style w:type="character" w:customStyle="1" w:styleId="BulletChar">
    <w:name w:val="Bullet Char"/>
    <w:basedOn w:val="DefaultParagraphFont"/>
    <w:link w:val="Bullet"/>
    <w:rsid w:val="00C10133"/>
    <w:rPr>
      <w:rFonts w:ascii="Times New Roman" w:eastAsia="Times New Roman" w:hAnsi="Times New Roman" w:cs="Times New Roman"/>
      <w:sz w:val="24"/>
      <w:szCs w:val="23"/>
      <w:lang w:eastAsia="en-AU"/>
    </w:rPr>
  </w:style>
  <w:style w:type="paragraph" w:customStyle="1" w:styleId="Dash">
    <w:name w:val="Dash"/>
    <w:basedOn w:val="Normal"/>
    <w:rsid w:val="00C10133"/>
    <w:pPr>
      <w:numPr>
        <w:ilvl w:val="1"/>
        <w:numId w:val="1"/>
      </w:numPr>
      <w:spacing w:before="240"/>
    </w:pPr>
    <w:rPr>
      <w:szCs w:val="23"/>
    </w:rPr>
  </w:style>
  <w:style w:type="paragraph" w:customStyle="1" w:styleId="DoubleDot">
    <w:name w:val="Double Dot"/>
    <w:basedOn w:val="Normal"/>
    <w:rsid w:val="00C10133"/>
    <w:pPr>
      <w:numPr>
        <w:ilvl w:val="2"/>
        <w:numId w:val="1"/>
      </w:numPr>
      <w:spacing w:before="240"/>
    </w:pPr>
    <w:rPr>
      <w:szCs w:val="23"/>
    </w:rPr>
  </w:style>
  <w:style w:type="character" w:customStyle="1" w:styleId="base-text-paragraphChar">
    <w:name w:val="base-text-paragraph Char"/>
    <w:basedOn w:val="DefaultParagraphFont"/>
    <w:link w:val="base-text-paragraph"/>
    <w:rsid w:val="00C10133"/>
    <w:rPr>
      <w:rFonts w:ascii="Times New Roman" w:eastAsia="Times New Roman" w:hAnsi="Times New Roman" w:cs="Times New Roman"/>
      <w:sz w:val="24"/>
      <w:szCs w:val="20"/>
      <w:lang w:eastAsia="en-AU"/>
    </w:rPr>
  </w:style>
  <w:style w:type="paragraph" w:customStyle="1" w:styleId="Tabletext">
    <w:name w:val="Tabletext"/>
    <w:aliases w:val="tt"/>
    <w:basedOn w:val="Normal"/>
    <w:rsid w:val="00C10133"/>
    <w:pPr>
      <w:spacing w:before="60" w:after="0" w:line="240" w:lineRule="atLeast"/>
    </w:pPr>
    <w:rPr>
      <w:sz w:val="20"/>
    </w:rPr>
  </w:style>
  <w:style w:type="paragraph" w:customStyle="1" w:styleId="TableHeading">
    <w:name w:val="TableHeading"/>
    <w:aliases w:val="th"/>
    <w:basedOn w:val="Normal"/>
    <w:next w:val="Tabletext"/>
    <w:link w:val="TableHeadingChar"/>
    <w:rsid w:val="00C10133"/>
    <w:pPr>
      <w:keepNext/>
      <w:spacing w:before="60" w:after="0" w:line="240" w:lineRule="atLeast"/>
    </w:pPr>
    <w:rPr>
      <w:b/>
      <w:sz w:val="20"/>
    </w:rPr>
  </w:style>
  <w:style w:type="character" w:customStyle="1" w:styleId="TableHeadingChar">
    <w:name w:val="TableHeading Char"/>
    <w:aliases w:val="th Char"/>
    <w:basedOn w:val="DefaultParagraphFont"/>
    <w:link w:val="TableHeading"/>
    <w:rsid w:val="00C10133"/>
    <w:rPr>
      <w:rFonts w:ascii="Times New Roman" w:eastAsia="Times New Roman" w:hAnsi="Times New Roman" w:cs="Times New Roman"/>
      <w:b/>
      <w:sz w:val="20"/>
      <w:szCs w:val="20"/>
      <w:lang w:eastAsia="en-AU"/>
    </w:rPr>
  </w:style>
  <w:style w:type="paragraph" w:styleId="Header">
    <w:name w:val="header"/>
    <w:basedOn w:val="Normal"/>
    <w:link w:val="HeaderChar"/>
    <w:uiPriority w:val="99"/>
    <w:unhideWhenUsed/>
    <w:rsid w:val="00C10133"/>
    <w:pPr>
      <w:tabs>
        <w:tab w:val="center" w:pos="4513"/>
        <w:tab w:val="right" w:pos="9026"/>
      </w:tabs>
      <w:spacing w:before="0" w:after="0"/>
    </w:pPr>
  </w:style>
  <w:style w:type="character" w:customStyle="1" w:styleId="HeaderChar">
    <w:name w:val="Header Char"/>
    <w:basedOn w:val="DefaultParagraphFont"/>
    <w:link w:val="Header"/>
    <w:uiPriority w:val="99"/>
    <w:rsid w:val="00C10133"/>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C10133"/>
    <w:pPr>
      <w:tabs>
        <w:tab w:val="center" w:pos="4513"/>
        <w:tab w:val="right" w:pos="9026"/>
      </w:tabs>
      <w:spacing w:before="0" w:after="0"/>
    </w:pPr>
  </w:style>
  <w:style w:type="character" w:customStyle="1" w:styleId="FooterChar">
    <w:name w:val="Footer Char"/>
    <w:basedOn w:val="DefaultParagraphFont"/>
    <w:link w:val="Footer"/>
    <w:uiPriority w:val="99"/>
    <w:rsid w:val="00C10133"/>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uiPriority w:val="9"/>
    <w:semiHidden/>
    <w:rsid w:val="000276C5"/>
    <w:rPr>
      <w:rFonts w:asciiTheme="majorHAnsi" w:eastAsiaTheme="majorEastAsia" w:hAnsiTheme="majorHAnsi" w:cstheme="majorBidi"/>
      <w:b/>
      <w:bCs/>
      <w:i/>
      <w:iCs/>
      <w:color w:val="4F81BD" w:themeColor="accent1"/>
      <w:sz w:val="24"/>
      <w:szCs w:val="20"/>
      <w:lang w:eastAsia="en-AU"/>
    </w:rPr>
  </w:style>
  <w:style w:type="paragraph" w:styleId="BalloonText">
    <w:name w:val="Balloon Text"/>
    <w:basedOn w:val="Normal"/>
    <w:link w:val="BalloonTextChar"/>
    <w:uiPriority w:val="99"/>
    <w:semiHidden/>
    <w:unhideWhenUsed/>
    <w:rsid w:val="00FE688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882"/>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E204B"/>
    <w:rPr>
      <w:sz w:val="16"/>
      <w:szCs w:val="16"/>
    </w:rPr>
  </w:style>
  <w:style w:type="paragraph" w:styleId="CommentText">
    <w:name w:val="annotation text"/>
    <w:basedOn w:val="Normal"/>
    <w:link w:val="CommentTextChar"/>
    <w:uiPriority w:val="99"/>
    <w:semiHidden/>
    <w:unhideWhenUsed/>
    <w:rsid w:val="00CE204B"/>
    <w:rPr>
      <w:sz w:val="20"/>
    </w:rPr>
  </w:style>
  <w:style w:type="character" w:customStyle="1" w:styleId="CommentTextChar">
    <w:name w:val="Comment Text Char"/>
    <w:basedOn w:val="DefaultParagraphFont"/>
    <w:link w:val="CommentText"/>
    <w:uiPriority w:val="99"/>
    <w:semiHidden/>
    <w:rsid w:val="00CE204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204B"/>
    <w:rPr>
      <w:b/>
      <w:bCs/>
    </w:rPr>
  </w:style>
  <w:style w:type="character" w:customStyle="1" w:styleId="CommentSubjectChar">
    <w:name w:val="Comment Subject Char"/>
    <w:basedOn w:val="CommentTextChar"/>
    <w:link w:val="CommentSubject"/>
    <w:uiPriority w:val="99"/>
    <w:semiHidden/>
    <w:rsid w:val="00CE204B"/>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33"/>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10133"/>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C10133"/>
    <w:pPr>
      <w:keepNext/>
      <w:spacing w:before="240" w:after="60"/>
      <w:outlineLvl w:val="1"/>
    </w:pPr>
    <w:rPr>
      <w:b/>
      <w:sz w:val="28"/>
      <w:u w:val="single"/>
    </w:rPr>
  </w:style>
  <w:style w:type="paragraph" w:styleId="Heading3">
    <w:name w:val="heading 3"/>
    <w:basedOn w:val="Heading2"/>
    <w:next w:val="base-text-paragraph"/>
    <w:link w:val="Heading3Char"/>
    <w:qFormat/>
    <w:rsid w:val="00C10133"/>
    <w:pPr>
      <w:tabs>
        <w:tab w:val="left" w:pos="1987"/>
      </w:tabs>
      <w:spacing w:after="120"/>
      <w:outlineLvl w:val="2"/>
    </w:pPr>
    <w:rPr>
      <w:rFonts w:ascii="Helvetica" w:hAnsi="Helvetica"/>
      <w:kern w:val="28"/>
      <w:sz w:val="24"/>
      <w:u w:val="none"/>
    </w:rPr>
  </w:style>
  <w:style w:type="paragraph" w:styleId="Heading4">
    <w:name w:val="heading 4"/>
    <w:basedOn w:val="Normal"/>
    <w:next w:val="Normal"/>
    <w:link w:val="Heading4Char"/>
    <w:uiPriority w:val="9"/>
    <w:semiHidden/>
    <w:unhideWhenUsed/>
    <w:qFormat/>
    <w:rsid w:val="00027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13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C10133"/>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C10133"/>
    <w:rPr>
      <w:rFonts w:ascii="Helvetica" w:eastAsia="Times New Roman" w:hAnsi="Helvetica" w:cs="Times New Roman"/>
      <w:b/>
      <w:kern w:val="28"/>
      <w:sz w:val="24"/>
      <w:szCs w:val="20"/>
      <w:lang w:eastAsia="en-AU"/>
    </w:rPr>
  </w:style>
  <w:style w:type="paragraph" w:customStyle="1" w:styleId="base-text-paragraph">
    <w:name w:val="base-text-paragraph"/>
    <w:link w:val="base-text-paragraphChar"/>
    <w:rsid w:val="00C10133"/>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customStyle="1" w:styleId="Bullet">
    <w:name w:val="Bullet"/>
    <w:basedOn w:val="Normal"/>
    <w:link w:val="BulletChar"/>
    <w:rsid w:val="00C10133"/>
    <w:pPr>
      <w:numPr>
        <w:numId w:val="1"/>
      </w:numPr>
      <w:spacing w:before="240"/>
    </w:pPr>
    <w:rPr>
      <w:szCs w:val="23"/>
    </w:rPr>
  </w:style>
  <w:style w:type="character" w:customStyle="1" w:styleId="BulletChar">
    <w:name w:val="Bullet Char"/>
    <w:basedOn w:val="DefaultParagraphFont"/>
    <w:link w:val="Bullet"/>
    <w:rsid w:val="00C10133"/>
    <w:rPr>
      <w:rFonts w:ascii="Times New Roman" w:eastAsia="Times New Roman" w:hAnsi="Times New Roman" w:cs="Times New Roman"/>
      <w:sz w:val="24"/>
      <w:szCs w:val="23"/>
      <w:lang w:eastAsia="en-AU"/>
    </w:rPr>
  </w:style>
  <w:style w:type="paragraph" w:customStyle="1" w:styleId="Dash">
    <w:name w:val="Dash"/>
    <w:basedOn w:val="Normal"/>
    <w:rsid w:val="00C10133"/>
    <w:pPr>
      <w:numPr>
        <w:ilvl w:val="1"/>
        <w:numId w:val="1"/>
      </w:numPr>
      <w:spacing w:before="240"/>
    </w:pPr>
    <w:rPr>
      <w:szCs w:val="23"/>
    </w:rPr>
  </w:style>
  <w:style w:type="paragraph" w:customStyle="1" w:styleId="DoubleDot">
    <w:name w:val="Double Dot"/>
    <w:basedOn w:val="Normal"/>
    <w:rsid w:val="00C10133"/>
    <w:pPr>
      <w:numPr>
        <w:ilvl w:val="2"/>
        <w:numId w:val="1"/>
      </w:numPr>
      <w:spacing w:before="240"/>
    </w:pPr>
    <w:rPr>
      <w:szCs w:val="23"/>
    </w:rPr>
  </w:style>
  <w:style w:type="character" w:customStyle="1" w:styleId="base-text-paragraphChar">
    <w:name w:val="base-text-paragraph Char"/>
    <w:basedOn w:val="DefaultParagraphFont"/>
    <w:link w:val="base-text-paragraph"/>
    <w:rsid w:val="00C10133"/>
    <w:rPr>
      <w:rFonts w:ascii="Times New Roman" w:eastAsia="Times New Roman" w:hAnsi="Times New Roman" w:cs="Times New Roman"/>
      <w:sz w:val="24"/>
      <w:szCs w:val="20"/>
      <w:lang w:eastAsia="en-AU"/>
    </w:rPr>
  </w:style>
  <w:style w:type="paragraph" w:customStyle="1" w:styleId="Tabletext">
    <w:name w:val="Tabletext"/>
    <w:aliases w:val="tt"/>
    <w:basedOn w:val="Normal"/>
    <w:rsid w:val="00C10133"/>
    <w:pPr>
      <w:spacing w:before="60" w:after="0" w:line="240" w:lineRule="atLeast"/>
    </w:pPr>
    <w:rPr>
      <w:sz w:val="20"/>
    </w:rPr>
  </w:style>
  <w:style w:type="paragraph" w:customStyle="1" w:styleId="TableHeading">
    <w:name w:val="TableHeading"/>
    <w:aliases w:val="th"/>
    <w:basedOn w:val="Normal"/>
    <w:next w:val="Tabletext"/>
    <w:link w:val="TableHeadingChar"/>
    <w:rsid w:val="00C10133"/>
    <w:pPr>
      <w:keepNext/>
      <w:spacing w:before="60" w:after="0" w:line="240" w:lineRule="atLeast"/>
    </w:pPr>
    <w:rPr>
      <w:b/>
      <w:sz w:val="20"/>
    </w:rPr>
  </w:style>
  <w:style w:type="character" w:customStyle="1" w:styleId="TableHeadingChar">
    <w:name w:val="TableHeading Char"/>
    <w:aliases w:val="th Char"/>
    <w:basedOn w:val="DefaultParagraphFont"/>
    <w:link w:val="TableHeading"/>
    <w:rsid w:val="00C10133"/>
    <w:rPr>
      <w:rFonts w:ascii="Times New Roman" w:eastAsia="Times New Roman" w:hAnsi="Times New Roman" w:cs="Times New Roman"/>
      <w:b/>
      <w:sz w:val="20"/>
      <w:szCs w:val="20"/>
      <w:lang w:eastAsia="en-AU"/>
    </w:rPr>
  </w:style>
  <w:style w:type="paragraph" w:styleId="Header">
    <w:name w:val="header"/>
    <w:basedOn w:val="Normal"/>
    <w:link w:val="HeaderChar"/>
    <w:uiPriority w:val="99"/>
    <w:unhideWhenUsed/>
    <w:rsid w:val="00C10133"/>
    <w:pPr>
      <w:tabs>
        <w:tab w:val="center" w:pos="4513"/>
        <w:tab w:val="right" w:pos="9026"/>
      </w:tabs>
      <w:spacing w:before="0" w:after="0"/>
    </w:pPr>
  </w:style>
  <w:style w:type="character" w:customStyle="1" w:styleId="HeaderChar">
    <w:name w:val="Header Char"/>
    <w:basedOn w:val="DefaultParagraphFont"/>
    <w:link w:val="Header"/>
    <w:uiPriority w:val="99"/>
    <w:rsid w:val="00C10133"/>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C10133"/>
    <w:pPr>
      <w:tabs>
        <w:tab w:val="center" w:pos="4513"/>
        <w:tab w:val="right" w:pos="9026"/>
      </w:tabs>
      <w:spacing w:before="0" w:after="0"/>
    </w:pPr>
  </w:style>
  <w:style w:type="character" w:customStyle="1" w:styleId="FooterChar">
    <w:name w:val="Footer Char"/>
    <w:basedOn w:val="DefaultParagraphFont"/>
    <w:link w:val="Footer"/>
    <w:uiPriority w:val="99"/>
    <w:rsid w:val="00C10133"/>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uiPriority w:val="9"/>
    <w:semiHidden/>
    <w:rsid w:val="000276C5"/>
    <w:rPr>
      <w:rFonts w:asciiTheme="majorHAnsi" w:eastAsiaTheme="majorEastAsia" w:hAnsiTheme="majorHAnsi" w:cstheme="majorBidi"/>
      <w:b/>
      <w:bCs/>
      <w:i/>
      <w:iCs/>
      <w:color w:val="4F81BD" w:themeColor="accent1"/>
      <w:sz w:val="24"/>
      <w:szCs w:val="20"/>
      <w:lang w:eastAsia="en-AU"/>
    </w:rPr>
  </w:style>
  <w:style w:type="paragraph" w:styleId="BalloonText">
    <w:name w:val="Balloon Text"/>
    <w:basedOn w:val="Normal"/>
    <w:link w:val="BalloonTextChar"/>
    <w:uiPriority w:val="99"/>
    <w:semiHidden/>
    <w:unhideWhenUsed/>
    <w:rsid w:val="00FE688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882"/>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E204B"/>
    <w:rPr>
      <w:sz w:val="16"/>
      <w:szCs w:val="16"/>
    </w:rPr>
  </w:style>
  <w:style w:type="paragraph" w:styleId="CommentText">
    <w:name w:val="annotation text"/>
    <w:basedOn w:val="Normal"/>
    <w:link w:val="CommentTextChar"/>
    <w:uiPriority w:val="99"/>
    <w:semiHidden/>
    <w:unhideWhenUsed/>
    <w:rsid w:val="00CE204B"/>
    <w:rPr>
      <w:sz w:val="20"/>
    </w:rPr>
  </w:style>
  <w:style w:type="character" w:customStyle="1" w:styleId="CommentTextChar">
    <w:name w:val="Comment Text Char"/>
    <w:basedOn w:val="DefaultParagraphFont"/>
    <w:link w:val="CommentText"/>
    <w:uiPriority w:val="99"/>
    <w:semiHidden/>
    <w:rsid w:val="00CE204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204B"/>
    <w:rPr>
      <w:b/>
      <w:bCs/>
    </w:rPr>
  </w:style>
  <w:style w:type="character" w:customStyle="1" w:styleId="CommentSubjectChar">
    <w:name w:val="Comment Subject Char"/>
    <w:basedOn w:val="CommentTextChar"/>
    <w:link w:val="CommentSubject"/>
    <w:uiPriority w:val="99"/>
    <w:semiHidden/>
    <w:rsid w:val="00CE204B"/>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2014RG-86-13218</_dlc_DocId>
    <_dlc_DocIdUrl xmlns="9f7bc583-7cbe-45b9-a2bd-8bbb6543b37e">
      <Url>http://tweb/sites/rg/ldp/lmu/_layouts/15/DocIdRedir.aspx?ID=2014RG-86-13218</Url>
      <Description>2014RG-86-13218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8c2c2b48f8cdf5a516cff142e9fb3c11">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dae03b1008b7399435e4a24fc1b987ab"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6843-3EAA-4335-A2AC-89CC49BFA6FE}">
  <ds:schemaRefs>
    <ds:schemaRef ds:uri="http://schemas.microsoft.com/sharepoint/v3/contenttype/forms"/>
  </ds:schemaRefs>
</ds:datastoreItem>
</file>

<file path=customXml/itemProps2.xml><?xml version="1.0" encoding="utf-8"?>
<ds:datastoreItem xmlns:ds="http://schemas.openxmlformats.org/officeDocument/2006/customXml" ds:itemID="{A03668B4-B6F9-40FD-8C58-36137C48AF48}">
  <ds:schemaRefs>
    <ds:schemaRef ds:uri="9f7bc583-7cbe-45b9-a2bd-8bbb6543b37e"/>
    <ds:schemaRef ds:uri="http://purl.org/dc/dcmitype/"/>
    <ds:schemaRef ds:uri="http://schemas.microsoft.com/office/2006/metadata/properties"/>
    <ds:schemaRef ds:uri="http://schemas.microsoft.com/sharepoint/v3"/>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85BE785-243D-4D1E-BE17-95B4193CA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DD75B-90D6-42F4-956C-76C85E010419}">
  <ds:schemaRefs>
    <ds:schemaRef ds:uri="http://schemas.microsoft.com/sharepoint/events"/>
  </ds:schemaRefs>
</ds:datastoreItem>
</file>

<file path=customXml/itemProps5.xml><?xml version="1.0" encoding="utf-8"?>
<ds:datastoreItem xmlns:ds="http://schemas.openxmlformats.org/officeDocument/2006/customXml" ds:itemID="{F656FFB0-7C3A-45AC-A5D3-69007A8B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1381</Words>
  <Characters>7349</Characters>
  <Application>Microsoft Office Word</Application>
  <DocSecurity>4</DocSecurity>
  <Lines>918</Lines>
  <Paragraphs>484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 Michelle</dc:creator>
  <cp:lastModifiedBy>Alabaster, John</cp:lastModifiedBy>
  <cp:revision>2</cp:revision>
  <cp:lastPrinted>2015-03-26T20:49:00Z</cp:lastPrinted>
  <dcterms:created xsi:type="dcterms:W3CDTF">2015-04-27T23:49:00Z</dcterms:created>
  <dcterms:modified xsi:type="dcterms:W3CDTF">2015-04-27T23:49:00Z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ed9fe970-6195-4737-97cc-88b1ba6672e4</vt:lpwstr>
  </property>
  <property fmtid="{D5CDD505-2E9C-101B-9397-08002B2CF9AE}" pid="5" name="_AdHocReviewCycleID">
    <vt:i4>1304119267</vt:i4>
  </property>
  <property fmtid="{D5CDD505-2E9C-101B-9397-08002B2CF9AE}" pid="6" name="_NewReviewCycle">
    <vt:lpwstr/>
  </property>
  <property fmtid="{D5CDD505-2E9C-101B-9397-08002B2CF9AE}" pid="7" name="_EmailSubject">
    <vt:lpwstr>ESS Regulation changes - ExCo documents [DLM=Sensitive:Legal]</vt:lpwstr>
  </property>
  <property fmtid="{D5CDD505-2E9C-101B-9397-08002B2CF9AE}" pid="8" name="_AuthorEmail">
    <vt:lpwstr>Michelle.Rak@treasury.gov.au</vt:lpwstr>
  </property>
  <property fmtid="{D5CDD505-2E9C-101B-9397-08002B2CF9AE}" pid="9" name="_AuthorEmailDisplayName">
    <vt:lpwstr>Rak, Michelle</vt:lpwstr>
  </property>
  <property fmtid="{D5CDD505-2E9C-101B-9397-08002B2CF9AE}" pid="10" name="_PreviousAdHocReviewCycleID">
    <vt:i4>-1390107909</vt:i4>
  </property>
  <property fmtid="{D5CDD505-2E9C-101B-9397-08002B2CF9AE}" pid="11" name="_ReviewingToolsShownOnce">
    <vt:lpwstr/>
  </property>
</Properties>
</file>