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DC34" w14:textId="77777777" w:rsidR="00F109D4" w:rsidRPr="005B4406" w:rsidRDefault="00F109D4" w:rsidP="00A12209">
      <w:pPr>
        <w:pStyle w:val="Heading1"/>
        <w:rPr>
          <w:rFonts w:ascii="Times New Roman" w:hAnsi="Times New Roman"/>
        </w:rPr>
      </w:pPr>
      <w:r w:rsidRPr="005B4406">
        <w:rPr>
          <w:rFonts w:ascii="Times New Roman" w:hAnsi="Times New Roman"/>
        </w:rPr>
        <w:t>EXPLANATORY STATEMENT</w:t>
      </w:r>
    </w:p>
    <w:p w14:paraId="25A85A97" w14:textId="79C83929" w:rsidR="0056601A" w:rsidRPr="0056601A" w:rsidRDefault="0056601A" w:rsidP="0056601A">
      <w:pPr>
        <w:pStyle w:val="Heading1"/>
        <w:rPr>
          <w:rFonts w:ascii="Times New Roman" w:hAnsi="Times New Roman"/>
        </w:rPr>
      </w:pPr>
      <w:r w:rsidRPr="0056601A">
        <w:rPr>
          <w:rFonts w:ascii="Times New Roman" w:hAnsi="Times New Roman"/>
        </w:rPr>
        <w:t xml:space="preserve">Select Legislative Instrument No. </w:t>
      </w:r>
      <w:r>
        <w:rPr>
          <w:rFonts w:ascii="Times New Roman" w:hAnsi="Times New Roman"/>
        </w:rPr>
        <w:t>65</w:t>
      </w:r>
      <w:bookmarkStart w:id="0" w:name="_GoBack"/>
      <w:bookmarkEnd w:id="0"/>
      <w:r w:rsidRPr="0056601A">
        <w:rPr>
          <w:rFonts w:ascii="Times New Roman" w:hAnsi="Times New Roman"/>
        </w:rPr>
        <w:t>, 2015</w:t>
      </w:r>
    </w:p>
    <w:p w14:paraId="5816DDDD" w14:textId="77777777" w:rsidR="00F109D4" w:rsidRPr="00245C2D" w:rsidRDefault="00F109D4" w:rsidP="005B4406">
      <w:pPr>
        <w:pStyle w:val="Heading1"/>
      </w:pPr>
      <w:r w:rsidRPr="005B4406">
        <w:rPr>
          <w:rFonts w:ascii="Times New Roman" w:hAnsi="Times New Roman"/>
        </w:rPr>
        <w:t xml:space="preserve">Issued by authority of the </w:t>
      </w:r>
      <w:r w:rsidR="005833BE" w:rsidRPr="005B4406">
        <w:rPr>
          <w:rFonts w:ascii="Times New Roman" w:hAnsi="Times New Roman"/>
        </w:rPr>
        <w:t>Treasurer</w:t>
      </w:r>
    </w:p>
    <w:p w14:paraId="004A59B4" w14:textId="77777777" w:rsidR="00D453F6" w:rsidRPr="00503E44" w:rsidRDefault="00D453F6" w:rsidP="00D453F6">
      <w:pPr>
        <w:jc w:val="center"/>
        <w:rPr>
          <w:i/>
        </w:rPr>
      </w:pPr>
      <w:r>
        <w:rPr>
          <w:i/>
        </w:rPr>
        <w:t>Commonwealth Inscribed Stock Act 1911</w:t>
      </w:r>
    </w:p>
    <w:p w14:paraId="3F600FE1" w14:textId="77777777" w:rsidR="00D453F6" w:rsidRPr="00503E44" w:rsidRDefault="00D453F6" w:rsidP="00D453F6">
      <w:pPr>
        <w:tabs>
          <w:tab w:val="left" w:pos="1418"/>
        </w:tabs>
        <w:spacing w:after="240"/>
        <w:jc w:val="center"/>
        <w:rPr>
          <w:i/>
        </w:rPr>
      </w:pPr>
      <w:r>
        <w:rPr>
          <w:i/>
        </w:rPr>
        <w:t>Commonwealth</w:t>
      </w:r>
      <w:r w:rsidR="002C2098">
        <w:rPr>
          <w:i/>
        </w:rPr>
        <w:t xml:space="preserve"> Inscribed Stock Regulation 2015</w:t>
      </w:r>
    </w:p>
    <w:p w14:paraId="5C625ED1" w14:textId="1E2A4A2F" w:rsidR="00D00A03" w:rsidRDefault="00D453F6" w:rsidP="00DF1782">
      <w:pPr>
        <w:spacing w:before="0" w:after="0"/>
      </w:pPr>
      <w:r>
        <w:t>Section 58</w:t>
      </w:r>
      <w:r w:rsidRPr="00503E44">
        <w:t xml:space="preserve"> of the </w:t>
      </w:r>
      <w:r w:rsidRPr="004C2F0E">
        <w:rPr>
          <w:i/>
        </w:rPr>
        <w:t>Commonwealth Inscribed Stock Act 1911</w:t>
      </w:r>
      <w:r w:rsidRPr="00503E44">
        <w:t xml:space="preserve"> (Act) provides that the Governor-General may make regulations</w:t>
      </w:r>
      <w:r w:rsidR="003F00A0">
        <w:t xml:space="preserve">, not inconsistent with </w:t>
      </w:r>
      <w:r w:rsidR="00233511">
        <w:t>the</w:t>
      </w:r>
      <w:r w:rsidR="003F00A0">
        <w:t xml:space="preserve"> Act,</w:t>
      </w:r>
      <w:r w:rsidRPr="00503E44">
        <w:t xml:space="preserve"> prescribing </w:t>
      </w:r>
      <w:r w:rsidR="003F00A0">
        <w:t xml:space="preserve">all </w:t>
      </w:r>
      <w:r w:rsidRPr="00503E44">
        <w:t xml:space="preserve">matters required </w:t>
      </w:r>
      <w:r w:rsidR="00805E68">
        <w:t xml:space="preserve">or necessary or convenient to be prescribed for carrying out or for giving effect to </w:t>
      </w:r>
      <w:r w:rsidR="008E3C02">
        <w:t>the</w:t>
      </w:r>
      <w:r w:rsidR="00805E68">
        <w:t xml:space="preserve"> Act or for the conduct of any business at or in connexion with any Registry.</w:t>
      </w:r>
    </w:p>
    <w:p w14:paraId="4201981B" w14:textId="77777777" w:rsidR="00DF1782" w:rsidRDefault="00DF1782" w:rsidP="00DF1782">
      <w:pPr>
        <w:spacing w:before="0" w:after="0"/>
      </w:pPr>
    </w:p>
    <w:p w14:paraId="763D30E6" w14:textId="77777777" w:rsidR="005B4406" w:rsidRDefault="00DF1782" w:rsidP="00DF1782">
      <w:pPr>
        <w:spacing w:before="0" w:after="0"/>
      </w:pPr>
      <w:r w:rsidRPr="00DF1782">
        <w:t xml:space="preserve">The purpose of the </w:t>
      </w:r>
      <w:r w:rsidRPr="00DF1782">
        <w:rPr>
          <w:i/>
        </w:rPr>
        <w:t xml:space="preserve">Commonwealth Inscribed Stock Regulation 2015 </w:t>
      </w:r>
      <w:r>
        <w:t>(</w:t>
      </w:r>
      <w:r w:rsidRPr="00DF1782">
        <w:t xml:space="preserve">Regulation) is to remake the </w:t>
      </w:r>
      <w:r w:rsidRPr="00DF1782">
        <w:rPr>
          <w:i/>
        </w:rPr>
        <w:t>Commonwealth Inscribed Stock Regulations</w:t>
      </w:r>
      <w:r w:rsidRPr="00DF1782">
        <w:t xml:space="preserve">.  The </w:t>
      </w:r>
      <w:r w:rsidRPr="00DF1782">
        <w:rPr>
          <w:i/>
        </w:rPr>
        <w:t>Legislative Instruments Act 2003</w:t>
      </w:r>
      <w:r w:rsidRPr="00DF1782">
        <w:t xml:space="preserve"> (LIA) provides that all legislative instruments, other than exempt instruments, progressively ‘sunset’ according to the timetable set out in the LIA.  Legislative instruments made a year in the decade starting on 1 January 1940 that were registered on the Federal Register of Legislative Instruments on 1 </w:t>
      </w:r>
      <w:r w:rsidR="0034500A">
        <w:t>January </w:t>
      </w:r>
      <w:r w:rsidRPr="00DF1782">
        <w:t xml:space="preserve">2005, such as the </w:t>
      </w:r>
      <w:r w:rsidRPr="00DF1782">
        <w:rPr>
          <w:i/>
        </w:rPr>
        <w:t>Commonwealth Inscribed Stock Regulations</w:t>
      </w:r>
      <w:r w:rsidRPr="00DF1782">
        <w:t>,</w:t>
      </w:r>
      <w:r w:rsidRPr="00DF1782">
        <w:rPr>
          <w:i/>
        </w:rPr>
        <w:t xml:space="preserve"> </w:t>
      </w:r>
      <w:r w:rsidRPr="00DF1782">
        <w:t>sunset on 1 </w:t>
      </w:r>
      <w:r w:rsidR="0034500A">
        <w:t>April </w:t>
      </w:r>
      <w:r w:rsidRPr="00DF1782">
        <w:t xml:space="preserve">2016.  When a legislative instrument sunsets, it is automatically repealed. </w:t>
      </w:r>
    </w:p>
    <w:p w14:paraId="5A6185A7" w14:textId="77777777" w:rsidR="005B4406" w:rsidRDefault="005B4406" w:rsidP="00DF1782">
      <w:pPr>
        <w:spacing w:before="0" w:after="0"/>
      </w:pPr>
    </w:p>
    <w:p w14:paraId="71633205" w14:textId="6A5139F9" w:rsidR="00F93F41" w:rsidRDefault="003D2D6C" w:rsidP="00DF1782">
      <w:pPr>
        <w:spacing w:before="0" w:after="0"/>
      </w:pPr>
      <w:r>
        <w:t>P</w:t>
      </w:r>
      <w:r w:rsidR="00F93F41">
        <w:t xml:space="preserve">rovisions </w:t>
      </w:r>
      <w:r>
        <w:t xml:space="preserve">of the </w:t>
      </w:r>
      <w:r w:rsidR="00DF1782" w:rsidRPr="005B4406">
        <w:rPr>
          <w:i/>
        </w:rPr>
        <w:t>Commonwealth Inscribed Stock Regulations</w:t>
      </w:r>
      <w:r w:rsidR="00DF1782" w:rsidRPr="00DF1782" w:rsidDel="00DF1782">
        <w:t xml:space="preserve"> </w:t>
      </w:r>
      <w:r w:rsidR="00F93F41">
        <w:t>have been re</w:t>
      </w:r>
      <w:r>
        <w:t>tained</w:t>
      </w:r>
      <w:r w:rsidR="00F93F41">
        <w:t xml:space="preserve"> where necessary </w:t>
      </w:r>
      <w:r>
        <w:t xml:space="preserve">for the operation of the Act or where </w:t>
      </w:r>
      <w:r w:rsidR="00C60D23">
        <w:t>they may impact investors.</w:t>
      </w:r>
    </w:p>
    <w:p w14:paraId="561D728C" w14:textId="77777777" w:rsidR="00DF1782" w:rsidRDefault="00DF1782" w:rsidP="00DF1782">
      <w:pPr>
        <w:spacing w:before="0" w:after="0"/>
      </w:pPr>
    </w:p>
    <w:p w14:paraId="0582E3F4" w14:textId="77777777" w:rsidR="00D04C60" w:rsidRDefault="00D04C60" w:rsidP="00DF1782">
      <w:pPr>
        <w:tabs>
          <w:tab w:val="left" w:pos="1701"/>
          <w:tab w:val="right" w:pos="9072"/>
        </w:tabs>
        <w:spacing w:before="0" w:after="0"/>
        <w:ind w:right="91"/>
      </w:pPr>
      <w:r>
        <w:t xml:space="preserve">This Regulation prescribes rules of operations for the Registrar in maintaining the inscribed stock ledger (the record of legal ownership), </w:t>
      </w:r>
      <w:r w:rsidR="0031152A">
        <w:t>including</w:t>
      </w:r>
      <w:r>
        <w:t xml:space="preserve"> the transfer and transmission of ownership within the stock ledger. </w:t>
      </w:r>
    </w:p>
    <w:p w14:paraId="2CD5B316" w14:textId="77777777" w:rsidR="00DF1782" w:rsidRDefault="00DF1782" w:rsidP="00DF1782">
      <w:pPr>
        <w:tabs>
          <w:tab w:val="left" w:pos="1701"/>
          <w:tab w:val="right" w:pos="9072"/>
        </w:tabs>
        <w:spacing w:before="0" w:after="0"/>
        <w:ind w:right="91"/>
      </w:pPr>
    </w:p>
    <w:p w14:paraId="096FBE1E" w14:textId="37004384" w:rsidR="001E3D06" w:rsidRDefault="00DD2C44" w:rsidP="00DF1782">
      <w:pPr>
        <w:tabs>
          <w:tab w:val="left" w:pos="1701"/>
          <w:tab w:val="right" w:pos="9072"/>
        </w:tabs>
        <w:spacing w:before="0" w:after="0"/>
        <w:ind w:right="91"/>
      </w:pPr>
      <w:r>
        <w:t>M</w:t>
      </w:r>
      <w:r w:rsidR="00B053E3">
        <w:t>ost stock on issue</w:t>
      </w:r>
      <w:r w:rsidR="00F26869">
        <w:t>, though not all,</w:t>
      </w:r>
      <w:r w:rsidR="00B053E3">
        <w:t xml:space="preserve"> is held by one central </w:t>
      </w:r>
      <w:r>
        <w:t xml:space="preserve">nominee, with investors holding </w:t>
      </w:r>
      <w:r w:rsidR="00B053E3">
        <w:t xml:space="preserve">and trading </w:t>
      </w:r>
      <w:r w:rsidR="00F26869">
        <w:t xml:space="preserve">a </w:t>
      </w:r>
      <w:r>
        <w:t xml:space="preserve">beneficial </w:t>
      </w:r>
      <w:r w:rsidR="00104945">
        <w:t xml:space="preserve">interest in </w:t>
      </w:r>
      <w:r>
        <w:t>stock</w:t>
      </w:r>
      <w:r w:rsidR="00B053E3">
        <w:t xml:space="preserve"> rather than owning the stock directly</w:t>
      </w:r>
      <w:r w:rsidR="008B34E8">
        <w:t xml:space="preserve"> and being recorded in the stock ledger</w:t>
      </w:r>
      <w:r>
        <w:t>.</w:t>
      </w:r>
      <w:r w:rsidR="00B053E3">
        <w:t xml:space="preserve">  </w:t>
      </w:r>
      <w:r w:rsidR="00611D8E">
        <w:t xml:space="preserve">Where beneficial interest </w:t>
      </w:r>
      <w:r w:rsidR="008574E5">
        <w:t xml:space="preserve">in stock </w:t>
      </w:r>
      <w:r w:rsidR="00611D8E">
        <w:t>is not recorded in the inscribed stock ledger it</w:t>
      </w:r>
      <w:r w:rsidR="00B053E3">
        <w:t xml:space="preserve"> is outside the scope of the Regulation.</w:t>
      </w:r>
    </w:p>
    <w:p w14:paraId="27AD836E" w14:textId="77777777" w:rsidR="00DF1782" w:rsidRDefault="00DF1782" w:rsidP="00DF1782">
      <w:pPr>
        <w:tabs>
          <w:tab w:val="left" w:pos="1701"/>
          <w:tab w:val="right" w:pos="9072"/>
        </w:tabs>
        <w:spacing w:before="0" w:after="0"/>
        <w:ind w:right="91"/>
      </w:pPr>
    </w:p>
    <w:p w14:paraId="1EDD3A66" w14:textId="0E2E1103" w:rsidR="00D04C60" w:rsidRDefault="00D04C60" w:rsidP="00DF1782">
      <w:pPr>
        <w:tabs>
          <w:tab w:val="left" w:pos="1701"/>
          <w:tab w:val="right" w:pos="9072"/>
        </w:tabs>
        <w:spacing w:before="0" w:after="0"/>
        <w:ind w:right="91"/>
      </w:pPr>
      <w:r w:rsidRPr="00407A34">
        <w:t>Under the Act</w:t>
      </w:r>
      <w:r>
        <w:t>,</w:t>
      </w:r>
      <w:r w:rsidRPr="00407A34">
        <w:t xml:space="preserve"> bearer securities were also issued, which are pa</w:t>
      </w:r>
      <w:r>
        <w:t>id</w:t>
      </w:r>
      <w:r w:rsidRPr="00407A34">
        <w:t xml:space="preserve"> on presentation by the owner and not inscribed in a stock ledger.  </w:t>
      </w:r>
      <w:r>
        <w:t>Some b</w:t>
      </w:r>
      <w:r w:rsidRPr="00407A34">
        <w:t xml:space="preserve">earer securities </w:t>
      </w:r>
      <w:r>
        <w:t xml:space="preserve">remain outstanding and are still payable </w:t>
      </w:r>
      <w:r w:rsidRPr="00407A34">
        <w:t>on presentation.</w:t>
      </w:r>
      <w:r>
        <w:t xml:space="preserve">  The Regulation prescribes </w:t>
      </w:r>
      <w:r w:rsidR="0031152A">
        <w:t xml:space="preserve">a </w:t>
      </w:r>
      <w:r>
        <w:t xml:space="preserve">mechanism for the payment of bearer securities issued under the Act that have been </w:t>
      </w:r>
      <w:r w:rsidR="005A7D8F">
        <w:t xml:space="preserve">defaced, </w:t>
      </w:r>
      <w:r>
        <w:t>lost, stolen</w:t>
      </w:r>
      <w:r w:rsidR="005A7D8F">
        <w:t xml:space="preserve"> or</w:t>
      </w:r>
      <w:r>
        <w:t xml:space="preserve"> destroyed.</w:t>
      </w:r>
    </w:p>
    <w:p w14:paraId="48F17955" w14:textId="77777777" w:rsidR="00DF1782" w:rsidRDefault="00DF1782" w:rsidP="00DF1782">
      <w:pPr>
        <w:tabs>
          <w:tab w:val="left" w:pos="1701"/>
          <w:tab w:val="right" w:pos="9072"/>
        </w:tabs>
        <w:spacing w:before="0" w:after="0"/>
        <w:ind w:right="91"/>
      </w:pPr>
    </w:p>
    <w:p w14:paraId="2816290F" w14:textId="254FFDC2" w:rsidR="00D04C60" w:rsidRDefault="00D04C60" w:rsidP="00DF1782">
      <w:pPr>
        <w:tabs>
          <w:tab w:val="left" w:pos="1701"/>
          <w:tab w:val="right" w:pos="9072"/>
        </w:tabs>
        <w:spacing w:before="0" w:after="0"/>
        <w:ind w:right="91"/>
      </w:pPr>
      <w:r>
        <w:t>The Regulation continue</w:t>
      </w:r>
      <w:r w:rsidR="005F11F5">
        <w:t>s</w:t>
      </w:r>
      <w:r>
        <w:t xml:space="preserve"> to prescribe securities previously issued </w:t>
      </w:r>
      <w:r w:rsidR="002A4F6E">
        <w:t xml:space="preserve">under the Act </w:t>
      </w:r>
      <w:r>
        <w:t xml:space="preserve">as prescribed securities for the purpose of the Act and </w:t>
      </w:r>
      <w:r w:rsidR="005F11F5">
        <w:t xml:space="preserve">to </w:t>
      </w:r>
      <w:r>
        <w:t xml:space="preserve">specify the application of sections of the </w:t>
      </w:r>
      <w:r w:rsidRPr="004D0F77">
        <w:rPr>
          <w:i/>
        </w:rPr>
        <w:t>Treasury Bills Act 1914</w:t>
      </w:r>
      <w:r>
        <w:t xml:space="preserve"> to </w:t>
      </w:r>
      <w:r w:rsidR="005F11F5">
        <w:t xml:space="preserve">prescribed </w:t>
      </w:r>
      <w:r>
        <w:t xml:space="preserve">securities </w:t>
      </w:r>
      <w:r w:rsidR="005F11F5">
        <w:t xml:space="preserve">made out under </w:t>
      </w:r>
      <w:r>
        <w:t>the Act.</w:t>
      </w:r>
    </w:p>
    <w:p w14:paraId="2FAA5BDF" w14:textId="77777777" w:rsidR="00DF1782" w:rsidRDefault="00DF1782" w:rsidP="00DF1782">
      <w:pPr>
        <w:tabs>
          <w:tab w:val="left" w:pos="1701"/>
          <w:tab w:val="right" w:pos="9072"/>
        </w:tabs>
        <w:spacing w:before="0" w:after="0"/>
        <w:ind w:right="91"/>
      </w:pPr>
    </w:p>
    <w:p w14:paraId="7531DB4B" w14:textId="77777777" w:rsidR="008F4EEF" w:rsidRDefault="008F4EEF" w:rsidP="00DF1782">
      <w:pPr>
        <w:spacing w:before="0" w:after="0"/>
      </w:pPr>
      <w:r w:rsidRPr="008F4EEF">
        <w:t xml:space="preserve">A Statement of Compatibility with Human Rights is included in </w:t>
      </w:r>
      <w:r w:rsidRPr="005B4406">
        <w:rPr>
          <w:u w:val="single"/>
        </w:rPr>
        <w:t>Attachment A</w:t>
      </w:r>
      <w:r w:rsidRPr="008F4EEF">
        <w:t xml:space="preserve">. Details of the Regulation are included in </w:t>
      </w:r>
      <w:r w:rsidRPr="005B4406">
        <w:rPr>
          <w:u w:val="single"/>
        </w:rPr>
        <w:t>Attachment B</w:t>
      </w:r>
      <w:r w:rsidRPr="008F4EEF">
        <w:t>.</w:t>
      </w:r>
    </w:p>
    <w:p w14:paraId="0436BDB5" w14:textId="77777777" w:rsidR="00DF1782" w:rsidRDefault="00DF1782" w:rsidP="00DF1782">
      <w:pPr>
        <w:spacing w:before="0" w:after="0"/>
      </w:pPr>
    </w:p>
    <w:p w14:paraId="1C37C28F" w14:textId="77D11D5A" w:rsidR="00DF1782" w:rsidRDefault="00DF1782" w:rsidP="00DF1782">
      <w:pPr>
        <w:spacing w:before="0" w:after="0"/>
        <w:rPr>
          <w:szCs w:val="24"/>
        </w:rPr>
      </w:pPr>
      <w:r>
        <w:rPr>
          <w:szCs w:val="24"/>
        </w:rPr>
        <w:lastRenderedPageBreak/>
        <w:t>The Act does not specify any conditions that need to be met before the power to make the Regulation may be exercised.</w:t>
      </w:r>
    </w:p>
    <w:p w14:paraId="26007847" w14:textId="77777777" w:rsidR="00A4785E" w:rsidRDefault="00A4785E" w:rsidP="00DF1782">
      <w:pPr>
        <w:spacing w:before="0" w:after="0"/>
      </w:pPr>
    </w:p>
    <w:p w14:paraId="6DF751A2" w14:textId="77D11D5A" w:rsidR="00DF1782" w:rsidRDefault="00DF1782" w:rsidP="00DF1782">
      <w:pPr>
        <w:spacing w:before="0" w:after="0"/>
        <w:rPr>
          <w:szCs w:val="24"/>
        </w:rPr>
      </w:pPr>
      <w:r>
        <w:rPr>
          <w:szCs w:val="24"/>
        </w:rPr>
        <w:t>The Regulation is a legislative instrument for the purposes of the LIA.</w:t>
      </w:r>
    </w:p>
    <w:p w14:paraId="6647A8C6" w14:textId="77777777" w:rsidR="00DF1782" w:rsidRDefault="00DF1782" w:rsidP="00DF1782">
      <w:pPr>
        <w:spacing w:before="0" w:after="0"/>
      </w:pPr>
    </w:p>
    <w:p w14:paraId="14B6CAF4" w14:textId="358259A3" w:rsidR="00C178EF" w:rsidRDefault="0035193B" w:rsidP="00DF1782">
      <w:pPr>
        <w:spacing w:before="0" w:after="0"/>
      </w:pPr>
      <w:r>
        <w:t>C</w:t>
      </w:r>
      <w:r w:rsidR="00C178EF">
        <w:t>onsultation was undertaken for this Regulation</w:t>
      </w:r>
      <w:r>
        <w:t xml:space="preserve"> with the Registrar during February 2015.</w:t>
      </w:r>
      <w:r w:rsidR="00E24E4B">
        <w:t xml:space="preserve"> No significant concerns were raised.</w:t>
      </w:r>
    </w:p>
    <w:p w14:paraId="2B814BB9" w14:textId="77777777" w:rsidR="00DF1782" w:rsidRDefault="00DF1782" w:rsidP="00DF1782">
      <w:pPr>
        <w:spacing w:before="0" w:after="0"/>
      </w:pPr>
    </w:p>
    <w:p w14:paraId="209237AF" w14:textId="77777777" w:rsidR="000509EE" w:rsidRDefault="000509EE" w:rsidP="00DF1782">
      <w:pPr>
        <w:spacing w:before="0" w:after="0"/>
      </w:pPr>
      <w:r>
        <w:t xml:space="preserve">Before this Regulation was made, its expected impact was assessed using the Preliminary Assessment tool approved by the Office of Best Practice Regulation (OBPR).  That assessment indicated that it will have no or low impact on business, individuals and the economy.  This assessment has been confirmed by the OBPR (OBPR reference 18552). </w:t>
      </w:r>
    </w:p>
    <w:p w14:paraId="03E63588" w14:textId="77777777" w:rsidR="00DF1782" w:rsidRDefault="00DF1782" w:rsidP="00DF1782">
      <w:pPr>
        <w:spacing w:before="0" w:after="0"/>
      </w:pPr>
    </w:p>
    <w:p w14:paraId="093CC2F9" w14:textId="77777777" w:rsidR="00DF1782" w:rsidRDefault="00DF1782" w:rsidP="00DF1782">
      <w:pPr>
        <w:spacing w:before="0" w:after="0"/>
      </w:pPr>
      <w:r>
        <w:t>The Regulation commences on the day after it is registered.</w:t>
      </w:r>
    </w:p>
    <w:p w14:paraId="246EFA69" w14:textId="77777777" w:rsidR="000509EE" w:rsidRDefault="000509EE" w:rsidP="0088467C"/>
    <w:p w14:paraId="50894CB5" w14:textId="77777777" w:rsidR="008F4EEF" w:rsidRDefault="008F4EEF" w:rsidP="0088467C"/>
    <w:p w14:paraId="08F82F35" w14:textId="77777777" w:rsidR="004374E6" w:rsidRDefault="004374E6">
      <w:pPr>
        <w:spacing w:before="0" w:after="0"/>
        <w:rPr>
          <w:b/>
        </w:rPr>
      </w:pPr>
      <w:r>
        <w:rPr>
          <w:b/>
        </w:rPr>
        <w:br w:type="page"/>
      </w:r>
    </w:p>
    <w:p w14:paraId="3E50AF4B" w14:textId="205571B7" w:rsidR="008F4EEF" w:rsidRPr="005B4406" w:rsidRDefault="008F4EEF" w:rsidP="008F4EEF">
      <w:pPr>
        <w:jc w:val="right"/>
        <w:rPr>
          <w:b/>
          <w:u w:val="single"/>
        </w:rPr>
      </w:pPr>
      <w:r w:rsidRPr="005B4406">
        <w:rPr>
          <w:b/>
          <w:u w:val="single"/>
        </w:rPr>
        <w:lastRenderedPageBreak/>
        <w:t>ATTACHMENT A</w:t>
      </w:r>
    </w:p>
    <w:p w14:paraId="3861AD88" w14:textId="77777777" w:rsidR="008F4EEF" w:rsidRPr="008F4EEF" w:rsidRDefault="008F4EEF" w:rsidP="008F4EEF">
      <w:pPr>
        <w:jc w:val="center"/>
        <w:rPr>
          <w:b/>
        </w:rPr>
      </w:pPr>
      <w:r w:rsidRPr="008F4EEF">
        <w:rPr>
          <w:b/>
        </w:rPr>
        <w:t>Statement of Compatibility with Human Rights</w:t>
      </w:r>
    </w:p>
    <w:p w14:paraId="164B19B8" w14:textId="77777777" w:rsidR="008F4EEF" w:rsidRPr="00E4438C" w:rsidRDefault="008F4EEF" w:rsidP="008F4EEF">
      <w:pPr>
        <w:jc w:val="center"/>
        <w:rPr>
          <w:i/>
        </w:rPr>
      </w:pPr>
      <w:r w:rsidRPr="00E4438C">
        <w:rPr>
          <w:i/>
        </w:rPr>
        <w:t>Prepared in accordance with Part 3 of the Human Rights (Parliamentary Scrutiny) Act 2011</w:t>
      </w:r>
    </w:p>
    <w:p w14:paraId="5A265D1E" w14:textId="77777777" w:rsidR="008F4EEF" w:rsidRPr="004C2F0E" w:rsidRDefault="008F4EEF" w:rsidP="008F4EEF">
      <w:pPr>
        <w:jc w:val="center"/>
        <w:rPr>
          <w:b/>
          <w:i/>
        </w:rPr>
      </w:pPr>
      <w:r w:rsidRPr="004C2F0E">
        <w:rPr>
          <w:b/>
          <w:i/>
        </w:rPr>
        <w:t xml:space="preserve">Commonwealth Inscribed Stock </w:t>
      </w:r>
      <w:r>
        <w:rPr>
          <w:b/>
          <w:i/>
        </w:rPr>
        <w:t xml:space="preserve">Regulation </w:t>
      </w:r>
      <w:r w:rsidR="002C2098">
        <w:rPr>
          <w:b/>
          <w:i/>
        </w:rPr>
        <w:t>2015</w:t>
      </w:r>
    </w:p>
    <w:p w14:paraId="0CCF275C" w14:textId="77777777" w:rsidR="008F4EEF" w:rsidRDefault="008F4EEF" w:rsidP="008F4EEF">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0225B7A3" w14:textId="77777777" w:rsidR="008F4EEF" w:rsidRDefault="008F4EEF" w:rsidP="008F4EEF">
      <w:pPr>
        <w:pStyle w:val="Heading4"/>
      </w:pPr>
      <w:r>
        <w:t xml:space="preserve">Overview of the </w:t>
      </w:r>
      <w:r w:rsidRPr="00E4438C">
        <w:t>Legislative</w:t>
      </w:r>
      <w:r>
        <w:t xml:space="preserve"> Instrument</w:t>
      </w:r>
    </w:p>
    <w:p w14:paraId="7C029911" w14:textId="4F9DE6A3" w:rsidR="008F4EEF" w:rsidRDefault="008F4EEF" w:rsidP="008F4EEF">
      <w:r>
        <w:t xml:space="preserve">The </w:t>
      </w:r>
      <w:r w:rsidRPr="00361FE7">
        <w:rPr>
          <w:i/>
        </w:rPr>
        <w:t>Commonwealth</w:t>
      </w:r>
      <w:r w:rsidR="002C2098">
        <w:rPr>
          <w:i/>
        </w:rPr>
        <w:t xml:space="preserve"> Inscribed Stock Regulation 2015</w:t>
      </w:r>
      <w:r>
        <w:t xml:space="preserve"> prescribes matters in relation to the administration of Stock issued under the </w:t>
      </w:r>
      <w:r w:rsidRPr="00361FE7">
        <w:rPr>
          <w:i/>
        </w:rPr>
        <w:t>Commonwealth Inscribed Stock Act</w:t>
      </w:r>
      <w:r w:rsidR="00A4785E">
        <w:rPr>
          <w:i/>
        </w:rPr>
        <w:t> </w:t>
      </w:r>
      <w:r w:rsidRPr="00361FE7">
        <w:rPr>
          <w:i/>
        </w:rPr>
        <w:t>1911</w:t>
      </w:r>
      <w:r>
        <w:t>.</w:t>
      </w:r>
    </w:p>
    <w:p w14:paraId="0AB70B81" w14:textId="5410A0F2" w:rsidR="008F4EEF" w:rsidRDefault="008F4EEF" w:rsidP="008F4EEF">
      <w:r>
        <w:t xml:space="preserve">This Legislative Instrument specifies matters for the operation </w:t>
      </w:r>
      <w:r w:rsidR="00D57473">
        <w:t>o</w:t>
      </w:r>
      <w:r>
        <w:t>f the registry for stock inscribed in a register required by the Act or necessary to assist the Registrar perform their function and exercise powers under the Act.</w:t>
      </w:r>
      <w:r w:rsidR="00FA5385">
        <w:t xml:space="preserve">  The Registrar maintains personal information on investors </w:t>
      </w:r>
      <w:r w:rsidR="00E26052">
        <w:t xml:space="preserve">inscribed in the register </w:t>
      </w:r>
      <w:r w:rsidR="00FA5385">
        <w:t xml:space="preserve">to enable </w:t>
      </w:r>
      <w:r w:rsidR="00E26052">
        <w:t xml:space="preserve">confirmation and transference of ownership of stock, </w:t>
      </w:r>
      <w:r w:rsidR="00FA5385">
        <w:t>the payme</w:t>
      </w:r>
      <w:r w:rsidR="00E26052">
        <w:t xml:space="preserve">nt of interest and principal due, </w:t>
      </w:r>
      <w:r w:rsidR="00FA5385">
        <w:t>to issue stockholder statements or informational updates to investors.</w:t>
      </w:r>
      <w:r w:rsidR="0069407D">
        <w:t xml:space="preserve">  The Registry is required to adhere to the </w:t>
      </w:r>
      <w:r w:rsidR="0069407D" w:rsidRPr="00935B9E">
        <w:rPr>
          <w:i/>
        </w:rPr>
        <w:t>Privacy Act</w:t>
      </w:r>
      <w:r w:rsidR="00935B9E" w:rsidRPr="00C60D23">
        <w:rPr>
          <w:i/>
        </w:rPr>
        <w:t xml:space="preserve"> 1988</w:t>
      </w:r>
      <w:r w:rsidR="00935B9E">
        <w:t>.</w:t>
      </w:r>
    </w:p>
    <w:p w14:paraId="2B4114AE" w14:textId="77777777" w:rsidR="008F4EEF" w:rsidRDefault="008F4EEF" w:rsidP="008F4EEF">
      <w:r>
        <w:t xml:space="preserve">This Legislative Instrument also specifies the </w:t>
      </w:r>
      <w:r w:rsidR="00E05240">
        <w:t xml:space="preserve">process for </w:t>
      </w:r>
      <w:r w:rsidR="00B74BBA">
        <w:t xml:space="preserve">replacement or </w:t>
      </w:r>
      <w:r>
        <w:t>payment of bearer securities previously issued under the Act where the securities have been lost, stolen</w:t>
      </w:r>
      <w:r w:rsidR="00C60D23">
        <w:t>, destroyed</w:t>
      </w:r>
      <w:r>
        <w:t xml:space="preserve"> or mutilated.</w:t>
      </w:r>
    </w:p>
    <w:p w14:paraId="7AC30F41" w14:textId="77777777" w:rsidR="008F4EEF" w:rsidRDefault="008F4EEF" w:rsidP="008F4EEF">
      <w:pPr>
        <w:pStyle w:val="Heading4"/>
      </w:pPr>
      <w:r>
        <w:t>Human rights implications</w:t>
      </w:r>
    </w:p>
    <w:p w14:paraId="282D2BB9" w14:textId="77777777" w:rsidR="008F4EEF" w:rsidRDefault="008F4EEF" w:rsidP="008F4EEF">
      <w:r>
        <w:t>This Legislative Instrument does not engage any of the applicable rights or freedoms.</w:t>
      </w:r>
    </w:p>
    <w:p w14:paraId="67F31C77" w14:textId="77777777" w:rsidR="008F4EEF" w:rsidRDefault="008F4EEF" w:rsidP="008F4EEF">
      <w:pPr>
        <w:pStyle w:val="Heading4"/>
      </w:pPr>
      <w:r>
        <w:t>Conclusion</w:t>
      </w:r>
    </w:p>
    <w:p w14:paraId="7497ED46" w14:textId="77777777" w:rsidR="008F4EEF" w:rsidRDefault="008F4EEF" w:rsidP="008F4EEF">
      <w:r>
        <w:t>This Legislative Instrument is compatible with human rights as it does not raise any human rights issues.</w:t>
      </w:r>
    </w:p>
    <w:p w14:paraId="037693CA" w14:textId="5A6E2BAD" w:rsidR="008F4EEF" w:rsidRPr="00D00A03" w:rsidRDefault="00C67B0A">
      <w:pPr>
        <w:rPr>
          <w:b/>
        </w:rPr>
      </w:pPr>
      <w:r>
        <w:rPr>
          <w:b/>
        </w:rPr>
        <w:t>Treasurer</w:t>
      </w:r>
    </w:p>
    <w:p w14:paraId="77105B82" w14:textId="77777777" w:rsidR="00805E68" w:rsidRDefault="00805E68">
      <w:pPr>
        <w:spacing w:before="0" w:after="0"/>
        <w:rPr>
          <w:b/>
        </w:rPr>
      </w:pPr>
      <w:r>
        <w:rPr>
          <w:b/>
        </w:rPr>
        <w:br w:type="page"/>
      </w:r>
    </w:p>
    <w:p w14:paraId="49939418" w14:textId="77777777" w:rsidR="000F275C" w:rsidRPr="005B4406" w:rsidRDefault="000F275C" w:rsidP="000F275C">
      <w:pPr>
        <w:jc w:val="right"/>
        <w:rPr>
          <w:b/>
          <w:u w:val="single"/>
        </w:rPr>
      </w:pPr>
      <w:r w:rsidRPr="005B4406">
        <w:rPr>
          <w:b/>
          <w:u w:val="single"/>
        </w:rPr>
        <w:t>ATTACHMENT</w:t>
      </w:r>
      <w:r w:rsidR="008F4EEF" w:rsidRPr="005B4406">
        <w:rPr>
          <w:b/>
          <w:u w:val="single"/>
        </w:rPr>
        <w:t xml:space="preserve"> B</w:t>
      </w:r>
    </w:p>
    <w:p w14:paraId="5D7692E5" w14:textId="766A4499" w:rsidR="00A4785E" w:rsidRPr="005B4406" w:rsidRDefault="00A4785E" w:rsidP="00365A65">
      <w:pPr>
        <w:keepNext/>
        <w:keepLines/>
        <w:spacing w:before="280"/>
        <w:ind w:left="1134" w:hanging="1134"/>
        <w:outlineLvl w:val="1"/>
        <w:rPr>
          <w:b/>
          <w:kern w:val="28"/>
          <w:sz w:val="32"/>
          <w:u w:val="single"/>
        </w:rPr>
      </w:pPr>
      <w:bookmarkStart w:id="1" w:name="_Toc392238581"/>
      <w:bookmarkStart w:id="2" w:name="_Toc392242708"/>
      <w:r w:rsidRPr="005B4406">
        <w:rPr>
          <w:b/>
          <w:bCs/>
          <w:szCs w:val="24"/>
          <w:u w:val="single"/>
        </w:rPr>
        <w:t xml:space="preserve">Details of the </w:t>
      </w:r>
      <w:r w:rsidRPr="005B4406">
        <w:rPr>
          <w:b/>
          <w:i/>
          <w:u w:val="single"/>
        </w:rPr>
        <w:t>Commonwealth Inscribed Stock Regulation 2015</w:t>
      </w:r>
    </w:p>
    <w:p w14:paraId="5A9E9B54" w14:textId="77777777" w:rsidR="00365A65" w:rsidRPr="005B4406" w:rsidRDefault="00365A65" w:rsidP="00365A65">
      <w:pPr>
        <w:keepNext/>
        <w:keepLines/>
        <w:spacing w:before="280"/>
        <w:ind w:left="1134" w:hanging="1134"/>
        <w:outlineLvl w:val="1"/>
        <w:rPr>
          <w:b/>
          <w:kern w:val="28"/>
          <w:szCs w:val="24"/>
          <w:u w:val="single"/>
        </w:rPr>
      </w:pPr>
      <w:r w:rsidRPr="005B4406">
        <w:rPr>
          <w:b/>
          <w:kern w:val="28"/>
          <w:szCs w:val="24"/>
          <w:u w:val="single"/>
        </w:rPr>
        <w:t>Part 1—Preliminary</w:t>
      </w:r>
      <w:bookmarkEnd w:id="1"/>
      <w:bookmarkEnd w:id="2"/>
    </w:p>
    <w:p w14:paraId="11B9DBD5" w14:textId="0F008252" w:rsidR="00365A65" w:rsidRPr="00A4785E" w:rsidRDefault="00365A65" w:rsidP="00365A65">
      <w:pPr>
        <w:rPr>
          <w:b/>
          <w:szCs w:val="24"/>
        </w:rPr>
      </w:pPr>
      <w:r w:rsidRPr="00A4785E">
        <w:rPr>
          <w:b/>
          <w:szCs w:val="24"/>
        </w:rPr>
        <w:t xml:space="preserve">Section 1 </w:t>
      </w:r>
      <w:r w:rsidR="0034500A">
        <w:rPr>
          <w:b/>
          <w:szCs w:val="24"/>
        </w:rPr>
        <w:t xml:space="preserve">- </w:t>
      </w:r>
      <w:r w:rsidRPr="00A4785E">
        <w:rPr>
          <w:b/>
          <w:szCs w:val="24"/>
        </w:rPr>
        <w:t>Name</w:t>
      </w:r>
    </w:p>
    <w:p w14:paraId="22332697" w14:textId="6B091C22" w:rsidR="00365A65" w:rsidRPr="0034500A" w:rsidRDefault="00365A65" w:rsidP="00365A65">
      <w:pPr>
        <w:rPr>
          <w:szCs w:val="24"/>
        </w:rPr>
      </w:pPr>
      <w:r w:rsidRPr="00245C2D">
        <w:rPr>
          <w:szCs w:val="24"/>
        </w:rPr>
        <w:t xml:space="preserve">This section provides for the name of the Regulation to be the </w:t>
      </w:r>
      <w:r w:rsidRPr="00245C2D">
        <w:rPr>
          <w:i/>
          <w:noProof/>
          <w:szCs w:val="24"/>
        </w:rPr>
        <w:t>Commonwealth Inscribed Stock Regulation 2015</w:t>
      </w:r>
      <w:r w:rsidR="00DF1782" w:rsidRPr="00245C2D">
        <w:rPr>
          <w:noProof/>
          <w:szCs w:val="24"/>
        </w:rPr>
        <w:t xml:space="preserve"> (Regulation).</w:t>
      </w:r>
    </w:p>
    <w:p w14:paraId="1F5C28C7" w14:textId="7D7BB678" w:rsidR="00365A65" w:rsidRPr="0034500A" w:rsidRDefault="00365A65" w:rsidP="00365A65">
      <w:pPr>
        <w:rPr>
          <w:b/>
          <w:szCs w:val="24"/>
        </w:rPr>
      </w:pPr>
      <w:r w:rsidRPr="0034500A">
        <w:rPr>
          <w:b/>
          <w:szCs w:val="24"/>
        </w:rPr>
        <w:t xml:space="preserve">Section 2 </w:t>
      </w:r>
      <w:r w:rsidR="0034500A">
        <w:rPr>
          <w:b/>
          <w:szCs w:val="24"/>
        </w:rPr>
        <w:t xml:space="preserve">- </w:t>
      </w:r>
      <w:r w:rsidRPr="0034500A">
        <w:rPr>
          <w:b/>
          <w:szCs w:val="24"/>
        </w:rPr>
        <w:t>Commencement</w:t>
      </w:r>
    </w:p>
    <w:p w14:paraId="2D951D6E" w14:textId="77777777" w:rsidR="00365A65" w:rsidRPr="00245C2D" w:rsidRDefault="00365A65" w:rsidP="00365A65">
      <w:pPr>
        <w:rPr>
          <w:szCs w:val="24"/>
        </w:rPr>
      </w:pPr>
      <w:r w:rsidRPr="00245C2D">
        <w:rPr>
          <w:szCs w:val="24"/>
        </w:rPr>
        <w:t>This section provides that the Regulation commences on the day after it is registered.</w:t>
      </w:r>
    </w:p>
    <w:p w14:paraId="4C96D535" w14:textId="3D9F664D" w:rsidR="00365A65" w:rsidRPr="0034500A" w:rsidRDefault="00365A65" w:rsidP="00365A65">
      <w:pPr>
        <w:rPr>
          <w:b/>
          <w:szCs w:val="24"/>
        </w:rPr>
      </w:pPr>
      <w:r w:rsidRPr="0034500A">
        <w:rPr>
          <w:b/>
          <w:szCs w:val="24"/>
        </w:rPr>
        <w:t xml:space="preserve">Section 3 </w:t>
      </w:r>
      <w:r w:rsidR="0034500A">
        <w:rPr>
          <w:b/>
          <w:szCs w:val="24"/>
        </w:rPr>
        <w:t xml:space="preserve">- </w:t>
      </w:r>
      <w:r w:rsidRPr="0034500A">
        <w:rPr>
          <w:b/>
          <w:szCs w:val="24"/>
        </w:rPr>
        <w:t>Authority</w:t>
      </w:r>
    </w:p>
    <w:p w14:paraId="517E40B3" w14:textId="77777777" w:rsidR="00365A65" w:rsidRPr="00245C2D" w:rsidRDefault="00365A65" w:rsidP="00365A65">
      <w:pPr>
        <w:rPr>
          <w:szCs w:val="24"/>
        </w:rPr>
      </w:pPr>
      <w:r w:rsidRPr="00245C2D">
        <w:rPr>
          <w:szCs w:val="24"/>
        </w:rPr>
        <w:t xml:space="preserve">Section 3 provides that the authority to make the Regulation is the </w:t>
      </w:r>
      <w:r w:rsidRPr="00245C2D">
        <w:rPr>
          <w:i/>
          <w:szCs w:val="24"/>
        </w:rPr>
        <w:t>Commonwealth Inscribed Stock Act 1911</w:t>
      </w:r>
      <w:r w:rsidRPr="00245C2D">
        <w:rPr>
          <w:szCs w:val="24"/>
        </w:rPr>
        <w:t>.</w:t>
      </w:r>
    </w:p>
    <w:p w14:paraId="7384E2D3" w14:textId="30A64E86" w:rsidR="00365A65" w:rsidRPr="0034500A" w:rsidRDefault="00365A65" w:rsidP="00365A65">
      <w:pPr>
        <w:rPr>
          <w:b/>
          <w:szCs w:val="24"/>
        </w:rPr>
      </w:pPr>
      <w:r w:rsidRPr="0034500A">
        <w:rPr>
          <w:b/>
          <w:szCs w:val="24"/>
        </w:rPr>
        <w:t xml:space="preserve">Section 4 </w:t>
      </w:r>
      <w:r w:rsidR="0034500A">
        <w:rPr>
          <w:b/>
          <w:szCs w:val="24"/>
        </w:rPr>
        <w:t xml:space="preserve">- </w:t>
      </w:r>
      <w:r w:rsidRPr="0034500A">
        <w:rPr>
          <w:b/>
          <w:szCs w:val="24"/>
        </w:rPr>
        <w:t>Schedules</w:t>
      </w:r>
    </w:p>
    <w:p w14:paraId="4BFEA3A6" w14:textId="77777777" w:rsidR="00365A65" w:rsidRPr="00245C2D" w:rsidRDefault="00365A65" w:rsidP="00365A65">
      <w:pPr>
        <w:rPr>
          <w:szCs w:val="24"/>
        </w:rPr>
      </w:pPr>
      <w:r w:rsidRPr="00245C2D">
        <w:rPr>
          <w:szCs w:val="24"/>
        </w:rPr>
        <w:t xml:space="preserve">This section provides that instruments listed in the Schedule are amended or repealed as stated in the Schedule.  Schedule 1 repeals the prior </w:t>
      </w:r>
      <w:r w:rsidRPr="00245C2D">
        <w:rPr>
          <w:i/>
          <w:szCs w:val="24"/>
        </w:rPr>
        <w:t>Commonwealth Inscribed Stock Regulations</w:t>
      </w:r>
      <w:r w:rsidRPr="00245C2D">
        <w:rPr>
          <w:szCs w:val="24"/>
        </w:rPr>
        <w:t>.</w:t>
      </w:r>
    </w:p>
    <w:p w14:paraId="02D8FFD5" w14:textId="77777777" w:rsidR="00365A65" w:rsidRPr="00245C2D" w:rsidRDefault="00365A65" w:rsidP="00365A65">
      <w:pPr>
        <w:rPr>
          <w:szCs w:val="24"/>
        </w:rPr>
      </w:pPr>
      <w:r w:rsidRPr="00245C2D">
        <w:rPr>
          <w:szCs w:val="24"/>
        </w:rPr>
        <w:t xml:space="preserve">Under subsection 33(3) of the </w:t>
      </w:r>
      <w:r w:rsidRPr="00245C2D">
        <w:rPr>
          <w:i/>
          <w:szCs w:val="24"/>
        </w:rPr>
        <w:t xml:space="preserve">Acts Interpretation Act 1901, </w:t>
      </w:r>
      <w:r w:rsidRPr="00245C2D">
        <w:rPr>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9DB50C4" w14:textId="40FFA934" w:rsidR="00365A65" w:rsidRPr="0034500A" w:rsidRDefault="00365A65" w:rsidP="00365A65">
      <w:pPr>
        <w:rPr>
          <w:b/>
          <w:szCs w:val="24"/>
        </w:rPr>
      </w:pPr>
      <w:r w:rsidRPr="0034500A">
        <w:rPr>
          <w:b/>
          <w:szCs w:val="24"/>
        </w:rPr>
        <w:t xml:space="preserve">Section 5 </w:t>
      </w:r>
      <w:r w:rsidR="0034500A">
        <w:rPr>
          <w:b/>
          <w:szCs w:val="24"/>
        </w:rPr>
        <w:t xml:space="preserve">- </w:t>
      </w:r>
      <w:r w:rsidRPr="0034500A">
        <w:rPr>
          <w:b/>
          <w:szCs w:val="24"/>
        </w:rPr>
        <w:t>Definitions</w:t>
      </w:r>
    </w:p>
    <w:p w14:paraId="4DB6467F" w14:textId="77777777" w:rsidR="00365A65" w:rsidRPr="0034500A" w:rsidRDefault="00365A65" w:rsidP="00365A65">
      <w:pPr>
        <w:rPr>
          <w:bCs/>
          <w:i/>
          <w:iCs/>
          <w:szCs w:val="24"/>
        </w:rPr>
      </w:pPr>
      <w:r w:rsidRPr="0034500A">
        <w:rPr>
          <w:b/>
          <w:bCs/>
          <w:i/>
          <w:iCs/>
          <w:szCs w:val="24"/>
        </w:rPr>
        <w:t>Act</w:t>
      </w:r>
      <w:r w:rsidRPr="0034500A">
        <w:rPr>
          <w:bCs/>
          <w:iCs/>
          <w:szCs w:val="24"/>
        </w:rPr>
        <w:t xml:space="preserve"> means the </w:t>
      </w:r>
      <w:r w:rsidRPr="0034500A">
        <w:rPr>
          <w:bCs/>
          <w:i/>
          <w:iCs/>
          <w:szCs w:val="24"/>
        </w:rPr>
        <w:t>Commonwealth Inscribed Stock Act 1911.</w:t>
      </w:r>
    </w:p>
    <w:p w14:paraId="64BB5811" w14:textId="77777777" w:rsidR="00365A65" w:rsidRPr="0034500A" w:rsidRDefault="00365A65" w:rsidP="00365A65">
      <w:pPr>
        <w:rPr>
          <w:szCs w:val="24"/>
        </w:rPr>
      </w:pPr>
      <w:r w:rsidRPr="0034500A">
        <w:rPr>
          <w:b/>
          <w:bCs/>
          <w:i/>
          <w:iCs/>
          <w:szCs w:val="24"/>
        </w:rPr>
        <w:t>approved form</w:t>
      </w:r>
      <w:r w:rsidRPr="0034500A">
        <w:rPr>
          <w:b/>
          <w:i/>
          <w:szCs w:val="24"/>
        </w:rPr>
        <w:t xml:space="preserve"> </w:t>
      </w:r>
      <w:r w:rsidRPr="0034500A">
        <w:rPr>
          <w:szCs w:val="24"/>
        </w:rPr>
        <w:t>means a form approved by the Treasurer</w:t>
      </w:r>
      <w:bookmarkStart w:id="3" w:name="BK_S3P1L22C53"/>
      <w:bookmarkEnd w:id="3"/>
      <w:r w:rsidRPr="0034500A">
        <w:rPr>
          <w:szCs w:val="24"/>
        </w:rPr>
        <w:t>.</w:t>
      </w:r>
    </w:p>
    <w:p w14:paraId="022E6D87" w14:textId="77777777" w:rsidR="00365A65" w:rsidRPr="0034500A" w:rsidRDefault="00365A65" w:rsidP="00365A65">
      <w:pPr>
        <w:rPr>
          <w:szCs w:val="24"/>
        </w:rPr>
      </w:pPr>
      <w:r w:rsidRPr="0034500A">
        <w:rPr>
          <w:b/>
          <w:bCs/>
          <w:i/>
          <w:iCs/>
          <w:szCs w:val="24"/>
        </w:rPr>
        <w:t>bearer security</w:t>
      </w:r>
      <w:r w:rsidRPr="0034500A">
        <w:rPr>
          <w:b/>
          <w:i/>
          <w:szCs w:val="24"/>
        </w:rPr>
        <w:t xml:space="preserve"> </w:t>
      </w:r>
      <w:r w:rsidRPr="0034500A">
        <w:rPr>
          <w:szCs w:val="24"/>
        </w:rPr>
        <w:t>means a Treasury</w:t>
      </w:r>
      <w:bookmarkStart w:id="4" w:name="BK_S3P2L14C14"/>
      <w:bookmarkEnd w:id="4"/>
      <w:r w:rsidRPr="0034500A">
        <w:rPr>
          <w:szCs w:val="24"/>
        </w:rPr>
        <w:t xml:space="preserve"> Bond, debenture or other prescribed security made out under subsection 51A(1) of the Act at any time before the commencement of subsection 51A(3) of the Act.</w:t>
      </w:r>
    </w:p>
    <w:p w14:paraId="4A2C965B" w14:textId="77777777" w:rsidR="00365A65" w:rsidRPr="0034500A" w:rsidRDefault="00365A65" w:rsidP="00365A65">
      <w:pPr>
        <w:rPr>
          <w:szCs w:val="24"/>
        </w:rPr>
      </w:pPr>
      <w:r w:rsidRPr="0034500A">
        <w:rPr>
          <w:b/>
          <w:bCs/>
          <w:i/>
          <w:iCs/>
          <w:szCs w:val="24"/>
        </w:rPr>
        <w:t>owner</w:t>
      </w:r>
      <w:r w:rsidRPr="0034500A">
        <w:rPr>
          <w:b/>
          <w:i/>
          <w:szCs w:val="24"/>
        </w:rPr>
        <w:t xml:space="preserve"> </w:t>
      </w:r>
      <w:r w:rsidRPr="0034500A">
        <w:rPr>
          <w:szCs w:val="24"/>
        </w:rPr>
        <w:t>means an owner of stock or the owners of stock in a joint account.</w:t>
      </w:r>
    </w:p>
    <w:p w14:paraId="2B90F163" w14:textId="77777777" w:rsidR="00365A65" w:rsidRPr="0034500A" w:rsidRDefault="00365A65" w:rsidP="00365A65">
      <w:pPr>
        <w:rPr>
          <w:szCs w:val="24"/>
        </w:rPr>
      </w:pPr>
      <w:r w:rsidRPr="0034500A">
        <w:rPr>
          <w:b/>
          <w:bCs/>
          <w:i/>
          <w:iCs/>
          <w:szCs w:val="24"/>
        </w:rPr>
        <w:t>stock ledger</w:t>
      </w:r>
      <w:r w:rsidRPr="0034500A">
        <w:rPr>
          <w:b/>
          <w:i/>
          <w:szCs w:val="24"/>
        </w:rPr>
        <w:t xml:space="preserve"> </w:t>
      </w:r>
      <w:r w:rsidRPr="0034500A">
        <w:rPr>
          <w:szCs w:val="24"/>
        </w:rPr>
        <w:t>means a Stock Ledger at a Registry.</w:t>
      </w:r>
    </w:p>
    <w:p w14:paraId="728922A7" w14:textId="07ADD3A1" w:rsidR="00365A65" w:rsidRPr="0034500A" w:rsidRDefault="00365A65" w:rsidP="00365A65">
      <w:pPr>
        <w:rPr>
          <w:b/>
          <w:szCs w:val="24"/>
        </w:rPr>
      </w:pPr>
      <w:r w:rsidRPr="0034500A">
        <w:rPr>
          <w:b/>
          <w:szCs w:val="24"/>
        </w:rPr>
        <w:t xml:space="preserve">Section 6 </w:t>
      </w:r>
      <w:r w:rsidR="0034500A">
        <w:rPr>
          <w:b/>
          <w:szCs w:val="24"/>
        </w:rPr>
        <w:t xml:space="preserve">- </w:t>
      </w:r>
      <w:r w:rsidRPr="0034500A">
        <w:rPr>
          <w:b/>
          <w:szCs w:val="24"/>
        </w:rPr>
        <w:t xml:space="preserve">Prescribed person for definition of </w:t>
      </w:r>
      <w:r w:rsidRPr="00245C2D">
        <w:rPr>
          <w:b/>
          <w:i/>
          <w:szCs w:val="24"/>
        </w:rPr>
        <w:t>certified copy</w:t>
      </w:r>
    </w:p>
    <w:p w14:paraId="120349A5" w14:textId="77777777" w:rsidR="00365A65" w:rsidRPr="00245C2D" w:rsidRDefault="00365A65" w:rsidP="00365A65">
      <w:pPr>
        <w:rPr>
          <w:szCs w:val="24"/>
        </w:rPr>
      </w:pPr>
      <w:r w:rsidRPr="00245C2D">
        <w:rPr>
          <w:szCs w:val="24"/>
        </w:rPr>
        <w:t>The purpose of this section is to define who may certify a copy of an entry or an extract of an entry in a Stock Ledger or document under the Act.</w:t>
      </w:r>
    </w:p>
    <w:p w14:paraId="232D04DA" w14:textId="77777777" w:rsidR="00365A65" w:rsidRPr="005B4406" w:rsidRDefault="00365A65" w:rsidP="00365A65">
      <w:pPr>
        <w:keepNext/>
        <w:keepLines/>
        <w:spacing w:before="280"/>
        <w:ind w:left="1134" w:hanging="1134"/>
        <w:outlineLvl w:val="1"/>
        <w:rPr>
          <w:b/>
          <w:kern w:val="28"/>
          <w:szCs w:val="24"/>
          <w:u w:val="single"/>
        </w:rPr>
      </w:pPr>
      <w:bookmarkStart w:id="5" w:name="_Toc392238588"/>
      <w:r w:rsidRPr="005B4406">
        <w:rPr>
          <w:b/>
          <w:kern w:val="28"/>
          <w:szCs w:val="24"/>
          <w:u w:val="single"/>
        </w:rPr>
        <w:t>Part 2—Stock</w:t>
      </w:r>
      <w:bookmarkEnd w:id="5"/>
    </w:p>
    <w:p w14:paraId="111FE4BB" w14:textId="77777777" w:rsidR="00365A65" w:rsidRPr="005B4406" w:rsidRDefault="00365A65" w:rsidP="00365A65">
      <w:pPr>
        <w:keepNext/>
        <w:keepLines/>
        <w:spacing w:before="240"/>
        <w:ind w:left="1134" w:hanging="1134"/>
        <w:outlineLvl w:val="2"/>
        <w:rPr>
          <w:b/>
          <w:kern w:val="28"/>
          <w:szCs w:val="24"/>
          <w:u w:val="single"/>
        </w:rPr>
      </w:pPr>
      <w:bookmarkStart w:id="6" w:name="_Toc392238589"/>
      <w:bookmarkStart w:id="7" w:name="_Toc392242716"/>
      <w:r w:rsidRPr="005B4406">
        <w:rPr>
          <w:b/>
          <w:kern w:val="28"/>
          <w:szCs w:val="24"/>
          <w:u w:val="single"/>
        </w:rPr>
        <w:t>Division 1—Creation and issue of stock</w:t>
      </w:r>
      <w:bookmarkEnd w:id="6"/>
      <w:bookmarkEnd w:id="7"/>
    </w:p>
    <w:p w14:paraId="0F96A2FE" w14:textId="0F534B0E" w:rsidR="00365A65" w:rsidRPr="00A4785E" w:rsidRDefault="00365A65" w:rsidP="00365A65">
      <w:pPr>
        <w:rPr>
          <w:b/>
          <w:szCs w:val="24"/>
        </w:rPr>
      </w:pPr>
      <w:r w:rsidRPr="00A4785E">
        <w:rPr>
          <w:b/>
          <w:szCs w:val="24"/>
        </w:rPr>
        <w:t xml:space="preserve">Section 7 </w:t>
      </w:r>
      <w:r w:rsidR="0034500A">
        <w:rPr>
          <w:b/>
          <w:szCs w:val="24"/>
        </w:rPr>
        <w:t xml:space="preserve">- </w:t>
      </w:r>
      <w:r w:rsidRPr="00A4785E">
        <w:rPr>
          <w:b/>
          <w:szCs w:val="24"/>
        </w:rPr>
        <w:t>Prescribed stock for subsection 4(1)</w:t>
      </w:r>
    </w:p>
    <w:p w14:paraId="20F7A193" w14:textId="7CF5CFF0" w:rsidR="00365A65" w:rsidRPr="00245C2D" w:rsidRDefault="00365A65" w:rsidP="00365A65">
      <w:pPr>
        <w:rPr>
          <w:szCs w:val="24"/>
        </w:rPr>
      </w:pPr>
      <w:r w:rsidRPr="00245C2D">
        <w:rPr>
          <w:szCs w:val="24"/>
        </w:rPr>
        <w:t xml:space="preserve">This section provides that Treasury Bills </w:t>
      </w:r>
      <w:r w:rsidR="00E152C9" w:rsidRPr="00245C2D">
        <w:rPr>
          <w:szCs w:val="24"/>
        </w:rPr>
        <w:t>are</w:t>
      </w:r>
      <w:r w:rsidRPr="00245C2D">
        <w:rPr>
          <w:szCs w:val="24"/>
        </w:rPr>
        <w:t xml:space="preserve"> prescribed as Stock under the Act.</w:t>
      </w:r>
    </w:p>
    <w:p w14:paraId="56FE39D3" w14:textId="77777777" w:rsidR="00365A65" w:rsidRPr="005B4406" w:rsidRDefault="00365A65" w:rsidP="004A1C15">
      <w:pPr>
        <w:keepNext/>
        <w:keepLines/>
        <w:spacing w:before="240"/>
        <w:ind w:left="1134" w:hanging="1134"/>
        <w:outlineLvl w:val="2"/>
        <w:rPr>
          <w:b/>
          <w:kern w:val="28"/>
          <w:szCs w:val="24"/>
          <w:u w:val="single"/>
        </w:rPr>
      </w:pPr>
      <w:bookmarkStart w:id="8" w:name="_Toc392238591"/>
      <w:bookmarkStart w:id="9" w:name="_Toc392242718"/>
      <w:r w:rsidRPr="005B4406">
        <w:rPr>
          <w:b/>
          <w:kern w:val="28"/>
          <w:szCs w:val="24"/>
          <w:u w:val="single"/>
        </w:rPr>
        <w:t>Division 2—Registries</w:t>
      </w:r>
      <w:bookmarkEnd w:id="8"/>
      <w:bookmarkEnd w:id="9"/>
    </w:p>
    <w:p w14:paraId="71FD410C" w14:textId="77777777" w:rsidR="00365A65" w:rsidRPr="00A4785E" w:rsidRDefault="00365A65" w:rsidP="004A1C15">
      <w:pPr>
        <w:keepNext/>
        <w:keepLines/>
        <w:rPr>
          <w:b/>
          <w:szCs w:val="24"/>
        </w:rPr>
      </w:pPr>
      <w:r w:rsidRPr="00A4785E">
        <w:rPr>
          <w:b/>
          <w:szCs w:val="24"/>
        </w:rPr>
        <w:t>Section 8 Correction of Register</w:t>
      </w:r>
    </w:p>
    <w:p w14:paraId="1BB54AB2" w14:textId="77777777" w:rsidR="00365A65" w:rsidRPr="00245C2D" w:rsidRDefault="00365A65" w:rsidP="004A1C15">
      <w:pPr>
        <w:keepNext/>
        <w:keepLines/>
        <w:rPr>
          <w:szCs w:val="24"/>
        </w:rPr>
      </w:pPr>
      <w:r w:rsidRPr="00245C2D">
        <w:rPr>
          <w:szCs w:val="24"/>
        </w:rPr>
        <w:t>This section specifies that the Registrar of stockholders under the Act must correct the register, if satisfied that a correction is required upon request from a person.</w:t>
      </w:r>
    </w:p>
    <w:p w14:paraId="14FF4058" w14:textId="603DE05C" w:rsidR="00365A65" w:rsidRPr="0034500A" w:rsidRDefault="00365A65" w:rsidP="00365A65">
      <w:pPr>
        <w:rPr>
          <w:b/>
          <w:szCs w:val="24"/>
        </w:rPr>
      </w:pPr>
      <w:r w:rsidRPr="0034500A">
        <w:rPr>
          <w:b/>
          <w:szCs w:val="24"/>
        </w:rPr>
        <w:t xml:space="preserve">Section 9 </w:t>
      </w:r>
      <w:r w:rsidR="0034500A">
        <w:rPr>
          <w:b/>
          <w:szCs w:val="24"/>
        </w:rPr>
        <w:t xml:space="preserve">- </w:t>
      </w:r>
      <w:r w:rsidRPr="0034500A">
        <w:rPr>
          <w:b/>
          <w:szCs w:val="24"/>
        </w:rPr>
        <w:t>Assistance to be provided to the Registrar</w:t>
      </w:r>
    </w:p>
    <w:p w14:paraId="1F5433DB" w14:textId="77777777" w:rsidR="00365A65" w:rsidRPr="00245C2D" w:rsidRDefault="00365A65" w:rsidP="00365A65">
      <w:pPr>
        <w:rPr>
          <w:szCs w:val="24"/>
        </w:rPr>
      </w:pPr>
      <w:r w:rsidRPr="00245C2D">
        <w:rPr>
          <w:szCs w:val="24"/>
        </w:rPr>
        <w:t>This section provides that the Registrar may request a person to provide supporting documents, an indemnity to the Registrar’s satisfaction, or to verify their identity when a person requests the Registrar to perform a function or exercise a power under the Act.</w:t>
      </w:r>
    </w:p>
    <w:p w14:paraId="7C5621C3" w14:textId="4E400A11" w:rsidR="00365A65" w:rsidRPr="0034500A" w:rsidRDefault="00365A65" w:rsidP="00365A65">
      <w:pPr>
        <w:rPr>
          <w:b/>
          <w:szCs w:val="24"/>
        </w:rPr>
      </w:pPr>
      <w:r w:rsidRPr="0034500A">
        <w:rPr>
          <w:b/>
          <w:szCs w:val="24"/>
        </w:rPr>
        <w:t xml:space="preserve">Section 10 </w:t>
      </w:r>
      <w:r w:rsidR="0034500A">
        <w:rPr>
          <w:b/>
          <w:szCs w:val="24"/>
        </w:rPr>
        <w:t xml:space="preserve">- </w:t>
      </w:r>
      <w:r w:rsidRPr="0034500A">
        <w:rPr>
          <w:b/>
          <w:szCs w:val="24"/>
        </w:rPr>
        <w:t>Specimen signatures</w:t>
      </w:r>
    </w:p>
    <w:p w14:paraId="0F5A2171" w14:textId="77777777" w:rsidR="00365A65" w:rsidRPr="00245C2D" w:rsidRDefault="00365A65" w:rsidP="00365A65">
      <w:pPr>
        <w:rPr>
          <w:szCs w:val="24"/>
        </w:rPr>
      </w:pPr>
      <w:r w:rsidRPr="00245C2D">
        <w:rPr>
          <w:szCs w:val="24"/>
        </w:rPr>
        <w:t>This section provides that the Registrar may obtain specimen signatures from stock owners, and may require these specimen signatures to be witnessed or signed before an officer of a Registry.</w:t>
      </w:r>
    </w:p>
    <w:p w14:paraId="0FC1993C" w14:textId="371AD64C" w:rsidR="00365A65" w:rsidRPr="0034500A" w:rsidRDefault="00365A65" w:rsidP="00365A65">
      <w:pPr>
        <w:rPr>
          <w:b/>
          <w:szCs w:val="24"/>
        </w:rPr>
      </w:pPr>
      <w:r w:rsidRPr="0034500A">
        <w:rPr>
          <w:b/>
          <w:szCs w:val="24"/>
        </w:rPr>
        <w:t xml:space="preserve">Section 11 </w:t>
      </w:r>
      <w:r w:rsidR="0034500A">
        <w:rPr>
          <w:b/>
          <w:szCs w:val="24"/>
        </w:rPr>
        <w:t xml:space="preserve">- </w:t>
      </w:r>
      <w:r w:rsidRPr="0034500A">
        <w:rPr>
          <w:b/>
          <w:szCs w:val="24"/>
        </w:rPr>
        <w:t>Inscription of stock in names of unincorporated associations</w:t>
      </w:r>
    </w:p>
    <w:p w14:paraId="11205A95" w14:textId="77777777" w:rsidR="00365A65" w:rsidRPr="00245C2D" w:rsidRDefault="00365A65" w:rsidP="00365A65">
      <w:pPr>
        <w:rPr>
          <w:szCs w:val="24"/>
        </w:rPr>
      </w:pPr>
      <w:r w:rsidRPr="00245C2D">
        <w:rPr>
          <w:szCs w:val="24"/>
        </w:rPr>
        <w:t>This section specifies the conditions for subsection 22B(1) of the Act for the Registrar to record stock in the name of an unincorporated association in the register.</w:t>
      </w:r>
    </w:p>
    <w:p w14:paraId="213FBA0E" w14:textId="77777777" w:rsidR="00365A65" w:rsidRPr="005B4406" w:rsidRDefault="00365A65" w:rsidP="00365A65">
      <w:pPr>
        <w:keepNext/>
        <w:keepLines/>
        <w:spacing w:before="240"/>
        <w:ind w:left="1134" w:hanging="1134"/>
        <w:outlineLvl w:val="2"/>
        <w:rPr>
          <w:b/>
          <w:kern w:val="28"/>
          <w:szCs w:val="24"/>
          <w:u w:val="single"/>
        </w:rPr>
      </w:pPr>
      <w:bookmarkStart w:id="10" w:name="_Toc392238596"/>
      <w:r w:rsidRPr="005B4406">
        <w:rPr>
          <w:b/>
          <w:kern w:val="28"/>
          <w:szCs w:val="24"/>
          <w:u w:val="single"/>
        </w:rPr>
        <w:t>Division 3—Transfer and transmission of stock</w:t>
      </w:r>
      <w:bookmarkEnd w:id="10"/>
    </w:p>
    <w:p w14:paraId="24D18035" w14:textId="15CB793F" w:rsidR="00365A65" w:rsidRPr="00A4785E" w:rsidRDefault="00365A65" w:rsidP="00365A65">
      <w:pPr>
        <w:rPr>
          <w:b/>
          <w:szCs w:val="24"/>
        </w:rPr>
      </w:pPr>
      <w:r w:rsidRPr="00A4785E">
        <w:rPr>
          <w:b/>
          <w:szCs w:val="24"/>
        </w:rPr>
        <w:t xml:space="preserve">Section 12 </w:t>
      </w:r>
      <w:r w:rsidR="0034500A">
        <w:rPr>
          <w:b/>
          <w:szCs w:val="24"/>
        </w:rPr>
        <w:t xml:space="preserve">- </w:t>
      </w:r>
      <w:r w:rsidRPr="00A4785E">
        <w:rPr>
          <w:b/>
          <w:szCs w:val="24"/>
        </w:rPr>
        <w:t>Transfers of stock within a Registry</w:t>
      </w:r>
    </w:p>
    <w:p w14:paraId="143031EC" w14:textId="77777777" w:rsidR="00365A65" w:rsidRPr="00245C2D" w:rsidRDefault="00365A65" w:rsidP="00365A65">
      <w:pPr>
        <w:rPr>
          <w:szCs w:val="24"/>
        </w:rPr>
      </w:pPr>
      <w:r w:rsidRPr="00245C2D">
        <w:rPr>
          <w:szCs w:val="24"/>
        </w:rPr>
        <w:t>This section specifies the requirements for the transfer of legal or equitable interests in stock for subsection 24(1) of the Act.</w:t>
      </w:r>
    </w:p>
    <w:p w14:paraId="17F7D4D9" w14:textId="2E56509D" w:rsidR="00365A65" w:rsidRPr="0034500A" w:rsidRDefault="00365A65" w:rsidP="00365A65">
      <w:pPr>
        <w:rPr>
          <w:b/>
          <w:szCs w:val="24"/>
        </w:rPr>
      </w:pPr>
      <w:r w:rsidRPr="0034500A">
        <w:rPr>
          <w:b/>
          <w:szCs w:val="24"/>
        </w:rPr>
        <w:t xml:space="preserve">Section 13 </w:t>
      </w:r>
      <w:r w:rsidR="0034500A">
        <w:rPr>
          <w:b/>
          <w:szCs w:val="24"/>
        </w:rPr>
        <w:t xml:space="preserve">- </w:t>
      </w:r>
      <w:r w:rsidRPr="0034500A">
        <w:rPr>
          <w:b/>
          <w:szCs w:val="24"/>
        </w:rPr>
        <w:t>Section 27 of the Act does not apply to certain transactions</w:t>
      </w:r>
    </w:p>
    <w:p w14:paraId="19AD3F75" w14:textId="77777777" w:rsidR="00365A65" w:rsidRPr="00245C2D" w:rsidRDefault="00365A65" w:rsidP="00365A65">
      <w:pPr>
        <w:rPr>
          <w:szCs w:val="24"/>
        </w:rPr>
      </w:pPr>
      <w:r w:rsidRPr="00245C2D">
        <w:rPr>
          <w:szCs w:val="24"/>
        </w:rPr>
        <w:t>This section specifies an alternate scheme for the timing of when transfers of legal or equitable interest can be recorded in the registry, which is, with the exception of Treasury Notes, not within 7 days of maturity.</w:t>
      </w:r>
    </w:p>
    <w:p w14:paraId="26682EF1" w14:textId="75D23DA6" w:rsidR="00365A65" w:rsidRPr="0034500A" w:rsidRDefault="00365A65" w:rsidP="00365A65">
      <w:pPr>
        <w:rPr>
          <w:b/>
          <w:szCs w:val="24"/>
        </w:rPr>
      </w:pPr>
      <w:r w:rsidRPr="0034500A">
        <w:rPr>
          <w:b/>
          <w:szCs w:val="24"/>
        </w:rPr>
        <w:t xml:space="preserve">Section 14 </w:t>
      </w:r>
      <w:r w:rsidR="0034500A">
        <w:rPr>
          <w:b/>
          <w:szCs w:val="24"/>
        </w:rPr>
        <w:t xml:space="preserve">- </w:t>
      </w:r>
      <w:r w:rsidRPr="0034500A">
        <w:rPr>
          <w:b/>
          <w:szCs w:val="24"/>
        </w:rPr>
        <w:t>Transmission application</w:t>
      </w:r>
    </w:p>
    <w:p w14:paraId="05DD9950" w14:textId="77777777" w:rsidR="00365A65" w:rsidRPr="00245C2D" w:rsidRDefault="00365A65" w:rsidP="00365A65">
      <w:pPr>
        <w:rPr>
          <w:szCs w:val="24"/>
        </w:rPr>
      </w:pPr>
      <w:r w:rsidRPr="00245C2D">
        <w:rPr>
          <w:szCs w:val="24"/>
        </w:rPr>
        <w:t>This section specifies that for section 28 of the Act that a transmission application must be in the approved form, accompanied by evidence and given to Registrar.</w:t>
      </w:r>
    </w:p>
    <w:p w14:paraId="214F49A9" w14:textId="4903BAE4" w:rsidR="00365A65" w:rsidRPr="0034500A" w:rsidRDefault="00365A65" w:rsidP="00365A65">
      <w:pPr>
        <w:rPr>
          <w:b/>
          <w:szCs w:val="24"/>
        </w:rPr>
      </w:pPr>
      <w:r w:rsidRPr="0034500A">
        <w:rPr>
          <w:b/>
          <w:szCs w:val="24"/>
        </w:rPr>
        <w:t xml:space="preserve">Section 15 </w:t>
      </w:r>
      <w:r w:rsidR="0034500A">
        <w:rPr>
          <w:b/>
          <w:szCs w:val="24"/>
        </w:rPr>
        <w:t xml:space="preserve">- </w:t>
      </w:r>
      <w:r w:rsidRPr="0034500A">
        <w:rPr>
          <w:b/>
          <w:szCs w:val="24"/>
        </w:rPr>
        <w:t>Prescribed amount of stock for subsection 29(2) of the Act (verification of transmission)</w:t>
      </w:r>
    </w:p>
    <w:p w14:paraId="79C9A9B0" w14:textId="77777777" w:rsidR="00365A65" w:rsidRPr="00245C2D" w:rsidRDefault="00365A65" w:rsidP="00365A65">
      <w:pPr>
        <w:rPr>
          <w:szCs w:val="24"/>
        </w:rPr>
      </w:pPr>
      <w:r w:rsidRPr="00245C2D">
        <w:rPr>
          <w:szCs w:val="24"/>
        </w:rPr>
        <w:t>This section empowers the Treasurer to approve transmissions of stock, recorded in the name of a person who has died, of amounts up to and including $25,000 without the verification required by subsection 29(1) of the Act.</w:t>
      </w:r>
    </w:p>
    <w:p w14:paraId="487FC836" w14:textId="5E555D45" w:rsidR="00365A65" w:rsidRPr="0034500A" w:rsidRDefault="00365A65" w:rsidP="00365A65">
      <w:pPr>
        <w:rPr>
          <w:b/>
          <w:szCs w:val="24"/>
        </w:rPr>
      </w:pPr>
      <w:r w:rsidRPr="0034500A">
        <w:rPr>
          <w:b/>
          <w:szCs w:val="24"/>
        </w:rPr>
        <w:t xml:space="preserve">Section 16 </w:t>
      </w:r>
      <w:r w:rsidR="0034500A">
        <w:rPr>
          <w:b/>
          <w:szCs w:val="24"/>
        </w:rPr>
        <w:t xml:space="preserve">- </w:t>
      </w:r>
      <w:r w:rsidRPr="0034500A">
        <w:rPr>
          <w:b/>
          <w:szCs w:val="24"/>
        </w:rPr>
        <w:t>Death of joint owner of stock</w:t>
      </w:r>
    </w:p>
    <w:p w14:paraId="6930A272" w14:textId="77777777" w:rsidR="00365A65" w:rsidRPr="00245C2D" w:rsidRDefault="00365A65" w:rsidP="00365A65">
      <w:pPr>
        <w:rPr>
          <w:szCs w:val="24"/>
        </w:rPr>
      </w:pPr>
      <w:r w:rsidRPr="00245C2D">
        <w:rPr>
          <w:szCs w:val="24"/>
        </w:rPr>
        <w:t>This section specifies what occurs to stock when a joint owner of the stock dies.</w:t>
      </w:r>
    </w:p>
    <w:p w14:paraId="09D4DFA9" w14:textId="395D5D35" w:rsidR="00365A65" w:rsidRPr="0034500A" w:rsidRDefault="00365A65" w:rsidP="00365A65">
      <w:pPr>
        <w:rPr>
          <w:b/>
          <w:szCs w:val="24"/>
        </w:rPr>
      </w:pPr>
      <w:r w:rsidRPr="0034500A">
        <w:rPr>
          <w:b/>
          <w:szCs w:val="24"/>
        </w:rPr>
        <w:t xml:space="preserve">Section 17 </w:t>
      </w:r>
      <w:r w:rsidR="0034500A">
        <w:rPr>
          <w:b/>
          <w:szCs w:val="24"/>
        </w:rPr>
        <w:t xml:space="preserve">- </w:t>
      </w:r>
      <w:r w:rsidRPr="0034500A">
        <w:rPr>
          <w:b/>
          <w:szCs w:val="24"/>
        </w:rPr>
        <w:t>Transfer of stock to administrator of certain estates</w:t>
      </w:r>
    </w:p>
    <w:p w14:paraId="46950D9E" w14:textId="77777777" w:rsidR="00365A65" w:rsidRPr="00245C2D" w:rsidRDefault="00365A65" w:rsidP="00365A65">
      <w:pPr>
        <w:rPr>
          <w:szCs w:val="24"/>
        </w:rPr>
      </w:pPr>
      <w:r w:rsidRPr="00245C2D">
        <w:rPr>
          <w:szCs w:val="24"/>
        </w:rPr>
        <w:t>This section provides that the Treasurer can authorise the transfer of stock to an officer charged with administering the estates of missing persons or persons with disability if certain conditions are satisfied.</w:t>
      </w:r>
    </w:p>
    <w:p w14:paraId="5F383B37" w14:textId="2D6FB924" w:rsidR="00365A65" w:rsidRPr="0034500A" w:rsidRDefault="00365A65" w:rsidP="004A1C15">
      <w:pPr>
        <w:keepNext/>
        <w:keepLines/>
        <w:rPr>
          <w:b/>
          <w:szCs w:val="24"/>
        </w:rPr>
      </w:pPr>
      <w:r w:rsidRPr="0034500A">
        <w:rPr>
          <w:b/>
          <w:szCs w:val="24"/>
        </w:rPr>
        <w:t xml:space="preserve">Section 18 </w:t>
      </w:r>
      <w:r w:rsidR="0034500A">
        <w:rPr>
          <w:b/>
          <w:szCs w:val="24"/>
        </w:rPr>
        <w:t xml:space="preserve">- </w:t>
      </w:r>
      <w:r w:rsidRPr="0034500A">
        <w:rPr>
          <w:b/>
          <w:szCs w:val="24"/>
        </w:rPr>
        <w:t>Marked transfers</w:t>
      </w:r>
    </w:p>
    <w:p w14:paraId="0B449E80" w14:textId="77777777" w:rsidR="00365A65" w:rsidRPr="00245C2D" w:rsidRDefault="00365A65" w:rsidP="004A1C15">
      <w:pPr>
        <w:keepNext/>
        <w:keepLines/>
        <w:rPr>
          <w:szCs w:val="24"/>
        </w:rPr>
      </w:pPr>
      <w:r w:rsidRPr="00245C2D">
        <w:rPr>
          <w:szCs w:val="24"/>
        </w:rPr>
        <w:t>This section allows the Registrar to mark transactions to restrict transfers whilst a security is marked.</w:t>
      </w:r>
    </w:p>
    <w:p w14:paraId="62814F18" w14:textId="77777777" w:rsidR="00365A65" w:rsidRPr="005B4406" w:rsidRDefault="00365A65" w:rsidP="00365A65">
      <w:pPr>
        <w:keepNext/>
        <w:keepLines/>
        <w:spacing w:before="280"/>
        <w:outlineLvl w:val="1"/>
        <w:rPr>
          <w:b/>
          <w:kern w:val="28"/>
          <w:szCs w:val="24"/>
          <w:u w:val="single"/>
        </w:rPr>
      </w:pPr>
      <w:bookmarkStart w:id="11" w:name="_Toc392238604"/>
      <w:r w:rsidRPr="005B4406">
        <w:rPr>
          <w:b/>
          <w:kern w:val="28"/>
          <w:szCs w:val="24"/>
          <w:u w:val="single"/>
        </w:rPr>
        <w:t>Part 3—</w:t>
      </w:r>
      <w:bookmarkEnd w:id="11"/>
      <w:r w:rsidRPr="005B4406">
        <w:rPr>
          <w:b/>
          <w:kern w:val="28"/>
          <w:szCs w:val="24"/>
          <w:u w:val="single"/>
        </w:rPr>
        <w:t xml:space="preserve"> Bearer securities</w:t>
      </w:r>
    </w:p>
    <w:p w14:paraId="15C42736" w14:textId="44BF0A24" w:rsidR="00365A65" w:rsidRPr="0034500A" w:rsidRDefault="00365A65" w:rsidP="00365A65">
      <w:pPr>
        <w:rPr>
          <w:b/>
          <w:szCs w:val="24"/>
        </w:rPr>
      </w:pPr>
      <w:r w:rsidRPr="00A4785E">
        <w:rPr>
          <w:b/>
          <w:szCs w:val="24"/>
        </w:rPr>
        <w:t xml:space="preserve">Section 19 </w:t>
      </w:r>
      <w:r w:rsidR="0034500A">
        <w:rPr>
          <w:b/>
          <w:szCs w:val="24"/>
        </w:rPr>
        <w:t xml:space="preserve">- </w:t>
      </w:r>
      <w:r w:rsidRPr="00A4785E">
        <w:rPr>
          <w:b/>
          <w:szCs w:val="24"/>
        </w:rPr>
        <w:t>Prescribed securities made out under subsection 51A(1)</w:t>
      </w:r>
    </w:p>
    <w:p w14:paraId="2120EDC7" w14:textId="77777777" w:rsidR="00365A65" w:rsidRPr="00245C2D" w:rsidRDefault="00365A65" w:rsidP="00365A65">
      <w:pPr>
        <w:rPr>
          <w:szCs w:val="24"/>
        </w:rPr>
      </w:pPr>
      <w:r w:rsidRPr="00245C2D">
        <w:rPr>
          <w:szCs w:val="24"/>
        </w:rPr>
        <w:t>This section specifies that any securities previously issued under section 51A of the Act continue to be prescribed securities for the purposes of the Act.</w:t>
      </w:r>
    </w:p>
    <w:p w14:paraId="074EB6C0" w14:textId="097085E8" w:rsidR="00365A65" w:rsidRPr="0034500A" w:rsidRDefault="00365A65" w:rsidP="00365A65">
      <w:pPr>
        <w:rPr>
          <w:b/>
          <w:szCs w:val="24"/>
        </w:rPr>
      </w:pPr>
      <w:r w:rsidRPr="0034500A">
        <w:rPr>
          <w:b/>
          <w:szCs w:val="24"/>
        </w:rPr>
        <w:t xml:space="preserve">Section 20 </w:t>
      </w:r>
      <w:r w:rsidR="0034500A">
        <w:rPr>
          <w:b/>
          <w:szCs w:val="24"/>
        </w:rPr>
        <w:t xml:space="preserve">- </w:t>
      </w:r>
      <w:r w:rsidRPr="0034500A">
        <w:rPr>
          <w:b/>
          <w:szCs w:val="24"/>
        </w:rPr>
        <w:t>Application of Treasury</w:t>
      </w:r>
      <w:bookmarkStart w:id="12" w:name="BK_S3P15L12C29"/>
      <w:bookmarkEnd w:id="12"/>
      <w:r w:rsidRPr="0034500A">
        <w:rPr>
          <w:b/>
          <w:szCs w:val="24"/>
        </w:rPr>
        <w:t xml:space="preserve"> Bills Act </w:t>
      </w:r>
    </w:p>
    <w:p w14:paraId="71C593DA" w14:textId="77777777" w:rsidR="00365A65" w:rsidRPr="00245C2D" w:rsidRDefault="00365A65" w:rsidP="00365A65">
      <w:pPr>
        <w:rPr>
          <w:szCs w:val="24"/>
        </w:rPr>
      </w:pPr>
      <w:r w:rsidRPr="00245C2D">
        <w:rPr>
          <w:szCs w:val="24"/>
        </w:rPr>
        <w:t xml:space="preserve">This section sets out which sections of the </w:t>
      </w:r>
      <w:r w:rsidRPr="00245C2D">
        <w:rPr>
          <w:i/>
          <w:szCs w:val="24"/>
        </w:rPr>
        <w:t>Treasury Bills Act 1914</w:t>
      </w:r>
      <w:r w:rsidRPr="00245C2D">
        <w:rPr>
          <w:szCs w:val="24"/>
        </w:rPr>
        <w:t xml:space="preserve"> do not apply to different security types.</w:t>
      </w:r>
    </w:p>
    <w:p w14:paraId="43C60390" w14:textId="7BBFA0C0" w:rsidR="00365A65" w:rsidRPr="0034500A" w:rsidRDefault="00365A65" w:rsidP="00365A65">
      <w:pPr>
        <w:keepNext/>
        <w:keepLines/>
        <w:spacing w:before="280"/>
        <w:outlineLvl w:val="4"/>
        <w:rPr>
          <w:b/>
          <w:kern w:val="28"/>
          <w:szCs w:val="24"/>
        </w:rPr>
      </w:pPr>
      <w:r w:rsidRPr="0034500A">
        <w:rPr>
          <w:b/>
          <w:kern w:val="28"/>
          <w:szCs w:val="24"/>
        </w:rPr>
        <w:t xml:space="preserve">Section 21 </w:t>
      </w:r>
      <w:r w:rsidR="0034500A">
        <w:rPr>
          <w:b/>
          <w:kern w:val="28"/>
          <w:szCs w:val="24"/>
        </w:rPr>
        <w:t xml:space="preserve">- </w:t>
      </w:r>
      <w:r w:rsidRPr="0034500A">
        <w:rPr>
          <w:b/>
          <w:kern w:val="28"/>
          <w:szCs w:val="24"/>
        </w:rPr>
        <w:t>Payment of defaced, lost, stolen or destroyed bearer security or coupon</w:t>
      </w:r>
    </w:p>
    <w:p w14:paraId="1E837E69" w14:textId="77777777" w:rsidR="00365A65" w:rsidRPr="00245C2D" w:rsidRDefault="00365A65" w:rsidP="00365A65">
      <w:pPr>
        <w:rPr>
          <w:szCs w:val="24"/>
        </w:rPr>
      </w:pPr>
      <w:r w:rsidRPr="00245C2D">
        <w:rPr>
          <w:szCs w:val="24"/>
        </w:rPr>
        <w:t>This section allows the Treasurer to authorise payment of previously issued securities under the Act, that are payable by presentation, where the security has been defaced, lost, stolen or destroyed.</w:t>
      </w:r>
    </w:p>
    <w:p w14:paraId="3595467B" w14:textId="0989C507" w:rsidR="00365A65" w:rsidRPr="0034500A" w:rsidRDefault="00365A65" w:rsidP="00365A65">
      <w:pPr>
        <w:keepNext/>
        <w:keepLines/>
        <w:spacing w:before="280"/>
        <w:outlineLvl w:val="4"/>
        <w:rPr>
          <w:b/>
          <w:kern w:val="28"/>
          <w:szCs w:val="24"/>
        </w:rPr>
      </w:pPr>
      <w:r w:rsidRPr="0034500A">
        <w:rPr>
          <w:b/>
          <w:kern w:val="28"/>
          <w:szCs w:val="24"/>
        </w:rPr>
        <w:t xml:space="preserve">Section 22 </w:t>
      </w:r>
      <w:r w:rsidR="0034500A">
        <w:rPr>
          <w:b/>
          <w:kern w:val="28"/>
          <w:szCs w:val="24"/>
        </w:rPr>
        <w:t xml:space="preserve">- </w:t>
      </w:r>
      <w:r w:rsidRPr="0034500A">
        <w:rPr>
          <w:b/>
          <w:kern w:val="28"/>
          <w:szCs w:val="24"/>
        </w:rPr>
        <w:t>Destruction of bearer security or coupon</w:t>
      </w:r>
    </w:p>
    <w:p w14:paraId="3ABDA956" w14:textId="77777777" w:rsidR="00365A65" w:rsidRPr="00245C2D" w:rsidRDefault="00365A65" w:rsidP="00365A65">
      <w:pPr>
        <w:rPr>
          <w:szCs w:val="24"/>
        </w:rPr>
      </w:pPr>
      <w:r w:rsidRPr="00245C2D">
        <w:rPr>
          <w:szCs w:val="24"/>
        </w:rPr>
        <w:t>This section requires the destruction of bearer securities once cancelled.</w:t>
      </w:r>
    </w:p>
    <w:p w14:paraId="19161B1E" w14:textId="77777777" w:rsidR="00365A65" w:rsidRPr="005B4406" w:rsidRDefault="00365A65" w:rsidP="00365A65">
      <w:pPr>
        <w:keepNext/>
        <w:keepLines/>
        <w:spacing w:before="280"/>
        <w:ind w:left="1134" w:hanging="1134"/>
        <w:outlineLvl w:val="1"/>
        <w:rPr>
          <w:b/>
          <w:kern w:val="28"/>
          <w:szCs w:val="24"/>
          <w:u w:val="single"/>
        </w:rPr>
      </w:pPr>
      <w:bookmarkStart w:id="13" w:name="_Toc392238610"/>
      <w:r w:rsidRPr="005B4406">
        <w:rPr>
          <w:b/>
          <w:kern w:val="28"/>
          <w:szCs w:val="24"/>
          <w:u w:val="single"/>
        </w:rPr>
        <w:t>Part 4 —Miscellaneous</w:t>
      </w:r>
      <w:bookmarkEnd w:id="13"/>
    </w:p>
    <w:p w14:paraId="001AFD55" w14:textId="4C32F582" w:rsidR="00365A65" w:rsidRPr="0034500A" w:rsidRDefault="00365A65" w:rsidP="00365A65">
      <w:pPr>
        <w:keepNext/>
        <w:keepLines/>
        <w:spacing w:before="280"/>
        <w:outlineLvl w:val="4"/>
        <w:rPr>
          <w:b/>
          <w:kern w:val="28"/>
          <w:szCs w:val="24"/>
        </w:rPr>
      </w:pPr>
      <w:bookmarkStart w:id="14" w:name="_Toc392238611"/>
      <w:bookmarkStart w:id="15" w:name="_Toc392242738"/>
      <w:r w:rsidRPr="00A4785E">
        <w:rPr>
          <w:b/>
          <w:kern w:val="28"/>
          <w:szCs w:val="24"/>
        </w:rPr>
        <w:t xml:space="preserve">Section 23 </w:t>
      </w:r>
      <w:r w:rsidR="0034500A">
        <w:rPr>
          <w:b/>
          <w:kern w:val="28"/>
          <w:szCs w:val="24"/>
        </w:rPr>
        <w:t xml:space="preserve">- </w:t>
      </w:r>
      <w:r w:rsidRPr="00A4785E">
        <w:rPr>
          <w:b/>
          <w:kern w:val="28"/>
          <w:szCs w:val="24"/>
        </w:rPr>
        <w:t>Delegation of Treasurer</w:t>
      </w:r>
      <w:bookmarkStart w:id="16" w:name="BK_S3P19L3C29"/>
      <w:bookmarkEnd w:id="16"/>
      <w:r w:rsidRPr="00A4785E">
        <w:rPr>
          <w:b/>
          <w:kern w:val="28"/>
          <w:szCs w:val="24"/>
        </w:rPr>
        <w:t>’s powers</w:t>
      </w:r>
      <w:bookmarkEnd w:id="14"/>
      <w:bookmarkEnd w:id="15"/>
    </w:p>
    <w:p w14:paraId="26755888" w14:textId="77777777" w:rsidR="00365A65" w:rsidRPr="00245C2D" w:rsidRDefault="00365A65" w:rsidP="00365A65">
      <w:pPr>
        <w:rPr>
          <w:szCs w:val="24"/>
        </w:rPr>
      </w:pPr>
      <w:r w:rsidRPr="00245C2D">
        <w:rPr>
          <w:szCs w:val="24"/>
        </w:rPr>
        <w:t>This section allows the Treasurer to delegate his powers under the Regulation to certain employees of the Department or the Reserve Bank of Australia.</w:t>
      </w:r>
    </w:p>
    <w:p w14:paraId="73F135CE" w14:textId="6B814E1D" w:rsidR="00A64A9F" w:rsidRPr="005B4406" w:rsidRDefault="00A64A9F" w:rsidP="00365A65">
      <w:pPr>
        <w:pStyle w:val="ActHead2"/>
        <w:rPr>
          <w:sz w:val="24"/>
          <w:szCs w:val="24"/>
        </w:rPr>
      </w:pPr>
    </w:p>
    <w:sectPr w:rsidR="00A64A9F" w:rsidRPr="005B4406" w:rsidSect="00392BBA">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58C04" w15:done="0"/>
  <w15:commentEx w15:paraId="0664F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7A0E3" w14:textId="77777777" w:rsidR="00A01B37" w:rsidRDefault="00A01B37" w:rsidP="00A01B37">
      <w:pPr>
        <w:spacing w:before="0" w:after="0"/>
      </w:pPr>
      <w:r>
        <w:separator/>
      </w:r>
    </w:p>
  </w:endnote>
  <w:endnote w:type="continuationSeparator" w:id="0">
    <w:p w14:paraId="70899FD7" w14:textId="77777777" w:rsidR="00A01B37" w:rsidRDefault="00A01B37" w:rsidP="00A01B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071D3" w14:textId="77777777" w:rsidR="00A01B37" w:rsidRDefault="00A01B37" w:rsidP="00A01B37">
      <w:pPr>
        <w:spacing w:before="0" w:after="0"/>
      </w:pPr>
      <w:r>
        <w:separator/>
      </w:r>
    </w:p>
  </w:footnote>
  <w:footnote w:type="continuationSeparator" w:id="0">
    <w:p w14:paraId="1F297D6F" w14:textId="77777777" w:rsidR="00A01B37" w:rsidRDefault="00A01B37" w:rsidP="00A01B3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FBAA52D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F6"/>
    <w:rsid w:val="00002BA2"/>
    <w:rsid w:val="00005DE8"/>
    <w:rsid w:val="00007600"/>
    <w:rsid w:val="00016EA2"/>
    <w:rsid w:val="000509EE"/>
    <w:rsid w:val="00057F0A"/>
    <w:rsid w:val="000732F1"/>
    <w:rsid w:val="00077692"/>
    <w:rsid w:val="00095211"/>
    <w:rsid w:val="000A3E86"/>
    <w:rsid w:val="000A7969"/>
    <w:rsid w:val="000C10DF"/>
    <w:rsid w:val="000E4F43"/>
    <w:rsid w:val="000F275C"/>
    <w:rsid w:val="00104945"/>
    <w:rsid w:val="00113B45"/>
    <w:rsid w:val="00116D6B"/>
    <w:rsid w:val="00170A6F"/>
    <w:rsid w:val="001E3D06"/>
    <w:rsid w:val="001E6A74"/>
    <w:rsid w:val="001F3F94"/>
    <w:rsid w:val="001F41D0"/>
    <w:rsid w:val="00220F16"/>
    <w:rsid w:val="00233511"/>
    <w:rsid w:val="00242AC2"/>
    <w:rsid w:val="00245C2D"/>
    <w:rsid w:val="00254C5B"/>
    <w:rsid w:val="00264C8F"/>
    <w:rsid w:val="00272715"/>
    <w:rsid w:val="002A4F6E"/>
    <w:rsid w:val="002C1C7B"/>
    <w:rsid w:val="002C2098"/>
    <w:rsid w:val="00302E70"/>
    <w:rsid w:val="0031152A"/>
    <w:rsid w:val="003331BC"/>
    <w:rsid w:val="003342CD"/>
    <w:rsid w:val="00335042"/>
    <w:rsid w:val="0034500A"/>
    <w:rsid w:val="003469A9"/>
    <w:rsid w:val="0035193B"/>
    <w:rsid w:val="00361FE7"/>
    <w:rsid w:val="00365A65"/>
    <w:rsid w:val="00392BBA"/>
    <w:rsid w:val="003B2244"/>
    <w:rsid w:val="003D2D6C"/>
    <w:rsid w:val="003F00A0"/>
    <w:rsid w:val="004064A5"/>
    <w:rsid w:val="00421C05"/>
    <w:rsid w:val="004374E6"/>
    <w:rsid w:val="004A1C15"/>
    <w:rsid w:val="004A537D"/>
    <w:rsid w:val="004D0B1C"/>
    <w:rsid w:val="004E39E1"/>
    <w:rsid w:val="00503E44"/>
    <w:rsid w:val="00515283"/>
    <w:rsid w:val="005309A7"/>
    <w:rsid w:val="0055675D"/>
    <w:rsid w:val="0056601A"/>
    <w:rsid w:val="00570563"/>
    <w:rsid w:val="005833BE"/>
    <w:rsid w:val="0058792B"/>
    <w:rsid w:val="005A7D8F"/>
    <w:rsid w:val="005B4406"/>
    <w:rsid w:val="005D7D5A"/>
    <w:rsid w:val="005E257E"/>
    <w:rsid w:val="005F11F5"/>
    <w:rsid w:val="0060130D"/>
    <w:rsid w:val="00611D8E"/>
    <w:rsid w:val="0064129F"/>
    <w:rsid w:val="0069407D"/>
    <w:rsid w:val="006F2517"/>
    <w:rsid w:val="007434C3"/>
    <w:rsid w:val="00755628"/>
    <w:rsid w:val="007E018D"/>
    <w:rsid w:val="007E3D61"/>
    <w:rsid w:val="007E6A43"/>
    <w:rsid w:val="00805E68"/>
    <w:rsid w:val="00807E7D"/>
    <w:rsid w:val="0081396D"/>
    <w:rsid w:val="00831675"/>
    <w:rsid w:val="0085016F"/>
    <w:rsid w:val="008574E5"/>
    <w:rsid w:val="008778F7"/>
    <w:rsid w:val="0088467C"/>
    <w:rsid w:val="008B34E8"/>
    <w:rsid w:val="008D16F7"/>
    <w:rsid w:val="008D1D42"/>
    <w:rsid w:val="008E3C02"/>
    <w:rsid w:val="008F4EEF"/>
    <w:rsid w:val="00923D75"/>
    <w:rsid w:val="00935B9E"/>
    <w:rsid w:val="0093670A"/>
    <w:rsid w:val="009B4683"/>
    <w:rsid w:val="009E2F86"/>
    <w:rsid w:val="00A01B37"/>
    <w:rsid w:val="00A12209"/>
    <w:rsid w:val="00A14134"/>
    <w:rsid w:val="00A36DF3"/>
    <w:rsid w:val="00A4785E"/>
    <w:rsid w:val="00A532DD"/>
    <w:rsid w:val="00A64A9F"/>
    <w:rsid w:val="00A80BCF"/>
    <w:rsid w:val="00A90038"/>
    <w:rsid w:val="00AE56DF"/>
    <w:rsid w:val="00B053E3"/>
    <w:rsid w:val="00B07B0C"/>
    <w:rsid w:val="00B2302B"/>
    <w:rsid w:val="00B74BBA"/>
    <w:rsid w:val="00B75CD6"/>
    <w:rsid w:val="00B93D76"/>
    <w:rsid w:val="00BD22B4"/>
    <w:rsid w:val="00BD61A2"/>
    <w:rsid w:val="00BE484D"/>
    <w:rsid w:val="00C06AD8"/>
    <w:rsid w:val="00C178EF"/>
    <w:rsid w:val="00C234B2"/>
    <w:rsid w:val="00C37DB5"/>
    <w:rsid w:val="00C37E05"/>
    <w:rsid w:val="00C431D2"/>
    <w:rsid w:val="00C55D29"/>
    <w:rsid w:val="00C560BE"/>
    <w:rsid w:val="00C60D23"/>
    <w:rsid w:val="00C67B0A"/>
    <w:rsid w:val="00CA0F08"/>
    <w:rsid w:val="00CA62F7"/>
    <w:rsid w:val="00CB3272"/>
    <w:rsid w:val="00CD209F"/>
    <w:rsid w:val="00D00A03"/>
    <w:rsid w:val="00D04C60"/>
    <w:rsid w:val="00D16E15"/>
    <w:rsid w:val="00D34626"/>
    <w:rsid w:val="00D4257A"/>
    <w:rsid w:val="00D453F6"/>
    <w:rsid w:val="00D508CA"/>
    <w:rsid w:val="00D57473"/>
    <w:rsid w:val="00DA6E82"/>
    <w:rsid w:val="00DB3AE2"/>
    <w:rsid w:val="00DC0CDE"/>
    <w:rsid w:val="00DD2C44"/>
    <w:rsid w:val="00DE6C4D"/>
    <w:rsid w:val="00DF1782"/>
    <w:rsid w:val="00DF3B75"/>
    <w:rsid w:val="00E00561"/>
    <w:rsid w:val="00E05240"/>
    <w:rsid w:val="00E0624D"/>
    <w:rsid w:val="00E152C9"/>
    <w:rsid w:val="00E21F98"/>
    <w:rsid w:val="00E24E4B"/>
    <w:rsid w:val="00E26052"/>
    <w:rsid w:val="00E438EE"/>
    <w:rsid w:val="00E4438C"/>
    <w:rsid w:val="00E457F3"/>
    <w:rsid w:val="00EB7E71"/>
    <w:rsid w:val="00EC09DE"/>
    <w:rsid w:val="00EC6078"/>
    <w:rsid w:val="00F01FD8"/>
    <w:rsid w:val="00F109D4"/>
    <w:rsid w:val="00F26869"/>
    <w:rsid w:val="00F46C3E"/>
    <w:rsid w:val="00F73877"/>
    <w:rsid w:val="00F8786A"/>
    <w:rsid w:val="00F93F41"/>
    <w:rsid w:val="00FA5385"/>
    <w:rsid w:val="00FC514D"/>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0E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Definition">
    <w:name w:val="Definition"/>
    <w:aliases w:val="dd"/>
    <w:basedOn w:val="Normal"/>
    <w:rsid w:val="00D453F6"/>
    <w:pPr>
      <w:spacing w:before="180" w:after="0"/>
      <w:ind w:left="1134"/>
    </w:pPr>
    <w:rPr>
      <w:sz w:val="22"/>
    </w:rPr>
  </w:style>
  <w:style w:type="character" w:customStyle="1" w:styleId="CharSectno">
    <w:name w:val="CharSectno"/>
    <w:basedOn w:val="DefaultParagraphFont"/>
    <w:qFormat/>
    <w:rsid w:val="00D453F6"/>
  </w:style>
  <w:style w:type="paragraph" w:customStyle="1" w:styleId="ActHead2">
    <w:name w:val="ActHead 2"/>
    <w:aliases w:val="p"/>
    <w:basedOn w:val="Normal"/>
    <w:next w:val="Normal"/>
    <w:qFormat/>
    <w:rsid w:val="00D453F6"/>
    <w:pPr>
      <w:keepNext/>
      <w:keepLines/>
      <w:spacing w:before="280" w:after="0"/>
      <w:ind w:left="1134" w:hanging="1134"/>
      <w:outlineLvl w:val="1"/>
    </w:pPr>
    <w:rPr>
      <w:b/>
      <w:kern w:val="28"/>
      <w:sz w:val="32"/>
    </w:rPr>
  </w:style>
  <w:style w:type="character" w:customStyle="1" w:styleId="CharPartNo">
    <w:name w:val="CharPartNo"/>
    <w:basedOn w:val="DefaultParagraphFont"/>
    <w:qFormat/>
    <w:rsid w:val="00D453F6"/>
  </w:style>
  <w:style w:type="character" w:customStyle="1" w:styleId="CharPartText">
    <w:name w:val="CharPartText"/>
    <w:basedOn w:val="DefaultParagraphFont"/>
    <w:qFormat/>
    <w:rsid w:val="00D453F6"/>
  </w:style>
  <w:style w:type="paragraph" w:customStyle="1" w:styleId="ActHead5">
    <w:name w:val="ActHead 5"/>
    <w:aliases w:val="s"/>
    <w:basedOn w:val="Normal"/>
    <w:next w:val="Normal"/>
    <w:qFormat/>
    <w:rsid w:val="00D453F6"/>
    <w:pPr>
      <w:keepNext/>
      <w:keepLines/>
      <w:spacing w:before="280" w:after="0"/>
      <w:ind w:left="1134" w:hanging="1134"/>
      <w:outlineLvl w:val="4"/>
    </w:pPr>
    <w:rPr>
      <w:b/>
      <w:kern w:val="28"/>
    </w:rPr>
  </w:style>
  <w:style w:type="paragraph" w:customStyle="1" w:styleId="ActHead3">
    <w:name w:val="ActHead 3"/>
    <w:aliases w:val="d"/>
    <w:basedOn w:val="Normal"/>
    <w:next w:val="Normal"/>
    <w:qFormat/>
    <w:rsid w:val="00D453F6"/>
    <w:pPr>
      <w:keepNext/>
      <w:keepLines/>
      <w:spacing w:before="240" w:after="0"/>
      <w:ind w:left="1134" w:hanging="1134"/>
      <w:outlineLvl w:val="2"/>
    </w:pPr>
    <w:rPr>
      <w:b/>
      <w:kern w:val="28"/>
      <w:sz w:val="28"/>
    </w:rPr>
  </w:style>
  <w:style w:type="character" w:customStyle="1" w:styleId="CharDivNo">
    <w:name w:val="CharDivNo"/>
    <w:basedOn w:val="DefaultParagraphFont"/>
    <w:qFormat/>
    <w:rsid w:val="00D453F6"/>
  </w:style>
  <w:style w:type="character" w:customStyle="1" w:styleId="CharDivText">
    <w:name w:val="CharDivText"/>
    <w:basedOn w:val="DefaultParagraphFont"/>
    <w:qFormat/>
    <w:rsid w:val="00D453F6"/>
  </w:style>
  <w:style w:type="character" w:styleId="CommentReference">
    <w:name w:val="annotation reference"/>
    <w:basedOn w:val="DefaultParagraphFont"/>
    <w:uiPriority w:val="99"/>
    <w:semiHidden/>
    <w:unhideWhenUsed/>
    <w:rsid w:val="00E00561"/>
    <w:rPr>
      <w:sz w:val="16"/>
      <w:szCs w:val="16"/>
    </w:rPr>
  </w:style>
  <w:style w:type="paragraph" w:styleId="CommentText">
    <w:name w:val="annotation text"/>
    <w:basedOn w:val="Normal"/>
    <w:link w:val="CommentTextChar"/>
    <w:uiPriority w:val="99"/>
    <w:semiHidden/>
    <w:unhideWhenUsed/>
    <w:rsid w:val="00E00561"/>
    <w:rPr>
      <w:sz w:val="20"/>
    </w:rPr>
  </w:style>
  <w:style w:type="character" w:customStyle="1" w:styleId="CommentTextChar">
    <w:name w:val="Comment Text Char"/>
    <w:basedOn w:val="DefaultParagraphFont"/>
    <w:link w:val="CommentText"/>
    <w:uiPriority w:val="99"/>
    <w:semiHidden/>
    <w:rsid w:val="00E00561"/>
  </w:style>
  <w:style w:type="paragraph" w:styleId="CommentSubject">
    <w:name w:val="annotation subject"/>
    <w:basedOn w:val="CommentText"/>
    <w:next w:val="CommentText"/>
    <w:link w:val="CommentSubjectChar"/>
    <w:uiPriority w:val="99"/>
    <w:semiHidden/>
    <w:unhideWhenUsed/>
    <w:rsid w:val="00E00561"/>
    <w:rPr>
      <w:b/>
      <w:bCs/>
    </w:rPr>
  </w:style>
  <w:style w:type="character" w:customStyle="1" w:styleId="CommentSubjectChar">
    <w:name w:val="Comment Subject Char"/>
    <w:basedOn w:val="CommentTextChar"/>
    <w:link w:val="CommentSubject"/>
    <w:uiPriority w:val="99"/>
    <w:semiHidden/>
    <w:rsid w:val="00E00561"/>
    <w:rPr>
      <w:b/>
      <w:bCs/>
    </w:rPr>
  </w:style>
  <w:style w:type="paragraph" w:styleId="Header">
    <w:name w:val="header"/>
    <w:basedOn w:val="Normal"/>
    <w:link w:val="HeaderChar"/>
    <w:uiPriority w:val="99"/>
    <w:unhideWhenUsed/>
    <w:rsid w:val="00A01B37"/>
    <w:pPr>
      <w:tabs>
        <w:tab w:val="center" w:pos="4513"/>
        <w:tab w:val="right" w:pos="9026"/>
      </w:tabs>
      <w:spacing w:before="0" w:after="0"/>
    </w:pPr>
  </w:style>
  <w:style w:type="character" w:customStyle="1" w:styleId="HeaderChar">
    <w:name w:val="Header Char"/>
    <w:basedOn w:val="DefaultParagraphFont"/>
    <w:link w:val="Header"/>
    <w:uiPriority w:val="99"/>
    <w:rsid w:val="00A01B37"/>
    <w:rPr>
      <w:sz w:val="24"/>
    </w:rPr>
  </w:style>
  <w:style w:type="paragraph" w:styleId="Footer">
    <w:name w:val="footer"/>
    <w:basedOn w:val="Normal"/>
    <w:link w:val="FooterChar"/>
    <w:uiPriority w:val="99"/>
    <w:unhideWhenUsed/>
    <w:rsid w:val="00A01B37"/>
    <w:pPr>
      <w:tabs>
        <w:tab w:val="center" w:pos="4513"/>
        <w:tab w:val="right" w:pos="9026"/>
      </w:tabs>
      <w:spacing w:before="0" w:after="0"/>
    </w:pPr>
  </w:style>
  <w:style w:type="character" w:customStyle="1" w:styleId="FooterChar">
    <w:name w:val="Footer Char"/>
    <w:basedOn w:val="DefaultParagraphFont"/>
    <w:link w:val="Footer"/>
    <w:uiPriority w:val="99"/>
    <w:rsid w:val="00A01B37"/>
    <w:rPr>
      <w:sz w:val="24"/>
    </w:rPr>
  </w:style>
  <w:style w:type="paragraph" w:styleId="Revision">
    <w:name w:val="Revision"/>
    <w:hidden/>
    <w:uiPriority w:val="99"/>
    <w:semiHidden/>
    <w:rsid w:val="00245C2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Definition">
    <w:name w:val="Definition"/>
    <w:aliases w:val="dd"/>
    <w:basedOn w:val="Normal"/>
    <w:rsid w:val="00D453F6"/>
    <w:pPr>
      <w:spacing w:before="180" w:after="0"/>
      <w:ind w:left="1134"/>
    </w:pPr>
    <w:rPr>
      <w:sz w:val="22"/>
    </w:rPr>
  </w:style>
  <w:style w:type="character" w:customStyle="1" w:styleId="CharSectno">
    <w:name w:val="CharSectno"/>
    <w:basedOn w:val="DefaultParagraphFont"/>
    <w:qFormat/>
    <w:rsid w:val="00D453F6"/>
  </w:style>
  <w:style w:type="paragraph" w:customStyle="1" w:styleId="ActHead2">
    <w:name w:val="ActHead 2"/>
    <w:aliases w:val="p"/>
    <w:basedOn w:val="Normal"/>
    <w:next w:val="Normal"/>
    <w:qFormat/>
    <w:rsid w:val="00D453F6"/>
    <w:pPr>
      <w:keepNext/>
      <w:keepLines/>
      <w:spacing w:before="280" w:after="0"/>
      <w:ind w:left="1134" w:hanging="1134"/>
      <w:outlineLvl w:val="1"/>
    </w:pPr>
    <w:rPr>
      <w:b/>
      <w:kern w:val="28"/>
      <w:sz w:val="32"/>
    </w:rPr>
  </w:style>
  <w:style w:type="character" w:customStyle="1" w:styleId="CharPartNo">
    <w:name w:val="CharPartNo"/>
    <w:basedOn w:val="DefaultParagraphFont"/>
    <w:qFormat/>
    <w:rsid w:val="00D453F6"/>
  </w:style>
  <w:style w:type="character" w:customStyle="1" w:styleId="CharPartText">
    <w:name w:val="CharPartText"/>
    <w:basedOn w:val="DefaultParagraphFont"/>
    <w:qFormat/>
    <w:rsid w:val="00D453F6"/>
  </w:style>
  <w:style w:type="paragraph" w:customStyle="1" w:styleId="ActHead5">
    <w:name w:val="ActHead 5"/>
    <w:aliases w:val="s"/>
    <w:basedOn w:val="Normal"/>
    <w:next w:val="Normal"/>
    <w:qFormat/>
    <w:rsid w:val="00D453F6"/>
    <w:pPr>
      <w:keepNext/>
      <w:keepLines/>
      <w:spacing w:before="280" w:after="0"/>
      <w:ind w:left="1134" w:hanging="1134"/>
      <w:outlineLvl w:val="4"/>
    </w:pPr>
    <w:rPr>
      <w:b/>
      <w:kern w:val="28"/>
    </w:rPr>
  </w:style>
  <w:style w:type="paragraph" w:customStyle="1" w:styleId="ActHead3">
    <w:name w:val="ActHead 3"/>
    <w:aliases w:val="d"/>
    <w:basedOn w:val="Normal"/>
    <w:next w:val="Normal"/>
    <w:qFormat/>
    <w:rsid w:val="00D453F6"/>
    <w:pPr>
      <w:keepNext/>
      <w:keepLines/>
      <w:spacing w:before="240" w:after="0"/>
      <w:ind w:left="1134" w:hanging="1134"/>
      <w:outlineLvl w:val="2"/>
    </w:pPr>
    <w:rPr>
      <w:b/>
      <w:kern w:val="28"/>
      <w:sz w:val="28"/>
    </w:rPr>
  </w:style>
  <w:style w:type="character" w:customStyle="1" w:styleId="CharDivNo">
    <w:name w:val="CharDivNo"/>
    <w:basedOn w:val="DefaultParagraphFont"/>
    <w:qFormat/>
    <w:rsid w:val="00D453F6"/>
  </w:style>
  <w:style w:type="character" w:customStyle="1" w:styleId="CharDivText">
    <w:name w:val="CharDivText"/>
    <w:basedOn w:val="DefaultParagraphFont"/>
    <w:qFormat/>
    <w:rsid w:val="00D453F6"/>
  </w:style>
  <w:style w:type="character" w:styleId="CommentReference">
    <w:name w:val="annotation reference"/>
    <w:basedOn w:val="DefaultParagraphFont"/>
    <w:uiPriority w:val="99"/>
    <w:semiHidden/>
    <w:unhideWhenUsed/>
    <w:rsid w:val="00E00561"/>
    <w:rPr>
      <w:sz w:val="16"/>
      <w:szCs w:val="16"/>
    </w:rPr>
  </w:style>
  <w:style w:type="paragraph" w:styleId="CommentText">
    <w:name w:val="annotation text"/>
    <w:basedOn w:val="Normal"/>
    <w:link w:val="CommentTextChar"/>
    <w:uiPriority w:val="99"/>
    <w:semiHidden/>
    <w:unhideWhenUsed/>
    <w:rsid w:val="00E00561"/>
    <w:rPr>
      <w:sz w:val="20"/>
    </w:rPr>
  </w:style>
  <w:style w:type="character" w:customStyle="1" w:styleId="CommentTextChar">
    <w:name w:val="Comment Text Char"/>
    <w:basedOn w:val="DefaultParagraphFont"/>
    <w:link w:val="CommentText"/>
    <w:uiPriority w:val="99"/>
    <w:semiHidden/>
    <w:rsid w:val="00E00561"/>
  </w:style>
  <w:style w:type="paragraph" w:styleId="CommentSubject">
    <w:name w:val="annotation subject"/>
    <w:basedOn w:val="CommentText"/>
    <w:next w:val="CommentText"/>
    <w:link w:val="CommentSubjectChar"/>
    <w:uiPriority w:val="99"/>
    <w:semiHidden/>
    <w:unhideWhenUsed/>
    <w:rsid w:val="00E00561"/>
    <w:rPr>
      <w:b/>
      <w:bCs/>
    </w:rPr>
  </w:style>
  <w:style w:type="character" w:customStyle="1" w:styleId="CommentSubjectChar">
    <w:name w:val="Comment Subject Char"/>
    <w:basedOn w:val="CommentTextChar"/>
    <w:link w:val="CommentSubject"/>
    <w:uiPriority w:val="99"/>
    <w:semiHidden/>
    <w:rsid w:val="00E00561"/>
    <w:rPr>
      <w:b/>
      <w:bCs/>
    </w:rPr>
  </w:style>
  <w:style w:type="paragraph" w:styleId="Header">
    <w:name w:val="header"/>
    <w:basedOn w:val="Normal"/>
    <w:link w:val="HeaderChar"/>
    <w:uiPriority w:val="99"/>
    <w:unhideWhenUsed/>
    <w:rsid w:val="00A01B37"/>
    <w:pPr>
      <w:tabs>
        <w:tab w:val="center" w:pos="4513"/>
        <w:tab w:val="right" w:pos="9026"/>
      </w:tabs>
      <w:spacing w:before="0" w:after="0"/>
    </w:pPr>
  </w:style>
  <w:style w:type="character" w:customStyle="1" w:styleId="HeaderChar">
    <w:name w:val="Header Char"/>
    <w:basedOn w:val="DefaultParagraphFont"/>
    <w:link w:val="Header"/>
    <w:uiPriority w:val="99"/>
    <w:rsid w:val="00A01B37"/>
    <w:rPr>
      <w:sz w:val="24"/>
    </w:rPr>
  </w:style>
  <w:style w:type="paragraph" w:styleId="Footer">
    <w:name w:val="footer"/>
    <w:basedOn w:val="Normal"/>
    <w:link w:val="FooterChar"/>
    <w:uiPriority w:val="99"/>
    <w:unhideWhenUsed/>
    <w:rsid w:val="00A01B37"/>
    <w:pPr>
      <w:tabs>
        <w:tab w:val="center" w:pos="4513"/>
        <w:tab w:val="right" w:pos="9026"/>
      </w:tabs>
      <w:spacing w:before="0" w:after="0"/>
    </w:pPr>
  </w:style>
  <w:style w:type="character" w:customStyle="1" w:styleId="FooterChar">
    <w:name w:val="Footer Char"/>
    <w:basedOn w:val="DefaultParagraphFont"/>
    <w:link w:val="Footer"/>
    <w:uiPriority w:val="99"/>
    <w:rsid w:val="00A01B37"/>
    <w:rPr>
      <w:sz w:val="24"/>
    </w:rPr>
  </w:style>
  <w:style w:type="paragraph" w:styleId="Revision">
    <w:name w:val="Revision"/>
    <w:hidden/>
    <w:uiPriority w:val="99"/>
    <w:semiHidden/>
    <w:rsid w:val="00245C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1777">
      <w:bodyDiv w:val="1"/>
      <w:marLeft w:val="0"/>
      <w:marRight w:val="0"/>
      <w:marTop w:val="0"/>
      <w:marBottom w:val="0"/>
      <w:divBdr>
        <w:top w:val="none" w:sz="0" w:space="0" w:color="auto"/>
        <w:left w:val="none" w:sz="0" w:space="0" w:color="auto"/>
        <w:bottom w:val="none" w:sz="0" w:space="0" w:color="auto"/>
        <w:right w:val="none" w:sz="0" w:space="0" w:color="auto"/>
      </w:divBdr>
    </w:div>
    <w:div w:id="20341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2014RG-86-13235</_dlc_DocId>
    <TaxCatchAll xmlns="9f7bc583-7cbe-45b9-a2bd-8bbb6543b37e">
      <Value>11</Value>
    </TaxCatchAll>
    <_dlc_DocIdUrl xmlns="9f7bc583-7cbe-45b9-a2bd-8bbb6543b37e">
      <Url>http://tweb/sites/rg/ldp/lmu/_layouts/15/DocIdRedir.aspx?ID=2014RG-86-13235</Url>
      <Description>2014RG-86-13235</Description>
    </_dlc_DocIdUrl>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8c2c2b48f8cdf5a516cff142e9fb3c11">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dae03b1008b7399435e4a24fc1b987ab"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BF0D0-1970-41E9-94BB-A180D4DC8D87}">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sharepoint/v3"/>
    <ds:schemaRef ds:uri="http://schemas.microsoft.com/office/infopath/2007/PartnerControls"/>
    <ds:schemaRef ds:uri="9f7bc583-7cbe-45b9-a2bd-8bbb6543b37e"/>
  </ds:schemaRefs>
</ds:datastoreItem>
</file>

<file path=customXml/itemProps2.xml><?xml version="1.0" encoding="utf-8"?>
<ds:datastoreItem xmlns:ds="http://schemas.openxmlformats.org/officeDocument/2006/customXml" ds:itemID="{7DECC9CE-EF3F-40D0-8ECA-861E9B266370}">
  <ds:schemaRefs>
    <ds:schemaRef ds:uri="http://schemas.microsoft.com/sharepoint/events"/>
  </ds:schemaRefs>
</ds:datastoreItem>
</file>

<file path=customXml/itemProps3.xml><?xml version="1.0" encoding="utf-8"?>
<ds:datastoreItem xmlns:ds="http://schemas.openxmlformats.org/officeDocument/2006/customXml" ds:itemID="{66A90604-D0CE-4F88-86B1-63A6B6F5A581}">
  <ds:schemaRefs>
    <ds:schemaRef ds:uri="http://schemas.microsoft.com/sharepoint/v3/contenttype/forms"/>
  </ds:schemaRefs>
</ds:datastoreItem>
</file>

<file path=customXml/itemProps4.xml><?xml version="1.0" encoding="utf-8"?>
<ds:datastoreItem xmlns:ds="http://schemas.openxmlformats.org/officeDocument/2006/customXml" ds:itemID="{1F74691A-A20B-4B46-B83B-093F4D08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8869</Characters>
  <Application>Microsoft Office Word</Application>
  <DocSecurity>4</DocSecurity>
  <Lines>1108</Lines>
  <Paragraphs>585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2015-04-28T00:04:00Z</dcterms:created>
  <dcterms:modified xsi:type="dcterms:W3CDTF">2015-04-28T00:04:00Z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991409093</vt:i4>
  </property>
  <property fmtid="{D5CDD505-2E9C-101B-9397-08002B2CF9AE}" pid="3" name="_NewReviewCycle">
    <vt:lpwstr/>
  </property>
  <property fmtid="{D5CDD505-2E9C-101B-9397-08002B2CF9AE}" pid="4" name="_dlc_DocIdItemGuid">
    <vt:lpwstr>2b17726d-1599-4dbe-a1d4-2c9ed82a2622</vt:lpwstr>
  </property>
  <property fmtid="{D5CDD505-2E9C-101B-9397-08002B2CF9AE}" pid="5" name="ContentTypeId">
    <vt:lpwstr>0x01010036BB8DE7EC542E42A8B2E98CC20CB69700A0A840AFAB52624689FA9AA81E9EF0D1</vt:lpwstr>
  </property>
  <property fmtid="{D5CDD505-2E9C-101B-9397-08002B2CF9AE}" pid="6" name="TSYRecordClass">
    <vt:lpwstr>11;#TSY RA-9237 - Destroy 5 years after action completed|9f1a030e-81bf-44c5-98eb-4d5d869a40d5</vt:lpwstr>
  </property>
  <property fmtid="{D5CDD505-2E9C-101B-9397-08002B2CF9AE}" pid="7" name="_PreviousAdHocReviewCycleID">
    <vt:i4>1966539240</vt:i4>
  </property>
  <property fmtid="{D5CDD505-2E9C-101B-9397-08002B2CF9AE}" pid="8" name="_ReviewingToolsShownOnce">
    <vt:lpwstr/>
  </property>
</Properties>
</file>