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9116C" w14:textId="77777777" w:rsidR="00F109D4" w:rsidRPr="00503E44" w:rsidRDefault="00F109D4" w:rsidP="00A12209">
      <w:pPr>
        <w:pStyle w:val="Heading1"/>
      </w:pPr>
      <w:r w:rsidRPr="00503E44">
        <w:t>EXPLANATORY STATEMENT</w:t>
      </w:r>
    </w:p>
    <w:p w14:paraId="0B1F1F49" w14:textId="11959A0E" w:rsidR="00AF2630" w:rsidRPr="00AF2630" w:rsidRDefault="00AF2630" w:rsidP="00AF2630">
      <w:pPr>
        <w:pStyle w:val="Heading2"/>
        <w:jc w:val="center"/>
      </w:pPr>
      <w:r>
        <w:t xml:space="preserve">Select Legislative Instrument No. </w:t>
      </w:r>
      <w:r>
        <w:t>64</w:t>
      </w:r>
      <w:bookmarkStart w:id="0" w:name="_GoBack"/>
      <w:bookmarkEnd w:id="0"/>
      <w:r>
        <w:t>, 2015</w:t>
      </w:r>
    </w:p>
    <w:p w14:paraId="71591F13" w14:textId="77777777" w:rsidR="00F109D4" w:rsidRPr="00503E44" w:rsidRDefault="00F109D4" w:rsidP="00766DDC">
      <w:pPr>
        <w:pStyle w:val="Heading2"/>
        <w:jc w:val="center"/>
      </w:pPr>
      <w:r w:rsidRPr="00503E44">
        <w:t xml:space="preserve">Issued by authority of the </w:t>
      </w:r>
      <w:r w:rsidR="005833BE" w:rsidRPr="00503E44">
        <w:t>Treasurer</w:t>
      </w:r>
    </w:p>
    <w:p w14:paraId="030A0FD3" w14:textId="77777777" w:rsidR="00D453F6" w:rsidRPr="00503E44" w:rsidRDefault="00961869" w:rsidP="00D453F6">
      <w:pPr>
        <w:jc w:val="center"/>
        <w:rPr>
          <w:i/>
        </w:rPr>
      </w:pPr>
      <w:r>
        <w:rPr>
          <w:i/>
        </w:rPr>
        <w:t xml:space="preserve">Loans Securities Act </w:t>
      </w:r>
      <w:r w:rsidR="00D453F6">
        <w:rPr>
          <w:i/>
        </w:rPr>
        <w:t>191</w:t>
      </w:r>
      <w:r>
        <w:rPr>
          <w:i/>
        </w:rPr>
        <w:t>9</w:t>
      </w:r>
    </w:p>
    <w:p w14:paraId="340DB5B2" w14:textId="77777777" w:rsidR="00D453F6" w:rsidRPr="00503E44" w:rsidRDefault="00961869" w:rsidP="00D453F6">
      <w:pPr>
        <w:tabs>
          <w:tab w:val="left" w:pos="1418"/>
        </w:tabs>
        <w:spacing w:after="240"/>
        <w:jc w:val="center"/>
        <w:rPr>
          <w:i/>
        </w:rPr>
      </w:pPr>
      <w:r>
        <w:rPr>
          <w:i/>
        </w:rPr>
        <w:t xml:space="preserve">Loans Securities </w:t>
      </w:r>
      <w:r w:rsidR="002C2098">
        <w:rPr>
          <w:i/>
        </w:rPr>
        <w:t>Regulation 2015</w:t>
      </w:r>
    </w:p>
    <w:p w14:paraId="0D002F4F" w14:textId="393F3C68" w:rsidR="00D453F6" w:rsidRDefault="00D453F6" w:rsidP="009A2256">
      <w:pPr>
        <w:spacing w:before="0" w:after="0"/>
      </w:pPr>
      <w:r>
        <w:t xml:space="preserve">Section </w:t>
      </w:r>
      <w:r w:rsidR="00961869">
        <w:t>7</w:t>
      </w:r>
      <w:r w:rsidRPr="00503E44">
        <w:t xml:space="preserve"> of the </w:t>
      </w:r>
      <w:r w:rsidR="00961869" w:rsidRPr="00961869">
        <w:rPr>
          <w:i/>
        </w:rPr>
        <w:t xml:space="preserve">Loans Securities </w:t>
      </w:r>
      <w:r w:rsidRPr="004C2F0E">
        <w:rPr>
          <w:i/>
        </w:rPr>
        <w:t>Act 191</w:t>
      </w:r>
      <w:r w:rsidR="00961869">
        <w:rPr>
          <w:i/>
        </w:rPr>
        <w:t>9</w:t>
      </w:r>
      <w:r w:rsidRPr="00503E44">
        <w:t xml:space="preserve"> (the Act) provides that the Governor</w:t>
      </w:r>
      <w:r w:rsidR="009A2256">
        <w:noBreakHyphen/>
      </w:r>
      <w:r w:rsidRPr="00503E44">
        <w:t>General may make regulations</w:t>
      </w:r>
      <w:r w:rsidR="009D216F" w:rsidRPr="009D216F">
        <w:t xml:space="preserve">, not inconsistent with the Act, </w:t>
      </w:r>
      <w:r w:rsidRPr="00503E44">
        <w:t>prescribing</w:t>
      </w:r>
      <w:r w:rsidR="008E09F6">
        <w:t xml:space="preserve"> all</w:t>
      </w:r>
      <w:r w:rsidRPr="00503E44">
        <w:t xml:space="preserve"> matters required or permitted by the Act to be prescribed, or necessary or convenient to be prescribed for carrying out or giving effect to the Act</w:t>
      </w:r>
      <w:r w:rsidR="008E09F6">
        <w:t>, or for the conduct of any business relating to the issue, sale, transfer and deal</w:t>
      </w:r>
      <w:r w:rsidR="000D080D">
        <w:t>ing with securities to which the</w:t>
      </w:r>
      <w:r w:rsidR="008E09F6">
        <w:t xml:space="preserve"> Act applies.</w:t>
      </w:r>
    </w:p>
    <w:p w14:paraId="164E82DD" w14:textId="77777777" w:rsidR="009A2256" w:rsidRDefault="009A2256" w:rsidP="009A2256">
      <w:pPr>
        <w:spacing w:before="0" w:after="0"/>
      </w:pPr>
    </w:p>
    <w:p w14:paraId="1EE995F5" w14:textId="50323B00" w:rsidR="00DB13FF" w:rsidRPr="00DB13FF" w:rsidRDefault="00DB13FF" w:rsidP="00DB13FF">
      <w:pPr>
        <w:spacing w:before="0" w:after="0"/>
      </w:pPr>
      <w:r w:rsidRPr="00DB13FF">
        <w:t xml:space="preserve">The purpose of the </w:t>
      </w:r>
      <w:r w:rsidRPr="00DB13FF">
        <w:rPr>
          <w:i/>
        </w:rPr>
        <w:t xml:space="preserve">Loans Securities Regulation 2015 </w:t>
      </w:r>
      <w:r>
        <w:t>(</w:t>
      </w:r>
      <w:r w:rsidRPr="00DB13FF">
        <w:t xml:space="preserve">Regulation) is to remake the </w:t>
      </w:r>
      <w:r w:rsidRPr="00DB13FF">
        <w:rPr>
          <w:i/>
        </w:rPr>
        <w:t>Loans Securities Regulations</w:t>
      </w:r>
      <w:r w:rsidRPr="00DB13FF">
        <w:t xml:space="preserve">.  The </w:t>
      </w:r>
      <w:r w:rsidRPr="00DB13FF">
        <w:rPr>
          <w:i/>
        </w:rPr>
        <w:t>Legislative Instruments Act 2003</w:t>
      </w:r>
      <w:r w:rsidRPr="00DB13FF">
        <w:t xml:space="preserve"> (</w:t>
      </w:r>
      <w:proofErr w:type="spellStart"/>
      <w:r w:rsidRPr="00DB13FF">
        <w:t>LIA</w:t>
      </w:r>
      <w:proofErr w:type="spellEnd"/>
      <w:r w:rsidRPr="00DB13FF">
        <w:t xml:space="preserve">) provides that all legislative instruments, other than exempt instruments, progressively ‘sunset’ according to the timetable set out in the </w:t>
      </w:r>
      <w:proofErr w:type="spellStart"/>
      <w:r w:rsidRPr="00DB13FF">
        <w:t>LIA</w:t>
      </w:r>
      <w:proofErr w:type="spellEnd"/>
      <w:r w:rsidRPr="00DB13FF">
        <w:t xml:space="preserve">.  Legislative instruments made a year in the decade starting on 1 January 1930 that were registered on the Federal Register of Legislative Instruments on 1 January 2005, such as the </w:t>
      </w:r>
      <w:r w:rsidRPr="00DB13FF">
        <w:rPr>
          <w:i/>
        </w:rPr>
        <w:t>Loans Securities Regulations</w:t>
      </w:r>
      <w:r w:rsidRPr="00DB13FF">
        <w:t>,</w:t>
      </w:r>
      <w:r w:rsidRPr="00DB13FF">
        <w:rPr>
          <w:i/>
        </w:rPr>
        <w:t xml:space="preserve"> </w:t>
      </w:r>
      <w:r w:rsidRPr="00DB13FF">
        <w:t xml:space="preserve">sunset on 1 October 2015.  When a legislative instrument sunsets, it is automatically repealed.  </w:t>
      </w:r>
    </w:p>
    <w:p w14:paraId="5880CA09" w14:textId="77777777" w:rsidR="00DB13FF" w:rsidRDefault="00DB13FF" w:rsidP="009A2256">
      <w:pPr>
        <w:spacing w:before="0" w:after="0"/>
      </w:pPr>
    </w:p>
    <w:p w14:paraId="5B23924F" w14:textId="77777777" w:rsidR="00664C43" w:rsidRDefault="0083684D" w:rsidP="009A2256">
      <w:pPr>
        <w:spacing w:before="0" w:after="0"/>
      </w:pPr>
      <w:r>
        <w:t>Under the Act securities were issued in bearer form, which are payable on presentation of the security.</w:t>
      </w:r>
    </w:p>
    <w:p w14:paraId="4EC21D0C" w14:textId="77777777" w:rsidR="009A2256" w:rsidRDefault="009A2256" w:rsidP="009A2256">
      <w:pPr>
        <w:spacing w:before="0" w:after="0"/>
      </w:pPr>
    </w:p>
    <w:p w14:paraId="7EB0CBC5" w14:textId="77777777" w:rsidR="0083684D" w:rsidRDefault="0083684D" w:rsidP="009A2256">
      <w:pPr>
        <w:spacing w:before="0" w:after="0"/>
      </w:pPr>
      <w:r>
        <w:t>Securities are no longer issued in bearer form.  However, there are outstanding securities within their prescription period which are payable if presented.</w:t>
      </w:r>
    </w:p>
    <w:p w14:paraId="0B992F2E" w14:textId="77777777" w:rsidR="009A2256" w:rsidRDefault="009A2256" w:rsidP="009A2256">
      <w:pPr>
        <w:spacing w:before="0" w:after="0"/>
      </w:pPr>
    </w:p>
    <w:p w14:paraId="5F86340F" w14:textId="0CEAB765" w:rsidR="0085016F" w:rsidRDefault="0083684D" w:rsidP="009A2256">
      <w:pPr>
        <w:spacing w:before="0" w:after="0"/>
      </w:pPr>
      <w:r>
        <w:t>The Regulation provide</w:t>
      </w:r>
      <w:r w:rsidR="00B42CA6">
        <w:t>s</w:t>
      </w:r>
      <w:r>
        <w:t xml:space="preserve"> a mechanism for an applicant to seek the replacement or payment of </w:t>
      </w:r>
      <w:r w:rsidR="00664C43">
        <w:t xml:space="preserve">bearer </w:t>
      </w:r>
      <w:r>
        <w:t>securities</w:t>
      </w:r>
      <w:r w:rsidR="00664C43">
        <w:t xml:space="preserve"> that have been lost, stolen</w:t>
      </w:r>
      <w:r w:rsidR="006F0D34">
        <w:t>, destroyed</w:t>
      </w:r>
      <w:r>
        <w:t xml:space="preserve"> or mutilated </w:t>
      </w:r>
      <w:r w:rsidR="008E09F6">
        <w:t xml:space="preserve">where </w:t>
      </w:r>
      <w:r>
        <w:t xml:space="preserve">the </w:t>
      </w:r>
      <w:r w:rsidR="00766DDC">
        <w:t>Treasurer</w:t>
      </w:r>
      <w:r>
        <w:t xml:space="preserve"> is satisfied of the applicant’s claim and the security has not been previously paid</w:t>
      </w:r>
      <w:r w:rsidR="006F0D34">
        <w:t>.</w:t>
      </w:r>
      <w:r w:rsidR="00664C43">
        <w:t xml:space="preserve">  </w:t>
      </w:r>
    </w:p>
    <w:p w14:paraId="547275D8" w14:textId="77777777" w:rsidR="009A2256" w:rsidRDefault="009A2256" w:rsidP="009A2256">
      <w:pPr>
        <w:spacing w:before="0" w:after="0"/>
      </w:pPr>
    </w:p>
    <w:p w14:paraId="0FAABEEF" w14:textId="77777777" w:rsidR="008F4EEF" w:rsidRDefault="008F4EEF" w:rsidP="009A2256">
      <w:pPr>
        <w:spacing w:before="0" w:after="0"/>
      </w:pPr>
      <w:r w:rsidRPr="008F4EEF">
        <w:t xml:space="preserve">A Statement of Compatibility with Human Rights is included in </w:t>
      </w:r>
      <w:r w:rsidRPr="00766DDC">
        <w:rPr>
          <w:u w:val="single"/>
        </w:rPr>
        <w:t>Attachment A</w:t>
      </w:r>
      <w:r w:rsidRPr="008F4EEF">
        <w:t xml:space="preserve">. Details of the Regulation are included in </w:t>
      </w:r>
      <w:r w:rsidRPr="00766DDC">
        <w:rPr>
          <w:u w:val="single"/>
        </w:rPr>
        <w:t>Attachment B</w:t>
      </w:r>
      <w:r w:rsidRPr="008F4EEF">
        <w:t>.</w:t>
      </w:r>
    </w:p>
    <w:p w14:paraId="558072BD" w14:textId="77777777" w:rsidR="009A2256" w:rsidRDefault="009A2256" w:rsidP="009A2256">
      <w:pPr>
        <w:spacing w:before="0" w:after="0"/>
      </w:pPr>
    </w:p>
    <w:p w14:paraId="463D99FB" w14:textId="77777777" w:rsidR="009A2256" w:rsidRDefault="009A2256" w:rsidP="009A2256">
      <w:pPr>
        <w:spacing w:before="0" w:after="0"/>
        <w:rPr>
          <w:szCs w:val="24"/>
        </w:rPr>
      </w:pPr>
      <w:r>
        <w:rPr>
          <w:szCs w:val="24"/>
        </w:rPr>
        <w:t>The Act does not specify any conditions that need to be met before the power to make the Regulation may be exercised.</w:t>
      </w:r>
    </w:p>
    <w:p w14:paraId="41787C19" w14:textId="77777777" w:rsidR="009A2256" w:rsidRDefault="009A2256" w:rsidP="009A2256">
      <w:pPr>
        <w:spacing w:before="0" w:after="0"/>
        <w:rPr>
          <w:szCs w:val="24"/>
        </w:rPr>
      </w:pPr>
    </w:p>
    <w:p w14:paraId="38A5EC2C" w14:textId="79DD7FB0" w:rsidR="009A2256" w:rsidRDefault="009A2256" w:rsidP="009A2256">
      <w:pPr>
        <w:spacing w:before="0" w:after="0"/>
        <w:rPr>
          <w:szCs w:val="24"/>
        </w:rPr>
      </w:pPr>
      <w:r>
        <w:rPr>
          <w:szCs w:val="24"/>
        </w:rPr>
        <w:t xml:space="preserve">The Regulation is a legislative instrument for the purposes of the </w:t>
      </w:r>
      <w:proofErr w:type="spellStart"/>
      <w:r>
        <w:rPr>
          <w:szCs w:val="24"/>
        </w:rPr>
        <w:t>LIA</w:t>
      </w:r>
      <w:proofErr w:type="spellEnd"/>
      <w:r>
        <w:rPr>
          <w:szCs w:val="24"/>
        </w:rPr>
        <w:t>.</w:t>
      </w:r>
    </w:p>
    <w:p w14:paraId="60A77348" w14:textId="77777777" w:rsidR="009A2256" w:rsidRDefault="009A2256" w:rsidP="009A2256">
      <w:pPr>
        <w:spacing w:before="0" w:after="0"/>
        <w:rPr>
          <w:szCs w:val="24"/>
        </w:rPr>
      </w:pPr>
    </w:p>
    <w:p w14:paraId="18FC0340" w14:textId="69B38634" w:rsidR="005037FF" w:rsidRDefault="00766DDC" w:rsidP="00766DDC">
      <w:pPr>
        <w:spacing w:before="0" w:after="0"/>
      </w:pPr>
      <w:r w:rsidRPr="00766DDC">
        <w:t xml:space="preserve">Public consultation </w:t>
      </w:r>
      <w:r>
        <w:t xml:space="preserve">on the Regulation </w:t>
      </w:r>
      <w:r w:rsidRPr="00766DDC">
        <w:t xml:space="preserve">was not considered necessary, as in accordance with section 18 of </w:t>
      </w:r>
      <w:r w:rsidRPr="00941B28">
        <w:t xml:space="preserve">the </w:t>
      </w:r>
      <w:proofErr w:type="spellStart"/>
      <w:r w:rsidR="006705E9" w:rsidRPr="00941B28">
        <w:t>LIA</w:t>
      </w:r>
      <w:proofErr w:type="spellEnd"/>
      <w:r w:rsidRPr="00941B28">
        <w:t xml:space="preserve"> it is</w:t>
      </w:r>
      <w:r w:rsidRPr="00766DDC">
        <w:t xml:space="preserve"> of a minor or machinery nature and it does not substantially alter existing arrangements.</w:t>
      </w:r>
      <w:r w:rsidDel="00766DDC">
        <w:t xml:space="preserve"> </w:t>
      </w:r>
    </w:p>
    <w:p w14:paraId="4D3AA10E" w14:textId="77777777" w:rsidR="00766DDC" w:rsidRDefault="00766DDC" w:rsidP="00766DDC">
      <w:pPr>
        <w:spacing w:before="0" w:after="0"/>
      </w:pPr>
    </w:p>
    <w:p w14:paraId="17156D0B" w14:textId="77777777" w:rsidR="005037FF" w:rsidRDefault="005037FF" w:rsidP="009A2256">
      <w:pPr>
        <w:spacing w:before="0" w:after="0"/>
      </w:pPr>
      <w:r>
        <w:t>Before this Regulation was made, its expected impact was assessed using the Preliminary Assessment tool approved by the Office of Best Practice Regulation (</w:t>
      </w:r>
      <w:proofErr w:type="spellStart"/>
      <w:r>
        <w:t>OBPR</w:t>
      </w:r>
      <w:proofErr w:type="spellEnd"/>
      <w:r>
        <w:t xml:space="preserve">).  That assessment indicated that it will have no or low impact on business, </w:t>
      </w:r>
      <w:r>
        <w:lastRenderedPageBreak/>
        <w:t xml:space="preserve">individuals and the economy.  This assessment has been confirmed by the </w:t>
      </w:r>
      <w:proofErr w:type="spellStart"/>
      <w:r>
        <w:t>OBPR</w:t>
      </w:r>
      <w:proofErr w:type="spellEnd"/>
      <w:r>
        <w:t xml:space="preserve"> (</w:t>
      </w:r>
      <w:proofErr w:type="spellStart"/>
      <w:r>
        <w:t>OBPR</w:t>
      </w:r>
      <w:proofErr w:type="spellEnd"/>
      <w:r>
        <w:t xml:space="preserve"> reference 18553). </w:t>
      </w:r>
    </w:p>
    <w:p w14:paraId="2C04FAB7" w14:textId="77777777" w:rsidR="005037FF" w:rsidRDefault="005037FF" w:rsidP="009A2256">
      <w:pPr>
        <w:spacing w:before="0" w:after="0"/>
      </w:pPr>
    </w:p>
    <w:p w14:paraId="79378215" w14:textId="77777777" w:rsidR="009A2256" w:rsidRDefault="009A2256" w:rsidP="009A2256">
      <w:pPr>
        <w:spacing w:before="0" w:after="0"/>
      </w:pPr>
      <w:r>
        <w:t>The Regulation commences on the day after it is registered.</w:t>
      </w:r>
    </w:p>
    <w:p w14:paraId="56130F67" w14:textId="77777777" w:rsidR="008F4EEF" w:rsidRDefault="008F4EEF" w:rsidP="0088467C"/>
    <w:p w14:paraId="3442C2DA" w14:textId="77777777" w:rsidR="00D66FDB" w:rsidRDefault="00D66FDB">
      <w:pPr>
        <w:spacing w:before="0" w:after="0"/>
        <w:rPr>
          <w:b/>
        </w:rPr>
      </w:pPr>
      <w:r>
        <w:rPr>
          <w:b/>
        </w:rPr>
        <w:br w:type="page"/>
      </w:r>
    </w:p>
    <w:p w14:paraId="0039F646" w14:textId="77777777" w:rsidR="008F4EEF" w:rsidRPr="00766DDC" w:rsidRDefault="008F4EEF" w:rsidP="008F4EEF">
      <w:pPr>
        <w:jc w:val="right"/>
        <w:rPr>
          <w:b/>
          <w:u w:val="single"/>
        </w:rPr>
      </w:pPr>
      <w:r w:rsidRPr="00766DDC">
        <w:rPr>
          <w:b/>
          <w:u w:val="single"/>
        </w:rPr>
        <w:lastRenderedPageBreak/>
        <w:t>ATTACHMENT A</w:t>
      </w:r>
    </w:p>
    <w:p w14:paraId="3FC260DE" w14:textId="77777777" w:rsidR="009A2256" w:rsidRDefault="009A2256" w:rsidP="008F4EEF">
      <w:pPr>
        <w:jc w:val="center"/>
        <w:rPr>
          <w:b/>
        </w:rPr>
      </w:pPr>
    </w:p>
    <w:p w14:paraId="4AA97D12" w14:textId="77777777" w:rsidR="008F4EEF" w:rsidRPr="008F4EEF" w:rsidRDefault="008F4EEF" w:rsidP="008F4EEF">
      <w:pPr>
        <w:jc w:val="center"/>
        <w:rPr>
          <w:b/>
        </w:rPr>
      </w:pPr>
      <w:r w:rsidRPr="008F4EEF">
        <w:rPr>
          <w:b/>
        </w:rPr>
        <w:t>Statement of Compatibility with Human Rights</w:t>
      </w:r>
    </w:p>
    <w:p w14:paraId="63300ABB" w14:textId="77777777" w:rsidR="008F4EEF" w:rsidRPr="00E4438C" w:rsidRDefault="008F4EEF" w:rsidP="008F4EEF">
      <w:pPr>
        <w:jc w:val="center"/>
        <w:rPr>
          <w:i/>
        </w:rPr>
      </w:pPr>
      <w:r w:rsidRPr="00E4438C">
        <w:rPr>
          <w:i/>
        </w:rPr>
        <w:t>Prepared in accordance with Part 3 of the Human Rights (Parliamentary Scrutiny) Act 2011</w:t>
      </w:r>
    </w:p>
    <w:p w14:paraId="4518A570" w14:textId="77777777" w:rsidR="008F4EEF" w:rsidRPr="004C2F0E" w:rsidRDefault="00D96E0F" w:rsidP="008F4EEF">
      <w:pPr>
        <w:jc w:val="center"/>
        <w:rPr>
          <w:b/>
          <w:i/>
        </w:rPr>
      </w:pPr>
      <w:r w:rsidRPr="00D96E0F">
        <w:rPr>
          <w:b/>
          <w:i/>
        </w:rPr>
        <w:t xml:space="preserve">Loans Securities Regulation </w:t>
      </w:r>
      <w:r w:rsidR="002C2098">
        <w:rPr>
          <w:b/>
          <w:i/>
        </w:rPr>
        <w:t>2015</w:t>
      </w:r>
    </w:p>
    <w:p w14:paraId="6988834A" w14:textId="77777777" w:rsidR="008F4EEF" w:rsidRPr="000E0293" w:rsidRDefault="008F4EEF" w:rsidP="008F4EEF">
      <w:r w:rsidRPr="000E0293">
        <w:t xml:space="preserve">This Legislative Instrument is compatible with the human rights and freedoms recognised or declared in the international instruments listed in section 3 of the </w:t>
      </w:r>
      <w:r w:rsidRPr="000E0293">
        <w:rPr>
          <w:i/>
        </w:rPr>
        <w:t>Human Rights (Parliamentary Scrutiny) Act 2011</w:t>
      </w:r>
      <w:r w:rsidRPr="000E0293">
        <w:t>.</w:t>
      </w:r>
    </w:p>
    <w:p w14:paraId="352194FC" w14:textId="77777777" w:rsidR="008F4EEF" w:rsidRPr="000E0293" w:rsidRDefault="008F4EEF" w:rsidP="008F4EEF">
      <w:pPr>
        <w:pStyle w:val="Heading4"/>
      </w:pPr>
      <w:r w:rsidRPr="000E0293">
        <w:t>Overview of the Legislative Instrument</w:t>
      </w:r>
    </w:p>
    <w:p w14:paraId="645D5EFC" w14:textId="77777777" w:rsidR="008F4EEF" w:rsidRPr="000E0293" w:rsidRDefault="008F4EEF" w:rsidP="008F4EEF">
      <w:r w:rsidRPr="000E0293">
        <w:t xml:space="preserve">The </w:t>
      </w:r>
      <w:r w:rsidR="00D96E0F" w:rsidRPr="000E0293">
        <w:rPr>
          <w:i/>
        </w:rPr>
        <w:t xml:space="preserve">Loans Securities Regulation </w:t>
      </w:r>
      <w:r w:rsidR="002C2098" w:rsidRPr="000E0293">
        <w:rPr>
          <w:i/>
        </w:rPr>
        <w:t>2015</w:t>
      </w:r>
      <w:r w:rsidRPr="000E0293">
        <w:t xml:space="preserve"> prescribes matters in relation to the </w:t>
      </w:r>
      <w:r w:rsidR="00E05240" w:rsidRPr="000E0293">
        <w:t xml:space="preserve">process for </w:t>
      </w:r>
      <w:r w:rsidR="003D3B90" w:rsidRPr="000E0293">
        <w:t xml:space="preserve">the replacement or </w:t>
      </w:r>
      <w:r w:rsidRPr="000E0293">
        <w:t xml:space="preserve">payment of bearer securities previously issued under the Act where the securities have been </w:t>
      </w:r>
      <w:r w:rsidR="00D66FDB">
        <w:t xml:space="preserve">accidently </w:t>
      </w:r>
      <w:r w:rsidRPr="000E0293">
        <w:t>lost, stolen</w:t>
      </w:r>
      <w:r w:rsidR="006F0D34" w:rsidRPr="000E0293">
        <w:t>, destroyed</w:t>
      </w:r>
      <w:r w:rsidRPr="000E0293">
        <w:t xml:space="preserve"> or mutilated.</w:t>
      </w:r>
    </w:p>
    <w:p w14:paraId="6D11E8C6" w14:textId="77777777" w:rsidR="008F4EEF" w:rsidRPr="000E0293" w:rsidRDefault="008F4EEF" w:rsidP="008F4EEF">
      <w:pPr>
        <w:pStyle w:val="Heading4"/>
      </w:pPr>
      <w:r w:rsidRPr="000E0293">
        <w:t>Human rights implications</w:t>
      </w:r>
    </w:p>
    <w:p w14:paraId="631BDE1A" w14:textId="77777777" w:rsidR="008F4EEF" w:rsidRPr="000E0293" w:rsidRDefault="008F4EEF" w:rsidP="008F4EEF">
      <w:r w:rsidRPr="000E0293">
        <w:t>This Legislative Instrument does not engage any of the applicable rights or freedoms.</w:t>
      </w:r>
    </w:p>
    <w:p w14:paraId="3F24741F" w14:textId="77777777" w:rsidR="008F4EEF" w:rsidRPr="000E0293" w:rsidRDefault="008F4EEF" w:rsidP="008F4EEF">
      <w:pPr>
        <w:pStyle w:val="Heading4"/>
      </w:pPr>
      <w:r w:rsidRPr="000E0293">
        <w:t>Conclusion</w:t>
      </w:r>
    </w:p>
    <w:p w14:paraId="74879995" w14:textId="77777777" w:rsidR="008F4EEF" w:rsidRDefault="008F4EEF" w:rsidP="008F4EEF">
      <w:r w:rsidRPr="000E0293">
        <w:t>This Legislative Instrument is compatible with human rights as it does not raise any human rights issues.</w:t>
      </w:r>
    </w:p>
    <w:p w14:paraId="111BDE8B" w14:textId="77777777" w:rsidR="006164DB" w:rsidRPr="005C27C8" w:rsidRDefault="00F07084" w:rsidP="008F4EEF">
      <w:pPr>
        <w:rPr>
          <w:b/>
        </w:rPr>
      </w:pPr>
      <w:r>
        <w:rPr>
          <w:b/>
        </w:rPr>
        <w:t>Treasurer</w:t>
      </w:r>
    </w:p>
    <w:p w14:paraId="7535463F" w14:textId="6A2AA4E0" w:rsidR="009A2256" w:rsidRDefault="009A2256">
      <w:pPr>
        <w:spacing w:before="0" w:after="0"/>
        <w:rPr>
          <w:i/>
        </w:rPr>
      </w:pPr>
      <w:r>
        <w:rPr>
          <w:i/>
        </w:rPr>
        <w:br w:type="page"/>
      </w:r>
    </w:p>
    <w:p w14:paraId="17D4D13B" w14:textId="77777777" w:rsidR="000F275C" w:rsidRPr="00766DDC" w:rsidRDefault="000F275C" w:rsidP="000F275C">
      <w:pPr>
        <w:jc w:val="right"/>
        <w:rPr>
          <w:b/>
          <w:u w:val="single"/>
        </w:rPr>
      </w:pPr>
      <w:r w:rsidRPr="00766DDC">
        <w:rPr>
          <w:b/>
          <w:u w:val="single"/>
        </w:rPr>
        <w:t>ATTACHMENT</w:t>
      </w:r>
      <w:r w:rsidR="008F4EEF" w:rsidRPr="00766DDC">
        <w:rPr>
          <w:b/>
          <w:u w:val="single"/>
        </w:rPr>
        <w:t xml:space="preserve"> B</w:t>
      </w:r>
    </w:p>
    <w:p w14:paraId="5A6B7F1A" w14:textId="77777777" w:rsidR="000F275C" w:rsidRPr="00766DDC" w:rsidRDefault="000F275C" w:rsidP="000F275C">
      <w:pPr>
        <w:pStyle w:val="ActHead2"/>
        <w:rPr>
          <w:sz w:val="24"/>
          <w:szCs w:val="24"/>
          <w:u w:val="single"/>
        </w:rPr>
      </w:pPr>
      <w:bookmarkStart w:id="1" w:name="_Toc392242708"/>
      <w:bookmarkStart w:id="2" w:name="_Toc392238581"/>
      <w:r w:rsidRPr="00766DDC">
        <w:rPr>
          <w:rStyle w:val="CharPartNo"/>
          <w:sz w:val="24"/>
          <w:szCs w:val="24"/>
          <w:u w:val="single"/>
        </w:rPr>
        <w:t>Part 1</w:t>
      </w:r>
      <w:r w:rsidRPr="00766DDC">
        <w:rPr>
          <w:sz w:val="24"/>
          <w:szCs w:val="24"/>
          <w:u w:val="single"/>
        </w:rPr>
        <w:t>—</w:t>
      </w:r>
      <w:r w:rsidRPr="00766DDC">
        <w:rPr>
          <w:rStyle w:val="CharPartText"/>
          <w:sz w:val="24"/>
          <w:szCs w:val="24"/>
          <w:u w:val="single"/>
        </w:rPr>
        <w:t>Preliminary</w:t>
      </w:r>
      <w:bookmarkEnd w:id="1"/>
      <w:bookmarkEnd w:id="2"/>
    </w:p>
    <w:p w14:paraId="68F7EAE6" w14:textId="728958AA" w:rsidR="000F275C" w:rsidRDefault="000F275C" w:rsidP="000F275C">
      <w:pPr>
        <w:rPr>
          <w:b/>
        </w:rPr>
      </w:pPr>
      <w:r>
        <w:rPr>
          <w:b/>
        </w:rPr>
        <w:t xml:space="preserve">Section 1 </w:t>
      </w:r>
      <w:r w:rsidR="0035484F">
        <w:rPr>
          <w:b/>
        </w:rPr>
        <w:t xml:space="preserve">- </w:t>
      </w:r>
      <w:r>
        <w:rPr>
          <w:b/>
        </w:rPr>
        <w:t>Name</w:t>
      </w:r>
    </w:p>
    <w:p w14:paraId="09FB6D53" w14:textId="4D9429CF" w:rsidR="000F275C" w:rsidRPr="00A640BC" w:rsidRDefault="000F275C" w:rsidP="000F275C">
      <w:r>
        <w:t xml:space="preserve">This section provides for the name of the Regulation to be the </w:t>
      </w:r>
      <w:r w:rsidR="003D3B90" w:rsidRPr="003D3B90">
        <w:rPr>
          <w:i/>
          <w:noProof/>
        </w:rPr>
        <w:t>Loans Securities Regulation 2015</w:t>
      </w:r>
      <w:r w:rsidR="0035484F">
        <w:rPr>
          <w:noProof/>
        </w:rPr>
        <w:t xml:space="preserve"> (Regulation).</w:t>
      </w:r>
    </w:p>
    <w:p w14:paraId="0D9DAE9F" w14:textId="5DAA3F8B" w:rsidR="000F275C" w:rsidRPr="009C7762" w:rsidRDefault="000F275C" w:rsidP="000F275C">
      <w:pPr>
        <w:rPr>
          <w:b/>
        </w:rPr>
      </w:pPr>
      <w:r>
        <w:rPr>
          <w:b/>
        </w:rPr>
        <w:t xml:space="preserve">Section 2 </w:t>
      </w:r>
      <w:r w:rsidR="0035484F">
        <w:rPr>
          <w:b/>
        </w:rPr>
        <w:t xml:space="preserve">- </w:t>
      </w:r>
      <w:r w:rsidRPr="009C7762">
        <w:rPr>
          <w:b/>
        </w:rPr>
        <w:t>Commencement</w:t>
      </w:r>
    </w:p>
    <w:p w14:paraId="7540B657" w14:textId="297767B6" w:rsidR="000F275C" w:rsidRDefault="000F275C" w:rsidP="000F275C">
      <w:r>
        <w:t xml:space="preserve">This section provides that the Regulation </w:t>
      </w:r>
      <w:r w:rsidR="005C27C8">
        <w:t xml:space="preserve">commences </w:t>
      </w:r>
      <w:r w:rsidR="00F07084">
        <w:t xml:space="preserve">on </w:t>
      </w:r>
      <w:r>
        <w:t>the day after it is registered</w:t>
      </w:r>
      <w:r w:rsidR="003D3B90">
        <w:t>.</w:t>
      </w:r>
    </w:p>
    <w:p w14:paraId="4EA02ABB" w14:textId="42A455BB" w:rsidR="000F275C" w:rsidRPr="009C7762" w:rsidRDefault="000F275C" w:rsidP="000F275C">
      <w:pPr>
        <w:rPr>
          <w:b/>
        </w:rPr>
      </w:pPr>
      <w:r w:rsidRPr="009C7762">
        <w:rPr>
          <w:b/>
        </w:rPr>
        <w:t xml:space="preserve">Section 3 </w:t>
      </w:r>
      <w:r w:rsidR="0035484F">
        <w:rPr>
          <w:b/>
        </w:rPr>
        <w:t xml:space="preserve">- </w:t>
      </w:r>
      <w:r w:rsidRPr="009C7762">
        <w:rPr>
          <w:b/>
        </w:rPr>
        <w:t>Authority</w:t>
      </w:r>
    </w:p>
    <w:p w14:paraId="71941CF9" w14:textId="4814DB91" w:rsidR="000F275C" w:rsidRDefault="00DB13FF" w:rsidP="000F275C">
      <w:r>
        <w:t>This section</w:t>
      </w:r>
      <w:r w:rsidR="000F275C">
        <w:t xml:space="preserve"> provides that the authority to make the Regulation is the </w:t>
      </w:r>
      <w:r w:rsidR="003D3B90" w:rsidRPr="003D3B90">
        <w:rPr>
          <w:i/>
        </w:rPr>
        <w:t xml:space="preserve">Loans Securities </w:t>
      </w:r>
      <w:r w:rsidR="000F275C" w:rsidRPr="009C7762">
        <w:rPr>
          <w:i/>
        </w:rPr>
        <w:t>Act 191</w:t>
      </w:r>
      <w:r w:rsidR="003D3B90">
        <w:rPr>
          <w:i/>
        </w:rPr>
        <w:t>9</w:t>
      </w:r>
      <w:r w:rsidR="000F275C">
        <w:t>.</w:t>
      </w:r>
    </w:p>
    <w:p w14:paraId="5A2882E1" w14:textId="23CDEA0A" w:rsidR="000F275C" w:rsidRPr="009C7762" w:rsidRDefault="000F275C" w:rsidP="000F275C">
      <w:pPr>
        <w:rPr>
          <w:b/>
        </w:rPr>
      </w:pPr>
      <w:r w:rsidRPr="009C7762">
        <w:rPr>
          <w:b/>
        </w:rPr>
        <w:t>Section 4</w:t>
      </w:r>
      <w:r w:rsidR="005C27C8">
        <w:rPr>
          <w:b/>
        </w:rPr>
        <w:t xml:space="preserve"> </w:t>
      </w:r>
      <w:r w:rsidR="0035484F">
        <w:rPr>
          <w:b/>
        </w:rPr>
        <w:t xml:space="preserve">- </w:t>
      </w:r>
      <w:r w:rsidR="00D66FDB">
        <w:rPr>
          <w:b/>
        </w:rPr>
        <w:t>Schedule(s)</w:t>
      </w:r>
    </w:p>
    <w:p w14:paraId="5F31C67B" w14:textId="77777777" w:rsidR="000F275C" w:rsidRDefault="000F275C" w:rsidP="000F275C">
      <w:r>
        <w:t xml:space="preserve">This section provides that instruments listed in the Schedule are amended or repealed as stated in the Schedule.  Schedule 1 repeals the prior </w:t>
      </w:r>
      <w:r w:rsidR="003D3B90" w:rsidRPr="003D3B90">
        <w:rPr>
          <w:i/>
        </w:rPr>
        <w:t>L</w:t>
      </w:r>
      <w:r w:rsidR="003D3B90">
        <w:rPr>
          <w:i/>
        </w:rPr>
        <w:t xml:space="preserve">oans Securities </w:t>
      </w:r>
      <w:r w:rsidRPr="009C7762">
        <w:rPr>
          <w:i/>
        </w:rPr>
        <w:t>Regulations</w:t>
      </w:r>
      <w:r>
        <w:t>.</w:t>
      </w:r>
    </w:p>
    <w:p w14:paraId="1398473C" w14:textId="77777777" w:rsidR="00F07084" w:rsidRPr="00F07084" w:rsidRDefault="00F07084" w:rsidP="00F07084">
      <w:r w:rsidRPr="00F07084">
        <w:t xml:space="preserve">Under subsection 33(3) of the </w:t>
      </w:r>
      <w:r w:rsidRPr="00F07084">
        <w:rPr>
          <w:i/>
        </w:rPr>
        <w:t xml:space="preserve">Acts Interpretation Act 1901, </w:t>
      </w:r>
      <w:r w:rsidRPr="00F07084">
        <w:t>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 or vary any such instrument.</w:t>
      </w:r>
    </w:p>
    <w:p w14:paraId="73E887B3" w14:textId="0488D247" w:rsidR="000F275C" w:rsidRPr="004624DA" w:rsidRDefault="000F275C" w:rsidP="000F275C">
      <w:pPr>
        <w:rPr>
          <w:b/>
        </w:rPr>
      </w:pPr>
      <w:r w:rsidRPr="004624DA">
        <w:rPr>
          <w:b/>
        </w:rPr>
        <w:t>Section 5</w:t>
      </w:r>
      <w:r>
        <w:rPr>
          <w:b/>
        </w:rPr>
        <w:t xml:space="preserve"> </w:t>
      </w:r>
      <w:r w:rsidR="0035484F">
        <w:rPr>
          <w:b/>
        </w:rPr>
        <w:t xml:space="preserve">- </w:t>
      </w:r>
      <w:r w:rsidRPr="004624DA">
        <w:rPr>
          <w:b/>
        </w:rPr>
        <w:t>Definitions</w:t>
      </w:r>
    </w:p>
    <w:p w14:paraId="3AAAD96F" w14:textId="77777777" w:rsidR="000F275C" w:rsidRPr="009C7762" w:rsidRDefault="000F275C" w:rsidP="000F275C">
      <w:pPr>
        <w:pStyle w:val="Definition"/>
        <w:spacing w:before="120" w:after="120"/>
        <w:ind w:left="0"/>
        <w:rPr>
          <w:bCs/>
          <w:i/>
          <w:iCs/>
          <w:sz w:val="24"/>
          <w:szCs w:val="24"/>
        </w:rPr>
      </w:pPr>
      <w:r w:rsidRPr="009C7762">
        <w:rPr>
          <w:b/>
          <w:bCs/>
          <w:i/>
          <w:iCs/>
          <w:sz w:val="24"/>
          <w:szCs w:val="24"/>
        </w:rPr>
        <w:t>Act</w:t>
      </w:r>
      <w:r w:rsidRPr="009C7762">
        <w:rPr>
          <w:bCs/>
          <w:iCs/>
          <w:sz w:val="24"/>
          <w:szCs w:val="24"/>
        </w:rPr>
        <w:t xml:space="preserve"> means the </w:t>
      </w:r>
      <w:r w:rsidR="003D3B90" w:rsidRPr="003D3B90">
        <w:rPr>
          <w:bCs/>
          <w:i/>
          <w:iCs/>
          <w:sz w:val="24"/>
          <w:szCs w:val="24"/>
        </w:rPr>
        <w:t>L</w:t>
      </w:r>
      <w:r w:rsidR="003D3B90">
        <w:rPr>
          <w:bCs/>
          <w:i/>
          <w:iCs/>
          <w:sz w:val="24"/>
          <w:szCs w:val="24"/>
        </w:rPr>
        <w:t xml:space="preserve">oans Securities </w:t>
      </w:r>
      <w:r w:rsidRPr="009C7762">
        <w:rPr>
          <w:bCs/>
          <w:i/>
          <w:iCs/>
          <w:sz w:val="24"/>
          <w:szCs w:val="24"/>
        </w:rPr>
        <w:t>Act 191</w:t>
      </w:r>
      <w:r w:rsidR="003D3B90">
        <w:rPr>
          <w:bCs/>
          <w:i/>
          <w:iCs/>
          <w:sz w:val="24"/>
          <w:szCs w:val="24"/>
        </w:rPr>
        <w:t>9</w:t>
      </w:r>
      <w:r w:rsidRPr="009C7762">
        <w:rPr>
          <w:bCs/>
          <w:i/>
          <w:iCs/>
          <w:sz w:val="24"/>
          <w:szCs w:val="24"/>
        </w:rPr>
        <w:t>.</w:t>
      </w:r>
    </w:p>
    <w:p w14:paraId="47645775" w14:textId="4845CAA1" w:rsidR="000F275C" w:rsidRPr="004624DA" w:rsidRDefault="000F275C" w:rsidP="000F275C">
      <w:pPr>
        <w:rPr>
          <w:b/>
        </w:rPr>
      </w:pPr>
      <w:r w:rsidRPr="004624DA">
        <w:rPr>
          <w:b/>
        </w:rPr>
        <w:t>Section 6</w:t>
      </w:r>
      <w:r w:rsidR="005C27C8">
        <w:rPr>
          <w:b/>
        </w:rPr>
        <w:t xml:space="preserve"> </w:t>
      </w:r>
      <w:r w:rsidR="0035484F">
        <w:rPr>
          <w:b/>
        </w:rPr>
        <w:t xml:space="preserve">- </w:t>
      </w:r>
      <w:r w:rsidR="006F0D34">
        <w:rPr>
          <w:b/>
        </w:rPr>
        <w:t>Lost, stolen, destroyed or mutilated</w:t>
      </w:r>
      <w:r w:rsidR="00FE1394">
        <w:rPr>
          <w:b/>
        </w:rPr>
        <w:t xml:space="preserve"> securities</w:t>
      </w:r>
    </w:p>
    <w:p w14:paraId="6F7BFF10" w14:textId="77777777" w:rsidR="006F0D34" w:rsidRDefault="000F275C" w:rsidP="000F275C">
      <w:r>
        <w:t xml:space="preserve">The purpose of this section is to </w:t>
      </w:r>
      <w:r w:rsidR="006F0D34">
        <w:t xml:space="preserve">allow for the replacement of </w:t>
      </w:r>
      <w:r w:rsidR="00FE1394">
        <w:t xml:space="preserve">a </w:t>
      </w:r>
      <w:r w:rsidR="006F0D34">
        <w:t>security that is accidently lost, stolen, destroyed or mutilated prior to payment where the Treasurer is satisfied of the applicant’s claim.</w:t>
      </w:r>
    </w:p>
    <w:p w14:paraId="02F507AC" w14:textId="61211AB5" w:rsidR="006F0D34" w:rsidRPr="004624DA" w:rsidRDefault="006F0D34" w:rsidP="006F0D34">
      <w:pPr>
        <w:rPr>
          <w:b/>
        </w:rPr>
      </w:pPr>
      <w:r>
        <w:t xml:space="preserve"> </w:t>
      </w:r>
      <w:r w:rsidR="00FE1394">
        <w:rPr>
          <w:b/>
        </w:rPr>
        <w:t>Section 7</w:t>
      </w:r>
      <w:r>
        <w:rPr>
          <w:b/>
        </w:rPr>
        <w:t xml:space="preserve"> </w:t>
      </w:r>
      <w:r w:rsidR="0035484F">
        <w:rPr>
          <w:b/>
        </w:rPr>
        <w:t xml:space="preserve">- </w:t>
      </w:r>
      <w:r w:rsidR="00FE1394">
        <w:rPr>
          <w:b/>
        </w:rPr>
        <w:t>Payment of l</w:t>
      </w:r>
      <w:r>
        <w:rPr>
          <w:b/>
        </w:rPr>
        <w:t>ost, stolen, destroyed or mutilated</w:t>
      </w:r>
      <w:r w:rsidR="00FE1394">
        <w:rPr>
          <w:b/>
        </w:rPr>
        <w:t xml:space="preserve"> securities</w:t>
      </w:r>
    </w:p>
    <w:p w14:paraId="0D33F288" w14:textId="77777777" w:rsidR="006F0D34" w:rsidRDefault="006F0D34" w:rsidP="006F0D34">
      <w:r>
        <w:t>The purpose of this section is to allow for the</w:t>
      </w:r>
      <w:r w:rsidR="00FE1394">
        <w:t xml:space="preserve"> payment</w:t>
      </w:r>
      <w:r>
        <w:t xml:space="preserve"> of </w:t>
      </w:r>
      <w:r w:rsidR="00FE1394">
        <w:t xml:space="preserve">a </w:t>
      </w:r>
      <w:r>
        <w:t>security that is accidently lost, stolen, destroyed or mutilated prior to payment where the Treasurer is satisfied of the applicant’s claim.</w:t>
      </w:r>
    </w:p>
    <w:p w14:paraId="1CEC02DC" w14:textId="2DEB5D27" w:rsidR="000F275C" w:rsidRPr="00A94BC0" w:rsidRDefault="00FE1394" w:rsidP="000F275C">
      <w:pPr>
        <w:pStyle w:val="ActHead5"/>
        <w:ind w:left="0" w:firstLine="0"/>
      </w:pPr>
      <w:bookmarkStart w:id="3" w:name="_Toc392242738"/>
      <w:bookmarkStart w:id="4" w:name="_Toc392238611"/>
      <w:r>
        <w:t>Section 8</w:t>
      </w:r>
      <w:r w:rsidR="000F275C" w:rsidRPr="00A94BC0">
        <w:t xml:space="preserve"> </w:t>
      </w:r>
      <w:r w:rsidR="0035484F">
        <w:t xml:space="preserve">- </w:t>
      </w:r>
      <w:r w:rsidR="000F275C" w:rsidRPr="00A94BC0">
        <w:t xml:space="preserve">Delegation </w:t>
      </w:r>
      <w:bookmarkEnd w:id="3"/>
      <w:bookmarkEnd w:id="4"/>
    </w:p>
    <w:p w14:paraId="253665EA" w14:textId="77777777" w:rsidR="00D453F6" w:rsidRDefault="00E05240" w:rsidP="00E4438C">
      <w:r>
        <w:t>This s</w:t>
      </w:r>
      <w:r w:rsidR="000F275C">
        <w:t xml:space="preserve">ection allows the Treasurer to delegate </w:t>
      </w:r>
      <w:r w:rsidR="007C0E93">
        <w:t>powers under this Regulation</w:t>
      </w:r>
      <w:r w:rsidR="000F275C">
        <w:t xml:space="preserve"> to </w:t>
      </w:r>
      <w:r w:rsidR="00F07084">
        <w:t xml:space="preserve">certain </w:t>
      </w:r>
      <w:r w:rsidR="000F275C">
        <w:t>employees of the Department</w:t>
      </w:r>
      <w:r w:rsidR="00FE1394">
        <w:t>.</w:t>
      </w:r>
    </w:p>
    <w:sectPr w:rsidR="00D453F6" w:rsidSect="00392B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D1A5E4" w15:done="0"/>
  <w15:commentEx w15:paraId="4E892B34" w15:done="0"/>
  <w15:commentEx w15:paraId="25446C2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59FBC" w14:textId="77777777" w:rsidR="0040503E" w:rsidRDefault="0040503E" w:rsidP="0040503E">
      <w:pPr>
        <w:spacing w:before="0" w:after="0"/>
      </w:pPr>
      <w:r>
        <w:separator/>
      </w:r>
    </w:p>
  </w:endnote>
  <w:endnote w:type="continuationSeparator" w:id="0">
    <w:p w14:paraId="12AE241B" w14:textId="77777777" w:rsidR="0040503E" w:rsidRDefault="0040503E" w:rsidP="0040503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1F6DB" w14:textId="77777777" w:rsidR="001A66BD" w:rsidRDefault="001A66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A78BB" w14:textId="77777777" w:rsidR="0040503E" w:rsidRPr="004D65B0" w:rsidRDefault="0040503E" w:rsidP="004D65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1D132" w14:textId="77777777" w:rsidR="001A66BD" w:rsidRDefault="001A66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55409" w14:textId="77777777" w:rsidR="0040503E" w:rsidRDefault="0040503E" w:rsidP="0040503E">
      <w:pPr>
        <w:spacing w:before="0" w:after="0"/>
      </w:pPr>
      <w:r>
        <w:separator/>
      </w:r>
    </w:p>
  </w:footnote>
  <w:footnote w:type="continuationSeparator" w:id="0">
    <w:p w14:paraId="2FC3ABD4" w14:textId="77777777" w:rsidR="0040503E" w:rsidRDefault="0040503E" w:rsidP="0040503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C0582" w14:textId="77777777" w:rsidR="001A66BD" w:rsidRDefault="001A66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1CB92" w14:textId="77777777" w:rsidR="001A66BD" w:rsidRDefault="001A66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26707" w14:textId="77777777" w:rsidR="001A66BD" w:rsidRDefault="001A66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>
    <w:nsid w:val="67A43C0B"/>
    <w:multiLevelType w:val="multilevel"/>
    <w:tmpl w:val="FBAA52D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F6"/>
    <w:rsid w:val="00005DE8"/>
    <w:rsid w:val="00010F44"/>
    <w:rsid w:val="00016EA2"/>
    <w:rsid w:val="00095211"/>
    <w:rsid w:val="000C10DF"/>
    <w:rsid w:val="000D080D"/>
    <w:rsid w:val="000D771F"/>
    <w:rsid w:val="000E0293"/>
    <w:rsid w:val="000F275C"/>
    <w:rsid w:val="00113B45"/>
    <w:rsid w:val="001A66BD"/>
    <w:rsid w:val="001E6A74"/>
    <w:rsid w:val="001F3F94"/>
    <w:rsid w:val="001F41D0"/>
    <w:rsid w:val="00220F16"/>
    <w:rsid w:val="00254C5B"/>
    <w:rsid w:val="00264C8F"/>
    <w:rsid w:val="00267CEB"/>
    <w:rsid w:val="002C1C7B"/>
    <w:rsid w:val="002C2098"/>
    <w:rsid w:val="003331BC"/>
    <w:rsid w:val="003342CD"/>
    <w:rsid w:val="00335042"/>
    <w:rsid w:val="0035484F"/>
    <w:rsid w:val="00361FE7"/>
    <w:rsid w:val="00392BBA"/>
    <w:rsid w:val="003D3B90"/>
    <w:rsid w:val="003F7F62"/>
    <w:rsid w:val="0040503E"/>
    <w:rsid w:val="00480E8E"/>
    <w:rsid w:val="004D65B0"/>
    <w:rsid w:val="004E39E1"/>
    <w:rsid w:val="005037FF"/>
    <w:rsid w:val="00503E44"/>
    <w:rsid w:val="00515283"/>
    <w:rsid w:val="00536B51"/>
    <w:rsid w:val="0055675D"/>
    <w:rsid w:val="005833BE"/>
    <w:rsid w:val="005C27C8"/>
    <w:rsid w:val="005D7D5A"/>
    <w:rsid w:val="005E60F0"/>
    <w:rsid w:val="0060130D"/>
    <w:rsid w:val="006164DB"/>
    <w:rsid w:val="0064129F"/>
    <w:rsid w:val="00664C43"/>
    <w:rsid w:val="006705E9"/>
    <w:rsid w:val="006B0A13"/>
    <w:rsid w:val="006F0D34"/>
    <w:rsid w:val="006F2517"/>
    <w:rsid w:val="00766DDC"/>
    <w:rsid w:val="007C0E93"/>
    <w:rsid w:val="007D7091"/>
    <w:rsid w:val="007E018D"/>
    <w:rsid w:val="00804D08"/>
    <w:rsid w:val="00807E7D"/>
    <w:rsid w:val="0081396D"/>
    <w:rsid w:val="00831675"/>
    <w:rsid w:val="0083684D"/>
    <w:rsid w:val="0085016F"/>
    <w:rsid w:val="008619F8"/>
    <w:rsid w:val="008778F7"/>
    <w:rsid w:val="00882B49"/>
    <w:rsid w:val="0088467C"/>
    <w:rsid w:val="008D16F7"/>
    <w:rsid w:val="008E09F6"/>
    <w:rsid w:val="008F4EEF"/>
    <w:rsid w:val="00923D75"/>
    <w:rsid w:val="00941B28"/>
    <w:rsid w:val="00945DDB"/>
    <w:rsid w:val="00961869"/>
    <w:rsid w:val="00992C5A"/>
    <w:rsid w:val="009A2256"/>
    <w:rsid w:val="009D216F"/>
    <w:rsid w:val="009E2F86"/>
    <w:rsid w:val="00A12209"/>
    <w:rsid w:val="00A36DF3"/>
    <w:rsid w:val="00A532DD"/>
    <w:rsid w:val="00A80BCF"/>
    <w:rsid w:val="00AF2630"/>
    <w:rsid w:val="00B07B0C"/>
    <w:rsid w:val="00B42CA6"/>
    <w:rsid w:val="00B436A0"/>
    <w:rsid w:val="00B54730"/>
    <w:rsid w:val="00BD61A2"/>
    <w:rsid w:val="00BE484D"/>
    <w:rsid w:val="00C06AD8"/>
    <w:rsid w:val="00C178EF"/>
    <w:rsid w:val="00C27924"/>
    <w:rsid w:val="00C37DB5"/>
    <w:rsid w:val="00C37E05"/>
    <w:rsid w:val="00C55D29"/>
    <w:rsid w:val="00CD209F"/>
    <w:rsid w:val="00D34626"/>
    <w:rsid w:val="00D4257A"/>
    <w:rsid w:val="00D453F6"/>
    <w:rsid w:val="00D57473"/>
    <w:rsid w:val="00D66FDB"/>
    <w:rsid w:val="00D96E0F"/>
    <w:rsid w:val="00DB13FF"/>
    <w:rsid w:val="00DC0CDE"/>
    <w:rsid w:val="00DE7C89"/>
    <w:rsid w:val="00DF3B75"/>
    <w:rsid w:val="00E05240"/>
    <w:rsid w:val="00E0624D"/>
    <w:rsid w:val="00E4342C"/>
    <w:rsid w:val="00E4438C"/>
    <w:rsid w:val="00E457F3"/>
    <w:rsid w:val="00EB5894"/>
    <w:rsid w:val="00EB7E71"/>
    <w:rsid w:val="00F07084"/>
    <w:rsid w:val="00F109D4"/>
    <w:rsid w:val="00F73877"/>
    <w:rsid w:val="00FE1394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5E77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92BBA"/>
    <w:pPr>
      <w:tabs>
        <w:tab w:val="left" w:pos="1987"/>
      </w:tabs>
      <w:spacing w:after="120"/>
      <w:outlineLvl w:val="2"/>
    </w:pPr>
    <w:rPr>
      <w:rFonts w:ascii="Helvetica" w:hAnsi="Helvetica"/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457F3"/>
    <w:rPr>
      <w:rFonts w:ascii="Helvetica" w:hAnsi="Helvetica"/>
      <w:b/>
      <w:kern w:val="28"/>
      <w:sz w:val="24"/>
    </w:rPr>
  </w:style>
  <w:style w:type="paragraph" w:customStyle="1" w:styleId="Definition">
    <w:name w:val="Definition"/>
    <w:aliases w:val="dd"/>
    <w:basedOn w:val="Normal"/>
    <w:rsid w:val="00D453F6"/>
    <w:pPr>
      <w:spacing w:before="180" w:after="0"/>
      <w:ind w:left="1134"/>
    </w:pPr>
    <w:rPr>
      <w:sz w:val="22"/>
    </w:rPr>
  </w:style>
  <w:style w:type="character" w:customStyle="1" w:styleId="CharSectno">
    <w:name w:val="CharSectno"/>
    <w:basedOn w:val="DefaultParagraphFont"/>
    <w:qFormat/>
    <w:rsid w:val="00D453F6"/>
  </w:style>
  <w:style w:type="paragraph" w:customStyle="1" w:styleId="ActHead2">
    <w:name w:val="ActHead 2"/>
    <w:aliases w:val="p"/>
    <w:basedOn w:val="Normal"/>
    <w:next w:val="Normal"/>
    <w:qFormat/>
    <w:rsid w:val="00D453F6"/>
    <w:pPr>
      <w:keepNext/>
      <w:keepLines/>
      <w:spacing w:before="280" w:after="0"/>
      <w:ind w:left="1134" w:hanging="1134"/>
      <w:outlineLvl w:val="1"/>
    </w:pPr>
    <w:rPr>
      <w:b/>
      <w:kern w:val="28"/>
      <w:sz w:val="32"/>
    </w:rPr>
  </w:style>
  <w:style w:type="character" w:customStyle="1" w:styleId="CharPartNo">
    <w:name w:val="CharPartNo"/>
    <w:basedOn w:val="DefaultParagraphFont"/>
    <w:qFormat/>
    <w:rsid w:val="00D453F6"/>
  </w:style>
  <w:style w:type="character" w:customStyle="1" w:styleId="CharPartText">
    <w:name w:val="CharPartText"/>
    <w:basedOn w:val="DefaultParagraphFont"/>
    <w:qFormat/>
    <w:rsid w:val="00D453F6"/>
  </w:style>
  <w:style w:type="paragraph" w:customStyle="1" w:styleId="ActHead5">
    <w:name w:val="ActHead 5"/>
    <w:aliases w:val="s"/>
    <w:basedOn w:val="Normal"/>
    <w:next w:val="Normal"/>
    <w:qFormat/>
    <w:rsid w:val="00D453F6"/>
    <w:pPr>
      <w:keepNext/>
      <w:keepLines/>
      <w:spacing w:before="280" w:after="0"/>
      <w:ind w:left="1134" w:hanging="1134"/>
      <w:outlineLvl w:val="4"/>
    </w:pPr>
    <w:rPr>
      <w:b/>
      <w:kern w:val="28"/>
    </w:rPr>
  </w:style>
  <w:style w:type="paragraph" w:customStyle="1" w:styleId="ActHead3">
    <w:name w:val="ActHead 3"/>
    <w:aliases w:val="d"/>
    <w:basedOn w:val="Normal"/>
    <w:next w:val="Normal"/>
    <w:qFormat/>
    <w:rsid w:val="00D453F6"/>
    <w:pPr>
      <w:keepNext/>
      <w:keepLines/>
      <w:spacing w:before="240" w:after="0"/>
      <w:ind w:left="1134" w:hanging="1134"/>
      <w:outlineLvl w:val="2"/>
    </w:pPr>
    <w:rPr>
      <w:b/>
      <w:kern w:val="28"/>
      <w:sz w:val="28"/>
    </w:rPr>
  </w:style>
  <w:style w:type="character" w:customStyle="1" w:styleId="CharDivNo">
    <w:name w:val="CharDivNo"/>
    <w:basedOn w:val="DefaultParagraphFont"/>
    <w:qFormat/>
    <w:rsid w:val="00D453F6"/>
  </w:style>
  <w:style w:type="character" w:customStyle="1" w:styleId="CharDivText">
    <w:name w:val="CharDivText"/>
    <w:basedOn w:val="DefaultParagraphFont"/>
    <w:qFormat/>
    <w:rsid w:val="00D453F6"/>
  </w:style>
  <w:style w:type="character" w:styleId="CommentReference">
    <w:name w:val="annotation reference"/>
    <w:basedOn w:val="DefaultParagraphFont"/>
    <w:uiPriority w:val="99"/>
    <w:semiHidden/>
    <w:unhideWhenUsed/>
    <w:rsid w:val="008E0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9F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9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9F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0503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0503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0503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0503E"/>
    <w:rPr>
      <w:sz w:val="24"/>
    </w:rPr>
  </w:style>
  <w:style w:type="paragraph" w:styleId="Revision">
    <w:name w:val="Revision"/>
    <w:hidden/>
    <w:uiPriority w:val="99"/>
    <w:semiHidden/>
    <w:rsid w:val="0035484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92BBA"/>
    <w:pPr>
      <w:tabs>
        <w:tab w:val="left" w:pos="1987"/>
      </w:tabs>
      <w:spacing w:after="120"/>
      <w:outlineLvl w:val="2"/>
    </w:pPr>
    <w:rPr>
      <w:rFonts w:ascii="Helvetica" w:hAnsi="Helvetica"/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457F3"/>
    <w:rPr>
      <w:rFonts w:ascii="Helvetica" w:hAnsi="Helvetica"/>
      <w:b/>
      <w:kern w:val="28"/>
      <w:sz w:val="24"/>
    </w:rPr>
  </w:style>
  <w:style w:type="paragraph" w:customStyle="1" w:styleId="Definition">
    <w:name w:val="Definition"/>
    <w:aliases w:val="dd"/>
    <w:basedOn w:val="Normal"/>
    <w:rsid w:val="00D453F6"/>
    <w:pPr>
      <w:spacing w:before="180" w:after="0"/>
      <w:ind w:left="1134"/>
    </w:pPr>
    <w:rPr>
      <w:sz w:val="22"/>
    </w:rPr>
  </w:style>
  <w:style w:type="character" w:customStyle="1" w:styleId="CharSectno">
    <w:name w:val="CharSectno"/>
    <w:basedOn w:val="DefaultParagraphFont"/>
    <w:qFormat/>
    <w:rsid w:val="00D453F6"/>
  </w:style>
  <w:style w:type="paragraph" w:customStyle="1" w:styleId="ActHead2">
    <w:name w:val="ActHead 2"/>
    <w:aliases w:val="p"/>
    <w:basedOn w:val="Normal"/>
    <w:next w:val="Normal"/>
    <w:qFormat/>
    <w:rsid w:val="00D453F6"/>
    <w:pPr>
      <w:keepNext/>
      <w:keepLines/>
      <w:spacing w:before="280" w:after="0"/>
      <w:ind w:left="1134" w:hanging="1134"/>
      <w:outlineLvl w:val="1"/>
    </w:pPr>
    <w:rPr>
      <w:b/>
      <w:kern w:val="28"/>
      <w:sz w:val="32"/>
    </w:rPr>
  </w:style>
  <w:style w:type="character" w:customStyle="1" w:styleId="CharPartNo">
    <w:name w:val="CharPartNo"/>
    <w:basedOn w:val="DefaultParagraphFont"/>
    <w:qFormat/>
    <w:rsid w:val="00D453F6"/>
  </w:style>
  <w:style w:type="character" w:customStyle="1" w:styleId="CharPartText">
    <w:name w:val="CharPartText"/>
    <w:basedOn w:val="DefaultParagraphFont"/>
    <w:qFormat/>
    <w:rsid w:val="00D453F6"/>
  </w:style>
  <w:style w:type="paragraph" w:customStyle="1" w:styleId="ActHead5">
    <w:name w:val="ActHead 5"/>
    <w:aliases w:val="s"/>
    <w:basedOn w:val="Normal"/>
    <w:next w:val="Normal"/>
    <w:qFormat/>
    <w:rsid w:val="00D453F6"/>
    <w:pPr>
      <w:keepNext/>
      <w:keepLines/>
      <w:spacing w:before="280" w:after="0"/>
      <w:ind w:left="1134" w:hanging="1134"/>
      <w:outlineLvl w:val="4"/>
    </w:pPr>
    <w:rPr>
      <w:b/>
      <w:kern w:val="28"/>
    </w:rPr>
  </w:style>
  <w:style w:type="paragraph" w:customStyle="1" w:styleId="ActHead3">
    <w:name w:val="ActHead 3"/>
    <w:aliases w:val="d"/>
    <w:basedOn w:val="Normal"/>
    <w:next w:val="Normal"/>
    <w:qFormat/>
    <w:rsid w:val="00D453F6"/>
    <w:pPr>
      <w:keepNext/>
      <w:keepLines/>
      <w:spacing w:before="240" w:after="0"/>
      <w:ind w:left="1134" w:hanging="1134"/>
      <w:outlineLvl w:val="2"/>
    </w:pPr>
    <w:rPr>
      <w:b/>
      <w:kern w:val="28"/>
      <w:sz w:val="28"/>
    </w:rPr>
  </w:style>
  <w:style w:type="character" w:customStyle="1" w:styleId="CharDivNo">
    <w:name w:val="CharDivNo"/>
    <w:basedOn w:val="DefaultParagraphFont"/>
    <w:qFormat/>
    <w:rsid w:val="00D453F6"/>
  </w:style>
  <w:style w:type="character" w:customStyle="1" w:styleId="CharDivText">
    <w:name w:val="CharDivText"/>
    <w:basedOn w:val="DefaultParagraphFont"/>
    <w:qFormat/>
    <w:rsid w:val="00D453F6"/>
  </w:style>
  <w:style w:type="character" w:styleId="CommentReference">
    <w:name w:val="annotation reference"/>
    <w:basedOn w:val="DefaultParagraphFont"/>
    <w:uiPriority w:val="99"/>
    <w:semiHidden/>
    <w:unhideWhenUsed/>
    <w:rsid w:val="008E0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9F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9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9F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0503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0503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0503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0503E"/>
    <w:rPr>
      <w:sz w:val="24"/>
    </w:rPr>
  </w:style>
  <w:style w:type="paragraph" w:styleId="Revision">
    <w:name w:val="Revision"/>
    <w:hidden/>
    <w:uiPriority w:val="99"/>
    <w:semiHidden/>
    <w:rsid w:val="003548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 xmlns="9f7bc583-7cbe-45b9-a2bd-8bbb6543b37e">2014RG-86-13237</_dlc_DocId>
    <TaxCatchAll xmlns="9f7bc583-7cbe-45b9-a2bd-8bbb6543b37e">
      <Value>11</Value>
    </TaxCatchAll>
    <_dlc_DocIdUrl xmlns="9f7bc583-7cbe-45b9-a2bd-8bbb6543b37e">
      <Url>http://tweb/sites/rg/ldp/lmu/_layouts/15/DocIdRedir.aspx?ID=2014RG-86-13237</Url>
      <Description>2014RG-86-13237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0A840AFAB52624689FA9AA81E9EF0D1" ma:contentTypeVersion="17" ma:contentTypeDescription=" " ma:contentTypeScope="" ma:versionID="8c2c2b48f8cdf5a516cff142e9fb3c11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targetNamespace="http://schemas.microsoft.com/office/2006/metadata/properties" ma:root="true" ma:fieldsID="dae03b1008b7399435e4a24fc1b987ab" ns1:_="" ns2:_="">
    <xsd:import namespace="http://schemas.microsoft.com/sharepoint/v3"/>
    <xsd:import namespace="9f7bc583-7cbe-45b9-a2bd-8bbb6543b3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F7A19-9296-4AAE-BDF4-F040BC757D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2968B5-EA91-41A5-BA97-C96427EC9D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E7193F-E2D9-4D63-8D94-DA8DE5241540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9f7bc583-7cbe-45b9-a2bd-8bbb6543b37e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E1FCF7-971D-4A36-B80F-B32E029A5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5CC681-40EF-4098-83EA-D9EF7035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826</Words>
  <Characters>4501</Characters>
  <Application>Microsoft Office Word</Application>
  <DocSecurity>4</DocSecurity>
  <Lines>562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2015-04-27T23:56:00Z</dcterms:created>
  <dcterms:modified xsi:type="dcterms:W3CDTF">2015-04-27T23:56:00Z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1023911950</vt:i4>
  </property>
  <property fmtid="{D5CDD505-2E9C-101B-9397-08002B2CF9AE}" pid="3" name="_NewReviewCycle">
    <vt:lpwstr/>
  </property>
  <property fmtid="{D5CDD505-2E9C-101B-9397-08002B2CF9AE}" pid="4" name="_dlc_DocIdItemGuid">
    <vt:lpwstr>ff9cdabe-7bd6-4e74-87b1-02bfe3a900bd</vt:lpwstr>
  </property>
  <property fmtid="{D5CDD505-2E9C-101B-9397-08002B2CF9AE}" pid="5" name="ContentTypeId">
    <vt:lpwstr>0x01010036BB8DE7EC542E42A8B2E98CC20CB69700A0A840AFAB52624689FA9AA81E9EF0D1</vt:lpwstr>
  </property>
  <property fmtid="{D5CDD505-2E9C-101B-9397-08002B2CF9AE}" pid="6" name="TSYRecordClass">
    <vt:lpwstr>11;#TSY RA-9237 - Destroy 5 years after action completed|9f1a030e-81bf-44c5-98eb-4d5d869a40d5</vt:lpwstr>
  </property>
  <property fmtid="{D5CDD505-2E9C-101B-9397-08002B2CF9AE}" pid="7" name="_PreviousAdHocReviewCycleID">
    <vt:i4>413197881</vt:i4>
  </property>
  <property fmtid="{D5CDD505-2E9C-101B-9397-08002B2CF9AE}" pid="8" name="_ReviewingToolsShownOnce">
    <vt:lpwstr/>
  </property>
</Properties>
</file>