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FA78B1" w:rsidRDefault="00193461" w:rsidP="00C63713">
      <w:pPr>
        <w:rPr>
          <w:sz w:val="28"/>
        </w:rPr>
      </w:pPr>
      <w:r w:rsidRPr="00FA78B1">
        <w:rPr>
          <w:noProof/>
          <w:lang w:eastAsia="en-AU"/>
        </w:rPr>
        <w:drawing>
          <wp:inline distT="0" distB="0" distL="0" distR="0" wp14:anchorId="488829E8" wp14:editId="2ABC8824">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FA78B1" w:rsidRDefault="0048364F" w:rsidP="0048364F">
      <w:pPr>
        <w:rPr>
          <w:sz w:val="19"/>
        </w:rPr>
      </w:pPr>
    </w:p>
    <w:p w:rsidR="0048364F" w:rsidRPr="00FA78B1" w:rsidRDefault="006D01EC" w:rsidP="0048364F">
      <w:pPr>
        <w:pStyle w:val="ShortT"/>
      </w:pPr>
      <w:r w:rsidRPr="00FA78B1">
        <w:t>Food Standards Australia New Zealand Amendment (High Level Health Claims and Other Measures) Regulation</w:t>
      </w:r>
      <w:r w:rsidR="00FA78B1" w:rsidRPr="00FA78B1">
        <w:t> </w:t>
      </w:r>
      <w:r w:rsidRPr="00FA78B1">
        <w:t>2015</w:t>
      </w:r>
    </w:p>
    <w:p w:rsidR="0048364F" w:rsidRPr="00FA78B1" w:rsidRDefault="0048364F" w:rsidP="0048364F"/>
    <w:p w:rsidR="0048364F" w:rsidRPr="00FA78B1" w:rsidRDefault="00A4361F" w:rsidP="00680F17">
      <w:pPr>
        <w:pStyle w:val="InstNo"/>
      </w:pPr>
      <w:r w:rsidRPr="00FA78B1">
        <w:t>Select Legislative Instrument</w:t>
      </w:r>
      <w:r w:rsidR="00154EAC" w:rsidRPr="00FA78B1">
        <w:t xml:space="preserve"> </w:t>
      </w:r>
      <w:bookmarkStart w:id="0" w:name="BKCheck15B_1"/>
      <w:bookmarkEnd w:id="0"/>
      <w:r w:rsidR="00D0104A" w:rsidRPr="00FA78B1">
        <w:fldChar w:fldCharType="begin"/>
      </w:r>
      <w:r w:rsidR="00D0104A" w:rsidRPr="00FA78B1">
        <w:instrText xml:space="preserve"> DOCPROPERTY  ActNo </w:instrText>
      </w:r>
      <w:r w:rsidR="00D0104A" w:rsidRPr="00FA78B1">
        <w:fldChar w:fldCharType="separate"/>
      </w:r>
      <w:r w:rsidR="00771504">
        <w:t>No. 61, 2015</w:t>
      </w:r>
      <w:r w:rsidR="00D0104A" w:rsidRPr="00FA78B1">
        <w:fldChar w:fldCharType="end"/>
      </w:r>
    </w:p>
    <w:p w:rsidR="006D01EC" w:rsidRPr="00FA78B1" w:rsidRDefault="006D01EC" w:rsidP="00C147AB">
      <w:pPr>
        <w:pStyle w:val="SignCoverPageStart"/>
        <w:spacing w:before="240"/>
        <w:rPr>
          <w:szCs w:val="22"/>
        </w:rPr>
      </w:pPr>
      <w:r w:rsidRPr="00FA78B1">
        <w:rPr>
          <w:szCs w:val="22"/>
        </w:rPr>
        <w:t>I, General the Honourable Sir Peter Cosgrove AK MC (Ret</w:t>
      </w:r>
      <w:r w:rsidR="00DA6DF7" w:rsidRPr="00FA78B1">
        <w:rPr>
          <w:szCs w:val="22"/>
        </w:rPr>
        <w:t>’</w:t>
      </w:r>
      <w:r w:rsidRPr="00FA78B1">
        <w:rPr>
          <w:szCs w:val="22"/>
        </w:rPr>
        <w:t xml:space="preserve">d), </w:t>
      </w:r>
      <w:r w:rsidR="00FA78B1" w:rsidRPr="00FA78B1">
        <w:rPr>
          <w:szCs w:val="22"/>
        </w:rPr>
        <w:t>Governor</w:t>
      </w:r>
      <w:r w:rsidR="00FA78B1">
        <w:rPr>
          <w:szCs w:val="22"/>
        </w:rPr>
        <w:noBreakHyphen/>
      </w:r>
      <w:r w:rsidR="00FA78B1" w:rsidRPr="00FA78B1">
        <w:rPr>
          <w:szCs w:val="22"/>
        </w:rPr>
        <w:t>General</w:t>
      </w:r>
      <w:r w:rsidRPr="00FA78B1">
        <w:rPr>
          <w:szCs w:val="22"/>
        </w:rPr>
        <w:t xml:space="preserve"> of the Commonwealth of Australia, acting with the advice of the Federal Executive Council, make the following regulation.</w:t>
      </w:r>
    </w:p>
    <w:p w:rsidR="006D01EC" w:rsidRPr="00FA78B1" w:rsidRDefault="006D01EC" w:rsidP="00C147AB">
      <w:pPr>
        <w:keepNext/>
        <w:spacing w:before="720" w:line="240" w:lineRule="atLeast"/>
        <w:ind w:right="397"/>
        <w:jc w:val="both"/>
        <w:rPr>
          <w:szCs w:val="22"/>
        </w:rPr>
      </w:pPr>
      <w:r w:rsidRPr="00FA78B1">
        <w:rPr>
          <w:szCs w:val="22"/>
        </w:rPr>
        <w:t xml:space="preserve">Dated </w:t>
      </w:r>
      <w:bookmarkStart w:id="1" w:name="BKCheck15B_2"/>
      <w:bookmarkEnd w:id="1"/>
      <w:r w:rsidRPr="00FA78B1">
        <w:rPr>
          <w:szCs w:val="22"/>
        </w:rPr>
        <w:fldChar w:fldCharType="begin"/>
      </w:r>
      <w:r w:rsidRPr="00FA78B1">
        <w:rPr>
          <w:szCs w:val="22"/>
        </w:rPr>
        <w:instrText xml:space="preserve"> DOCPROPERTY  DateMade </w:instrText>
      </w:r>
      <w:r w:rsidRPr="00FA78B1">
        <w:rPr>
          <w:szCs w:val="22"/>
        </w:rPr>
        <w:fldChar w:fldCharType="separate"/>
      </w:r>
      <w:r w:rsidR="00771504">
        <w:rPr>
          <w:szCs w:val="22"/>
        </w:rPr>
        <w:t>30 April 2015</w:t>
      </w:r>
      <w:r w:rsidRPr="00FA78B1">
        <w:rPr>
          <w:szCs w:val="22"/>
        </w:rPr>
        <w:fldChar w:fldCharType="end"/>
      </w:r>
    </w:p>
    <w:p w:rsidR="006D01EC" w:rsidRPr="00FA78B1" w:rsidRDefault="006D01EC" w:rsidP="00C147AB">
      <w:pPr>
        <w:keepNext/>
        <w:tabs>
          <w:tab w:val="left" w:pos="3402"/>
        </w:tabs>
        <w:spacing w:before="1080" w:line="300" w:lineRule="atLeast"/>
        <w:ind w:left="397" w:right="397"/>
        <w:jc w:val="right"/>
        <w:rPr>
          <w:szCs w:val="22"/>
        </w:rPr>
      </w:pPr>
      <w:r w:rsidRPr="00FA78B1">
        <w:rPr>
          <w:szCs w:val="22"/>
        </w:rPr>
        <w:t>Peter Cosgrove</w:t>
      </w:r>
    </w:p>
    <w:p w:rsidR="006D01EC" w:rsidRPr="00FA78B1" w:rsidRDefault="00FA78B1" w:rsidP="00C147AB">
      <w:pPr>
        <w:keepNext/>
        <w:tabs>
          <w:tab w:val="left" w:pos="3402"/>
        </w:tabs>
        <w:spacing w:line="300" w:lineRule="atLeast"/>
        <w:ind w:left="397" w:right="397"/>
        <w:jc w:val="right"/>
        <w:rPr>
          <w:szCs w:val="22"/>
        </w:rPr>
      </w:pPr>
      <w:r w:rsidRPr="00FA78B1">
        <w:rPr>
          <w:szCs w:val="22"/>
        </w:rPr>
        <w:t>Governor</w:t>
      </w:r>
      <w:r>
        <w:rPr>
          <w:szCs w:val="22"/>
        </w:rPr>
        <w:noBreakHyphen/>
      </w:r>
      <w:r w:rsidRPr="00FA78B1">
        <w:rPr>
          <w:szCs w:val="22"/>
        </w:rPr>
        <w:t>General</w:t>
      </w:r>
    </w:p>
    <w:p w:rsidR="006D01EC" w:rsidRPr="00FA78B1" w:rsidRDefault="006D01EC" w:rsidP="00C147AB">
      <w:pPr>
        <w:keepNext/>
        <w:tabs>
          <w:tab w:val="left" w:pos="3402"/>
        </w:tabs>
        <w:spacing w:before="840" w:after="1080" w:line="300" w:lineRule="atLeast"/>
        <w:ind w:right="397"/>
        <w:rPr>
          <w:szCs w:val="22"/>
        </w:rPr>
      </w:pPr>
      <w:r w:rsidRPr="00FA78B1">
        <w:rPr>
          <w:szCs w:val="22"/>
        </w:rPr>
        <w:t>By His Excellency</w:t>
      </w:r>
      <w:r w:rsidR="00DA6DF7" w:rsidRPr="00FA78B1">
        <w:rPr>
          <w:szCs w:val="22"/>
        </w:rPr>
        <w:t>’</w:t>
      </w:r>
      <w:r w:rsidRPr="00FA78B1">
        <w:rPr>
          <w:szCs w:val="22"/>
        </w:rPr>
        <w:t>s Command</w:t>
      </w:r>
    </w:p>
    <w:p w:rsidR="006D01EC" w:rsidRPr="00FA78B1" w:rsidRDefault="006D01EC" w:rsidP="00C147AB">
      <w:pPr>
        <w:keepNext/>
        <w:tabs>
          <w:tab w:val="left" w:pos="3402"/>
        </w:tabs>
        <w:spacing w:before="480" w:line="300" w:lineRule="atLeast"/>
        <w:ind w:right="397"/>
        <w:rPr>
          <w:szCs w:val="22"/>
        </w:rPr>
      </w:pPr>
      <w:r w:rsidRPr="00FA78B1">
        <w:rPr>
          <w:szCs w:val="22"/>
        </w:rPr>
        <w:t>Fiona Nash</w:t>
      </w:r>
    </w:p>
    <w:p w:rsidR="006D01EC" w:rsidRPr="00FA78B1" w:rsidRDefault="006D01EC" w:rsidP="002D361B">
      <w:pPr>
        <w:pStyle w:val="SignCoverPageEnd"/>
      </w:pPr>
      <w:r w:rsidRPr="00FA78B1">
        <w:rPr>
          <w:szCs w:val="22"/>
        </w:rPr>
        <w:t>Assistant Minister for Health</w:t>
      </w:r>
    </w:p>
    <w:p w:rsidR="0048364F" w:rsidRPr="00FA78B1" w:rsidRDefault="0048364F" w:rsidP="0048364F">
      <w:pPr>
        <w:pStyle w:val="Header"/>
        <w:tabs>
          <w:tab w:val="clear" w:pos="4150"/>
          <w:tab w:val="clear" w:pos="8307"/>
        </w:tabs>
      </w:pPr>
      <w:r w:rsidRPr="00FA78B1">
        <w:rPr>
          <w:rStyle w:val="CharAmSchNo"/>
        </w:rPr>
        <w:t xml:space="preserve"> </w:t>
      </w:r>
      <w:r w:rsidRPr="00FA78B1">
        <w:rPr>
          <w:rStyle w:val="CharAmSchText"/>
        </w:rPr>
        <w:t xml:space="preserve"> </w:t>
      </w:r>
    </w:p>
    <w:p w:rsidR="0048364F" w:rsidRPr="00FA78B1" w:rsidRDefault="0048364F" w:rsidP="0048364F">
      <w:pPr>
        <w:pStyle w:val="Header"/>
        <w:tabs>
          <w:tab w:val="clear" w:pos="4150"/>
          <w:tab w:val="clear" w:pos="8307"/>
        </w:tabs>
      </w:pPr>
      <w:r w:rsidRPr="00FA78B1">
        <w:rPr>
          <w:rStyle w:val="CharAmPartNo"/>
        </w:rPr>
        <w:t xml:space="preserve"> </w:t>
      </w:r>
      <w:r w:rsidRPr="00FA78B1">
        <w:rPr>
          <w:rStyle w:val="CharAmPartText"/>
        </w:rPr>
        <w:t xml:space="preserve"> </w:t>
      </w:r>
    </w:p>
    <w:p w:rsidR="0048364F" w:rsidRPr="00FA78B1" w:rsidRDefault="0048364F" w:rsidP="0048364F">
      <w:pPr>
        <w:sectPr w:rsidR="0048364F" w:rsidRPr="00FA78B1" w:rsidSect="009947D7">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546" w:gutter="0"/>
          <w:cols w:space="708"/>
          <w:titlePg/>
          <w:docGrid w:linePitch="360"/>
        </w:sectPr>
      </w:pPr>
    </w:p>
    <w:p w:rsidR="0048364F" w:rsidRPr="00FA78B1" w:rsidRDefault="0048364F" w:rsidP="00E87264">
      <w:pPr>
        <w:rPr>
          <w:sz w:val="36"/>
        </w:rPr>
      </w:pPr>
      <w:r w:rsidRPr="00FA78B1">
        <w:rPr>
          <w:sz w:val="36"/>
        </w:rPr>
        <w:lastRenderedPageBreak/>
        <w:t>Contents</w:t>
      </w:r>
    </w:p>
    <w:bookmarkStart w:id="2" w:name="BKCheck15B_3"/>
    <w:bookmarkEnd w:id="2"/>
    <w:p w:rsidR="00E429F5" w:rsidRPr="00FA78B1" w:rsidRDefault="00E429F5">
      <w:pPr>
        <w:pStyle w:val="TOC5"/>
        <w:rPr>
          <w:rFonts w:asciiTheme="minorHAnsi" w:eastAsiaTheme="minorEastAsia" w:hAnsiTheme="minorHAnsi" w:cstheme="minorBidi"/>
          <w:noProof/>
          <w:kern w:val="0"/>
          <w:sz w:val="22"/>
          <w:szCs w:val="22"/>
        </w:rPr>
      </w:pPr>
      <w:r w:rsidRPr="00FA78B1">
        <w:fldChar w:fldCharType="begin"/>
      </w:r>
      <w:r w:rsidRPr="00FA78B1">
        <w:instrText xml:space="preserve"> TOC \o "1-9" </w:instrText>
      </w:r>
      <w:r w:rsidRPr="00FA78B1">
        <w:fldChar w:fldCharType="separate"/>
      </w:r>
      <w:r w:rsidRPr="00FA78B1">
        <w:rPr>
          <w:noProof/>
        </w:rPr>
        <w:t>1</w:t>
      </w:r>
      <w:r w:rsidRPr="00FA78B1">
        <w:rPr>
          <w:noProof/>
        </w:rPr>
        <w:tab/>
        <w:t>Name</w:t>
      </w:r>
      <w:r w:rsidRPr="00FA78B1">
        <w:rPr>
          <w:noProof/>
        </w:rPr>
        <w:tab/>
      </w:r>
      <w:r w:rsidRPr="00FA78B1">
        <w:rPr>
          <w:noProof/>
        </w:rPr>
        <w:fldChar w:fldCharType="begin"/>
      </w:r>
      <w:r w:rsidRPr="00FA78B1">
        <w:rPr>
          <w:noProof/>
        </w:rPr>
        <w:instrText xml:space="preserve"> PAGEREF _Toc415724507 \h </w:instrText>
      </w:r>
      <w:r w:rsidRPr="00FA78B1">
        <w:rPr>
          <w:noProof/>
        </w:rPr>
      </w:r>
      <w:r w:rsidRPr="00FA78B1">
        <w:rPr>
          <w:noProof/>
        </w:rPr>
        <w:fldChar w:fldCharType="separate"/>
      </w:r>
      <w:r w:rsidR="00771504">
        <w:rPr>
          <w:noProof/>
        </w:rPr>
        <w:t>1</w:t>
      </w:r>
      <w:r w:rsidRPr="00FA78B1">
        <w:rPr>
          <w:noProof/>
        </w:rPr>
        <w:fldChar w:fldCharType="end"/>
      </w:r>
    </w:p>
    <w:p w:rsidR="00E429F5" w:rsidRPr="00FA78B1" w:rsidRDefault="00E429F5">
      <w:pPr>
        <w:pStyle w:val="TOC5"/>
        <w:rPr>
          <w:rFonts w:asciiTheme="minorHAnsi" w:eastAsiaTheme="minorEastAsia" w:hAnsiTheme="minorHAnsi" w:cstheme="minorBidi"/>
          <w:noProof/>
          <w:kern w:val="0"/>
          <w:sz w:val="22"/>
          <w:szCs w:val="22"/>
        </w:rPr>
      </w:pPr>
      <w:r w:rsidRPr="00FA78B1">
        <w:rPr>
          <w:noProof/>
        </w:rPr>
        <w:t>2</w:t>
      </w:r>
      <w:r w:rsidRPr="00FA78B1">
        <w:rPr>
          <w:noProof/>
        </w:rPr>
        <w:tab/>
        <w:t>Commencement</w:t>
      </w:r>
      <w:r w:rsidRPr="00FA78B1">
        <w:rPr>
          <w:noProof/>
        </w:rPr>
        <w:tab/>
      </w:r>
      <w:r w:rsidRPr="00FA78B1">
        <w:rPr>
          <w:noProof/>
        </w:rPr>
        <w:fldChar w:fldCharType="begin"/>
      </w:r>
      <w:r w:rsidRPr="00FA78B1">
        <w:rPr>
          <w:noProof/>
        </w:rPr>
        <w:instrText xml:space="preserve"> PAGEREF _Toc415724508 \h </w:instrText>
      </w:r>
      <w:r w:rsidRPr="00FA78B1">
        <w:rPr>
          <w:noProof/>
        </w:rPr>
      </w:r>
      <w:r w:rsidRPr="00FA78B1">
        <w:rPr>
          <w:noProof/>
        </w:rPr>
        <w:fldChar w:fldCharType="separate"/>
      </w:r>
      <w:r w:rsidR="00771504">
        <w:rPr>
          <w:noProof/>
        </w:rPr>
        <w:t>1</w:t>
      </w:r>
      <w:r w:rsidRPr="00FA78B1">
        <w:rPr>
          <w:noProof/>
        </w:rPr>
        <w:fldChar w:fldCharType="end"/>
      </w:r>
    </w:p>
    <w:p w:rsidR="00E429F5" w:rsidRPr="00FA78B1" w:rsidRDefault="00E429F5">
      <w:pPr>
        <w:pStyle w:val="TOC5"/>
        <w:rPr>
          <w:rFonts w:asciiTheme="minorHAnsi" w:eastAsiaTheme="minorEastAsia" w:hAnsiTheme="minorHAnsi" w:cstheme="minorBidi"/>
          <w:noProof/>
          <w:kern w:val="0"/>
          <w:sz w:val="22"/>
          <w:szCs w:val="22"/>
        </w:rPr>
      </w:pPr>
      <w:r w:rsidRPr="00FA78B1">
        <w:rPr>
          <w:noProof/>
        </w:rPr>
        <w:t>3</w:t>
      </w:r>
      <w:r w:rsidRPr="00FA78B1">
        <w:rPr>
          <w:noProof/>
        </w:rPr>
        <w:tab/>
        <w:t>Authority</w:t>
      </w:r>
      <w:r w:rsidRPr="00FA78B1">
        <w:rPr>
          <w:noProof/>
        </w:rPr>
        <w:tab/>
      </w:r>
      <w:r w:rsidRPr="00FA78B1">
        <w:rPr>
          <w:noProof/>
        </w:rPr>
        <w:fldChar w:fldCharType="begin"/>
      </w:r>
      <w:r w:rsidRPr="00FA78B1">
        <w:rPr>
          <w:noProof/>
        </w:rPr>
        <w:instrText xml:space="preserve"> PAGEREF _Toc415724509 \h </w:instrText>
      </w:r>
      <w:r w:rsidRPr="00FA78B1">
        <w:rPr>
          <w:noProof/>
        </w:rPr>
      </w:r>
      <w:r w:rsidRPr="00FA78B1">
        <w:rPr>
          <w:noProof/>
        </w:rPr>
        <w:fldChar w:fldCharType="separate"/>
      </w:r>
      <w:r w:rsidR="00771504">
        <w:rPr>
          <w:noProof/>
        </w:rPr>
        <w:t>1</w:t>
      </w:r>
      <w:r w:rsidRPr="00FA78B1">
        <w:rPr>
          <w:noProof/>
        </w:rPr>
        <w:fldChar w:fldCharType="end"/>
      </w:r>
    </w:p>
    <w:p w:rsidR="00E429F5" w:rsidRPr="00FA78B1" w:rsidRDefault="00E429F5">
      <w:pPr>
        <w:pStyle w:val="TOC5"/>
        <w:rPr>
          <w:rFonts w:asciiTheme="minorHAnsi" w:eastAsiaTheme="minorEastAsia" w:hAnsiTheme="minorHAnsi" w:cstheme="minorBidi"/>
          <w:noProof/>
          <w:kern w:val="0"/>
          <w:sz w:val="22"/>
          <w:szCs w:val="22"/>
        </w:rPr>
      </w:pPr>
      <w:r w:rsidRPr="00FA78B1">
        <w:rPr>
          <w:noProof/>
        </w:rPr>
        <w:t>4</w:t>
      </w:r>
      <w:r w:rsidRPr="00FA78B1">
        <w:rPr>
          <w:noProof/>
        </w:rPr>
        <w:tab/>
        <w:t>Schedules</w:t>
      </w:r>
      <w:r w:rsidRPr="00FA78B1">
        <w:rPr>
          <w:noProof/>
        </w:rPr>
        <w:tab/>
      </w:r>
      <w:r w:rsidRPr="00FA78B1">
        <w:rPr>
          <w:noProof/>
        </w:rPr>
        <w:fldChar w:fldCharType="begin"/>
      </w:r>
      <w:r w:rsidRPr="00FA78B1">
        <w:rPr>
          <w:noProof/>
        </w:rPr>
        <w:instrText xml:space="preserve"> PAGEREF _Toc415724510 \h </w:instrText>
      </w:r>
      <w:r w:rsidRPr="00FA78B1">
        <w:rPr>
          <w:noProof/>
        </w:rPr>
      </w:r>
      <w:r w:rsidRPr="00FA78B1">
        <w:rPr>
          <w:noProof/>
        </w:rPr>
        <w:fldChar w:fldCharType="separate"/>
      </w:r>
      <w:r w:rsidR="00771504">
        <w:rPr>
          <w:noProof/>
        </w:rPr>
        <w:t>1</w:t>
      </w:r>
      <w:r w:rsidRPr="00FA78B1">
        <w:rPr>
          <w:noProof/>
        </w:rPr>
        <w:fldChar w:fldCharType="end"/>
      </w:r>
    </w:p>
    <w:p w:rsidR="00E429F5" w:rsidRPr="00FA78B1" w:rsidRDefault="00E429F5">
      <w:pPr>
        <w:pStyle w:val="TOC6"/>
        <w:rPr>
          <w:rFonts w:asciiTheme="minorHAnsi" w:eastAsiaTheme="minorEastAsia" w:hAnsiTheme="minorHAnsi" w:cstheme="minorBidi"/>
          <w:b w:val="0"/>
          <w:noProof/>
          <w:kern w:val="0"/>
          <w:sz w:val="22"/>
          <w:szCs w:val="22"/>
        </w:rPr>
      </w:pPr>
      <w:r w:rsidRPr="00FA78B1">
        <w:rPr>
          <w:noProof/>
        </w:rPr>
        <w:t>Schedule</w:t>
      </w:r>
      <w:r w:rsidR="00FA78B1" w:rsidRPr="00FA78B1">
        <w:rPr>
          <w:noProof/>
        </w:rPr>
        <w:t> </w:t>
      </w:r>
      <w:r w:rsidRPr="00FA78B1">
        <w:rPr>
          <w:noProof/>
        </w:rPr>
        <w:t>1—Amendments relating to high level health claims applications</w:t>
      </w:r>
      <w:r w:rsidRPr="00FA78B1">
        <w:rPr>
          <w:b w:val="0"/>
          <w:noProof/>
          <w:sz w:val="18"/>
        </w:rPr>
        <w:tab/>
      </w:r>
      <w:r w:rsidRPr="00FA78B1">
        <w:rPr>
          <w:b w:val="0"/>
          <w:noProof/>
          <w:sz w:val="18"/>
        </w:rPr>
        <w:fldChar w:fldCharType="begin"/>
      </w:r>
      <w:r w:rsidRPr="00FA78B1">
        <w:rPr>
          <w:b w:val="0"/>
          <w:noProof/>
          <w:sz w:val="18"/>
        </w:rPr>
        <w:instrText xml:space="preserve"> PAGEREF _Toc415724511 \h </w:instrText>
      </w:r>
      <w:r w:rsidRPr="00FA78B1">
        <w:rPr>
          <w:b w:val="0"/>
          <w:noProof/>
          <w:sz w:val="18"/>
        </w:rPr>
      </w:r>
      <w:r w:rsidRPr="00FA78B1">
        <w:rPr>
          <w:b w:val="0"/>
          <w:noProof/>
          <w:sz w:val="18"/>
        </w:rPr>
        <w:fldChar w:fldCharType="separate"/>
      </w:r>
      <w:r w:rsidR="00771504">
        <w:rPr>
          <w:b w:val="0"/>
          <w:noProof/>
          <w:sz w:val="18"/>
        </w:rPr>
        <w:t>2</w:t>
      </w:r>
      <w:r w:rsidRPr="00FA78B1">
        <w:rPr>
          <w:b w:val="0"/>
          <w:noProof/>
          <w:sz w:val="18"/>
        </w:rPr>
        <w:fldChar w:fldCharType="end"/>
      </w:r>
    </w:p>
    <w:p w:rsidR="00E429F5" w:rsidRPr="00FA78B1" w:rsidRDefault="00E429F5">
      <w:pPr>
        <w:pStyle w:val="TOC9"/>
        <w:rPr>
          <w:rFonts w:asciiTheme="minorHAnsi" w:eastAsiaTheme="minorEastAsia" w:hAnsiTheme="minorHAnsi" w:cstheme="minorBidi"/>
          <w:i w:val="0"/>
          <w:noProof/>
          <w:kern w:val="0"/>
          <w:sz w:val="22"/>
          <w:szCs w:val="22"/>
        </w:rPr>
      </w:pPr>
      <w:r w:rsidRPr="00FA78B1">
        <w:rPr>
          <w:noProof/>
        </w:rPr>
        <w:t>Food Standards Australia New Zealand Regulations</w:t>
      </w:r>
      <w:r w:rsidR="00FA78B1" w:rsidRPr="00FA78B1">
        <w:rPr>
          <w:noProof/>
        </w:rPr>
        <w:t> </w:t>
      </w:r>
      <w:r w:rsidRPr="00FA78B1">
        <w:rPr>
          <w:noProof/>
        </w:rPr>
        <w:t>1994</w:t>
      </w:r>
      <w:r w:rsidRPr="00FA78B1">
        <w:rPr>
          <w:i w:val="0"/>
          <w:noProof/>
          <w:sz w:val="18"/>
        </w:rPr>
        <w:tab/>
      </w:r>
      <w:r w:rsidRPr="00FA78B1">
        <w:rPr>
          <w:i w:val="0"/>
          <w:noProof/>
          <w:sz w:val="18"/>
        </w:rPr>
        <w:fldChar w:fldCharType="begin"/>
      </w:r>
      <w:r w:rsidRPr="00FA78B1">
        <w:rPr>
          <w:i w:val="0"/>
          <w:noProof/>
          <w:sz w:val="18"/>
        </w:rPr>
        <w:instrText xml:space="preserve"> PAGEREF _Toc415724512 \h </w:instrText>
      </w:r>
      <w:r w:rsidRPr="00FA78B1">
        <w:rPr>
          <w:i w:val="0"/>
          <w:noProof/>
          <w:sz w:val="18"/>
        </w:rPr>
      </w:r>
      <w:r w:rsidRPr="00FA78B1">
        <w:rPr>
          <w:i w:val="0"/>
          <w:noProof/>
          <w:sz w:val="18"/>
        </w:rPr>
        <w:fldChar w:fldCharType="separate"/>
      </w:r>
      <w:r w:rsidR="00771504">
        <w:rPr>
          <w:i w:val="0"/>
          <w:noProof/>
          <w:sz w:val="18"/>
        </w:rPr>
        <w:t>2</w:t>
      </w:r>
      <w:r w:rsidRPr="00FA78B1">
        <w:rPr>
          <w:i w:val="0"/>
          <w:noProof/>
          <w:sz w:val="18"/>
        </w:rPr>
        <w:fldChar w:fldCharType="end"/>
      </w:r>
    </w:p>
    <w:p w:rsidR="00E429F5" w:rsidRPr="00FA78B1" w:rsidRDefault="00E429F5">
      <w:pPr>
        <w:pStyle w:val="TOC6"/>
        <w:rPr>
          <w:rFonts w:asciiTheme="minorHAnsi" w:eastAsiaTheme="minorEastAsia" w:hAnsiTheme="minorHAnsi" w:cstheme="minorBidi"/>
          <w:b w:val="0"/>
          <w:noProof/>
          <w:kern w:val="0"/>
          <w:sz w:val="22"/>
          <w:szCs w:val="22"/>
        </w:rPr>
      </w:pPr>
      <w:r w:rsidRPr="00FA78B1">
        <w:rPr>
          <w:noProof/>
        </w:rPr>
        <w:t>Schedule</w:t>
      </w:r>
      <w:r w:rsidR="00FA78B1" w:rsidRPr="00FA78B1">
        <w:rPr>
          <w:noProof/>
        </w:rPr>
        <w:t> </w:t>
      </w:r>
      <w:r w:rsidRPr="00FA78B1">
        <w:rPr>
          <w:noProof/>
        </w:rPr>
        <w:t>2—Other amendments</w:t>
      </w:r>
      <w:r w:rsidRPr="00FA78B1">
        <w:rPr>
          <w:b w:val="0"/>
          <w:noProof/>
          <w:sz w:val="18"/>
        </w:rPr>
        <w:tab/>
      </w:r>
      <w:r w:rsidRPr="00FA78B1">
        <w:rPr>
          <w:b w:val="0"/>
          <w:noProof/>
          <w:sz w:val="18"/>
        </w:rPr>
        <w:fldChar w:fldCharType="begin"/>
      </w:r>
      <w:r w:rsidRPr="00FA78B1">
        <w:rPr>
          <w:b w:val="0"/>
          <w:noProof/>
          <w:sz w:val="18"/>
        </w:rPr>
        <w:instrText xml:space="preserve"> PAGEREF _Toc415724519 \h </w:instrText>
      </w:r>
      <w:r w:rsidRPr="00FA78B1">
        <w:rPr>
          <w:b w:val="0"/>
          <w:noProof/>
          <w:sz w:val="18"/>
        </w:rPr>
      </w:r>
      <w:r w:rsidRPr="00FA78B1">
        <w:rPr>
          <w:b w:val="0"/>
          <w:noProof/>
          <w:sz w:val="18"/>
        </w:rPr>
        <w:fldChar w:fldCharType="separate"/>
      </w:r>
      <w:r w:rsidR="00771504">
        <w:rPr>
          <w:b w:val="0"/>
          <w:noProof/>
          <w:sz w:val="18"/>
        </w:rPr>
        <w:t>11</w:t>
      </w:r>
      <w:r w:rsidRPr="00FA78B1">
        <w:rPr>
          <w:b w:val="0"/>
          <w:noProof/>
          <w:sz w:val="18"/>
        </w:rPr>
        <w:fldChar w:fldCharType="end"/>
      </w:r>
    </w:p>
    <w:p w:rsidR="00E429F5" w:rsidRPr="00FA78B1" w:rsidRDefault="00E429F5">
      <w:pPr>
        <w:pStyle w:val="TOC9"/>
        <w:rPr>
          <w:rFonts w:asciiTheme="minorHAnsi" w:eastAsiaTheme="minorEastAsia" w:hAnsiTheme="minorHAnsi" w:cstheme="minorBidi"/>
          <w:i w:val="0"/>
          <w:noProof/>
          <w:kern w:val="0"/>
          <w:sz w:val="22"/>
          <w:szCs w:val="22"/>
        </w:rPr>
      </w:pPr>
      <w:r w:rsidRPr="00FA78B1">
        <w:rPr>
          <w:noProof/>
        </w:rPr>
        <w:t>Food Standards Australia New Zealand Regulations</w:t>
      </w:r>
      <w:r w:rsidR="00FA78B1" w:rsidRPr="00FA78B1">
        <w:rPr>
          <w:noProof/>
        </w:rPr>
        <w:t> </w:t>
      </w:r>
      <w:r w:rsidRPr="00FA78B1">
        <w:rPr>
          <w:noProof/>
        </w:rPr>
        <w:t>1994</w:t>
      </w:r>
      <w:r w:rsidRPr="00FA78B1">
        <w:rPr>
          <w:i w:val="0"/>
          <w:noProof/>
          <w:sz w:val="18"/>
        </w:rPr>
        <w:tab/>
      </w:r>
      <w:r w:rsidRPr="00FA78B1">
        <w:rPr>
          <w:i w:val="0"/>
          <w:noProof/>
          <w:sz w:val="18"/>
        </w:rPr>
        <w:fldChar w:fldCharType="begin"/>
      </w:r>
      <w:r w:rsidRPr="00FA78B1">
        <w:rPr>
          <w:i w:val="0"/>
          <w:noProof/>
          <w:sz w:val="18"/>
        </w:rPr>
        <w:instrText xml:space="preserve"> PAGEREF _Toc415724520 \h </w:instrText>
      </w:r>
      <w:r w:rsidRPr="00FA78B1">
        <w:rPr>
          <w:i w:val="0"/>
          <w:noProof/>
          <w:sz w:val="18"/>
        </w:rPr>
      </w:r>
      <w:r w:rsidRPr="00FA78B1">
        <w:rPr>
          <w:i w:val="0"/>
          <w:noProof/>
          <w:sz w:val="18"/>
        </w:rPr>
        <w:fldChar w:fldCharType="separate"/>
      </w:r>
      <w:r w:rsidR="00771504">
        <w:rPr>
          <w:i w:val="0"/>
          <w:noProof/>
          <w:sz w:val="18"/>
        </w:rPr>
        <w:t>11</w:t>
      </w:r>
      <w:r w:rsidRPr="00FA78B1">
        <w:rPr>
          <w:i w:val="0"/>
          <w:noProof/>
          <w:sz w:val="18"/>
        </w:rPr>
        <w:fldChar w:fldCharType="end"/>
      </w:r>
    </w:p>
    <w:p w:rsidR="00833416" w:rsidRPr="00FA78B1" w:rsidRDefault="00E429F5" w:rsidP="0048364F">
      <w:r w:rsidRPr="00FA78B1">
        <w:fldChar w:fldCharType="end"/>
      </w:r>
    </w:p>
    <w:p w:rsidR="00722023" w:rsidRPr="00FA78B1" w:rsidRDefault="00722023" w:rsidP="0048364F">
      <w:pPr>
        <w:sectPr w:rsidR="00722023" w:rsidRPr="00FA78B1" w:rsidSect="009947D7">
          <w:headerReference w:type="even" r:id="rId15"/>
          <w:headerReference w:type="default" r:id="rId16"/>
          <w:footerReference w:type="even" r:id="rId17"/>
          <w:footerReference w:type="default" r:id="rId18"/>
          <w:headerReference w:type="first" r:id="rId19"/>
          <w:pgSz w:w="11907" w:h="16839"/>
          <w:pgMar w:top="2375" w:right="2410" w:bottom="4253" w:left="2410" w:header="720" w:footer="3402" w:gutter="0"/>
          <w:pgNumType w:fmt="lowerRoman" w:start="1"/>
          <w:cols w:space="708"/>
          <w:docGrid w:linePitch="360"/>
        </w:sectPr>
      </w:pPr>
    </w:p>
    <w:p w:rsidR="0048364F" w:rsidRPr="00FA78B1" w:rsidRDefault="0048364F" w:rsidP="0048364F">
      <w:pPr>
        <w:pStyle w:val="ActHead5"/>
      </w:pPr>
      <w:bookmarkStart w:id="3" w:name="_Toc415724507"/>
      <w:r w:rsidRPr="00FA78B1">
        <w:rPr>
          <w:rStyle w:val="CharSectno"/>
        </w:rPr>
        <w:lastRenderedPageBreak/>
        <w:t>1</w:t>
      </w:r>
      <w:r w:rsidRPr="00FA78B1">
        <w:t xml:space="preserve">  </w:t>
      </w:r>
      <w:r w:rsidR="004F676E" w:rsidRPr="00FA78B1">
        <w:t>Name</w:t>
      </w:r>
      <w:bookmarkEnd w:id="3"/>
    </w:p>
    <w:p w:rsidR="0048364F" w:rsidRPr="00FA78B1" w:rsidRDefault="0048364F" w:rsidP="0048364F">
      <w:pPr>
        <w:pStyle w:val="subsection"/>
      </w:pPr>
      <w:r w:rsidRPr="00FA78B1">
        <w:tab/>
      </w:r>
      <w:r w:rsidRPr="00FA78B1">
        <w:tab/>
        <w:t>Th</w:t>
      </w:r>
      <w:r w:rsidR="00F24C35" w:rsidRPr="00FA78B1">
        <w:t>is</w:t>
      </w:r>
      <w:r w:rsidRPr="00FA78B1">
        <w:t xml:space="preserve"> </w:t>
      </w:r>
      <w:r w:rsidR="00F24C35" w:rsidRPr="00FA78B1">
        <w:t>is</w:t>
      </w:r>
      <w:r w:rsidR="003801D0" w:rsidRPr="00FA78B1">
        <w:t xml:space="preserve"> the</w:t>
      </w:r>
      <w:r w:rsidRPr="00FA78B1">
        <w:t xml:space="preserve"> </w:t>
      </w:r>
      <w:bookmarkStart w:id="4" w:name="BKCheck15B_4"/>
      <w:bookmarkEnd w:id="4"/>
      <w:r w:rsidR="00CB0180" w:rsidRPr="00FA78B1">
        <w:rPr>
          <w:i/>
        </w:rPr>
        <w:fldChar w:fldCharType="begin"/>
      </w:r>
      <w:r w:rsidR="00CB0180" w:rsidRPr="00FA78B1">
        <w:rPr>
          <w:i/>
        </w:rPr>
        <w:instrText xml:space="preserve"> STYLEREF  ShortT </w:instrText>
      </w:r>
      <w:r w:rsidR="00CB0180" w:rsidRPr="00FA78B1">
        <w:rPr>
          <w:i/>
        </w:rPr>
        <w:fldChar w:fldCharType="separate"/>
      </w:r>
      <w:r w:rsidR="00771504">
        <w:rPr>
          <w:i/>
          <w:noProof/>
        </w:rPr>
        <w:t>Food Standards Australia New Zealand Amendment (High Level Health Claims and Other Measures) Regulation 2015</w:t>
      </w:r>
      <w:r w:rsidR="00CB0180" w:rsidRPr="00FA78B1">
        <w:rPr>
          <w:i/>
        </w:rPr>
        <w:fldChar w:fldCharType="end"/>
      </w:r>
      <w:r w:rsidRPr="00FA78B1">
        <w:t>.</w:t>
      </w:r>
    </w:p>
    <w:p w:rsidR="0048364F" w:rsidRPr="00FA78B1" w:rsidRDefault="0048364F" w:rsidP="0048364F">
      <w:pPr>
        <w:pStyle w:val="ActHead5"/>
      </w:pPr>
      <w:bookmarkStart w:id="5" w:name="_Toc415724508"/>
      <w:r w:rsidRPr="00FA78B1">
        <w:rPr>
          <w:rStyle w:val="CharSectno"/>
        </w:rPr>
        <w:t>2</w:t>
      </w:r>
      <w:r w:rsidRPr="00FA78B1">
        <w:t xml:space="preserve">  Commencement</w:t>
      </w:r>
      <w:bookmarkEnd w:id="5"/>
    </w:p>
    <w:p w:rsidR="004F676E" w:rsidRPr="00FA78B1" w:rsidRDefault="004F676E" w:rsidP="004F676E">
      <w:pPr>
        <w:pStyle w:val="subsection"/>
      </w:pPr>
      <w:bookmarkStart w:id="6" w:name="_GoBack"/>
      <w:r w:rsidRPr="00FA78B1">
        <w:tab/>
      </w:r>
      <w:r w:rsidRPr="00FA78B1">
        <w:tab/>
        <w:t>Th</w:t>
      </w:r>
      <w:r w:rsidR="00F24C35" w:rsidRPr="00FA78B1">
        <w:t>is</w:t>
      </w:r>
      <w:r w:rsidRPr="00FA78B1">
        <w:t xml:space="preserve"> </w:t>
      </w:r>
      <w:r w:rsidR="00011222" w:rsidRPr="00FA78B1">
        <w:t>instrument</w:t>
      </w:r>
      <w:r w:rsidRPr="00FA78B1">
        <w:t xml:space="preserve"> commence</w:t>
      </w:r>
      <w:r w:rsidR="00D17B17" w:rsidRPr="00FA78B1">
        <w:t>s</w:t>
      </w:r>
      <w:r w:rsidRPr="00FA78B1">
        <w:t xml:space="preserve"> on </w:t>
      </w:r>
      <w:r w:rsidR="00A26DBE" w:rsidRPr="00FA78B1">
        <w:t xml:space="preserve">the </w:t>
      </w:r>
      <w:r w:rsidR="0029233E" w:rsidRPr="00FA78B1">
        <w:t xml:space="preserve">first day of the month following the day the instrument is </w:t>
      </w:r>
      <w:r w:rsidR="006D01EC" w:rsidRPr="00FA78B1">
        <w:t>registered</w:t>
      </w:r>
      <w:r w:rsidRPr="00FA78B1">
        <w:t>.</w:t>
      </w:r>
      <w:bookmarkEnd w:id="6"/>
    </w:p>
    <w:p w:rsidR="007769D4" w:rsidRPr="00FA78B1" w:rsidRDefault="007769D4" w:rsidP="007769D4">
      <w:pPr>
        <w:pStyle w:val="ActHead5"/>
      </w:pPr>
      <w:bookmarkStart w:id="7" w:name="_Toc415724509"/>
      <w:r w:rsidRPr="00FA78B1">
        <w:rPr>
          <w:rStyle w:val="CharSectno"/>
        </w:rPr>
        <w:t>3</w:t>
      </w:r>
      <w:r w:rsidRPr="00FA78B1">
        <w:t xml:space="preserve">  Authority</w:t>
      </w:r>
      <w:bookmarkEnd w:id="7"/>
    </w:p>
    <w:p w:rsidR="007769D4" w:rsidRPr="00FA78B1" w:rsidRDefault="007769D4" w:rsidP="007769D4">
      <w:pPr>
        <w:pStyle w:val="subsection"/>
      </w:pPr>
      <w:r w:rsidRPr="00FA78B1">
        <w:tab/>
      </w:r>
      <w:r w:rsidRPr="00FA78B1">
        <w:tab/>
      </w:r>
      <w:r w:rsidR="00AF0336" w:rsidRPr="00FA78B1">
        <w:t xml:space="preserve">This </w:t>
      </w:r>
      <w:r w:rsidR="00011222" w:rsidRPr="00FA78B1">
        <w:t>instrument</w:t>
      </w:r>
      <w:r w:rsidR="00AF0336" w:rsidRPr="00FA78B1">
        <w:t xml:space="preserve"> is made under the </w:t>
      </w:r>
      <w:r w:rsidR="006D01EC" w:rsidRPr="00FA78B1">
        <w:rPr>
          <w:i/>
        </w:rPr>
        <w:t>Food Standards Australia New Zealand Act 1991</w:t>
      </w:r>
      <w:r w:rsidR="00D83D21" w:rsidRPr="00FA78B1">
        <w:rPr>
          <w:i/>
        </w:rPr>
        <w:t>.</w:t>
      </w:r>
    </w:p>
    <w:p w:rsidR="00557C7A" w:rsidRPr="00FA78B1" w:rsidRDefault="007769D4" w:rsidP="00557C7A">
      <w:pPr>
        <w:pStyle w:val="ActHead5"/>
      </w:pPr>
      <w:bookmarkStart w:id="8" w:name="_Toc415724510"/>
      <w:r w:rsidRPr="00FA78B1">
        <w:rPr>
          <w:rStyle w:val="CharSectno"/>
        </w:rPr>
        <w:t>4</w:t>
      </w:r>
      <w:r w:rsidR="00557C7A" w:rsidRPr="00FA78B1">
        <w:t xml:space="preserve">  </w:t>
      </w:r>
      <w:r w:rsidR="00B332B8" w:rsidRPr="00FA78B1">
        <w:t>Schedules</w:t>
      </w:r>
      <w:bookmarkEnd w:id="8"/>
    </w:p>
    <w:p w:rsidR="00557C7A" w:rsidRPr="00FA78B1" w:rsidRDefault="00557C7A" w:rsidP="00557C7A">
      <w:pPr>
        <w:pStyle w:val="subsection"/>
      </w:pPr>
      <w:r w:rsidRPr="00FA78B1">
        <w:tab/>
      </w:r>
      <w:r w:rsidRPr="00FA78B1">
        <w:tab/>
      </w:r>
      <w:r w:rsidR="00CD7ECB" w:rsidRPr="00FA78B1">
        <w:t xml:space="preserve">Each instrument that is specified in a Schedule to </w:t>
      </w:r>
      <w:r w:rsidR="006D01EC" w:rsidRPr="00FA78B1">
        <w:t>this instrument</w:t>
      </w:r>
      <w:r w:rsidR="00C814F5" w:rsidRPr="00FA78B1">
        <w:t xml:space="preserve"> </w:t>
      </w:r>
      <w:r w:rsidR="00CD7ECB" w:rsidRPr="00FA78B1">
        <w:t xml:space="preserve">is amended or repealed as set out in the applicable items in the Schedule concerned, and any other item in a Schedule to </w:t>
      </w:r>
      <w:r w:rsidR="006D01EC" w:rsidRPr="00FA78B1">
        <w:t>this instrument</w:t>
      </w:r>
      <w:r w:rsidR="00CD7ECB" w:rsidRPr="00FA78B1">
        <w:t xml:space="preserve"> has effect according to its terms.</w:t>
      </w:r>
    </w:p>
    <w:p w:rsidR="0048364F" w:rsidRPr="00FA78B1" w:rsidRDefault="0048364F" w:rsidP="00FF3089">
      <w:pPr>
        <w:pStyle w:val="ActHead6"/>
        <w:pageBreakBefore/>
      </w:pPr>
      <w:bookmarkStart w:id="9" w:name="_Toc415724511"/>
      <w:bookmarkStart w:id="10" w:name="opcAmSched"/>
      <w:r w:rsidRPr="00FA78B1">
        <w:rPr>
          <w:rStyle w:val="CharAmSchNo"/>
        </w:rPr>
        <w:lastRenderedPageBreak/>
        <w:t>Schedule</w:t>
      </w:r>
      <w:r w:rsidR="00FA78B1" w:rsidRPr="00FA78B1">
        <w:rPr>
          <w:rStyle w:val="CharAmSchNo"/>
        </w:rPr>
        <w:t> </w:t>
      </w:r>
      <w:r w:rsidRPr="00FA78B1">
        <w:rPr>
          <w:rStyle w:val="CharAmSchNo"/>
        </w:rPr>
        <w:t>1</w:t>
      </w:r>
      <w:r w:rsidRPr="00FA78B1">
        <w:t>—</w:t>
      </w:r>
      <w:r w:rsidR="0027565A" w:rsidRPr="00FA78B1">
        <w:rPr>
          <w:rStyle w:val="CharAmSchText"/>
        </w:rPr>
        <w:t>Amendments relating to h</w:t>
      </w:r>
      <w:r w:rsidR="0058591E" w:rsidRPr="00FA78B1">
        <w:rPr>
          <w:rStyle w:val="CharAmSchText"/>
        </w:rPr>
        <w:t>igh level health claims applications</w:t>
      </w:r>
      <w:bookmarkEnd w:id="9"/>
    </w:p>
    <w:bookmarkEnd w:id="10"/>
    <w:p w:rsidR="0004044E" w:rsidRPr="00FA78B1" w:rsidRDefault="0004044E" w:rsidP="0004044E">
      <w:pPr>
        <w:pStyle w:val="Header"/>
      </w:pPr>
      <w:r w:rsidRPr="00FA78B1">
        <w:rPr>
          <w:rStyle w:val="CharAmPartNo"/>
        </w:rPr>
        <w:t xml:space="preserve"> </w:t>
      </w:r>
      <w:r w:rsidRPr="00FA78B1">
        <w:rPr>
          <w:rStyle w:val="CharAmPartText"/>
        </w:rPr>
        <w:t xml:space="preserve"> </w:t>
      </w:r>
    </w:p>
    <w:p w:rsidR="00A92FB6" w:rsidRPr="00FA78B1" w:rsidRDefault="00A92FB6" w:rsidP="00A92FB6">
      <w:pPr>
        <w:pStyle w:val="ActHead9"/>
      </w:pPr>
      <w:bookmarkStart w:id="11" w:name="_Toc415724512"/>
      <w:r w:rsidRPr="00FA78B1">
        <w:t>Food Standards Australia New Zealand Regulations</w:t>
      </w:r>
      <w:r w:rsidR="00FA78B1" w:rsidRPr="00FA78B1">
        <w:t> </w:t>
      </w:r>
      <w:r w:rsidRPr="00FA78B1">
        <w:t>1994</w:t>
      </w:r>
      <w:bookmarkEnd w:id="11"/>
    </w:p>
    <w:p w:rsidR="0027565A" w:rsidRPr="00FA78B1" w:rsidRDefault="00266AF0" w:rsidP="0027565A">
      <w:pPr>
        <w:pStyle w:val="ItemHead"/>
        <w:tabs>
          <w:tab w:val="left" w:pos="6663"/>
        </w:tabs>
      </w:pPr>
      <w:r w:rsidRPr="00FA78B1">
        <w:t>1</w:t>
      </w:r>
      <w:r w:rsidR="0027565A" w:rsidRPr="00FA78B1">
        <w:t xml:space="preserve">  Regulation</w:t>
      </w:r>
      <w:r w:rsidR="00FA78B1" w:rsidRPr="00FA78B1">
        <w:t> </w:t>
      </w:r>
      <w:r w:rsidR="0027565A" w:rsidRPr="00FA78B1">
        <w:t>2</w:t>
      </w:r>
    </w:p>
    <w:p w:rsidR="0027565A" w:rsidRPr="00FA78B1" w:rsidRDefault="0027565A" w:rsidP="0027565A">
      <w:pPr>
        <w:pStyle w:val="Item"/>
      </w:pPr>
      <w:r w:rsidRPr="00FA78B1">
        <w:t>Insert:</w:t>
      </w:r>
    </w:p>
    <w:p w:rsidR="0027565A" w:rsidRPr="00FA78B1" w:rsidRDefault="0027565A" w:rsidP="0027565A">
      <w:pPr>
        <w:pStyle w:val="Definition"/>
        <w:spacing w:before="240"/>
      </w:pPr>
      <w:r w:rsidRPr="00FA78B1">
        <w:rPr>
          <w:b/>
          <w:i/>
        </w:rPr>
        <w:t>administration charge</w:t>
      </w:r>
      <w:r w:rsidRPr="00FA78B1">
        <w:t xml:space="preserve"> has the meaning given by subregulation</w:t>
      </w:r>
      <w:r w:rsidR="00FA78B1" w:rsidRPr="00FA78B1">
        <w:t> </w:t>
      </w:r>
      <w:r w:rsidR="00C97B10" w:rsidRPr="00FA78B1">
        <w:t>8</w:t>
      </w:r>
      <w:r w:rsidRPr="00FA78B1">
        <w:t>(2).</w:t>
      </w:r>
    </w:p>
    <w:p w:rsidR="006B38A5" w:rsidRPr="00FA78B1" w:rsidRDefault="00266AF0" w:rsidP="006B38A5">
      <w:pPr>
        <w:pStyle w:val="ItemHead"/>
        <w:rPr>
          <w:i/>
        </w:rPr>
      </w:pPr>
      <w:r w:rsidRPr="00FA78B1">
        <w:t>2</w:t>
      </w:r>
      <w:r w:rsidR="006B38A5" w:rsidRPr="00FA78B1">
        <w:t xml:space="preserve">  Regulation</w:t>
      </w:r>
      <w:r w:rsidR="00FA78B1" w:rsidRPr="00FA78B1">
        <w:t> </w:t>
      </w:r>
      <w:r w:rsidR="006B38A5" w:rsidRPr="00FA78B1">
        <w:t xml:space="preserve">2 (definition of </w:t>
      </w:r>
      <w:r w:rsidR="006B38A5" w:rsidRPr="00FA78B1">
        <w:rPr>
          <w:i/>
        </w:rPr>
        <w:t>application consideration process)</w:t>
      </w:r>
    </w:p>
    <w:p w:rsidR="006B38A5" w:rsidRPr="00FA78B1" w:rsidRDefault="006B38A5" w:rsidP="003A42F6">
      <w:pPr>
        <w:pStyle w:val="Item"/>
      </w:pPr>
      <w:r w:rsidRPr="00FA78B1">
        <w:t>Repeal the definition, substitute:</w:t>
      </w:r>
    </w:p>
    <w:p w:rsidR="006B38A5" w:rsidRPr="00FA78B1" w:rsidRDefault="006B38A5" w:rsidP="006B38A5">
      <w:pPr>
        <w:pStyle w:val="Definition"/>
      </w:pPr>
      <w:r w:rsidRPr="00FA78B1">
        <w:rPr>
          <w:b/>
          <w:i/>
        </w:rPr>
        <w:t>application consideration process</w:t>
      </w:r>
      <w:r w:rsidR="0027565A" w:rsidRPr="00FA78B1">
        <w:t xml:space="preserve"> </w:t>
      </w:r>
      <w:r w:rsidRPr="00FA78B1">
        <w:t xml:space="preserve">means the process undertaken by the Authority in relation to </w:t>
      </w:r>
      <w:r w:rsidR="0027565A" w:rsidRPr="00FA78B1">
        <w:t xml:space="preserve">the </w:t>
      </w:r>
      <w:r w:rsidRPr="00FA78B1">
        <w:t>application under:</w:t>
      </w:r>
    </w:p>
    <w:p w:rsidR="006B38A5" w:rsidRPr="00FA78B1" w:rsidRDefault="006B38A5" w:rsidP="006B38A5">
      <w:pPr>
        <w:pStyle w:val="paragraph"/>
      </w:pPr>
      <w:r w:rsidRPr="00FA78B1">
        <w:tab/>
        <w:t>(a)</w:t>
      </w:r>
      <w:r w:rsidRPr="00FA78B1">
        <w:tab/>
        <w:t>Part</w:t>
      </w:r>
      <w:r w:rsidR="00FA78B1" w:rsidRPr="00FA78B1">
        <w:t> </w:t>
      </w:r>
      <w:r w:rsidRPr="00FA78B1">
        <w:t>3 of the Act, other than the Authority</w:t>
      </w:r>
      <w:r w:rsidR="00DA6DF7" w:rsidRPr="00FA78B1">
        <w:t>’</w:t>
      </w:r>
      <w:r w:rsidRPr="00FA78B1">
        <w:t>s dealings with the Council; and</w:t>
      </w:r>
    </w:p>
    <w:p w:rsidR="006B38A5" w:rsidRPr="00FA78B1" w:rsidRDefault="006B38A5" w:rsidP="006B38A5">
      <w:pPr>
        <w:pStyle w:val="paragraph"/>
      </w:pPr>
      <w:r w:rsidRPr="00FA78B1">
        <w:tab/>
        <w:t>(b)</w:t>
      </w:r>
      <w:r w:rsidRPr="00FA78B1">
        <w:tab/>
        <w:t>any other Commonwealth law.</w:t>
      </w:r>
    </w:p>
    <w:p w:rsidR="006B38A5" w:rsidRPr="00FA78B1" w:rsidRDefault="006B38A5" w:rsidP="006B38A5">
      <w:pPr>
        <w:pStyle w:val="notetext"/>
      </w:pPr>
      <w:r w:rsidRPr="00FA78B1">
        <w:t>Note:</w:t>
      </w:r>
      <w:r w:rsidRPr="00FA78B1">
        <w:tab/>
        <w:t xml:space="preserve">An example for </w:t>
      </w:r>
      <w:r w:rsidR="00FA78B1" w:rsidRPr="00FA78B1">
        <w:t>paragraph (</w:t>
      </w:r>
      <w:r w:rsidRPr="00FA78B1">
        <w:t xml:space="preserve">b) is </w:t>
      </w:r>
      <w:r w:rsidR="006F0DFE" w:rsidRPr="00FA78B1">
        <w:t>a law that requires a new standard to be registered</w:t>
      </w:r>
      <w:r w:rsidRPr="00FA78B1">
        <w:t>.</w:t>
      </w:r>
    </w:p>
    <w:p w:rsidR="006B38A5" w:rsidRPr="00FA78B1" w:rsidRDefault="00266AF0" w:rsidP="006B38A5">
      <w:pPr>
        <w:pStyle w:val="ItemHead"/>
        <w:tabs>
          <w:tab w:val="left" w:pos="6663"/>
        </w:tabs>
      </w:pPr>
      <w:r w:rsidRPr="00FA78B1">
        <w:t>3</w:t>
      </w:r>
      <w:r w:rsidR="006B38A5" w:rsidRPr="00FA78B1">
        <w:t xml:space="preserve">  Regulation</w:t>
      </w:r>
      <w:r w:rsidR="00FA78B1" w:rsidRPr="00FA78B1">
        <w:t> </w:t>
      </w:r>
      <w:r w:rsidR="006B38A5" w:rsidRPr="00FA78B1">
        <w:t>2</w:t>
      </w:r>
    </w:p>
    <w:p w:rsidR="006B38A5" w:rsidRPr="00FA78B1" w:rsidRDefault="006B38A5" w:rsidP="006B38A5">
      <w:pPr>
        <w:pStyle w:val="Item"/>
      </w:pPr>
      <w:r w:rsidRPr="00FA78B1">
        <w:t>Insert:</w:t>
      </w:r>
    </w:p>
    <w:p w:rsidR="00DA6DF7" w:rsidRPr="00FA78B1" w:rsidRDefault="00DA6DF7" w:rsidP="00DA6DF7">
      <w:pPr>
        <w:pStyle w:val="Definition"/>
        <w:spacing w:before="240"/>
      </w:pPr>
      <w:r w:rsidRPr="00FA78B1">
        <w:rPr>
          <w:b/>
          <w:i/>
        </w:rPr>
        <w:t>general procedure level 1</w:t>
      </w:r>
      <w:r w:rsidR="008E0B5A" w:rsidRPr="00FA78B1">
        <w:rPr>
          <w:b/>
          <w:i/>
        </w:rPr>
        <w:t xml:space="preserve"> </w:t>
      </w:r>
      <w:r w:rsidRPr="00FA78B1">
        <w:rPr>
          <w:b/>
          <w:i/>
        </w:rPr>
        <w:t>application</w:t>
      </w:r>
      <w:r w:rsidRPr="00FA78B1">
        <w:rPr>
          <w:i/>
        </w:rPr>
        <w:t xml:space="preserve"> </w:t>
      </w:r>
      <w:r w:rsidR="00AE429C" w:rsidRPr="00FA78B1">
        <w:t>means an application</w:t>
      </w:r>
      <w:r w:rsidRPr="00FA78B1">
        <w:t xml:space="preserve"> that the Authority has classified as </w:t>
      </w:r>
      <w:r w:rsidR="008E0B5A" w:rsidRPr="00FA78B1">
        <w:t xml:space="preserve">a </w:t>
      </w:r>
      <w:r w:rsidRPr="00FA78B1">
        <w:t xml:space="preserve">general procedure level 1 </w:t>
      </w:r>
      <w:r w:rsidR="008E0B5A" w:rsidRPr="00FA78B1">
        <w:t xml:space="preserve">application </w:t>
      </w:r>
      <w:r w:rsidRPr="00FA78B1">
        <w:t>under regulation</w:t>
      </w:r>
      <w:r w:rsidR="00FA78B1" w:rsidRPr="00FA78B1">
        <w:t> </w:t>
      </w:r>
      <w:r w:rsidR="00C97B10" w:rsidRPr="00FA78B1">
        <w:t>7</w:t>
      </w:r>
      <w:r w:rsidRPr="00FA78B1">
        <w:t>.</w:t>
      </w:r>
    </w:p>
    <w:p w:rsidR="008E0B5A" w:rsidRPr="00FA78B1" w:rsidRDefault="008E0B5A" w:rsidP="00DA6DF7">
      <w:pPr>
        <w:pStyle w:val="Definition"/>
        <w:spacing w:before="240"/>
      </w:pPr>
      <w:r w:rsidRPr="00FA78B1">
        <w:rPr>
          <w:b/>
          <w:i/>
        </w:rPr>
        <w:t>general procedure level 2 application</w:t>
      </w:r>
      <w:r w:rsidRPr="00FA78B1">
        <w:rPr>
          <w:i/>
        </w:rPr>
        <w:t xml:space="preserve"> </w:t>
      </w:r>
      <w:r w:rsidRPr="00FA78B1">
        <w:t>means an application that the Authority has classified as a general procedure level 2 application under regulation</w:t>
      </w:r>
      <w:r w:rsidR="00FA78B1" w:rsidRPr="00FA78B1">
        <w:t> </w:t>
      </w:r>
      <w:r w:rsidR="00C97B10" w:rsidRPr="00FA78B1">
        <w:t>7</w:t>
      </w:r>
      <w:r w:rsidRPr="00FA78B1">
        <w:t>.</w:t>
      </w:r>
    </w:p>
    <w:p w:rsidR="008E0B5A" w:rsidRPr="00FA78B1" w:rsidRDefault="008E0B5A" w:rsidP="008E0B5A">
      <w:pPr>
        <w:pStyle w:val="Definition"/>
        <w:spacing w:before="240"/>
      </w:pPr>
      <w:r w:rsidRPr="00FA78B1">
        <w:rPr>
          <w:b/>
          <w:i/>
        </w:rPr>
        <w:t>general procedure level 3 application</w:t>
      </w:r>
      <w:r w:rsidRPr="00FA78B1">
        <w:rPr>
          <w:i/>
        </w:rPr>
        <w:t xml:space="preserve"> </w:t>
      </w:r>
      <w:r w:rsidRPr="00FA78B1">
        <w:t>means an application that the Authority has classified as a general procedure level 3 application under regulation</w:t>
      </w:r>
      <w:r w:rsidR="00FA78B1" w:rsidRPr="00FA78B1">
        <w:t> </w:t>
      </w:r>
      <w:r w:rsidR="00C97B10" w:rsidRPr="00FA78B1">
        <w:t>7</w:t>
      </w:r>
      <w:r w:rsidRPr="00FA78B1">
        <w:t>.</w:t>
      </w:r>
    </w:p>
    <w:p w:rsidR="008E0B5A" w:rsidRPr="00FA78B1" w:rsidRDefault="008E0B5A" w:rsidP="00DA6DF7">
      <w:pPr>
        <w:pStyle w:val="Definition"/>
        <w:spacing w:before="240"/>
      </w:pPr>
      <w:r w:rsidRPr="00FA78B1">
        <w:rPr>
          <w:b/>
          <w:i/>
        </w:rPr>
        <w:lastRenderedPageBreak/>
        <w:t>general procedure level 4 application</w:t>
      </w:r>
      <w:r w:rsidRPr="00FA78B1">
        <w:rPr>
          <w:i/>
        </w:rPr>
        <w:t xml:space="preserve"> </w:t>
      </w:r>
      <w:r w:rsidRPr="00FA78B1">
        <w:t>means an application that the Authority has classified as a general procedure level 4 application under regulation</w:t>
      </w:r>
      <w:r w:rsidR="00FA78B1" w:rsidRPr="00FA78B1">
        <w:t> </w:t>
      </w:r>
      <w:r w:rsidR="00C97B10" w:rsidRPr="00FA78B1">
        <w:t>7</w:t>
      </w:r>
      <w:r w:rsidRPr="00FA78B1">
        <w:t>.</w:t>
      </w:r>
    </w:p>
    <w:p w:rsidR="00DA6DF7" w:rsidRPr="00FA78B1" w:rsidRDefault="00DA6DF7" w:rsidP="00DA6DF7">
      <w:pPr>
        <w:pStyle w:val="Definition"/>
        <w:spacing w:before="240"/>
      </w:pPr>
      <w:r w:rsidRPr="00FA78B1">
        <w:rPr>
          <w:b/>
          <w:i/>
        </w:rPr>
        <w:t>high level health claims procedure level 1 application</w:t>
      </w:r>
      <w:r w:rsidRPr="00FA78B1">
        <w:rPr>
          <w:i/>
        </w:rPr>
        <w:t xml:space="preserve"> </w:t>
      </w:r>
      <w:r w:rsidR="00AE429C" w:rsidRPr="00FA78B1">
        <w:t>means an application</w:t>
      </w:r>
      <w:r w:rsidRPr="00FA78B1">
        <w:t xml:space="preserve"> </w:t>
      </w:r>
      <w:r w:rsidR="001958C6" w:rsidRPr="00FA78B1">
        <w:t xml:space="preserve">that </w:t>
      </w:r>
      <w:r w:rsidRPr="00FA78B1">
        <w:t xml:space="preserve">the Authority has classified as </w:t>
      </w:r>
      <w:r w:rsidR="008E0B5A" w:rsidRPr="00FA78B1">
        <w:t xml:space="preserve">a </w:t>
      </w:r>
      <w:r w:rsidRPr="00FA78B1">
        <w:t>high level health claims procedure level 1</w:t>
      </w:r>
      <w:r w:rsidR="008E0B5A" w:rsidRPr="00FA78B1">
        <w:t xml:space="preserve"> application </w:t>
      </w:r>
      <w:r w:rsidRPr="00FA78B1">
        <w:t>under regulation</w:t>
      </w:r>
      <w:r w:rsidR="00FA78B1" w:rsidRPr="00FA78B1">
        <w:t> </w:t>
      </w:r>
      <w:r w:rsidR="00C97B10" w:rsidRPr="00FA78B1">
        <w:t>7</w:t>
      </w:r>
      <w:r w:rsidRPr="00FA78B1">
        <w:t>.</w:t>
      </w:r>
    </w:p>
    <w:p w:rsidR="008E0B5A" w:rsidRPr="00FA78B1" w:rsidRDefault="008E0B5A" w:rsidP="00DA6DF7">
      <w:pPr>
        <w:pStyle w:val="Definition"/>
        <w:spacing w:before="240"/>
      </w:pPr>
      <w:r w:rsidRPr="00FA78B1">
        <w:rPr>
          <w:b/>
          <w:i/>
        </w:rPr>
        <w:t>high level health claims procedure level 2 application</w:t>
      </w:r>
      <w:r w:rsidRPr="00FA78B1">
        <w:rPr>
          <w:i/>
        </w:rPr>
        <w:t xml:space="preserve"> </w:t>
      </w:r>
      <w:r w:rsidRPr="00FA78B1">
        <w:t xml:space="preserve">means an application </w:t>
      </w:r>
      <w:r w:rsidR="001958C6" w:rsidRPr="00FA78B1">
        <w:t xml:space="preserve">that </w:t>
      </w:r>
      <w:r w:rsidRPr="00FA78B1">
        <w:t>the Authority has classified as a high level health claims procedure level 2 application under regulation</w:t>
      </w:r>
      <w:r w:rsidR="00FA78B1" w:rsidRPr="00FA78B1">
        <w:t> </w:t>
      </w:r>
      <w:r w:rsidR="00C97B10" w:rsidRPr="00FA78B1">
        <w:t>7</w:t>
      </w:r>
      <w:r w:rsidRPr="00FA78B1">
        <w:t>.</w:t>
      </w:r>
    </w:p>
    <w:p w:rsidR="008E0B5A" w:rsidRPr="00FA78B1" w:rsidRDefault="008E0B5A" w:rsidP="00DA6DF7">
      <w:pPr>
        <w:pStyle w:val="Definition"/>
        <w:spacing w:before="240"/>
      </w:pPr>
      <w:r w:rsidRPr="00FA78B1">
        <w:rPr>
          <w:b/>
          <w:i/>
        </w:rPr>
        <w:t>high level health claims procedure level 3 application</w:t>
      </w:r>
      <w:r w:rsidRPr="00FA78B1">
        <w:rPr>
          <w:i/>
        </w:rPr>
        <w:t xml:space="preserve"> </w:t>
      </w:r>
      <w:r w:rsidRPr="00FA78B1">
        <w:t xml:space="preserve">means an application </w:t>
      </w:r>
      <w:r w:rsidR="001958C6" w:rsidRPr="00FA78B1">
        <w:t xml:space="preserve">that </w:t>
      </w:r>
      <w:r w:rsidRPr="00FA78B1">
        <w:t>the Authority has classified as a high level health claims procedure level 3 application under regulation</w:t>
      </w:r>
      <w:r w:rsidR="00FA78B1" w:rsidRPr="00FA78B1">
        <w:t> </w:t>
      </w:r>
      <w:r w:rsidR="00C97B10" w:rsidRPr="00FA78B1">
        <w:t>7</w:t>
      </w:r>
      <w:r w:rsidRPr="00FA78B1">
        <w:t>.</w:t>
      </w:r>
    </w:p>
    <w:p w:rsidR="008E0B5A" w:rsidRPr="00FA78B1" w:rsidRDefault="008E0B5A" w:rsidP="00DA6DF7">
      <w:pPr>
        <w:pStyle w:val="Definition"/>
        <w:spacing w:before="240"/>
      </w:pPr>
      <w:r w:rsidRPr="00FA78B1">
        <w:rPr>
          <w:b/>
          <w:i/>
        </w:rPr>
        <w:t>high level health claims procedure level 4 application</w:t>
      </w:r>
      <w:r w:rsidRPr="00FA78B1">
        <w:rPr>
          <w:i/>
        </w:rPr>
        <w:t xml:space="preserve"> </w:t>
      </w:r>
      <w:r w:rsidRPr="00FA78B1">
        <w:t xml:space="preserve">means an application </w:t>
      </w:r>
      <w:r w:rsidR="001958C6" w:rsidRPr="00FA78B1">
        <w:t xml:space="preserve">that </w:t>
      </w:r>
      <w:r w:rsidRPr="00FA78B1">
        <w:t>the Authority has classified as a high level health claims procedure level 4 application under regulation</w:t>
      </w:r>
      <w:r w:rsidR="00FA78B1" w:rsidRPr="00FA78B1">
        <w:t> </w:t>
      </w:r>
      <w:r w:rsidR="00C97B10" w:rsidRPr="00FA78B1">
        <w:t>7</w:t>
      </w:r>
      <w:r w:rsidRPr="00FA78B1">
        <w:t>.</w:t>
      </w:r>
    </w:p>
    <w:p w:rsidR="00DA6DF7" w:rsidRPr="00FA78B1" w:rsidRDefault="00DA6DF7" w:rsidP="00DA6DF7">
      <w:pPr>
        <w:pStyle w:val="Definition"/>
      </w:pPr>
      <w:r w:rsidRPr="00FA78B1">
        <w:rPr>
          <w:b/>
          <w:i/>
        </w:rPr>
        <w:t>major procedure application</w:t>
      </w:r>
      <w:r w:rsidR="00AE429C" w:rsidRPr="00FA78B1">
        <w:t xml:space="preserve"> means an application</w:t>
      </w:r>
      <w:r w:rsidRPr="00FA78B1">
        <w:t xml:space="preserve"> that the Authority has classified as </w:t>
      </w:r>
      <w:r w:rsidR="008E0B5A" w:rsidRPr="00FA78B1">
        <w:t xml:space="preserve">a </w:t>
      </w:r>
      <w:r w:rsidRPr="00FA78B1">
        <w:t xml:space="preserve">major procedure </w:t>
      </w:r>
      <w:r w:rsidR="008E0B5A" w:rsidRPr="00FA78B1">
        <w:t xml:space="preserve">application </w:t>
      </w:r>
      <w:r w:rsidRPr="00FA78B1">
        <w:t>under regulation</w:t>
      </w:r>
      <w:r w:rsidR="00FA78B1" w:rsidRPr="00FA78B1">
        <w:t> </w:t>
      </w:r>
      <w:r w:rsidR="00C97B10" w:rsidRPr="00FA78B1">
        <w:t>7</w:t>
      </w:r>
      <w:r w:rsidRPr="00FA78B1">
        <w:t>.</w:t>
      </w:r>
    </w:p>
    <w:p w:rsidR="00DA6DF7" w:rsidRPr="00FA78B1" w:rsidRDefault="00DA6DF7" w:rsidP="00DA6DF7">
      <w:pPr>
        <w:pStyle w:val="Definition"/>
        <w:rPr>
          <w:b/>
        </w:rPr>
      </w:pPr>
      <w:r w:rsidRPr="00FA78B1">
        <w:rPr>
          <w:b/>
          <w:i/>
        </w:rPr>
        <w:t>minor procedure application</w:t>
      </w:r>
      <w:r w:rsidR="00AE429C" w:rsidRPr="00FA78B1">
        <w:t xml:space="preserve"> means an application</w:t>
      </w:r>
      <w:r w:rsidRPr="00FA78B1">
        <w:t xml:space="preserve"> that the Authority has classified as </w:t>
      </w:r>
      <w:r w:rsidR="008E0B5A" w:rsidRPr="00FA78B1">
        <w:t xml:space="preserve">a </w:t>
      </w:r>
      <w:r w:rsidRPr="00FA78B1">
        <w:t xml:space="preserve">minor procedure </w:t>
      </w:r>
      <w:r w:rsidR="008E0B5A" w:rsidRPr="00FA78B1">
        <w:t xml:space="preserve">application </w:t>
      </w:r>
      <w:r w:rsidRPr="00FA78B1">
        <w:t>under regulation</w:t>
      </w:r>
      <w:r w:rsidR="00FA78B1" w:rsidRPr="00FA78B1">
        <w:t> </w:t>
      </w:r>
      <w:r w:rsidR="00C97B10" w:rsidRPr="00FA78B1">
        <w:t>7</w:t>
      </w:r>
      <w:r w:rsidRPr="00FA78B1">
        <w:t>.</w:t>
      </w:r>
    </w:p>
    <w:p w:rsidR="006B38A5" w:rsidRPr="00FA78B1" w:rsidRDefault="00266AF0" w:rsidP="006B38A5">
      <w:pPr>
        <w:pStyle w:val="ItemHead"/>
      </w:pPr>
      <w:r w:rsidRPr="00FA78B1">
        <w:t>4</w:t>
      </w:r>
      <w:r w:rsidR="006B38A5" w:rsidRPr="00FA78B1">
        <w:t xml:space="preserve">  Regulation</w:t>
      </w:r>
      <w:r w:rsidR="00FA78B1" w:rsidRPr="00FA78B1">
        <w:t> </w:t>
      </w:r>
      <w:r w:rsidR="006B38A5" w:rsidRPr="00FA78B1">
        <w:t xml:space="preserve">2 (definition of </w:t>
      </w:r>
      <w:r w:rsidR="006B38A5" w:rsidRPr="00FA78B1">
        <w:rPr>
          <w:i/>
        </w:rPr>
        <w:t>procedure</w:t>
      </w:r>
      <w:r w:rsidR="006B38A5" w:rsidRPr="00FA78B1">
        <w:t>)</w:t>
      </w:r>
    </w:p>
    <w:p w:rsidR="0027565A" w:rsidRPr="00FA78B1" w:rsidRDefault="0027565A" w:rsidP="0027565A">
      <w:pPr>
        <w:pStyle w:val="Item"/>
      </w:pPr>
      <w:r w:rsidRPr="00FA78B1">
        <w:t>Repeal the definition.</w:t>
      </w:r>
    </w:p>
    <w:p w:rsidR="006B38A5" w:rsidRPr="00FA78B1" w:rsidRDefault="00266AF0" w:rsidP="0027565A">
      <w:pPr>
        <w:pStyle w:val="ItemHead"/>
      </w:pPr>
      <w:r w:rsidRPr="00FA78B1">
        <w:t>5</w:t>
      </w:r>
      <w:r w:rsidR="006B38A5" w:rsidRPr="00FA78B1">
        <w:t xml:space="preserve">  Regulation</w:t>
      </w:r>
      <w:r w:rsidR="0027565A" w:rsidRPr="00FA78B1">
        <w:t>s</w:t>
      </w:r>
      <w:r w:rsidR="00FA78B1" w:rsidRPr="00FA78B1">
        <w:t> </w:t>
      </w:r>
      <w:r w:rsidR="006B38A5" w:rsidRPr="00FA78B1">
        <w:t>7</w:t>
      </w:r>
      <w:r w:rsidR="0027565A" w:rsidRPr="00FA78B1">
        <w:t xml:space="preserve"> to 9</w:t>
      </w:r>
    </w:p>
    <w:p w:rsidR="006B38A5" w:rsidRPr="00FA78B1" w:rsidRDefault="006B38A5" w:rsidP="006B38A5">
      <w:pPr>
        <w:pStyle w:val="Item"/>
      </w:pPr>
      <w:r w:rsidRPr="00FA78B1">
        <w:t>Repeal the regulation</w:t>
      </w:r>
      <w:r w:rsidR="0027565A" w:rsidRPr="00FA78B1">
        <w:t>s</w:t>
      </w:r>
      <w:r w:rsidRPr="00FA78B1">
        <w:t>, substitute:</w:t>
      </w:r>
    </w:p>
    <w:p w:rsidR="00CA3EAD" w:rsidRPr="00FA78B1" w:rsidRDefault="00CA3EAD" w:rsidP="00CA3EAD">
      <w:pPr>
        <w:pStyle w:val="ActHead5"/>
      </w:pPr>
      <w:bookmarkStart w:id="12" w:name="_Toc415724513"/>
      <w:r w:rsidRPr="00FA78B1">
        <w:rPr>
          <w:rStyle w:val="CharSectno"/>
        </w:rPr>
        <w:t>7</w:t>
      </w:r>
      <w:r w:rsidRPr="00FA78B1">
        <w:t xml:space="preserve">  Procedure classification</w:t>
      </w:r>
      <w:bookmarkEnd w:id="12"/>
    </w:p>
    <w:p w:rsidR="00CA3EAD" w:rsidRPr="00FA78B1" w:rsidRDefault="00CA3EAD" w:rsidP="00CA3EAD">
      <w:pPr>
        <w:pStyle w:val="subsection"/>
      </w:pPr>
      <w:r w:rsidRPr="00FA78B1">
        <w:tab/>
      </w:r>
      <w:r w:rsidRPr="00FA78B1">
        <w:tab/>
        <w:t>If the Authority accepts an application under section</w:t>
      </w:r>
      <w:r w:rsidR="00FA78B1" w:rsidRPr="00FA78B1">
        <w:t> </w:t>
      </w:r>
      <w:r w:rsidRPr="00FA78B1">
        <w:t>26</w:t>
      </w:r>
      <w:r w:rsidR="00863B24" w:rsidRPr="00FA78B1">
        <w:t xml:space="preserve"> or 47</w:t>
      </w:r>
      <w:r w:rsidRPr="00FA78B1">
        <w:t xml:space="preserve"> of the Act and charges are payable in relation to the application under regulation</w:t>
      </w:r>
      <w:r w:rsidR="00FA78B1" w:rsidRPr="00FA78B1">
        <w:t> </w:t>
      </w:r>
      <w:r w:rsidRPr="00FA78B1">
        <w:t>8, the Authority must classify the application in accordance with the following table.</w:t>
      </w:r>
    </w:p>
    <w:p w:rsidR="00CA3EAD" w:rsidRPr="00FA78B1" w:rsidRDefault="00CA3EAD" w:rsidP="00CA3EAD">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408"/>
        <w:gridCol w:w="1559"/>
        <w:gridCol w:w="1417"/>
        <w:gridCol w:w="1988"/>
      </w:tblGrid>
      <w:tr w:rsidR="00CA3EAD" w:rsidRPr="00FA78B1" w:rsidTr="00863B24">
        <w:trPr>
          <w:tblHeader/>
        </w:trPr>
        <w:tc>
          <w:tcPr>
            <w:tcW w:w="7086" w:type="dxa"/>
            <w:gridSpan w:val="5"/>
            <w:tcBorders>
              <w:top w:val="single" w:sz="12" w:space="0" w:color="auto"/>
              <w:bottom w:val="single" w:sz="6" w:space="0" w:color="auto"/>
            </w:tcBorders>
            <w:shd w:val="clear" w:color="auto" w:fill="auto"/>
          </w:tcPr>
          <w:p w:rsidR="00CA3EAD" w:rsidRPr="00FA78B1" w:rsidRDefault="00CA3EAD" w:rsidP="00863B24">
            <w:pPr>
              <w:pStyle w:val="TableHeading"/>
            </w:pPr>
            <w:r w:rsidRPr="00FA78B1">
              <w:lastRenderedPageBreak/>
              <w:t>Procedure classification</w:t>
            </w:r>
          </w:p>
        </w:tc>
      </w:tr>
      <w:tr w:rsidR="00CA3EAD" w:rsidRPr="00FA78B1" w:rsidTr="00863B24">
        <w:trPr>
          <w:tblHeader/>
        </w:trPr>
        <w:tc>
          <w:tcPr>
            <w:tcW w:w="714" w:type="dxa"/>
            <w:tcBorders>
              <w:top w:val="single" w:sz="6" w:space="0" w:color="auto"/>
              <w:bottom w:val="single" w:sz="6" w:space="0" w:color="auto"/>
            </w:tcBorders>
            <w:shd w:val="clear" w:color="auto" w:fill="auto"/>
          </w:tcPr>
          <w:p w:rsidR="00CA3EAD" w:rsidRPr="00FA78B1" w:rsidRDefault="00CA3EAD" w:rsidP="00863B24">
            <w:pPr>
              <w:pStyle w:val="TableHeading"/>
            </w:pPr>
          </w:p>
        </w:tc>
        <w:tc>
          <w:tcPr>
            <w:tcW w:w="1408" w:type="dxa"/>
            <w:tcBorders>
              <w:top w:val="single" w:sz="6" w:space="0" w:color="auto"/>
              <w:bottom w:val="single" w:sz="6" w:space="0" w:color="auto"/>
            </w:tcBorders>
            <w:shd w:val="clear" w:color="auto" w:fill="auto"/>
          </w:tcPr>
          <w:p w:rsidR="00CA3EAD" w:rsidRPr="00FA78B1" w:rsidRDefault="00CA3EAD" w:rsidP="00863B24">
            <w:pPr>
              <w:pStyle w:val="TableHeading"/>
            </w:pPr>
            <w:r w:rsidRPr="00FA78B1">
              <w:t>Column 1</w:t>
            </w:r>
          </w:p>
        </w:tc>
        <w:tc>
          <w:tcPr>
            <w:tcW w:w="1559" w:type="dxa"/>
            <w:tcBorders>
              <w:top w:val="single" w:sz="6" w:space="0" w:color="auto"/>
              <w:bottom w:val="single" w:sz="6" w:space="0" w:color="auto"/>
            </w:tcBorders>
            <w:shd w:val="clear" w:color="auto" w:fill="auto"/>
          </w:tcPr>
          <w:p w:rsidR="00CA3EAD" w:rsidRPr="00FA78B1" w:rsidRDefault="00CA3EAD" w:rsidP="00863B24">
            <w:pPr>
              <w:pStyle w:val="TableHeading"/>
            </w:pPr>
            <w:r w:rsidRPr="00FA78B1">
              <w:t>Column 2</w:t>
            </w:r>
          </w:p>
        </w:tc>
        <w:tc>
          <w:tcPr>
            <w:tcW w:w="1417" w:type="dxa"/>
            <w:tcBorders>
              <w:top w:val="single" w:sz="6" w:space="0" w:color="auto"/>
              <w:bottom w:val="single" w:sz="6" w:space="0" w:color="auto"/>
            </w:tcBorders>
            <w:shd w:val="clear" w:color="auto" w:fill="auto"/>
          </w:tcPr>
          <w:p w:rsidR="00CA3EAD" w:rsidRPr="00FA78B1" w:rsidRDefault="00CA3EAD" w:rsidP="00863B24">
            <w:pPr>
              <w:pStyle w:val="TableHeading"/>
            </w:pPr>
            <w:r w:rsidRPr="00FA78B1">
              <w:t>Column 3</w:t>
            </w:r>
          </w:p>
        </w:tc>
        <w:tc>
          <w:tcPr>
            <w:tcW w:w="1988" w:type="dxa"/>
            <w:tcBorders>
              <w:top w:val="single" w:sz="6" w:space="0" w:color="auto"/>
              <w:bottom w:val="single" w:sz="6" w:space="0" w:color="auto"/>
            </w:tcBorders>
            <w:shd w:val="clear" w:color="auto" w:fill="auto"/>
          </w:tcPr>
          <w:p w:rsidR="00CA3EAD" w:rsidRPr="00FA78B1" w:rsidRDefault="00CA3EAD" w:rsidP="00863B24">
            <w:pPr>
              <w:pStyle w:val="TableHeading"/>
            </w:pPr>
            <w:r w:rsidRPr="00FA78B1">
              <w:t>Column 4</w:t>
            </w:r>
          </w:p>
        </w:tc>
      </w:tr>
      <w:tr w:rsidR="00CA3EAD" w:rsidRPr="00FA78B1" w:rsidTr="00863B24">
        <w:trPr>
          <w:tblHeader/>
        </w:trPr>
        <w:tc>
          <w:tcPr>
            <w:tcW w:w="714" w:type="dxa"/>
            <w:tcBorders>
              <w:top w:val="single" w:sz="6" w:space="0" w:color="auto"/>
              <w:bottom w:val="single" w:sz="12" w:space="0" w:color="auto"/>
            </w:tcBorders>
            <w:shd w:val="clear" w:color="auto" w:fill="auto"/>
          </w:tcPr>
          <w:p w:rsidR="00CA3EAD" w:rsidRPr="00FA78B1" w:rsidRDefault="00CA3EAD" w:rsidP="00863B24">
            <w:pPr>
              <w:pStyle w:val="TableHeading"/>
            </w:pPr>
            <w:r w:rsidRPr="00FA78B1">
              <w:t>Item</w:t>
            </w:r>
          </w:p>
        </w:tc>
        <w:tc>
          <w:tcPr>
            <w:tcW w:w="1408" w:type="dxa"/>
            <w:tcBorders>
              <w:top w:val="single" w:sz="6" w:space="0" w:color="auto"/>
              <w:bottom w:val="single" w:sz="12" w:space="0" w:color="auto"/>
            </w:tcBorders>
            <w:shd w:val="clear" w:color="auto" w:fill="auto"/>
          </w:tcPr>
          <w:p w:rsidR="00CA3EAD" w:rsidRPr="00FA78B1" w:rsidRDefault="00CA3EAD" w:rsidP="00863B24">
            <w:pPr>
              <w:pStyle w:val="TableHeading"/>
            </w:pPr>
            <w:r w:rsidRPr="00FA78B1">
              <w:t>Procedure</w:t>
            </w:r>
          </w:p>
        </w:tc>
        <w:tc>
          <w:tcPr>
            <w:tcW w:w="1559" w:type="dxa"/>
            <w:tcBorders>
              <w:top w:val="single" w:sz="6" w:space="0" w:color="auto"/>
              <w:bottom w:val="single" w:sz="12" w:space="0" w:color="auto"/>
            </w:tcBorders>
            <w:shd w:val="clear" w:color="auto" w:fill="auto"/>
          </w:tcPr>
          <w:p w:rsidR="00CA3EAD" w:rsidRPr="00FA78B1" w:rsidRDefault="00CA3EAD" w:rsidP="00863B24">
            <w:pPr>
              <w:pStyle w:val="TableHeading"/>
            </w:pPr>
            <w:r w:rsidRPr="00FA78B1">
              <w:t>Number of hours the application consideration process is likely to take</w:t>
            </w:r>
          </w:p>
        </w:tc>
        <w:tc>
          <w:tcPr>
            <w:tcW w:w="1417" w:type="dxa"/>
            <w:tcBorders>
              <w:top w:val="single" w:sz="6" w:space="0" w:color="auto"/>
              <w:bottom w:val="single" w:sz="12" w:space="0" w:color="auto"/>
            </w:tcBorders>
            <w:shd w:val="clear" w:color="auto" w:fill="auto"/>
          </w:tcPr>
          <w:p w:rsidR="00CA3EAD" w:rsidRPr="00FA78B1" w:rsidRDefault="00CA3EAD" w:rsidP="00863B24">
            <w:pPr>
              <w:pStyle w:val="TableHeading"/>
            </w:pPr>
            <w:r w:rsidRPr="00FA78B1">
              <w:t>Classification</w:t>
            </w:r>
          </w:p>
        </w:tc>
        <w:tc>
          <w:tcPr>
            <w:tcW w:w="1988" w:type="dxa"/>
            <w:tcBorders>
              <w:top w:val="single" w:sz="6" w:space="0" w:color="auto"/>
              <w:bottom w:val="single" w:sz="12" w:space="0" w:color="auto"/>
            </w:tcBorders>
            <w:shd w:val="clear" w:color="auto" w:fill="auto"/>
          </w:tcPr>
          <w:p w:rsidR="00CA3EAD" w:rsidRPr="00FA78B1" w:rsidRDefault="00CA3EAD" w:rsidP="00863B24">
            <w:pPr>
              <w:pStyle w:val="TableHeading"/>
            </w:pPr>
            <w:r w:rsidRPr="00FA78B1">
              <w:t>Number of hours to be charged</w:t>
            </w:r>
          </w:p>
        </w:tc>
      </w:tr>
      <w:tr w:rsidR="00CA3EAD" w:rsidRPr="00FA78B1" w:rsidTr="00863B24">
        <w:tc>
          <w:tcPr>
            <w:tcW w:w="714" w:type="dxa"/>
            <w:tcBorders>
              <w:top w:val="single" w:sz="12" w:space="0" w:color="auto"/>
            </w:tcBorders>
            <w:shd w:val="clear" w:color="auto" w:fill="auto"/>
          </w:tcPr>
          <w:p w:rsidR="00CA3EAD" w:rsidRPr="00FA78B1" w:rsidRDefault="00CA3EAD" w:rsidP="00863B24">
            <w:pPr>
              <w:pStyle w:val="Tabletext"/>
            </w:pPr>
            <w:r w:rsidRPr="00FA78B1">
              <w:t>1</w:t>
            </w:r>
          </w:p>
        </w:tc>
        <w:tc>
          <w:tcPr>
            <w:tcW w:w="1408" w:type="dxa"/>
            <w:tcBorders>
              <w:top w:val="single" w:sz="12" w:space="0" w:color="auto"/>
            </w:tcBorders>
            <w:shd w:val="clear" w:color="auto" w:fill="auto"/>
          </w:tcPr>
          <w:p w:rsidR="00CA3EAD" w:rsidRPr="00FA78B1" w:rsidRDefault="00CA3EAD" w:rsidP="00863B24">
            <w:pPr>
              <w:pStyle w:val="Tabletext"/>
            </w:pPr>
            <w:r w:rsidRPr="00FA78B1">
              <w:t>General procedure</w:t>
            </w:r>
          </w:p>
        </w:tc>
        <w:tc>
          <w:tcPr>
            <w:tcW w:w="1559" w:type="dxa"/>
            <w:tcBorders>
              <w:top w:val="single" w:sz="12" w:space="0" w:color="auto"/>
            </w:tcBorders>
            <w:shd w:val="clear" w:color="auto" w:fill="auto"/>
          </w:tcPr>
          <w:p w:rsidR="00CA3EAD" w:rsidRPr="00FA78B1" w:rsidRDefault="00CA3EAD" w:rsidP="00863B24">
            <w:pPr>
              <w:pStyle w:val="Tabletext"/>
            </w:pPr>
            <w:r w:rsidRPr="00FA78B1">
              <w:t>A maximum of 350 hours</w:t>
            </w:r>
          </w:p>
        </w:tc>
        <w:tc>
          <w:tcPr>
            <w:tcW w:w="1417" w:type="dxa"/>
            <w:tcBorders>
              <w:top w:val="single" w:sz="12" w:space="0" w:color="auto"/>
            </w:tcBorders>
            <w:shd w:val="clear" w:color="auto" w:fill="auto"/>
          </w:tcPr>
          <w:p w:rsidR="00CA3EAD" w:rsidRPr="00FA78B1" w:rsidRDefault="00CA3EAD" w:rsidP="00863B24">
            <w:pPr>
              <w:pStyle w:val="Tabletext"/>
            </w:pPr>
            <w:r w:rsidRPr="00FA78B1">
              <w:t>General procedure level 1 application</w:t>
            </w:r>
          </w:p>
        </w:tc>
        <w:tc>
          <w:tcPr>
            <w:tcW w:w="1988" w:type="dxa"/>
            <w:tcBorders>
              <w:top w:val="single" w:sz="12" w:space="0" w:color="auto"/>
            </w:tcBorders>
            <w:shd w:val="clear" w:color="auto" w:fill="auto"/>
          </w:tcPr>
          <w:p w:rsidR="00CA3EAD" w:rsidRPr="00FA78B1" w:rsidRDefault="00CA3EAD" w:rsidP="00863B24">
            <w:pPr>
              <w:pStyle w:val="Tabletext"/>
            </w:pPr>
            <w:r w:rsidRPr="00FA78B1">
              <w:t>350 hours</w:t>
            </w:r>
          </w:p>
        </w:tc>
      </w:tr>
      <w:tr w:rsidR="00CA3EAD" w:rsidRPr="00FA78B1" w:rsidTr="00863B24">
        <w:tc>
          <w:tcPr>
            <w:tcW w:w="714" w:type="dxa"/>
            <w:shd w:val="clear" w:color="auto" w:fill="auto"/>
          </w:tcPr>
          <w:p w:rsidR="00CA3EAD" w:rsidRPr="00FA78B1" w:rsidRDefault="00CA3EAD" w:rsidP="00863B24">
            <w:pPr>
              <w:pStyle w:val="Tabletext"/>
            </w:pPr>
            <w:r w:rsidRPr="00FA78B1">
              <w:t>2</w:t>
            </w:r>
          </w:p>
        </w:tc>
        <w:tc>
          <w:tcPr>
            <w:tcW w:w="1408" w:type="dxa"/>
            <w:shd w:val="clear" w:color="auto" w:fill="auto"/>
          </w:tcPr>
          <w:p w:rsidR="00CA3EAD" w:rsidRPr="00FA78B1" w:rsidRDefault="00CA3EAD" w:rsidP="00863B24">
            <w:pPr>
              <w:pStyle w:val="Tabletext"/>
            </w:pPr>
            <w:r w:rsidRPr="00FA78B1">
              <w:t>General procedure</w:t>
            </w:r>
          </w:p>
        </w:tc>
        <w:tc>
          <w:tcPr>
            <w:tcW w:w="1559" w:type="dxa"/>
            <w:shd w:val="clear" w:color="auto" w:fill="auto"/>
          </w:tcPr>
          <w:p w:rsidR="00CA3EAD" w:rsidRPr="00FA78B1" w:rsidRDefault="00CA3EAD" w:rsidP="00863B24">
            <w:pPr>
              <w:pStyle w:val="Tabletext"/>
            </w:pPr>
            <w:r w:rsidRPr="00FA78B1">
              <w:t>More than 350 hours, to a maximum of 650 hours</w:t>
            </w:r>
          </w:p>
        </w:tc>
        <w:tc>
          <w:tcPr>
            <w:tcW w:w="1417" w:type="dxa"/>
            <w:shd w:val="clear" w:color="auto" w:fill="auto"/>
          </w:tcPr>
          <w:p w:rsidR="00CA3EAD" w:rsidRPr="00FA78B1" w:rsidRDefault="00CA3EAD" w:rsidP="00863B24">
            <w:pPr>
              <w:pStyle w:val="Tabletext"/>
            </w:pPr>
            <w:r w:rsidRPr="00FA78B1">
              <w:t>General procedure level 2 application</w:t>
            </w:r>
          </w:p>
        </w:tc>
        <w:tc>
          <w:tcPr>
            <w:tcW w:w="1988" w:type="dxa"/>
            <w:shd w:val="clear" w:color="auto" w:fill="auto"/>
          </w:tcPr>
          <w:p w:rsidR="00CA3EAD" w:rsidRPr="00FA78B1" w:rsidRDefault="00CA3EAD" w:rsidP="00863B24">
            <w:pPr>
              <w:pStyle w:val="Tabletext"/>
            </w:pPr>
            <w:r w:rsidRPr="00FA78B1">
              <w:t>650 hours</w:t>
            </w:r>
          </w:p>
        </w:tc>
      </w:tr>
      <w:tr w:rsidR="00CA3EAD" w:rsidRPr="00FA78B1" w:rsidTr="00863B24">
        <w:tc>
          <w:tcPr>
            <w:tcW w:w="714" w:type="dxa"/>
            <w:shd w:val="clear" w:color="auto" w:fill="auto"/>
          </w:tcPr>
          <w:p w:rsidR="00CA3EAD" w:rsidRPr="00FA78B1" w:rsidRDefault="00CA3EAD" w:rsidP="00863B24">
            <w:pPr>
              <w:pStyle w:val="Tabletext"/>
            </w:pPr>
            <w:r w:rsidRPr="00FA78B1">
              <w:t>3</w:t>
            </w:r>
          </w:p>
        </w:tc>
        <w:tc>
          <w:tcPr>
            <w:tcW w:w="1408" w:type="dxa"/>
            <w:shd w:val="clear" w:color="auto" w:fill="auto"/>
          </w:tcPr>
          <w:p w:rsidR="00CA3EAD" w:rsidRPr="00FA78B1" w:rsidRDefault="00CA3EAD" w:rsidP="00863B24">
            <w:pPr>
              <w:pStyle w:val="Tabletext"/>
            </w:pPr>
            <w:r w:rsidRPr="00FA78B1">
              <w:t>General procedure</w:t>
            </w:r>
          </w:p>
        </w:tc>
        <w:tc>
          <w:tcPr>
            <w:tcW w:w="1559" w:type="dxa"/>
            <w:shd w:val="clear" w:color="auto" w:fill="auto"/>
          </w:tcPr>
          <w:p w:rsidR="00CA3EAD" w:rsidRPr="00FA78B1" w:rsidRDefault="00CA3EAD" w:rsidP="00863B24">
            <w:pPr>
              <w:pStyle w:val="Tabletext"/>
            </w:pPr>
            <w:r w:rsidRPr="00FA78B1">
              <w:t>More than 650 hours, to a maximum of 1</w:t>
            </w:r>
            <w:r w:rsidR="00FA78B1" w:rsidRPr="00FA78B1">
              <w:t> </w:t>
            </w:r>
            <w:r w:rsidRPr="00FA78B1">
              <w:t>000 hours</w:t>
            </w:r>
          </w:p>
        </w:tc>
        <w:tc>
          <w:tcPr>
            <w:tcW w:w="1417" w:type="dxa"/>
            <w:shd w:val="clear" w:color="auto" w:fill="auto"/>
          </w:tcPr>
          <w:p w:rsidR="00CA3EAD" w:rsidRPr="00FA78B1" w:rsidRDefault="00CA3EAD" w:rsidP="00863B24">
            <w:pPr>
              <w:pStyle w:val="Tabletext"/>
            </w:pPr>
            <w:r w:rsidRPr="00FA78B1">
              <w:t>General procedure level 3 application</w:t>
            </w:r>
          </w:p>
        </w:tc>
        <w:tc>
          <w:tcPr>
            <w:tcW w:w="1988" w:type="dxa"/>
            <w:shd w:val="clear" w:color="auto" w:fill="auto"/>
          </w:tcPr>
          <w:p w:rsidR="00CA3EAD" w:rsidRPr="00FA78B1" w:rsidRDefault="00CA3EAD" w:rsidP="00863B24">
            <w:pPr>
              <w:pStyle w:val="Tabletext"/>
            </w:pPr>
            <w:r w:rsidRPr="00FA78B1">
              <w:t>1</w:t>
            </w:r>
            <w:r w:rsidR="00FA78B1" w:rsidRPr="00FA78B1">
              <w:t> </w:t>
            </w:r>
            <w:r w:rsidRPr="00FA78B1">
              <w:t>000 hours</w:t>
            </w:r>
          </w:p>
        </w:tc>
      </w:tr>
      <w:tr w:rsidR="00CA3EAD" w:rsidRPr="00FA78B1" w:rsidTr="00863B24">
        <w:tc>
          <w:tcPr>
            <w:tcW w:w="714" w:type="dxa"/>
            <w:shd w:val="clear" w:color="auto" w:fill="auto"/>
          </w:tcPr>
          <w:p w:rsidR="00CA3EAD" w:rsidRPr="00FA78B1" w:rsidRDefault="00CA3EAD" w:rsidP="00863B24">
            <w:pPr>
              <w:pStyle w:val="Tabletext"/>
            </w:pPr>
            <w:r w:rsidRPr="00FA78B1">
              <w:t>4</w:t>
            </w:r>
          </w:p>
        </w:tc>
        <w:tc>
          <w:tcPr>
            <w:tcW w:w="1408" w:type="dxa"/>
            <w:shd w:val="clear" w:color="auto" w:fill="auto"/>
          </w:tcPr>
          <w:p w:rsidR="00CA3EAD" w:rsidRPr="00FA78B1" w:rsidRDefault="00CA3EAD" w:rsidP="00863B24">
            <w:pPr>
              <w:pStyle w:val="Tabletext"/>
            </w:pPr>
            <w:r w:rsidRPr="00FA78B1">
              <w:t>General procedure</w:t>
            </w:r>
          </w:p>
        </w:tc>
        <w:tc>
          <w:tcPr>
            <w:tcW w:w="1559" w:type="dxa"/>
            <w:shd w:val="clear" w:color="auto" w:fill="auto"/>
          </w:tcPr>
          <w:p w:rsidR="00CA3EAD" w:rsidRPr="00FA78B1" w:rsidRDefault="00CA3EAD" w:rsidP="00863B24">
            <w:pPr>
              <w:pStyle w:val="Tabletext"/>
            </w:pPr>
            <w:r w:rsidRPr="00FA78B1">
              <w:t>More than 1</w:t>
            </w:r>
            <w:r w:rsidR="00FA78B1" w:rsidRPr="00FA78B1">
              <w:t> </w:t>
            </w:r>
            <w:r w:rsidRPr="00FA78B1">
              <w:t>000 hours</w:t>
            </w:r>
          </w:p>
        </w:tc>
        <w:tc>
          <w:tcPr>
            <w:tcW w:w="1417" w:type="dxa"/>
            <w:shd w:val="clear" w:color="auto" w:fill="auto"/>
          </w:tcPr>
          <w:p w:rsidR="00CA3EAD" w:rsidRPr="00FA78B1" w:rsidRDefault="00CA3EAD" w:rsidP="00863B24">
            <w:pPr>
              <w:pStyle w:val="Tabletext"/>
            </w:pPr>
            <w:r w:rsidRPr="00FA78B1">
              <w:t>General procedure level 4 application</w:t>
            </w:r>
          </w:p>
        </w:tc>
        <w:tc>
          <w:tcPr>
            <w:tcW w:w="1988" w:type="dxa"/>
            <w:shd w:val="clear" w:color="auto" w:fill="auto"/>
          </w:tcPr>
          <w:p w:rsidR="00CA3EAD" w:rsidRPr="00FA78B1" w:rsidRDefault="00CA3EAD" w:rsidP="00863B24">
            <w:pPr>
              <w:pStyle w:val="Tabletext"/>
            </w:pPr>
            <w:r w:rsidRPr="00FA78B1">
              <w:t>The number of hours the application consideration process is likely to take</w:t>
            </w:r>
          </w:p>
        </w:tc>
      </w:tr>
      <w:tr w:rsidR="00CA3EAD" w:rsidRPr="00FA78B1" w:rsidTr="00863B24">
        <w:tc>
          <w:tcPr>
            <w:tcW w:w="714" w:type="dxa"/>
            <w:shd w:val="clear" w:color="auto" w:fill="auto"/>
          </w:tcPr>
          <w:p w:rsidR="00CA3EAD" w:rsidRPr="00FA78B1" w:rsidRDefault="00CA3EAD" w:rsidP="00863B24">
            <w:pPr>
              <w:pStyle w:val="Tabletext"/>
            </w:pPr>
            <w:r w:rsidRPr="00FA78B1">
              <w:t>5</w:t>
            </w:r>
          </w:p>
        </w:tc>
        <w:tc>
          <w:tcPr>
            <w:tcW w:w="1408" w:type="dxa"/>
            <w:shd w:val="clear" w:color="auto" w:fill="auto"/>
          </w:tcPr>
          <w:p w:rsidR="00CA3EAD" w:rsidRPr="00FA78B1" w:rsidRDefault="00CA3EAD" w:rsidP="00863B24">
            <w:pPr>
              <w:pStyle w:val="Tabletext"/>
            </w:pPr>
            <w:r w:rsidRPr="00FA78B1">
              <w:t>Subdivision E of Division</w:t>
            </w:r>
            <w:r w:rsidR="00FA78B1" w:rsidRPr="00FA78B1">
              <w:t> </w:t>
            </w:r>
            <w:r w:rsidRPr="00FA78B1">
              <w:t>1 of Part</w:t>
            </w:r>
            <w:r w:rsidR="00FA78B1" w:rsidRPr="00FA78B1">
              <w:t> </w:t>
            </w:r>
            <w:r w:rsidRPr="00FA78B1">
              <w:t>3 of the Act</w:t>
            </w:r>
          </w:p>
        </w:tc>
        <w:tc>
          <w:tcPr>
            <w:tcW w:w="1559" w:type="dxa"/>
            <w:shd w:val="clear" w:color="auto" w:fill="auto"/>
          </w:tcPr>
          <w:p w:rsidR="00CA3EAD" w:rsidRPr="00FA78B1" w:rsidRDefault="00CA3EAD" w:rsidP="00863B24">
            <w:pPr>
              <w:pStyle w:val="Tabletext"/>
            </w:pPr>
            <w:r w:rsidRPr="00FA78B1">
              <w:t>Any</w:t>
            </w:r>
          </w:p>
        </w:tc>
        <w:tc>
          <w:tcPr>
            <w:tcW w:w="1417" w:type="dxa"/>
            <w:shd w:val="clear" w:color="auto" w:fill="auto"/>
          </w:tcPr>
          <w:p w:rsidR="00CA3EAD" w:rsidRPr="00FA78B1" w:rsidRDefault="00CA3EAD" w:rsidP="00863B24">
            <w:pPr>
              <w:pStyle w:val="Tabletext"/>
            </w:pPr>
            <w:r w:rsidRPr="00FA78B1">
              <w:t>Minor procedure application</w:t>
            </w:r>
          </w:p>
        </w:tc>
        <w:tc>
          <w:tcPr>
            <w:tcW w:w="1988" w:type="dxa"/>
            <w:shd w:val="clear" w:color="auto" w:fill="auto"/>
          </w:tcPr>
          <w:p w:rsidR="00CA3EAD" w:rsidRPr="00FA78B1" w:rsidRDefault="00CA3EAD" w:rsidP="00863B24">
            <w:pPr>
              <w:pStyle w:val="Tabletext"/>
            </w:pPr>
            <w:r w:rsidRPr="00FA78B1">
              <w:t>100 hours</w:t>
            </w:r>
          </w:p>
        </w:tc>
      </w:tr>
      <w:tr w:rsidR="00CA3EAD" w:rsidRPr="00FA78B1" w:rsidTr="00863B24">
        <w:tc>
          <w:tcPr>
            <w:tcW w:w="714" w:type="dxa"/>
            <w:shd w:val="clear" w:color="auto" w:fill="auto"/>
          </w:tcPr>
          <w:p w:rsidR="00CA3EAD" w:rsidRPr="00FA78B1" w:rsidRDefault="00CA3EAD" w:rsidP="00863B24">
            <w:pPr>
              <w:pStyle w:val="Tabletext"/>
            </w:pPr>
            <w:r w:rsidRPr="00FA78B1">
              <w:t>6</w:t>
            </w:r>
          </w:p>
        </w:tc>
        <w:tc>
          <w:tcPr>
            <w:tcW w:w="1408" w:type="dxa"/>
            <w:shd w:val="clear" w:color="auto" w:fill="auto"/>
          </w:tcPr>
          <w:p w:rsidR="00CA3EAD" w:rsidRPr="00FA78B1" w:rsidRDefault="00CA3EAD" w:rsidP="00863B24">
            <w:pPr>
              <w:pStyle w:val="Tabletext"/>
            </w:pPr>
            <w:r w:rsidRPr="00FA78B1">
              <w:t>Subdivision F of Division</w:t>
            </w:r>
            <w:r w:rsidR="00FA78B1" w:rsidRPr="00FA78B1">
              <w:t> </w:t>
            </w:r>
            <w:r w:rsidRPr="00FA78B1">
              <w:t>1 of Part</w:t>
            </w:r>
            <w:r w:rsidR="00FA78B1" w:rsidRPr="00FA78B1">
              <w:t> </w:t>
            </w:r>
            <w:r w:rsidRPr="00FA78B1">
              <w:t>3 of the Act</w:t>
            </w:r>
          </w:p>
        </w:tc>
        <w:tc>
          <w:tcPr>
            <w:tcW w:w="1559" w:type="dxa"/>
            <w:shd w:val="clear" w:color="auto" w:fill="auto"/>
          </w:tcPr>
          <w:p w:rsidR="00CA3EAD" w:rsidRPr="00FA78B1" w:rsidRDefault="00CA3EAD" w:rsidP="00863B24">
            <w:pPr>
              <w:pStyle w:val="Tabletext"/>
            </w:pPr>
            <w:r w:rsidRPr="00FA78B1">
              <w:t>Any</w:t>
            </w:r>
          </w:p>
        </w:tc>
        <w:tc>
          <w:tcPr>
            <w:tcW w:w="1417" w:type="dxa"/>
            <w:shd w:val="clear" w:color="auto" w:fill="auto"/>
          </w:tcPr>
          <w:p w:rsidR="00CA3EAD" w:rsidRPr="00FA78B1" w:rsidRDefault="00CA3EAD" w:rsidP="00863B24">
            <w:pPr>
              <w:pStyle w:val="Tabletext"/>
            </w:pPr>
            <w:r w:rsidRPr="00FA78B1">
              <w:t>Major procedure application</w:t>
            </w:r>
          </w:p>
        </w:tc>
        <w:tc>
          <w:tcPr>
            <w:tcW w:w="1988" w:type="dxa"/>
            <w:shd w:val="clear" w:color="auto" w:fill="auto"/>
          </w:tcPr>
          <w:p w:rsidR="00CA3EAD" w:rsidRPr="00FA78B1" w:rsidRDefault="00CA3EAD" w:rsidP="00863B24">
            <w:pPr>
              <w:pStyle w:val="Tabletext"/>
            </w:pPr>
            <w:r w:rsidRPr="00FA78B1">
              <w:t>Either:</w:t>
            </w:r>
          </w:p>
          <w:p w:rsidR="00CA3EAD" w:rsidRPr="00FA78B1" w:rsidRDefault="00CA3EAD" w:rsidP="00863B24">
            <w:pPr>
              <w:pStyle w:val="Tablea"/>
            </w:pPr>
            <w:r w:rsidRPr="00FA78B1">
              <w:t>(a) 1</w:t>
            </w:r>
            <w:r w:rsidR="00FA78B1" w:rsidRPr="00FA78B1">
              <w:t> </w:t>
            </w:r>
            <w:r w:rsidRPr="00FA78B1">
              <w:t>200 hours; or</w:t>
            </w:r>
          </w:p>
          <w:p w:rsidR="00CA3EAD" w:rsidRPr="00FA78B1" w:rsidRDefault="00CA3EAD" w:rsidP="00863B24">
            <w:pPr>
              <w:pStyle w:val="Tablea"/>
            </w:pPr>
            <w:r w:rsidRPr="00FA78B1">
              <w:t>(b) if the process is likely to take more than 1200 hours—the number of hours the application consideration process is likely to take</w:t>
            </w:r>
          </w:p>
        </w:tc>
      </w:tr>
      <w:tr w:rsidR="00CA3EAD" w:rsidRPr="00FA78B1" w:rsidTr="00863B24">
        <w:tc>
          <w:tcPr>
            <w:tcW w:w="714" w:type="dxa"/>
            <w:shd w:val="clear" w:color="auto" w:fill="auto"/>
          </w:tcPr>
          <w:p w:rsidR="00CA3EAD" w:rsidRPr="00FA78B1" w:rsidRDefault="00CA3EAD" w:rsidP="00863B24">
            <w:pPr>
              <w:pStyle w:val="Tabletext"/>
            </w:pPr>
            <w:r w:rsidRPr="00FA78B1">
              <w:t>7</w:t>
            </w:r>
          </w:p>
        </w:tc>
        <w:tc>
          <w:tcPr>
            <w:tcW w:w="1408" w:type="dxa"/>
            <w:shd w:val="clear" w:color="auto" w:fill="auto"/>
          </w:tcPr>
          <w:p w:rsidR="00CA3EAD" w:rsidRPr="00FA78B1" w:rsidRDefault="00CA3EAD" w:rsidP="00863B24">
            <w:pPr>
              <w:pStyle w:val="Tabletext"/>
            </w:pPr>
            <w:r w:rsidRPr="00FA78B1">
              <w:t>Subdivision G of Division</w:t>
            </w:r>
            <w:r w:rsidR="00FA78B1" w:rsidRPr="00FA78B1">
              <w:t> </w:t>
            </w:r>
            <w:r w:rsidRPr="00FA78B1">
              <w:t xml:space="preserve">1 </w:t>
            </w:r>
            <w:r w:rsidRPr="00FA78B1">
              <w:lastRenderedPageBreak/>
              <w:t>of Part</w:t>
            </w:r>
            <w:r w:rsidR="00FA78B1" w:rsidRPr="00FA78B1">
              <w:t> </w:t>
            </w:r>
            <w:r w:rsidRPr="00FA78B1">
              <w:t>3 of the Act</w:t>
            </w:r>
          </w:p>
        </w:tc>
        <w:tc>
          <w:tcPr>
            <w:tcW w:w="1559" w:type="dxa"/>
            <w:shd w:val="clear" w:color="auto" w:fill="auto"/>
          </w:tcPr>
          <w:p w:rsidR="00CA3EAD" w:rsidRPr="00FA78B1" w:rsidRDefault="00CA3EAD" w:rsidP="00863B24">
            <w:pPr>
              <w:pStyle w:val="Tabletext"/>
              <w:rPr>
                <w:highlight w:val="yellow"/>
              </w:rPr>
            </w:pPr>
            <w:r w:rsidRPr="00FA78B1">
              <w:lastRenderedPageBreak/>
              <w:t>A maximum of 350 hours</w:t>
            </w:r>
          </w:p>
        </w:tc>
        <w:tc>
          <w:tcPr>
            <w:tcW w:w="1417" w:type="dxa"/>
            <w:shd w:val="clear" w:color="auto" w:fill="auto"/>
          </w:tcPr>
          <w:p w:rsidR="00CA3EAD" w:rsidRPr="00FA78B1" w:rsidRDefault="00CA3EAD" w:rsidP="00863B24">
            <w:pPr>
              <w:pStyle w:val="Tabletext"/>
            </w:pPr>
            <w:r w:rsidRPr="00FA78B1">
              <w:t xml:space="preserve">High level health claims </w:t>
            </w:r>
            <w:r w:rsidRPr="00FA78B1">
              <w:lastRenderedPageBreak/>
              <w:t>procedure level 1 application</w:t>
            </w:r>
          </w:p>
        </w:tc>
        <w:tc>
          <w:tcPr>
            <w:tcW w:w="1988" w:type="dxa"/>
            <w:shd w:val="clear" w:color="auto" w:fill="auto"/>
          </w:tcPr>
          <w:p w:rsidR="00CA3EAD" w:rsidRPr="00FA78B1" w:rsidRDefault="00CA3EAD" w:rsidP="00863B24">
            <w:pPr>
              <w:pStyle w:val="Tabletext"/>
              <w:rPr>
                <w:highlight w:val="yellow"/>
              </w:rPr>
            </w:pPr>
            <w:r w:rsidRPr="00FA78B1">
              <w:lastRenderedPageBreak/>
              <w:t>350 hours</w:t>
            </w:r>
          </w:p>
        </w:tc>
      </w:tr>
      <w:tr w:rsidR="00CA3EAD" w:rsidRPr="00FA78B1" w:rsidTr="00863B24">
        <w:tc>
          <w:tcPr>
            <w:tcW w:w="714" w:type="dxa"/>
            <w:shd w:val="clear" w:color="auto" w:fill="auto"/>
          </w:tcPr>
          <w:p w:rsidR="00CA3EAD" w:rsidRPr="00FA78B1" w:rsidRDefault="00CA3EAD" w:rsidP="00863B24">
            <w:pPr>
              <w:pStyle w:val="Tabletext"/>
            </w:pPr>
            <w:r w:rsidRPr="00FA78B1">
              <w:lastRenderedPageBreak/>
              <w:t>8</w:t>
            </w:r>
          </w:p>
        </w:tc>
        <w:tc>
          <w:tcPr>
            <w:tcW w:w="1408" w:type="dxa"/>
            <w:shd w:val="clear" w:color="auto" w:fill="auto"/>
          </w:tcPr>
          <w:p w:rsidR="00CA3EAD" w:rsidRPr="00FA78B1" w:rsidRDefault="00CA3EAD" w:rsidP="00863B24">
            <w:pPr>
              <w:pStyle w:val="Tabletext"/>
            </w:pPr>
            <w:r w:rsidRPr="00FA78B1">
              <w:t>Subdivision G of Division</w:t>
            </w:r>
            <w:r w:rsidR="00FA78B1" w:rsidRPr="00FA78B1">
              <w:t> </w:t>
            </w:r>
            <w:r w:rsidRPr="00FA78B1">
              <w:t>1 of Part</w:t>
            </w:r>
            <w:r w:rsidR="00FA78B1" w:rsidRPr="00FA78B1">
              <w:t> </w:t>
            </w:r>
            <w:r w:rsidRPr="00FA78B1">
              <w:t>3 of the Act</w:t>
            </w:r>
          </w:p>
        </w:tc>
        <w:tc>
          <w:tcPr>
            <w:tcW w:w="1559" w:type="dxa"/>
            <w:shd w:val="clear" w:color="auto" w:fill="auto"/>
          </w:tcPr>
          <w:p w:rsidR="00CA3EAD" w:rsidRPr="00FA78B1" w:rsidRDefault="00CA3EAD" w:rsidP="00863B24">
            <w:pPr>
              <w:pStyle w:val="Tabletext"/>
            </w:pPr>
            <w:r w:rsidRPr="00FA78B1">
              <w:t>More than 350 hours, to a maximum of 650 hours</w:t>
            </w:r>
          </w:p>
        </w:tc>
        <w:tc>
          <w:tcPr>
            <w:tcW w:w="1417" w:type="dxa"/>
            <w:shd w:val="clear" w:color="auto" w:fill="auto"/>
          </w:tcPr>
          <w:p w:rsidR="00CA3EAD" w:rsidRPr="00FA78B1" w:rsidRDefault="00CA3EAD" w:rsidP="00863B24">
            <w:pPr>
              <w:pStyle w:val="Tabletext"/>
            </w:pPr>
            <w:r w:rsidRPr="00FA78B1">
              <w:t>High level health claims procedure level 2 application</w:t>
            </w:r>
          </w:p>
        </w:tc>
        <w:tc>
          <w:tcPr>
            <w:tcW w:w="1988" w:type="dxa"/>
            <w:shd w:val="clear" w:color="auto" w:fill="auto"/>
          </w:tcPr>
          <w:p w:rsidR="00CA3EAD" w:rsidRPr="00FA78B1" w:rsidRDefault="00CA3EAD" w:rsidP="00863B24">
            <w:pPr>
              <w:pStyle w:val="Tabletext"/>
            </w:pPr>
            <w:r w:rsidRPr="00FA78B1">
              <w:t>650 hours</w:t>
            </w:r>
          </w:p>
        </w:tc>
      </w:tr>
      <w:tr w:rsidR="00CA3EAD" w:rsidRPr="00FA78B1" w:rsidTr="00863B24">
        <w:tc>
          <w:tcPr>
            <w:tcW w:w="714" w:type="dxa"/>
            <w:tcBorders>
              <w:bottom w:val="single" w:sz="4" w:space="0" w:color="auto"/>
            </w:tcBorders>
            <w:shd w:val="clear" w:color="auto" w:fill="auto"/>
          </w:tcPr>
          <w:p w:rsidR="00CA3EAD" w:rsidRPr="00FA78B1" w:rsidRDefault="00CA3EAD" w:rsidP="00863B24">
            <w:pPr>
              <w:pStyle w:val="Tabletext"/>
            </w:pPr>
            <w:r w:rsidRPr="00FA78B1">
              <w:t>9</w:t>
            </w:r>
          </w:p>
        </w:tc>
        <w:tc>
          <w:tcPr>
            <w:tcW w:w="1408" w:type="dxa"/>
            <w:tcBorders>
              <w:bottom w:val="single" w:sz="4" w:space="0" w:color="auto"/>
            </w:tcBorders>
            <w:shd w:val="clear" w:color="auto" w:fill="auto"/>
          </w:tcPr>
          <w:p w:rsidR="00CA3EAD" w:rsidRPr="00FA78B1" w:rsidRDefault="00CA3EAD" w:rsidP="00863B24">
            <w:pPr>
              <w:pStyle w:val="Tabletext"/>
            </w:pPr>
            <w:r w:rsidRPr="00FA78B1">
              <w:t>Subdivision G of Division</w:t>
            </w:r>
            <w:r w:rsidR="00FA78B1" w:rsidRPr="00FA78B1">
              <w:t> </w:t>
            </w:r>
            <w:r w:rsidRPr="00FA78B1">
              <w:t>1 of Part</w:t>
            </w:r>
            <w:r w:rsidR="00FA78B1" w:rsidRPr="00FA78B1">
              <w:t> </w:t>
            </w:r>
            <w:r w:rsidRPr="00FA78B1">
              <w:t>3 of the Act</w:t>
            </w:r>
          </w:p>
        </w:tc>
        <w:tc>
          <w:tcPr>
            <w:tcW w:w="1559" w:type="dxa"/>
            <w:tcBorders>
              <w:bottom w:val="single" w:sz="4" w:space="0" w:color="auto"/>
            </w:tcBorders>
            <w:shd w:val="clear" w:color="auto" w:fill="auto"/>
          </w:tcPr>
          <w:p w:rsidR="00CA3EAD" w:rsidRPr="00FA78B1" w:rsidRDefault="00CA3EAD" w:rsidP="00863B24">
            <w:pPr>
              <w:pStyle w:val="Tabletext"/>
            </w:pPr>
            <w:r w:rsidRPr="00FA78B1">
              <w:t>More than 650 hours, to a maximum of 1</w:t>
            </w:r>
            <w:r w:rsidR="00FA78B1" w:rsidRPr="00FA78B1">
              <w:t> </w:t>
            </w:r>
            <w:r w:rsidRPr="00FA78B1">
              <w:t>000 hours</w:t>
            </w:r>
          </w:p>
        </w:tc>
        <w:tc>
          <w:tcPr>
            <w:tcW w:w="1417" w:type="dxa"/>
            <w:tcBorders>
              <w:bottom w:val="single" w:sz="4" w:space="0" w:color="auto"/>
            </w:tcBorders>
            <w:shd w:val="clear" w:color="auto" w:fill="auto"/>
          </w:tcPr>
          <w:p w:rsidR="00CA3EAD" w:rsidRPr="00FA78B1" w:rsidRDefault="00CA3EAD" w:rsidP="00863B24">
            <w:pPr>
              <w:pStyle w:val="Tabletext"/>
            </w:pPr>
            <w:r w:rsidRPr="00FA78B1">
              <w:t>High level health claims procedure level 3 application</w:t>
            </w:r>
          </w:p>
        </w:tc>
        <w:tc>
          <w:tcPr>
            <w:tcW w:w="1988" w:type="dxa"/>
            <w:tcBorders>
              <w:bottom w:val="single" w:sz="4" w:space="0" w:color="auto"/>
            </w:tcBorders>
            <w:shd w:val="clear" w:color="auto" w:fill="auto"/>
          </w:tcPr>
          <w:p w:rsidR="00CA3EAD" w:rsidRPr="00FA78B1" w:rsidRDefault="00CA3EAD" w:rsidP="00863B24">
            <w:pPr>
              <w:pStyle w:val="Tabletext"/>
            </w:pPr>
            <w:r w:rsidRPr="00FA78B1">
              <w:t>1</w:t>
            </w:r>
            <w:r w:rsidR="00FA78B1" w:rsidRPr="00FA78B1">
              <w:t> </w:t>
            </w:r>
            <w:r w:rsidRPr="00FA78B1">
              <w:t>000 hours</w:t>
            </w:r>
          </w:p>
        </w:tc>
      </w:tr>
      <w:tr w:rsidR="00CA3EAD" w:rsidRPr="00FA78B1" w:rsidTr="00863B24">
        <w:tc>
          <w:tcPr>
            <w:tcW w:w="714" w:type="dxa"/>
            <w:tcBorders>
              <w:bottom w:val="single" w:sz="12" w:space="0" w:color="auto"/>
            </w:tcBorders>
            <w:shd w:val="clear" w:color="auto" w:fill="auto"/>
          </w:tcPr>
          <w:p w:rsidR="00CA3EAD" w:rsidRPr="00FA78B1" w:rsidRDefault="00CA3EAD" w:rsidP="00863B24">
            <w:pPr>
              <w:pStyle w:val="Tabletext"/>
            </w:pPr>
            <w:r w:rsidRPr="00FA78B1">
              <w:t>10</w:t>
            </w:r>
          </w:p>
        </w:tc>
        <w:tc>
          <w:tcPr>
            <w:tcW w:w="1408" w:type="dxa"/>
            <w:tcBorders>
              <w:bottom w:val="single" w:sz="12" w:space="0" w:color="auto"/>
            </w:tcBorders>
            <w:shd w:val="clear" w:color="auto" w:fill="auto"/>
          </w:tcPr>
          <w:p w:rsidR="00CA3EAD" w:rsidRPr="00FA78B1" w:rsidRDefault="00CA3EAD" w:rsidP="00863B24">
            <w:pPr>
              <w:pStyle w:val="Tabletext"/>
            </w:pPr>
            <w:r w:rsidRPr="00FA78B1">
              <w:t>Subdivision G of Division</w:t>
            </w:r>
            <w:r w:rsidR="00FA78B1" w:rsidRPr="00FA78B1">
              <w:t> </w:t>
            </w:r>
            <w:r w:rsidRPr="00FA78B1">
              <w:t>1 of Part</w:t>
            </w:r>
            <w:r w:rsidR="00FA78B1" w:rsidRPr="00FA78B1">
              <w:t> </w:t>
            </w:r>
            <w:r w:rsidRPr="00FA78B1">
              <w:t>3 of the Act</w:t>
            </w:r>
          </w:p>
        </w:tc>
        <w:tc>
          <w:tcPr>
            <w:tcW w:w="1559" w:type="dxa"/>
            <w:tcBorders>
              <w:bottom w:val="single" w:sz="12" w:space="0" w:color="auto"/>
            </w:tcBorders>
            <w:shd w:val="clear" w:color="auto" w:fill="auto"/>
          </w:tcPr>
          <w:p w:rsidR="00CA3EAD" w:rsidRPr="00FA78B1" w:rsidRDefault="00CA3EAD" w:rsidP="00863B24">
            <w:pPr>
              <w:pStyle w:val="Tabletext"/>
            </w:pPr>
            <w:r w:rsidRPr="00FA78B1">
              <w:t>More than 1</w:t>
            </w:r>
            <w:r w:rsidR="00FA78B1" w:rsidRPr="00FA78B1">
              <w:t> </w:t>
            </w:r>
            <w:r w:rsidRPr="00FA78B1">
              <w:t>000 hours</w:t>
            </w:r>
          </w:p>
        </w:tc>
        <w:tc>
          <w:tcPr>
            <w:tcW w:w="1417" w:type="dxa"/>
            <w:tcBorders>
              <w:bottom w:val="single" w:sz="12" w:space="0" w:color="auto"/>
            </w:tcBorders>
            <w:shd w:val="clear" w:color="auto" w:fill="auto"/>
          </w:tcPr>
          <w:p w:rsidR="00CA3EAD" w:rsidRPr="00FA78B1" w:rsidRDefault="00CA3EAD" w:rsidP="00863B24">
            <w:pPr>
              <w:pStyle w:val="Tabletext"/>
            </w:pPr>
            <w:r w:rsidRPr="00FA78B1">
              <w:t>High level health claims procedure level 4 application</w:t>
            </w:r>
          </w:p>
        </w:tc>
        <w:tc>
          <w:tcPr>
            <w:tcW w:w="1988" w:type="dxa"/>
            <w:tcBorders>
              <w:bottom w:val="single" w:sz="12" w:space="0" w:color="auto"/>
            </w:tcBorders>
            <w:shd w:val="clear" w:color="auto" w:fill="auto"/>
          </w:tcPr>
          <w:p w:rsidR="00CA3EAD" w:rsidRPr="00FA78B1" w:rsidRDefault="00CA3EAD" w:rsidP="00863B24">
            <w:pPr>
              <w:pStyle w:val="Tabletext"/>
            </w:pPr>
            <w:r w:rsidRPr="00FA78B1">
              <w:t>The number of hours the application consideration process is likely to take</w:t>
            </w:r>
          </w:p>
        </w:tc>
      </w:tr>
    </w:tbl>
    <w:p w:rsidR="006B38A5" w:rsidRPr="00FA78B1" w:rsidRDefault="00CA3EAD" w:rsidP="006B38A5">
      <w:pPr>
        <w:pStyle w:val="ActHead5"/>
      </w:pPr>
      <w:bookmarkStart w:id="13" w:name="_Toc415724514"/>
      <w:r w:rsidRPr="00FA78B1">
        <w:rPr>
          <w:rStyle w:val="CharSectno"/>
        </w:rPr>
        <w:t>8</w:t>
      </w:r>
      <w:r w:rsidR="007A6104" w:rsidRPr="00FA78B1">
        <w:t xml:space="preserve">  Charges</w:t>
      </w:r>
      <w:bookmarkEnd w:id="13"/>
    </w:p>
    <w:p w:rsidR="006B38A5" w:rsidRPr="00FA78B1" w:rsidRDefault="005018F8" w:rsidP="005018F8">
      <w:pPr>
        <w:pStyle w:val="subsection"/>
      </w:pPr>
      <w:r w:rsidRPr="00FA78B1">
        <w:tab/>
      </w:r>
      <w:r w:rsidR="00184BB5" w:rsidRPr="00FA78B1">
        <w:t>(1)</w:t>
      </w:r>
      <w:r w:rsidRPr="00FA78B1">
        <w:tab/>
      </w:r>
      <w:r w:rsidR="00304A42" w:rsidRPr="00FA78B1">
        <w:t>For subsection</w:t>
      </w:r>
      <w:r w:rsidR="00FA78B1" w:rsidRPr="00FA78B1">
        <w:t> </w:t>
      </w:r>
      <w:r w:rsidR="00304A42" w:rsidRPr="00FA78B1">
        <w:t xml:space="preserve">146(1) of the Act, the charge to be paid by an applicant for an application consideration process mentioned in an item in the following table is the charge set out in that item. (The charge set out in an item has been calculated at the rate of $115 </w:t>
      </w:r>
      <w:r w:rsidR="005E68F2" w:rsidRPr="00FA78B1">
        <w:t>for each</w:t>
      </w:r>
      <w:r w:rsidR="00304A42" w:rsidRPr="00FA78B1">
        <w:t xml:space="preserve"> hour to be charged </w:t>
      </w:r>
      <w:r w:rsidR="005E68F2" w:rsidRPr="00FA78B1">
        <w:t>in relation to</w:t>
      </w:r>
      <w:r w:rsidR="00304A42" w:rsidRPr="00FA78B1">
        <w:t xml:space="preserve"> the application as set out in column 4 of the table in regulation</w:t>
      </w:r>
      <w:r w:rsidR="00FA78B1" w:rsidRPr="00FA78B1">
        <w:t> </w:t>
      </w:r>
      <w:r w:rsidR="00CA3EAD" w:rsidRPr="00FA78B1">
        <w:t>7</w:t>
      </w:r>
      <w:r w:rsidR="00304A42" w:rsidRPr="00FA78B1">
        <w:t>).</w:t>
      </w:r>
    </w:p>
    <w:p w:rsidR="006B38A5" w:rsidRPr="00FA78B1" w:rsidRDefault="006B38A5" w:rsidP="006B38A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6B38A5" w:rsidRPr="00FA78B1" w:rsidTr="00AF52E0">
        <w:trPr>
          <w:tblHeader/>
        </w:trPr>
        <w:tc>
          <w:tcPr>
            <w:tcW w:w="7086" w:type="dxa"/>
            <w:gridSpan w:val="3"/>
            <w:tcBorders>
              <w:top w:val="single" w:sz="12" w:space="0" w:color="auto"/>
              <w:bottom w:val="single" w:sz="6" w:space="0" w:color="auto"/>
            </w:tcBorders>
            <w:shd w:val="clear" w:color="auto" w:fill="auto"/>
          </w:tcPr>
          <w:p w:rsidR="006B38A5" w:rsidRPr="00FA78B1" w:rsidRDefault="006B38A5" w:rsidP="006B38A5">
            <w:pPr>
              <w:pStyle w:val="TableHeading"/>
            </w:pPr>
            <w:r w:rsidRPr="00FA78B1">
              <w:t>Charges</w:t>
            </w:r>
          </w:p>
        </w:tc>
      </w:tr>
      <w:tr w:rsidR="006B38A5" w:rsidRPr="00FA78B1" w:rsidTr="00AF52E0">
        <w:trPr>
          <w:tblHeader/>
        </w:trPr>
        <w:tc>
          <w:tcPr>
            <w:tcW w:w="714" w:type="dxa"/>
            <w:tcBorders>
              <w:top w:val="single" w:sz="6" w:space="0" w:color="auto"/>
              <w:bottom w:val="single" w:sz="12" w:space="0" w:color="auto"/>
            </w:tcBorders>
            <w:shd w:val="clear" w:color="auto" w:fill="auto"/>
          </w:tcPr>
          <w:p w:rsidR="006B38A5" w:rsidRPr="00FA78B1" w:rsidRDefault="006B38A5" w:rsidP="006B38A5">
            <w:pPr>
              <w:pStyle w:val="TableHeading"/>
            </w:pPr>
            <w:r w:rsidRPr="00FA78B1">
              <w:t>Item</w:t>
            </w:r>
          </w:p>
        </w:tc>
        <w:tc>
          <w:tcPr>
            <w:tcW w:w="3186" w:type="dxa"/>
            <w:tcBorders>
              <w:top w:val="single" w:sz="6" w:space="0" w:color="auto"/>
              <w:bottom w:val="single" w:sz="12" w:space="0" w:color="auto"/>
            </w:tcBorders>
            <w:shd w:val="clear" w:color="auto" w:fill="auto"/>
          </w:tcPr>
          <w:p w:rsidR="006B38A5" w:rsidRPr="00FA78B1" w:rsidRDefault="00304A42" w:rsidP="005018F8">
            <w:pPr>
              <w:pStyle w:val="TableHeading"/>
            </w:pPr>
            <w:r w:rsidRPr="00FA78B1">
              <w:t>Application consideration process</w:t>
            </w:r>
          </w:p>
        </w:tc>
        <w:tc>
          <w:tcPr>
            <w:tcW w:w="3186" w:type="dxa"/>
            <w:tcBorders>
              <w:top w:val="single" w:sz="6" w:space="0" w:color="auto"/>
              <w:bottom w:val="single" w:sz="12" w:space="0" w:color="auto"/>
            </w:tcBorders>
            <w:shd w:val="clear" w:color="auto" w:fill="auto"/>
          </w:tcPr>
          <w:p w:rsidR="006B38A5" w:rsidRPr="00FA78B1" w:rsidRDefault="006B38A5" w:rsidP="00CE37F7">
            <w:pPr>
              <w:pStyle w:val="TableHeading"/>
            </w:pPr>
            <w:r w:rsidRPr="00FA78B1">
              <w:t>Charge</w:t>
            </w:r>
          </w:p>
        </w:tc>
      </w:tr>
      <w:tr w:rsidR="005018F8" w:rsidRPr="00FA78B1" w:rsidTr="00AF52E0">
        <w:tc>
          <w:tcPr>
            <w:tcW w:w="714" w:type="dxa"/>
            <w:tcBorders>
              <w:top w:val="single" w:sz="12" w:space="0" w:color="auto"/>
            </w:tcBorders>
            <w:shd w:val="clear" w:color="auto" w:fill="auto"/>
          </w:tcPr>
          <w:p w:rsidR="005018F8" w:rsidRPr="00FA78B1" w:rsidRDefault="00AF52E0" w:rsidP="006B38A5">
            <w:pPr>
              <w:pStyle w:val="Tabletext"/>
            </w:pPr>
            <w:r w:rsidRPr="00FA78B1">
              <w:t>1</w:t>
            </w:r>
          </w:p>
        </w:tc>
        <w:tc>
          <w:tcPr>
            <w:tcW w:w="3186" w:type="dxa"/>
            <w:tcBorders>
              <w:top w:val="single" w:sz="12" w:space="0" w:color="auto"/>
            </w:tcBorders>
            <w:shd w:val="clear" w:color="auto" w:fill="auto"/>
          </w:tcPr>
          <w:p w:rsidR="005018F8" w:rsidRPr="00FA78B1" w:rsidRDefault="005018F8" w:rsidP="005018F8">
            <w:pPr>
              <w:pStyle w:val="Tabletext"/>
            </w:pPr>
            <w:r w:rsidRPr="00FA78B1">
              <w:t xml:space="preserve">The application consideration process for a general procedure level </w:t>
            </w:r>
            <w:r w:rsidRPr="00FA78B1">
              <w:lastRenderedPageBreak/>
              <w:t>1 application</w:t>
            </w:r>
          </w:p>
        </w:tc>
        <w:tc>
          <w:tcPr>
            <w:tcW w:w="3186" w:type="dxa"/>
            <w:tcBorders>
              <w:top w:val="single" w:sz="12" w:space="0" w:color="auto"/>
            </w:tcBorders>
            <w:shd w:val="clear" w:color="auto" w:fill="auto"/>
          </w:tcPr>
          <w:p w:rsidR="005018F8" w:rsidRPr="00FA78B1" w:rsidRDefault="005018F8" w:rsidP="006B38A5">
            <w:pPr>
              <w:pStyle w:val="Tabletext"/>
            </w:pPr>
            <w:r w:rsidRPr="00FA78B1">
              <w:lastRenderedPageBreak/>
              <w:t>$40</w:t>
            </w:r>
            <w:r w:rsidR="00FA78B1" w:rsidRPr="00FA78B1">
              <w:t> </w:t>
            </w:r>
            <w:r w:rsidRPr="00FA78B1">
              <w:t>250</w:t>
            </w:r>
          </w:p>
        </w:tc>
      </w:tr>
      <w:tr w:rsidR="005018F8" w:rsidRPr="00FA78B1" w:rsidTr="00AF52E0">
        <w:tc>
          <w:tcPr>
            <w:tcW w:w="714" w:type="dxa"/>
            <w:shd w:val="clear" w:color="auto" w:fill="auto"/>
          </w:tcPr>
          <w:p w:rsidR="005018F8" w:rsidRPr="00FA78B1" w:rsidRDefault="00AF52E0" w:rsidP="006B38A5">
            <w:pPr>
              <w:pStyle w:val="Tabletext"/>
            </w:pPr>
            <w:r w:rsidRPr="00FA78B1">
              <w:lastRenderedPageBreak/>
              <w:t>2</w:t>
            </w:r>
          </w:p>
        </w:tc>
        <w:tc>
          <w:tcPr>
            <w:tcW w:w="3186" w:type="dxa"/>
            <w:shd w:val="clear" w:color="auto" w:fill="auto"/>
          </w:tcPr>
          <w:p w:rsidR="005018F8" w:rsidRPr="00FA78B1" w:rsidRDefault="005018F8" w:rsidP="005018F8">
            <w:pPr>
              <w:pStyle w:val="Tabletext"/>
            </w:pPr>
            <w:r w:rsidRPr="00FA78B1">
              <w:t>The application consideration process for a general procedure level 2 application</w:t>
            </w:r>
          </w:p>
        </w:tc>
        <w:tc>
          <w:tcPr>
            <w:tcW w:w="3186" w:type="dxa"/>
            <w:shd w:val="clear" w:color="auto" w:fill="auto"/>
          </w:tcPr>
          <w:p w:rsidR="005018F8" w:rsidRPr="00FA78B1" w:rsidRDefault="005018F8" w:rsidP="006B38A5">
            <w:pPr>
              <w:pStyle w:val="Tabletext"/>
            </w:pPr>
            <w:r w:rsidRPr="00FA78B1">
              <w:t>$74</w:t>
            </w:r>
            <w:r w:rsidR="00FA78B1" w:rsidRPr="00FA78B1">
              <w:t> </w:t>
            </w:r>
            <w:r w:rsidRPr="00FA78B1">
              <w:t>750</w:t>
            </w:r>
          </w:p>
        </w:tc>
      </w:tr>
      <w:tr w:rsidR="005018F8" w:rsidRPr="00FA78B1" w:rsidTr="00AF52E0">
        <w:tc>
          <w:tcPr>
            <w:tcW w:w="714" w:type="dxa"/>
            <w:shd w:val="clear" w:color="auto" w:fill="auto"/>
          </w:tcPr>
          <w:p w:rsidR="005018F8" w:rsidRPr="00FA78B1" w:rsidRDefault="00AF52E0" w:rsidP="006B38A5">
            <w:pPr>
              <w:pStyle w:val="Tabletext"/>
            </w:pPr>
            <w:r w:rsidRPr="00FA78B1">
              <w:t>3</w:t>
            </w:r>
          </w:p>
        </w:tc>
        <w:tc>
          <w:tcPr>
            <w:tcW w:w="3186" w:type="dxa"/>
            <w:shd w:val="clear" w:color="auto" w:fill="auto"/>
          </w:tcPr>
          <w:p w:rsidR="005018F8" w:rsidRPr="00FA78B1" w:rsidRDefault="005018F8" w:rsidP="005018F8">
            <w:pPr>
              <w:pStyle w:val="Tabletext"/>
            </w:pPr>
            <w:r w:rsidRPr="00FA78B1">
              <w:t>The application consideration process for a general procedure level 3 application</w:t>
            </w:r>
          </w:p>
        </w:tc>
        <w:tc>
          <w:tcPr>
            <w:tcW w:w="3186" w:type="dxa"/>
            <w:shd w:val="clear" w:color="auto" w:fill="auto"/>
          </w:tcPr>
          <w:p w:rsidR="005018F8" w:rsidRPr="00FA78B1" w:rsidRDefault="005018F8" w:rsidP="006B38A5">
            <w:pPr>
              <w:pStyle w:val="Tabletext"/>
            </w:pPr>
            <w:r w:rsidRPr="00FA78B1">
              <w:t>$115</w:t>
            </w:r>
            <w:r w:rsidR="00FA78B1" w:rsidRPr="00FA78B1">
              <w:t> </w:t>
            </w:r>
            <w:r w:rsidRPr="00FA78B1">
              <w:t>000</w:t>
            </w:r>
          </w:p>
        </w:tc>
      </w:tr>
      <w:tr w:rsidR="005018F8" w:rsidRPr="00FA78B1" w:rsidTr="00AF52E0">
        <w:tc>
          <w:tcPr>
            <w:tcW w:w="714" w:type="dxa"/>
            <w:shd w:val="clear" w:color="auto" w:fill="auto"/>
          </w:tcPr>
          <w:p w:rsidR="005018F8" w:rsidRPr="00FA78B1" w:rsidRDefault="00AF52E0" w:rsidP="006B38A5">
            <w:pPr>
              <w:pStyle w:val="Tabletext"/>
            </w:pPr>
            <w:r w:rsidRPr="00FA78B1">
              <w:t>4</w:t>
            </w:r>
          </w:p>
        </w:tc>
        <w:tc>
          <w:tcPr>
            <w:tcW w:w="3186" w:type="dxa"/>
            <w:shd w:val="clear" w:color="auto" w:fill="auto"/>
          </w:tcPr>
          <w:p w:rsidR="005018F8" w:rsidRPr="00FA78B1" w:rsidRDefault="005018F8" w:rsidP="005018F8">
            <w:pPr>
              <w:pStyle w:val="Tabletext"/>
            </w:pPr>
            <w:r w:rsidRPr="00FA78B1">
              <w:t>The application consideration process for a general procedure level 4 applicati</w:t>
            </w:r>
            <w:r w:rsidR="00184BB5" w:rsidRPr="00FA78B1">
              <w:t>on</w:t>
            </w:r>
          </w:p>
        </w:tc>
        <w:tc>
          <w:tcPr>
            <w:tcW w:w="3186" w:type="dxa"/>
            <w:shd w:val="clear" w:color="auto" w:fill="auto"/>
          </w:tcPr>
          <w:p w:rsidR="005018F8" w:rsidRPr="00FA78B1" w:rsidRDefault="00EB0789" w:rsidP="006B38A5">
            <w:pPr>
              <w:pStyle w:val="Tabletext"/>
            </w:pPr>
            <w:r w:rsidRPr="00FA78B1">
              <w:t>The sum</w:t>
            </w:r>
            <w:r w:rsidR="0027565A" w:rsidRPr="00FA78B1">
              <w:t xml:space="preserve"> of t</w:t>
            </w:r>
            <w:r w:rsidR="005018F8" w:rsidRPr="00FA78B1">
              <w:t>he following</w:t>
            </w:r>
            <w:r w:rsidR="001958C6" w:rsidRPr="00FA78B1">
              <w:t xml:space="preserve"> amounts</w:t>
            </w:r>
            <w:r w:rsidR="005018F8" w:rsidRPr="00FA78B1">
              <w:t>:</w:t>
            </w:r>
          </w:p>
          <w:p w:rsidR="005018F8" w:rsidRPr="00FA78B1" w:rsidRDefault="005018F8" w:rsidP="005018F8">
            <w:pPr>
              <w:pStyle w:val="Tablea"/>
            </w:pPr>
            <w:r w:rsidRPr="00FA78B1">
              <w:t>(a) $1</w:t>
            </w:r>
            <w:r w:rsidR="00AE429C" w:rsidRPr="00FA78B1">
              <w:t>15</w:t>
            </w:r>
            <w:r w:rsidR="00FA78B1" w:rsidRPr="00FA78B1">
              <w:t> </w:t>
            </w:r>
            <w:r w:rsidRPr="00FA78B1">
              <w:t>000;</w:t>
            </w:r>
          </w:p>
          <w:p w:rsidR="005018F8" w:rsidRPr="00FA78B1" w:rsidRDefault="005018F8" w:rsidP="00AA485C">
            <w:pPr>
              <w:pStyle w:val="Tablea"/>
            </w:pPr>
            <w:r w:rsidRPr="00FA78B1">
              <w:t>(b) $115 for each hour that the process is likely to</w:t>
            </w:r>
            <w:r w:rsidR="00B242F8" w:rsidRPr="00FA78B1">
              <w:t xml:space="preserve"> take</w:t>
            </w:r>
            <w:r w:rsidRPr="00FA78B1">
              <w:t xml:space="preserve"> </w:t>
            </w:r>
            <w:r w:rsidR="00AA485C" w:rsidRPr="00FA78B1">
              <w:t xml:space="preserve">above </w:t>
            </w:r>
            <w:r w:rsidRPr="00FA78B1">
              <w:t>1</w:t>
            </w:r>
            <w:r w:rsidR="00FA78B1" w:rsidRPr="00FA78B1">
              <w:t> </w:t>
            </w:r>
            <w:r w:rsidRPr="00FA78B1">
              <w:t>000 hours</w:t>
            </w:r>
          </w:p>
        </w:tc>
      </w:tr>
      <w:tr w:rsidR="00AF52E0" w:rsidRPr="00FA78B1" w:rsidTr="00AF52E0">
        <w:tc>
          <w:tcPr>
            <w:tcW w:w="714" w:type="dxa"/>
            <w:shd w:val="clear" w:color="auto" w:fill="auto"/>
          </w:tcPr>
          <w:p w:rsidR="00AF52E0" w:rsidRPr="00FA78B1" w:rsidRDefault="00AF52E0" w:rsidP="0027565A">
            <w:pPr>
              <w:pStyle w:val="Tabletext"/>
            </w:pPr>
            <w:r w:rsidRPr="00FA78B1">
              <w:t>5</w:t>
            </w:r>
          </w:p>
        </w:tc>
        <w:tc>
          <w:tcPr>
            <w:tcW w:w="3186" w:type="dxa"/>
            <w:shd w:val="clear" w:color="auto" w:fill="auto"/>
          </w:tcPr>
          <w:p w:rsidR="00AF52E0" w:rsidRPr="00FA78B1" w:rsidRDefault="00AF52E0" w:rsidP="0027565A">
            <w:pPr>
              <w:pStyle w:val="Tabletext"/>
            </w:pPr>
            <w:r w:rsidRPr="00FA78B1">
              <w:t>The application consideration process for a minor procedure application</w:t>
            </w:r>
          </w:p>
        </w:tc>
        <w:tc>
          <w:tcPr>
            <w:tcW w:w="3186" w:type="dxa"/>
            <w:shd w:val="clear" w:color="auto" w:fill="auto"/>
          </w:tcPr>
          <w:p w:rsidR="00AF52E0" w:rsidRPr="00FA78B1" w:rsidRDefault="00AF52E0" w:rsidP="0027565A">
            <w:pPr>
              <w:pStyle w:val="Tabletext"/>
            </w:pPr>
            <w:r w:rsidRPr="00FA78B1">
              <w:t>$11</w:t>
            </w:r>
            <w:r w:rsidR="00FA78B1" w:rsidRPr="00FA78B1">
              <w:t> </w:t>
            </w:r>
            <w:r w:rsidRPr="00FA78B1">
              <w:t>500</w:t>
            </w:r>
          </w:p>
        </w:tc>
      </w:tr>
      <w:tr w:rsidR="00AF52E0" w:rsidRPr="00FA78B1" w:rsidTr="00AF52E0">
        <w:tc>
          <w:tcPr>
            <w:tcW w:w="714" w:type="dxa"/>
            <w:shd w:val="clear" w:color="auto" w:fill="auto"/>
          </w:tcPr>
          <w:p w:rsidR="00AF52E0" w:rsidRPr="00FA78B1" w:rsidRDefault="00AF52E0" w:rsidP="006B38A5">
            <w:pPr>
              <w:pStyle w:val="Tabletext"/>
            </w:pPr>
            <w:r w:rsidRPr="00FA78B1">
              <w:t>6</w:t>
            </w:r>
          </w:p>
        </w:tc>
        <w:tc>
          <w:tcPr>
            <w:tcW w:w="3186" w:type="dxa"/>
            <w:shd w:val="clear" w:color="auto" w:fill="auto"/>
          </w:tcPr>
          <w:p w:rsidR="00AF52E0" w:rsidRPr="00FA78B1" w:rsidRDefault="00AF52E0" w:rsidP="005018F8">
            <w:pPr>
              <w:pStyle w:val="Tabletext"/>
            </w:pPr>
            <w:r w:rsidRPr="00FA78B1">
              <w:t>The application consideration process for a major procedure application</w:t>
            </w:r>
          </w:p>
        </w:tc>
        <w:tc>
          <w:tcPr>
            <w:tcW w:w="3186" w:type="dxa"/>
            <w:shd w:val="clear" w:color="auto" w:fill="auto"/>
          </w:tcPr>
          <w:p w:rsidR="0027565A" w:rsidRPr="00FA78B1" w:rsidRDefault="00EB0789" w:rsidP="0027565A">
            <w:pPr>
              <w:pStyle w:val="Tabletext"/>
            </w:pPr>
            <w:r w:rsidRPr="00FA78B1">
              <w:t>The sum</w:t>
            </w:r>
            <w:r w:rsidR="0027565A" w:rsidRPr="00FA78B1">
              <w:t xml:space="preserve"> of the following amounts:</w:t>
            </w:r>
          </w:p>
          <w:p w:rsidR="00AF52E0" w:rsidRPr="00FA78B1" w:rsidRDefault="00AF52E0" w:rsidP="005018F8">
            <w:pPr>
              <w:pStyle w:val="Tablea"/>
            </w:pPr>
            <w:r w:rsidRPr="00FA78B1">
              <w:t>(a) $138</w:t>
            </w:r>
            <w:r w:rsidR="00FA78B1" w:rsidRPr="00FA78B1">
              <w:t> </w:t>
            </w:r>
            <w:r w:rsidRPr="00FA78B1">
              <w:t>000;</w:t>
            </w:r>
          </w:p>
          <w:p w:rsidR="00AF52E0" w:rsidRPr="00FA78B1" w:rsidRDefault="00AF52E0" w:rsidP="00AA485C">
            <w:pPr>
              <w:pStyle w:val="Tablea"/>
            </w:pPr>
            <w:r w:rsidRPr="00FA78B1">
              <w:t xml:space="preserve">(b) $115 for each hour that the process is likely to take </w:t>
            </w:r>
            <w:r w:rsidR="00AA485C" w:rsidRPr="00FA78B1">
              <w:t xml:space="preserve">above </w:t>
            </w:r>
            <w:r w:rsidRPr="00FA78B1">
              <w:t>1</w:t>
            </w:r>
            <w:r w:rsidR="00FA78B1" w:rsidRPr="00FA78B1">
              <w:t> </w:t>
            </w:r>
            <w:r w:rsidRPr="00FA78B1">
              <w:t>200 hours</w:t>
            </w:r>
          </w:p>
        </w:tc>
      </w:tr>
      <w:tr w:rsidR="00AF52E0" w:rsidRPr="00FA78B1" w:rsidTr="00AF52E0">
        <w:tc>
          <w:tcPr>
            <w:tcW w:w="714" w:type="dxa"/>
            <w:shd w:val="clear" w:color="auto" w:fill="auto"/>
          </w:tcPr>
          <w:p w:rsidR="00AF52E0" w:rsidRPr="00FA78B1" w:rsidRDefault="00AF52E0" w:rsidP="006B38A5">
            <w:pPr>
              <w:pStyle w:val="Tabletext"/>
            </w:pPr>
            <w:r w:rsidRPr="00FA78B1">
              <w:t>7</w:t>
            </w:r>
          </w:p>
        </w:tc>
        <w:tc>
          <w:tcPr>
            <w:tcW w:w="3186" w:type="dxa"/>
            <w:shd w:val="clear" w:color="auto" w:fill="auto"/>
          </w:tcPr>
          <w:p w:rsidR="00AF52E0" w:rsidRPr="00FA78B1" w:rsidRDefault="00AF52E0" w:rsidP="00184BB5">
            <w:pPr>
              <w:pStyle w:val="Tabletext"/>
            </w:pPr>
            <w:r w:rsidRPr="00FA78B1">
              <w:t>The application consideration process for a high level health claims procedure level 1 application</w:t>
            </w:r>
          </w:p>
        </w:tc>
        <w:tc>
          <w:tcPr>
            <w:tcW w:w="3186" w:type="dxa"/>
            <w:shd w:val="clear" w:color="auto" w:fill="auto"/>
          </w:tcPr>
          <w:p w:rsidR="00AF52E0" w:rsidRPr="00FA78B1" w:rsidRDefault="00AF52E0" w:rsidP="00184BB5">
            <w:pPr>
              <w:pStyle w:val="Tabletext"/>
            </w:pPr>
            <w:r w:rsidRPr="00FA78B1">
              <w:t>$40</w:t>
            </w:r>
            <w:r w:rsidR="00FA78B1" w:rsidRPr="00FA78B1">
              <w:t> </w:t>
            </w:r>
            <w:r w:rsidRPr="00FA78B1">
              <w:t>250</w:t>
            </w:r>
          </w:p>
        </w:tc>
      </w:tr>
      <w:tr w:rsidR="00AF52E0" w:rsidRPr="00FA78B1" w:rsidTr="00AF52E0">
        <w:tc>
          <w:tcPr>
            <w:tcW w:w="714" w:type="dxa"/>
            <w:shd w:val="clear" w:color="auto" w:fill="auto"/>
          </w:tcPr>
          <w:p w:rsidR="00AF52E0" w:rsidRPr="00FA78B1" w:rsidRDefault="00AF52E0" w:rsidP="006B38A5">
            <w:pPr>
              <w:pStyle w:val="Tabletext"/>
            </w:pPr>
            <w:r w:rsidRPr="00FA78B1">
              <w:t>8</w:t>
            </w:r>
          </w:p>
        </w:tc>
        <w:tc>
          <w:tcPr>
            <w:tcW w:w="3186" w:type="dxa"/>
            <w:shd w:val="clear" w:color="auto" w:fill="auto"/>
          </w:tcPr>
          <w:p w:rsidR="00AF52E0" w:rsidRPr="00FA78B1" w:rsidRDefault="00AF52E0" w:rsidP="00BC2A44">
            <w:pPr>
              <w:pStyle w:val="Tabletext"/>
            </w:pPr>
            <w:r w:rsidRPr="00FA78B1">
              <w:t>The application consideration process for a high level health claims procedure level 2 application</w:t>
            </w:r>
          </w:p>
        </w:tc>
        <w:tc>
          <w:tcPr>
            <w:tcW w:w="3186" w:type="dxa"/>
            <w:shd w:val="clear" w:color="auto" w:fill="auto"/>
          </w:tcPr>
          <w:p w:rsidR="00AF52E0" w:rsidRPr="00FA78B1" w:rsidRDefault="00AF52E0" w:rsidP="006B38A5">
            <w:pPr>
              <w:pStyle w:val="Tabletext"/>
            </w:pPr>
            <w:r w:rsidRPr="00FA78B1">
              <w:t>$74</w:t>
            </w:r>
            <w:r w:rsidR="00FA78B1" w:rsidRPr="00FA78B1">
              <w:t> </w:t>
            </w:r>
            <w:r w:rsidRPr="00FA78B1">
              <w:t>750</w:t>
            </w:r>
          </w:p>
        </w:tc>
      </w:tr>
      <w:tr w:rsidR="00AF52E0" w:rsidRPr="00FA78B1" w:rsidTr="00AF52E0">
        <w:tc>
          <w:tcPr>
            <w:tcW w:w="714" w:type="dxa"/>
            <w:tcBorders>
              <w:bottom w:val="single" w:sz="4" w:space="0" w:color="auto"/>
            </w:tcBorders>
            <w:shd w:val="clear" w:color="auto" w:fill="auto"/>
          </w:tcPr>
          <w:p w:rsidR="00AF52E0" w:rsidRPr="00FA78B1" w:rsidRDefault="00AF52E0" w:rsidP="006B38A5">
            <w:pPr>
              <w:pStyle w:val="Tabletext"/>
            </w:pPr>
            <w:r w:rsidRPr="00FA78B1">
              <w:t>9</w:t>
            </w:r>
          </w:p>
        </w:tc>
        <w:tc>
          <w:tcPr>
            <w:tcW w:w="3186" w:type="dxa"/>
            <w:tcBorders>
              <w:bottom w:val="single" w:sz="4" w:space="0" w:color="auto"/>
            </w:tcBorders>
            <w:shd w:val="clear" w:color="auto" w:fill="auto"/>
          </w:tcPr>
          <w:p w:rsidR="00AF52E0" w:rsidRPr="00FA78B1" w:rsidRDefault="00AF52E0" w:rsidP="00BC2A44">
            <w:pPr>
              <w:pStyle w:val="Tabletext"/>
            </w:pPr>
            <w:r w:rsidRPr="00FA78B1">
              <w:t>The application consideration process for a high level health claims procedure level 3 application</w:t>
            </w:r>
          </w:p>
        </w:tc>
        <w:tc>
          <w:tcPr>
            <w:tcW w:w="3186" w:type="dxa"/>
            <w:tcBorders>
              <w:bottom w:val="single" w:sz="4" w:space="0" w:color="auto"/>
            </w:tcBorders>
            <w:shd w:val="clear" w:color="auto" w:fill="auto"/>
          </w:tcPr>
          <w:p w:rsidR="00AF52E0" w:rsidRPr="00FA78B1" w:rsidRDefault="00AF52E0" w:rsidP="006B38A5">
            <w:pPr>
              <w:pStyle w:val="Tabletext"/>
            </w:pPr>
            <w:r w:rsidRPr="00FA78B1">
              <w:t>$115</w:t>
            </w:r>
            <w:r w:rsidR="00FA78B1" w:rsidRPr="00FA78B1">
              <w:t> </w:t>
            </w:r>
            <w:r w:rsidRPr="00FA78B1">
              <w:t>000</w:t>
            </w:r>
          </w:p>
        </w:tc>
      </w:tr>
      <w:tr w:rsidR="00AF52E0" w:rsidRPr="00FA78B1" w:rsidTr="00AF52E0">
        <w:tc>
          <w:tcPr>
            <w:tcW w:w="714" w:type="dxa"/>
            <w:tcBorders>
              <w:bottom w:val="single" w:sz="12" w:space="0" w:color="auto"/>
            </w:tcBorders>
            <w:shd w:val="clear" w:color="auto" w:fill="auto"/>
          </w:tcPr>
          <w:p w:rsidR="00AF52E0" w:rsidRPr="00FA78B1" w:rsidRDefault="00AF52E0" w:rsidP="006B38A5">
            <w:pPr>
              <w:pStyle w:val="Tabletext"/>
            </w:pPr>
            <w:r w:rsidRPr="00FA78B1">
              <w:t>10</w:t>
            </w:r>
          </w:p>
        </w:tc>
        <w:tc>
          <w:tcPr>
            <w:tcW w:w="3186" w:type="dxa"/>
            <w:tcBorders>
              <w:bottom w:val="single" w:sz="12" w:space="0" w:color="auto"/>
            </w:tcBorders>
            <w:shd w:val="clear" w:color="auto" w:fill="auto"/>
          </w:tcPr>
          <w:p w:rsidR="00AF52E0" w:rsidRPr="00FA78B1" w:rsidRDefault="00AF52E0" w:rsidP="00BC2A44">
            <w:pPr>
              <w:pStyle w:val="Tabletext"/>
            </w:pPr>
            <w:r w:rsidRPr="00FA78B1">
              <w:t>The application consideration process for a high level health claims procedure level 4 application</w:t>
            </w:r>
          </w:p>
        </w:tc>
        <w:tc>
          <w:tcPr>
            <w:tcW w:w="3186" w:type="dxa"/>
            <w:tcBorders>
              <w:bottom w:val="single" w:sz="12" w:space="0" w:color="auto"/>
            </w:tcBorders>
            <w:shd w:val="clear" w:color="auto" w:fill="auto"/>
          </w:tcPr>
          <w:p w:rsidR="0027565A" w:rsidRPr="00FA78B1" w:rsidRDefault="00EB0789" w:rsidP="0027565A">
            <w:pPr>
              <w:pStyle w:val="Tabletext"/>
            </w:pPr>
            <w:r w:rsidRPr="00FA78B1">
              <w:t>The sum</w:t>
            </w:r>
            <w:r w:rsidR="0027565A" w:rsidRPr="00FA78B1">
              <w:t xml:space="preserve"> of the following amounts:</w:t>
            </w:r>
          </w:p>
          <w:p w:rsidR="00AF52E0" w:rsidRPr="00FA78B1" w:rsidRDefault="00AF52E0" w:rsidP="00184BB5">
            <w:pPr>
              <w:pStyle w:val="Tablea"/>
            </w:pPr>
            <w:r w:rsidRPr="00FA78B1">
              <w:t>(a) $138</w:t>
            </w:r>
            <w:r w:rsidR="00FA78B1" w:rsidRPr="00FA78B1">
              <w:t> </w:t>
            </w:r>
            <w:r w:rsidRPr="00FA78B1">
              <w:t>000;</w:t>
            </w:r>
          </w:p>
          <w:p w:rsidR="00AF52E0" w:rsidRPr="00FA78B1" w:rsidRDefault="00AF52E0" w:rsidP="00AA485C">
            <w:pPr>
              <w:pStyle w:val="Tablea"/>
            </w:pPr>
            <w:r w:rsidRPr="00FA78B1">
              <w:t xml:space="preserve">(b) $115 for each hour that </w:t>
            </w:r>
            <w:r w:rsidR="00AA485C" w:rsidRPr="00FA78B1">
              <w:t xml:space="preserve">the process is likely to take above </w:t>
            </w:r>
            <w:r w:rsidRPr="00FA78B1">
              <w:t>1</w:t>
            </w:r>
            <w:r w:rsidR="00FA78B1" w:rsidRPr="00FA78B1">
              <w:t> </w:t>
            </w:r>
            <w:r w:rsidRPr="00FA78B1">
              <w:t>000 hours</w:t>
            </w:r>
          </w:p>
        </w:tc>
      </w:tr>
    </w:tbl>
    <w:p w:rsidR="0027565A" w:rsidRPr="00FA78B1" w:rsidRDefault="00184BB5" w:rsidP="00184BB5">
      <w:pPr>
        <w:pStyle w:val="subsection"/>
      </w:pPr>
      <w:r w:rsidRPr="00FA78B1">
        <w:tab/>
        <w:t>(2)</w:t>
      </w:r>
      <w:r w:rsidRPr="00FA78B1">
        <w:tab/>
        <w:t>For subsection</w:t>
      </w:r>
      <w:r w:rsidR="00FA78B1" w:rsidRPr="00FA78B1">
        <w:t> </w:t>
      </w:r>
      <w:r w:rsidRPr="00FA78B1">
        <w:t xml:space="preserve">146(1) of the Act, </w:t>
      </w:r>
      <w:r w:rsidR="0027565A" w:rsidRPr="00FA78B1">
        <w:t>a</w:t>
      </w:r>
      <w:r w:rsidRPr="00FA78B1">
        <w:t xml:space="preserve"> charge </w:t>
      </w:r>
      <w:r w:rsidR="00AE429C" w:rsidRPr="00FA78B1">
        <w:t xml:space="preserve">(the </w:t>
      </w:r>
      <w:r w:rsidR="00AE429C" w:rsidRPr="00FA78B1">
        <w:rPr>
          <w:b/>
          <w:i/>
        </w:rPr>
        <w:t>administration charge</w:t>
      </w:r>
      <w:r w:rsidR="00AE429C" w:rsidRPr="00FA78B1">
        <w:t xml:space="preserve">) </w:t>
      </w:r>
      <w:r w:rsidR="00721B4B" w:rsidRPr="00FA78B1">
        <w:t>of $10</w:t>
      </w:r>
      <w:r w:rsidR="00FA78B1" w:rsidRPr="00FA78B1">
        <w:t> </w:t>
      </w:r>
      <w:r w:rsidRPr="00FA78B1">
        <w:t xml:space="preserve">000 is to be paid by </w:t>
      </w:r>
      <w:r w:rsidR="00721B4B" w:rsidRPr="00FA78B1">
        <w:t xml:space="preserve">an applicant for </w:t>
      </w:r>
      <w:r w:rsidRPr="00FA78B1">
        <w:t xml:space="preserve">the steps in </w:t>
      </w:r>
      <w:r w:rsidR="00AA485C" w:rsidRPr="00FA78B1">
        <w:t>an</w:t>
      </w:r>
      <w:r w:rsidRPr="00FA78B1">
        <w:t xml:space="preserve"> ap</w:t>
      </w:r>
      <w:r w:rsidR="00AA485C" w:rsidRPr="00FA78B1">
        <w:t>plication consideration process</w:t>
      </w:r>
      <w:r w:rsidR="0027565A" w:rsidRPr="00FA78B1">
        <w:t>:</w:t>
      </w:r>
    </w:p>
    <w:p w:rsidR="00184BB5" w:rsidRPr="00FA78B1" w:rsidRDefault="0027565A" w:rsidP="0027565A">
      <w:pPr>
        <w:pStyle w:val="paragraph"/>
      </w:pPr>
      <w:r w:rsidRPr="00FA78B1">
        <w:lastRenderedPageBreak/>
        <w:tab/>
        <w:t>(a)</w:t>
      </w:r>
      <w:r w:rsidRPr="00FA78B1">
        <w:tab/>
      </w:r>
      <w:r w:rsidR="00184BB5" w:rsidRPr="00FA78B1">
        <w:t>that are requ</w:t>
      </w:r>
      <w:r w:rsidRPr="00FA78B1">
        <w:t>ired to be taken under any of the following</w:t>
      </w:r>
      <w:r w:rsidR="00184BB5" w:rsidRPr="00FA78B1">
        <w:t>:</w:t>
      </w:r>
    </w:p>
    <w:p w:rsidR="00184BB5" w:rsidRPr="00FA78B1" w:rsidRDefault="00184BB5" w:rsidP="0027565A">
      <w:pPr>
        <w:pStyle w:val="paragraphsub"/>
      </w:pPr>
      <w:r w:rsidRPr="00FA78B1">
        <w:tab/>
        <w:t>(</w:t>
      </w:r>
      <w:r w:rsidR="0027565A" w:rsidRPr="00FA78B1">
        <w:t>i</w:t>
      </w:r>
      <w:r w:rsidRPr="00FA78B1">
        <w:t>)</w:t>
      </w:r>
      <w:r w:rsidRPr="00FA78B1">
        <w:tab/>
        <w:t>the Act or another Act;</w:t>
      </w:r>
    </w:p>
    <w:p w:rsidR="0027565A" w:rsidRPr="00FA78B1" w:rsidRDefault="00184BB5" w:rsidP="0027565A">
      <w:pPr>
        <w:pStyle w:val="paragraphsub"/>
      </w:pPr>
      <w:r w:rsidRPr="00FA78B1">
        <w:tab/>
        <w:t>(</w:t>
      </w:r>
      <w:r w:rsidR="0027565A" w:rsidRPr="00FA78B1">
        <w:t>ii</w:t>
      </w:r>
      <w:r w:rsidRPr="00FA78B1">
        <w:t>)</w:t>
      </w:r>
      <w:r w:rsidRPr="00FA78B1">
        <w:tab/>
        <w:t>regulations or another instrument made under the Act or another Act</w:t>
      </w:r>
      <w:r w:rsidR="0027565A" w:rsidRPr="00FA78B1">
        <w:t>; and</w:t>
      </w:r>
    </w:p>
    <w:p w:rsidR="00184BB5" w:rsidRPr="00FA78B1" w:rsidRDefault="0027565A" w:rsidP="0027565A">
      <w:pPr>
        <w:pStyle w:val="paragraph"/>
      </w:pPr>
      <w:r w:rsidRPr="00FA78B1">
        <w:tab/>
        <w:t>(b)</w:t>
      </w:r>
      <w:r w:rsidRPr="00FA78B1">
        <w:tab/>
        <w:t>for which amounts (however described) are payable by the Authority</w:t>
      </w:r>
      <w:r w:rsidR="00184BB5" w:rsidRPr="00FA78B1">
        <w:t>.</w:t>
      </w:r>
    </w:p>
    <w:p w:rsidR="00184BB5" w:rsidRPr="00FA78B1" w:rsidRDefault="00184BB5" w:rsidP="009E65E3">
      <w:pPr>
        <w:pStyle w:val="notetext"/>
      </w:pPr>
      <w:r w:rsidRPr="00FA78B1">
        <w:t>Note:</w:t>
      </w:r>
      <w:r w:rsidRPr="00FA78B1">
        <w:tab/>
        <w:t>For example, th</w:t>
      </w:r>
      <w:r w:rsidR="009E65E3" w:rsidRPr="00FA78B1">
        <w:t xml:space="preserve">e Authority may be required to </w:t>
      </w:r>
      <w:r w:rsidR="007D0E84" w:rsidRPr="00FA78B1">
        <w:t>publish a notice</w:t>
      </w:r>
      <w:r w:rsidR="009E65E3" w:rsidRPr="00FA78B1">
        <w:t xml:space="preserve"> or </w:t>
      </w:r>
      <w:r w:rsidRPr="00FA78B1">
        <w:t>reg</w:t>
      </w:r>
      <w:r w:rsidR="009E65E3" w:rsidRPr="00FA78B1">
        <w:t>ister a new standard.</w:t>
      </w:r>
    </w:p>
    <w:p w:rsidR="00411ED8" w:rsidRPr="00FA78B1" w:rsidRDefault="00AA4496" w:rsidP="008A26A6">
      <w:pPr>
        <w:pStyle w:val="ActHead5"/>
      </w:pPr>
      <w:bookmarkStart w:id="14" w:name="_Toc415724515"/>
      <w:r w:rsidRPr="00FA78B1">
        <w:rPr>
          <w:rStyle w:val="CharSectno"/>
        </w:rPr>
        <w:t>8A</w:t>
      </w:r>
      <w:r w:rsidR="00411ED8" w:rsidRPr="00FA78B1">
        <w:t xml:space="preserve">  Paying charge</w:t>
      </w:r>
      <w:r w:rsidR="001958C6" w:rsidRPr="00FA78B1">
        <w:t>s</w:t>
      </w:r>
      <w:r w:rsidR="00411ED8" w:rsidRPr="00FA78B1">
        <w:t xml:space="preserve"> by instalments</w:t>
      </w:r>
      <w:bookmarkEnd w:id="14"/>
    </w:p>
    <w:p w:rsidR="00411ED8" w:rsidRPr="00FA78B1" w:rsidRDefault="00DA6DF7" w:rsidP="00DA6DF7">
      <w:pPr>
        <w:pStyle w:val="subsection"/>
      </w:pPr>
      <w:r w:rsidRPr="00FA78B1">
        <w:tab/>
      </w:r>
      <w:r w:rsidR="00411ED8" w:rsidRPr="00FA78B1">
        <w:t>(1)</w:t>
      </w:r>
      <w:r w:rsidR="00411ED8" w:rsidRPr="00FA78B1">
        <w:tab/>
      </w:r>
      <w:r w:rsidR="00BB0210" w:rsidRPr="00FA78B1">
        <w:t>For subsection</w:t>
      </w:r>
      <w:r w:rsidR="00FA78B1" w:rsidRPr="00FA78B1">
        <w:t> </w:t>
      </w:r>
      <w:r w:rsidR="00BB0210" w:rsidRPr="00FA78B1">
        <w:t>146(1A) of the Act, the charge</w:t>
      </w:r>
      <w:r w:rsidR="00721B4B" w:rsidRPr="00FA78B1">
        <w:t>s</w:t>
      </w:r>
      <w:r w:rsidR="00411ED8" w:rsidRPr="00FA78B1">
        <w:t xml:space="preserve"> </w:t>
      </w:r>
      <w:r w:rsidR="00721B4B" w:rsidRPr="00FA78B1">
        <w:t>payable under regulation</w:t>
      </w:r>
      <w:r w:rsidR="00FA78B1" w:rsidRPr="00FA78B1">
        <w:t> </w:t>
      </w:r>
      <w:r w:rsidR="00CA3EAD" w:rsidRPr="00FA78B1">
        <w:t>8</w:t>
      </w:r>
      <w:r w:rsidR="00721B4B" w:rsidRPr="00FA78B1">
        <w:t xml:space="preserve"> </w:t>
      </w:r>
      <w:r w:rsidR="0027565A" w:rsidRPr="00FA78B1">
        <w:t xml:space="preserve">in relation to </w:t>
      </w:r>
      <w:r w:rsidR="00721B4B" w:rsidRPr="00FA78B1">
        <w:t xml:space="preserve">the </w:t>
      </w:r>
      <w:r w:rsidR="00AE429C" w:rsidRPr="00FA78B1">
        <w:t>following applications</w:t>
      </w:r>
      <w:r w:rsidR="00BB0210" w:rsidRPr="00FA78B1">
        <w:t xml:space="preserve"> </w:t>
      </w:r>
      <w:r w:rsidR="00EB4B28" w:rsidRPr="00FA78B1">
        <w:t xml:space="preserve">may </w:t>
      </w:r>
      <w:r w:rsidR="00411ED8" w:rsidRPr="00FA78B1">
        <w:t>be paid by instalments</w:t>
      </w:r>
      <w:r w:rsidR="00EB4B28" w:rsidRPr="00FA78B1">
        <w:t xml:space="preserve"> in accordance with this regulation</w:t>
      </w:r>
      <w:r w:rsidR="00BB0210" w:rsidRPr="00FA78B1">
        <w:t>:</w:t>
      </w:r>
    </w:p>
    <w:p w:rsidR="00411ED8" w:rsidRPr="00FA78B1" w:rsidRDefault="00411ED8" w:rsidP="00411ED8">
      <w:pPr>
        <w:pStyle w:val="paragraph"/>
      </w:pPr>
      <w:r w:rsidRPr="00FA78B1">
        <w:tab/>
        <w:t>(a)</w:t>
      </w:r>
      <w:r w:rsidRPr="00FA78B1">
        <w:tab/>
        <w:t>a general procedure level 3</w:t>
      </w:r>
      <w:r w:rsidR="007D0E84" w:rsidRPr="00FA78B1">
        <w:t xml:space="preserve"> application</w:t>
      </w:r>
      <w:r w:rsidRPr="00FA78B1">
        <w:t xml:space="preserve"> or </w:t>
      </w:r>
      <w:r w:rsidR="007D0E84" w:rsidRPr="00FA78B1">
        <w:t xml:space="preserve">a general procedure level </w:t>
      </w:r>
      <w:r w:rsidRPr="00FA78B1">
        <w:t>4 application;</w:t>
      </w:r>
    </w:p>
    <w:p w:rsidR="00411ED8" w:rsidRPr="00FA78B1" w:rsidRDefault="00411ED8" w:rsidP="00411ED8">
      <w:pPr>
        <w:pStyle w:val="paragraph"/>
      </w:pPr>
      <w:r w:rsidRPr="00FA78B1">
        <w:tab/>
        <w:t>(b)</w:t>
      </w:r>
      <w:r w:rsidRPr="00FA78B1">
        <w:tab/>
        <w:t>a major procedure application;</w:t>
      </w:r>
    </w:p>
    <w:p w:rsidR="00411ED8" w:rsidRPr="00FA78B1" w:rsidRDefault="00411ED8" w:rsidP="00411ED8">
      <w:pPr>
        <w:pStyle w:val="paragraph"/>
      </w:pPr>
      <w:r w:rsidRPr="00FA78B1">
        <w:tab/>
        <w:t>(c)</w:t>
      </w:r>
      <w:r w:rsidRPr="00FA78B1">
        <w:tab/>
        <w:t>a high level health claims level 3</w:t>
      </w:r>
      <w:r w:rsidR="00AA485C" w:rsidRPr="00FA78B1">
        <w:t xml:space="preserve"> application</w:t>
      </w:r>
      <w:r w:rsidRPr="00FA78B1">
        <w:t xml:space="preserve"> or </w:t>
      </w:r>
      <w:r w:rsidR="007D0E84" w:rsidRPr="00FA78B1">
        <w:t xml:space="preserve">a high level health claims level </w:t>
      </w:r>
      <w:r w:rsidRPr="00FA78B1">
        <w:t>4 application.</w:t>
      </w:r>
    </w:p>
    <w:p w:rsidR="00BB0210" w:rsidRPr="00FA78B1" w:rsidRDefault="00411ED8" w:rsidP="00411ED8">
      <w:pPr>
        <w:pStyle w:val="subsection"/>
      </w:pPr>
      <w:r w:rsidRPr="00FA78B1">
        <w:tab/>
        <w:t>(2)</w:t>
      </w:r>
      <w:r w:rsidRPr="00FA78B1">
        <w:tab/>
        <w:t xml:space="preserve">The first instalment </w:t>
      </w:r>
      <w:r w:rsidR="00266AF0" w:rsidRPr="00FA78B1">
        <w:t>is to consist</w:t>
      </w:r>
      <w:r w:rsidR="00EB4B28" w:rsidRPr="00FA78B1">
        <w:t xml:space="preserve"> of </w:t>
      </w:r>
      <w:r w:rsidR="00AE429C" w:rsidRPr="00FA78B1">
        <w:t xml:space="preserve">the administration charge </w:t>
      </w:r>
      <w:r w:rsidR="00804B47" w:rsidRPr="00FA78B1">
        <w:t xml:space="preserve">in relation to </w:t>
      </w:r>
      <w:r w:rsidR="00AE429C" w:rsidRPr="00FA78B1">
        <w:t>the application</w:t>
      </w:r>
      <w:r w:rsidR="005E779A" w:rsidRPr="00FA78B1">
        <w:t xml:space="preserve"> plus</w:t>
      </w:r>
      <w:r w:rsidR="00BB0210" w:rsidRPr="00FA78B1">
        <w:t>:</w:t>
      </w:r>
    </w:p>
    <w:p w:rsidR="00BB0210" w:rsidRPr="00FA78B1" w:rsidRDefault="00BB0210" w:rsidP="00BB0210">
      <w:pPr>
        <w:pStyle w:val="paragraph"/>
      </w:pPr>
      <w:r w:rsidRPr="00FA78B1">
        <w:tab/>
        <w:t>(a)</w:t>
      </w:r>
      <w:r w:rsidRPr="00FA78B1">
        <w:tab/>
        <w:t xml:space="preserve">for </w:t>
      </w:r>
      <w:r w:rsidR="007D0E84" w:rsidRPr="00FA78B1">
        <w:t>a general procedure level 3 application or a general procedure level 4</w:t>
      </w:r>
      <w:r w:rsidRPr="00FA78B1">
        <w:t xml:space="preserve"> application—75% of the charge </w:t>
      </w:r>
      <w:r w:rsidR="00721B4B" w:rsidRPr="00FA78B1">
        <w:t>payable under subregulation</w:t>
      </w:r>
      <w:r w:rsidR="00FA78B1" w:rsidRPr="00FA78B1">
        <w:t> </w:t>
      </w:r>
      <w:r w:rsidR="00CA3EAD" w:rsidRPr="00FA78B1">
        <w:t>8</w:t>
      </w:r>
      <w:r w:rsidR="00721B4B" w:rsidRPr="00FA78B1">
        <w:t xml:space="preserve">(1) </w:t>
      </w:r>
      <w:r w:rsidR="00AA485C" w:rsidRPr="00FA78B1">
        <w:t>in relation to</w:t>
      </w:r>
      <w:r w:rsidR="00721B4B" w:rsidRPr="00FA78B1">
        <w:t xml:space="preserve"> </w:t>
      </w:r>
      <w:r w:rsidRPr="00FA78B1">
        <w:t>th</w:t>
      </w:r>
      <w:r w:rsidR="005C58BC" w:rsidRPr="00FA78B1">
        <w:t xml:space="preserve">e </w:t>
      </w:r>
      <w:r w:rsidRPr="00FA78B1">
        <w:t>application;</w:t>
      </w:r>
      <w:r w:rsidR="00EB4B28" w:rsidRPr="00FA78B1">
        <w:t xml:space="preserve"> or</w:t>
      </w:r>
    </w:p>
    <w:p w:rsidR="00BB0210" w:rsidRPr="00FA78B1" w:rsidRDefault="00BB0210" w:rsidP="00BB0210">
      <w:pPr>
        <w:pStyle w:val="paragraph"/>
      </w:pPr>
      <w:r w:rsidRPr="00FA78B1">
        <w:tab/>
        <w:t>(b)</w:t>
      </w:r>
      <w:r w:rsidRPr="00FA78B1">
        <w:tab/>
      </w:r>
      <w:r w:rsidR="00EB4B28" w:rsidRPr="00FA78B1">
        <w:t xml:space="preserve">for </w:t>
      </w:r>
      <w:r w:rsidRPr="00FA78B1">
        <w:t xml:space="preserve">a major procedure application—25% </w:t>
      </w:r>
      <w:r w:rsidR="005C58BC" w:rsidRPr="00FA78B1">
        <w:t>of the charge payable under subregulation</w:t>
      </w:r>
      <w:r w:rsidR="00FA78B1" w:rsidRPr="00FA78B1">
        <w:t> </w:t>
      </w:r>
      <w:r w:rsidR="00CA3EAD" w:rsidRPr="00FA78B1">
        <w:t>8</w:t>
      </w:r>
      <w:r w:rsidR="00AA485C" w:rsidRPr="00FA78B1">
        <w:t>(1) in relation to</w:t>
      </w:r>
      <w:r w:rsidR="005C58BC" w:rsidRPr="00FA78B1">
        <w:t xml:space="preserve"> the application</w:t>
      </w:r>
      <w:r w:rsidRPr="00FA78B1">
        <w:t>;</w:t>
      </w:r>
      <w:r w:rsidR="00EB4B28" w:rsidRPr="00FA78B1">
        <w:t xml:space="preserve"> or</w:t>
      </w:r>
    </w:p>
    <w:p w:rsidR="005C58BC" w:rsidRPr="00FA78B1" w:rsidRDefault="00BB0210" w:rsidP="005C58BC">
      <w:pPr>
        <w:pStyle w:val="paragraph"/>
      </w:pPr>
      <w:r w:rsidRPr="00FA78B1">
        <w:tab/>
        <w:t>(c)</w:t>
      </w:r>
      <w:r w:rsidRPr="00FA78B1">
        <w:tab/>
      </w:r>
      <w:r w:rsidR="00EB4B28" w:rsidRPr="00FA78B1">
        <w:t xml:space="preserve">for </w:t>
      </w:r>
      <w:r w:rsidRPr="00FA78B1">
        <w:t xml:space="preserve">a </w:t>
      </w:r>
      <w:r w:rsidR="007D0E84" w:rsidRPr="00FA78B1">
        <w:t>high level health claims level 3</w:t>
      </w:r>
      <w:r w:rsidR="00AA485C" w:rsidRPr="00FA78B1">
        <w:t xml:space="preserve"> application</w:t>
      </w:r>
      <w:r w:rsidR="007D0E84" w:rsidRPr="00FA78B1">
        <w:t xml:space="preserve"> or a high level health claims level 4</w:t>
      </w:r>
      <w:r w:rsidRPr="00FA78B1">
        <w:t xml:space="preserve"> application—75% </w:t>
      </w:r>
      <w:r w:rsidR="005C58BC" w:rsidRPr="00FA78B1">
        <w:t>of the charge payable under subregulation</w:t>
      </w:r>
      <w:r w:rsidR="00FA78B1" w:rsidRPr="00FA78B1">
        <w:t> </w:t>
      </w:r>
      <w:r w:rsidR="00CA3EAD" w:rsidRPr="00FA78B1">
        <w:t>8</w:t>
      </w:r>
      <w:r w:rsidR="005C58BC" w:rsidRPr="00FA78B1">
        <w:t xml:space="preserve">(1) </w:t>
      </w:r>
      <w:r w:rsidR="00AA485C" w:rsidRPr="00FA78B1">
        <w:t>in relation to</w:t>
      </w:r>
      <w:r w:rsidR="005C58BC" w:rsidRPr="00FA78B1">
        <w:t xml:space="preserve"> the application</w:t>
      </w:r>
      <w:r w:rsidR="001958C6" w:rsidRPr="00FA78B1">
        <w:t>.</w:t>
      </w:r>
    </w:p>
    <w:p w:rsidR="00411ED8" w:rsidRPr="00FA78B1" w:rsidRDefault="00BB0210" w:rsidP="005C58BC">
      <w:pPr>
        <w:pStyle w:val="subsection"/>
      </w:pPr>
      <w:r w:rsidRPr="00FA78B1">
        <w:tab/>
        <w:t>(3)</w:t>
      </w:r>
      <w:r w:rsidRPr="00FA78B1">
        <w:tab/>
        <w:t>The first instalment is</w:t>
      </w:r>
      <w:r w:rsidR="00411ED8" w:rsidRPr="00FA78B1">
        <w:t xml:space="preserve"> payable within 20 business days after the day the notice of acceptance </w:t>
      </w:r>
      <w:r w:rsidRPr="00FA78B1">
        <w:t xml:space="preserve">of the application </w:t>
      </w:r>
      <w:r w:rsidR="00411ED8" w:rsidRPr="00FA78B1">
        <w:t>is given under section</w:t>
      </w:r>
      <w:r w:rsidR="00FA78B1" w:rsidRPr="00FA78B1">
        <w:t> </w:t>
      </w:r>
      <w:r w:rsidR="00411ED8" w:rsidRPr="00FA78B1">
        <w:t>27</w:t>
      </w:r>
      <w:r w:rsidRPr="00FA78B1">
        <w:t xml:space="preserve"> or 48</w:t>
      </w:r>
      <w:r w:rsidR="00411ED8" w:rsidRPr="00FA78B1">
        <w:t xml:space="preserve"> of the Ac</w:t>
      </w:r>
      <w:r w:rsidRPr="00FA78B1">
        <w:t>t.</w:t>
      </w:r>
    </w:p>
    <w:p w:rsidR="00BB0210" w:rsidRPr="00FA78B1" w:rsidRDefault="00BB0210" w:rsidP="00BB0210">
      <w:pPr>
        <w:pStyle w:val="subsection"/>
      </w:pPr>
      <w:r w:rsidRPr="00FA78B1">
        <w:tab/>
        <w:t>(4)</w:t>
      </w:r>
      <w:r w:rsidRPr="00FA78B1">
        <w:tab/>
      </w:r>
      <w:r w:rsidR="00EB4B28" w:rsidRPr="00FA78B1">
        <w:t>Subject to regulation</w:t>
      </w:r>
      <w:r w:rsidR="00FA78B1" w:rsidRPr="00FA78B1">
        <w:t> </w:t>
      </w:r>
      <w:r w:rsidR="00AA4496" w:rsidRPr="00FA78B1">
        <w:t>8B</w:t>
      </w:r>
      <w:r w:rsidR="00EB4B28" w:rsidRPr="00FA78B1">
        <w:t>, t</w:t>
      </w:r>
      <w:r w:rsidRPr="00FA78B1">
        <w:t>he second instalment</w:t>
      </w:r>
      <w:r w:rsidR="00EB4B28" w:rsidRPr="00FA78B1">
        <w:t xml:space="preserve"> </w:t>
      </w:r>
      <w:r w:rsidR="00266AF0" w:rsidRPr="00FA78B1">
        <w:t>is to consist</w:t>
      </w:r>
      <w:r w:rsidR="00EB4B28" w:rsidRPr="00FA78B1">
        <w:t xml:space="preserve"> of</w:t>
      </w:r>
      <w:r w:rsidRPr="00FA78B1">
        <w:t>:</w:t>
      </w:r>
    </w:p>
    <w:p w:rsidR="00BB0210" w:rsidRPr="00FA78B1" w:rsidRDefault="00BB0210" w:rsidP="00BB0210">
      <w:pPr>
        <w:pStyle w:val="paragraph"/>
      </w:pPr>
      <w:r w:rsidRPr="00FA78B1">
        <w:tab/>
        <w:t>(a)</w:t>
      </w:r>
      <w:r w:rsidRPr="00FA78B1">
        <w:tab/>
      </w:r>
      <w:r w:rsidR="007D0E84" w:rsidRPr="00FA78B1">
        <w:t>for a general procedure level 3 application or a general procedure level 4 application</w:t>
      </w:r>
      <w:r w:rsidRPr="00FA78B1">
        <w:t xml:space="preserve">—25% </w:t>
      </w:r>
      <w:r w:rsidR="005C58BC" w:rsidRPr="00FA78B1">
        <w:t>of the charge payable under subregulation</w:t>
      </w:r>
      <w:r w:rsidR="00FA78B1" w:rsidRPr="00FA78B1">
        <w:t> </w:t>
      </w:r>
      <w:r w:rsidR="00CA3EAD" w:rsidRPr="00FA78B1">
        <w:t>8</w:t>
      </w:r>
      <w:r w:rsidR="00804B47" w:rsidRPr="00FA78B1">
        <w:t>(1) in relation to</w:t>
      </w:r>
      <w:r w:rsidR="005C58BC" w:rsidRPr="00FA78B1">
        <w:t xml:space="preserve"> the application</w:t>
      </w:r>
      <w:r w:rsidRPr="00FA78B1">
        <w:t>;</w:t>
      </w:r>
      <w:r w:rsidR="00EB4B28" w:rsidRPr="00FA78B1">
        <w:t xml:space="preserve"> or</w:t>
      </w:r>
    </w:p>
    <w:p w:rsidR="00BB0210" w:rsidRPr="00FA78B1" w:rsidRDefault="00BB0210" w:rsidP="00BB0210">
      <w:pPr>
        <w:pStyle w:val="paragraph"/>
      </w:pPr>
      <w:r w:rsidRPr="00FA78B1">
        <w:lastRenderedPageBreak/>
        <w:tab/>
        <w:t>(b)</w:t>
      </w:r>
      <w:r w:rsidRPr="00FA78B1">
        <w:tab/>
      </w:r>
      <w:r w:rsidR="00EB4B28" w:rsidRPr="00FA78B1">
        <w:t xml:space="preserve">for </w:t>
      </w:r>
      <w:r w:rsidRPr="00FA78B1">
        <w:t xml:space="preserve">a major procedure application—75% </w:t>
      </w:r>
      <w:r w:rsidR="005C58BC" w:rsidRPr="00FA78B1">
        <w:t>of the charge payable under subregulation</w:t>
      </w:r>
      <w:r w:rsidR="00FA78B1" w:rsidRPr="00FA78B1">
        <w:t> </w:t>
      </w:r>
      <w:r w:rsidR="00CA3EAD" w:rsidRPr="00FA78B1">
        <w:t>8</w:t>
      </w:r>
      <w:r w:rsidR="005C58BC" w:rsidRPr="00FA78B1">
        <w:t xml:space="preserve">(1) </w:t>
      </w:r>
      <w:r w:rsidR="00804B47" w:rsidRPr="00FA78B1">
        <w:t>in relation to</w:t>
      </w:r>
      <w:r w:rsidR="005C58BC" w:rsidRPr="00FA78B1">
        <w:t xml:space="preserve"> the application</w:t>
      </w:r>
      <w:r w:rsidRPr="00FA78B1">
        <w:t>;</w:t>
      </w:r>
      <w:r w:rsidR="00EB4B28" w:rsidRPr="00FA78B1">
        <w:t xml:space="preserve"> or</w:t>
      </w:r>
    </w:p>
    <w:p w:rsidR="00BB0210" w:rsidRPr="00FA78B1" w:rsidRDefault="00BB0210" w:rsidP="00BB0210">
      <w:pPr>
        <w:pStyle w:val="paragraph"/>
      </w:pPr>
      <w:r w:rsidRPr="00FA78B1">
        <w:tab/>
        <w:t>(c)</w:t>
      </w:r>
      <w:r w:rsidRPr="00FA78B1">
        <w:tab/>
      </w:r>
      <w:r w:rsidR="007D0E84" w:rsidRPr="00FA78B1">
        <w:t xml:space="preserve">for a high level health claims level 3 </w:t>
      </w:r>
      <w:r w:rsidR="00AA485C" w:rsidRPr="00FA78B1">
        <w:t xml:space="preserve">application </w:t>
      </w:r>
      <w:r w:rsidR="007D0E84" w:rsidRPr="00FA78B1">
        <w:t>or a high level health claims level 4 application</w:t>
      </w:r>
      <w:r w:rsidRPr="00FA78B1">
        <w:t>—25%</w:t>
      </w:r>
      <w:r w:rsidR="005C58BC" w:rsidRPr="00FA78B1">
        <w:t xml:space="preserve"> of the charge payable under subregulation</w:t>
      </w:r>
      <w:r w:rsidR="00FA78B1" w:rsidRPr="00FA78B1">
        <w:t> </w:t>
      </w:r>
      <w:r w:rsidR="00CA3EAD" w:rsidRPr="00FA78B1">
        <w:t>8</w:t>
      </w:r>
      <w:r w:rsidR="00804B47" w:rsidRPr="00FA78B1">
        <w:t>(1) in relation to</w:t>
      </w:r>
      <w:r w:rsidR="005C58BC" w:rsidRPr="00FA78B1">
        <w:t xml:space="preserve"> the application</w:t>
      </w:r>
      <w:r w:rsidRPr="00FA78B1">
        <w:t>.</w:t>
      </w:r>
    </w:p>
    <w:p w:rsidR="006A45FC" w:rsidRPr="00FA78B1" w:rsidRDefault="00BB0210" w:rsidP="008A26A6">
      <w:pPr>
        <w:pStyle w:val="subsection"/>
      </w:pPr>
      <w:r w:rsidRPr="00FA78B1">
        <w:tab/>
      </w:r>
      <w:r w:rsidR="007D0E84" w:rsidRPr="00FA78B1">
        <w:t>(5)</w:t>
      </w:r>
      <w:r w:rsidR="007D0E84" w:rsidRPr="00FA78B1">
        <w:tab/>
      </w:r>
      <w:r w:rsidRPr="00FA78B1">
        <w:t>The second instalment is payable</w:t>
      </w:r>
      <w:r w:rsidR="007076F2" w:rsidRPr="00FA78B1">
        <w:t>:</w:t>
      </w:r>
    </w:p>
    <w:p w:rsidR="006A45FC" w:rsidRPr="00FA78B1" w:rsidRDefault="006A45FC" w:rsidP="006A45FC">
      <w:pPr>
        <w:pStyle w:val="paragraph"/>
      </w:pPr>
      <w:r w:rsidRPr="00FA78B1">
        <w:tab/>
        <w:t>(a)</w:t>
      </w:r>
      <w:r w:rsidRPr="00FA78B1">
        <w:tab/>
        <w:t>for a general procedure level 3 application or a general procedure level 4 application—</w:t>
      </w:r>
      <w:r w:rsidR="007076F2" w:rsidRPr="00FA78B1">
        <w:t xml:space="preserve">as soon as practicable after </w:t>
      </w:r>
      <w:r w:rsidRPr="00FA78B1">
        <w:t>the day public notice is given under section</w:t>
      </w:r>
      <w:r w:rsidR="00FA78B1" w:rsidRPr="00FA78B1">
        <w:t> </w:t>
      </w:r>
      <w:r w:rsidRPr="00FA78B1">
        <w:t>31 of the Act for the application, but not later than the end of the submission period mentioned in the notice;</w:t>
      </w:r>
      <w:r w:rsidR="007076F2" w:rsidRPr="00FA78B1">
        <w:t xml:space="preserve"> </w:t>
      </w:r>
      <w:r w:rsidRPr="00FA78B1">
        <w:t>or</w:t>
      </w:r>
    </w:p>
    <w:p w:rsidR="006A45FC" w:rsidRPr="00FA78B1" w:rsidRDefault="006A45FC" w:rsidP="006A45FC">
      <w:pPr>
        <w:pStyle w:val="paragraph"/>
      </w:pPr>
      <w:r w:rsidRPr="00FA78B1">
        <w:tab/>
        <w:t>(b)</w:t>
      </w:r>
      <w:r w:rsidRPr="00FA78B1">
        <w:tab/>
        <w:t>for a major procedure application—</w:t>
      </w:r>
      <w:r w:rsidR="007076F2" w:rsidRPr="00FA78B1">
        <w:t>as soon as practicable after the day public notice is given under section</w:t>
      </w:r>
      <w:r w:rsidR="00FA78B1" w:rsidRPr="00FA78B1">
        <w:t> </w:t>
      </w:r>
      <w:r w:rsidR="007076F2" w:rsidRPr="00FA78B1">
        <w:t>44 of the Act for the application, but not later than the end of the submission period mentioned in the notice;</w:t>
      </w:r>
      <w:r w:rsidRPr="00FA78B1">
        <w:t xml:space="preserve"> or</w:t>
      </w:r>
    </w:p>
    <w:p w:rsidR="007076F2" w:rsidRPr="00FA78B1" w:rsidRDefault="006A45FC" w:rsidP="006A45FC">
      <w:pPr>
        <w:pStyle w:val="paragraph"/>
      </w:pPr>
      <w:r w:rsidRPr="00FA78B1">
        <w:tab/>
        <w:t>(c)</w:t>
      </w:r>
      <w:r w:rsidRPr="00FA78B1">
        <w:tab/>
        <w:t>for a high level health claims level 3 or a high level health claims level 4 application—</w:t>
      </w:r>
      <w:r w:rsidR="007076F2" w:rsidRPr="00FA78B1">
        <w:t xml:space="preserve">20 business days after the day a notice </w:t>
      </w:r>
      <w:r w:rsidR="00741A34" w:rsidRPr="00FA78B1">
        <w:t>is given to the applicant under subregulation</w:t>
      </w:r>
      <w:r w:rsidR="00FA78B1" w:rsidRPr="00FA78B1">
        <w:t> </w:t>
      </w:r>
      <w:r w:rsidR="00741A34" w:rsidRPr="00FA78B1">
        <w:t>(6) in relation</w:t>
      </w:r>
      <w:r w:rsidR="00AA485C" w:rsidRPr="00FA78B1">
        <w:t xml:space="preserve"> to</w:t>
      </w:r>
      <w:r w:rsidR="00741A34" w:rsidRPr="00FA78B1">
        <w:t xml:space="preserve"> the application</w:t>
      </w:r>
      <w:r w:rsidR="007076F2" w:rsidRPr="00FA78B1">
        <w:t>.</w:t>
      </w:r>
    </w:p>
    <w:p w:rsidR="007076F2" w:rsidRPr="00FA78B1" w:rsidRDefault="007076F2" w:rsidP="006F0DFE">
      <w:pPr>
        <w:pStyle w:val="subsection"/>
      </w:pPr>
      <w:r w:rsidRPr="00FA78B1">
        <w:tab/>
        <w:t>(6)</w:t>
      </w:r>
      <w:r w:rsidRPr="00FA78B1">
        <w:tab/>
      </w:r>
      <w:r w:rsidR="006F0DFE" w:rsidRPr="00FA78B1">
        <w:t xml:space="preserve">When the Authority considers that it is appropriate for the second instalment to be paid given the stage that the application consideration process has reached, </w:t>
      </w:r>
      <w:r w:rsidR="003D68BF" w:rsidRPr="00FA78B1">
        <w:t>the Authority must notify the applicant in writing that the applicant must pay the second instalment.</w:t>
      </w:r>
    </w:p>
    <w:p w:rsidR="008A26A6" w:rsidRPr="00FA78B1" w:rsidRDefault="00AA4496" w:rsidP="008A26A6">
      <w:pPr>
        <w:pStyle w:val="ActHead5"/>
      </w:pPr>
      <w:bookmarkStart w:id="15" w:name="_Toc415724516"/>
      <w:r w:rsidRPr="00FA78B1">
        <w:rPr>
          <w:rStyle w:val="CharSectno"/>
        </w:rPr>
        <w:t>8B</w:t>
      </w:r>
      <w:r w:rsidR="008A26A6" w:rsidRPr="00FA78B1">
        <w:t xml:space="preserve">  Second instalment for certain withdrawn or rejected applications</w:t>
      </w:r>
      <w:bookmarkEnd w:id="15"/>
    </w:p>
    <w:p w:rsidR="008A26A6" w:rsidRPr="00FA78B1" w:rsidRDefault="008A26A6" w:rsidP="008A26A6">
      <w:pPr>
        <w:pStyle w:val="subsection"/>
      </w:pPr>
      <w:r w:rsidRPr="00FA78B1">
        <w:tab/>
        <w:t>(1)</w:t>
      </w:r>
      <w:r w:rsidRPr="00FA78B1">
        <w:tab/>
        <w:t>This regulation applies to the following applications:</w:t>
      </w:r>
    </w:p>
    <w:p w:rsidR="00B35E83" w:rsidRPr="00FA78B1" w:rsidRDefault="008A26A6" w:rsidP="008A26A6">
      <w:pPr>
        <w:pStyle w:val="paragraph"/>
      </w:pPr>
      <w:r w:rsidRPr="00FA78B1">
        <w:tab/>
        <w:t>(a)</w:t>
      </w:r>
      <w:r w:rsidRPr="00FA78B1">
        <w:tab/>
      </w:r>
      <w:r w:rsidR="00BC2A44" w:rsidRPr="00FA78B1">
        <w:t xml:space="preserve">a general procedure level 3 </w:t>
      </w:r>
      <w:r w:rsidR="00804B47" w:rsidRPr="00FA78B1">
        <w:t xml:space="preserve">application </w:t>
      </w:r>
      <w:r w:rsidR="00BC2A44" w:rsidRPr="00FA78B1">
        <w:t xml:space="preserve">or </w:t>
      </w:r>
      <w:r w:rsidR="00804B47" w:rsidRPr="00FA78B1">
        <w:t xml:space="preserve">a general procedure level </w:t>
      </w:r>
      <w:r w:rsidR="00BC2A44" w:rsidRPr="00FA78B1">
        <w:t>4</w:t>
      </w:r>
      <w:r w:rsidRPr="00FA78B1">
        <w:t xml:space="preserve"> application </w:t>
      </w:r>
      <w:r w:rsidR="00BC2A44" w:rsidRPr="00FA78B1">
        <w:t xml:space="preserve">that </w:t>
      </w:r>
      <w:r w:rsidRPr="00FA78B1">
        <w:t>has been withdrawn under section</w:t>
      </w:r>
      <w:r w:rsidR="00FA78B1" w:rsidRPr="00FA78B1">
        <w:t> </w:t>
      </w:r>
      <w:r w:rsidRPr="00FA78B1">
        <w:t>24 of the Act</w:t>
      </w:r>
      <w:r w:rsidR="00863B24" w:rsidRPr="00FA78B1">
        <w:t xml:space="preserve"> before the Authority has made a decision under subsection</w:t>
      </w:r>
      <w:r w:rsidR="00FA78B1" w:rsidRPr="00FA78B1">
        <w:t> </w:t>
      </w:r>
      <w:r w:rsidRPr="00FA78B1">
        <w:t>3</w:t>
      </w:r>
      <w:r w:rsidR="00804B47" w:rsidRPr="00FA78B1">
        <w:t>3</w:t>
      </w:r>
      <w:r w:rsidR="00AA4496" w:rsidRPr="00FA78B1">
        <w:t>(1) or 35(1)</w:t>
      </w:r>
      <w:r w:rsidRPr="00FA78B1">
        <w:t xml:space="preserve"> of the Act;</w:t>
      </w:r>
    </w:p>
    <w:p w:rsidR="00BC2A44" w:rsidRPr="00FA78B1" w:rsidRDefault="00BC2A44" w:rsidP="008A26A6">
      <w:pPr>
        <w:pStyle w:val="paragraph"/>
      </w:pPr>
      <w:r w:rsidRPr="00FA78B1">
        <w:tab/>
        <w:t>(b)</w:t>
      </w:r>
      <w:r w:rsidRPr="00FA78B1">
        <w:tab/>
        <w:t>a major procedure application that has been withdrawn under section</w:t>
      </w:r>
      <w:r w:rsidR="00FA78B1" w:rsidRPr="00FA78B1">
        <w:t> </w:t>
      </w:r>
      <w:r w:rsidR="00804B47" w:rsidRPr="00FA78B1">
        <w:t>24 of the Act before</w:t>
      </w:r>
      <w:r w:rsidR="00AA4496" w:rsidRPr="00FA78B1">
        <w:t xml:space="preserve"> the Authority has made </w:t>
      </w:r>
      <w:r w:rsidR="00863B24" w:rsidRPr="00FA78B1">
        <w:t xml:space="preserve">a </w:t>
      </w:r>
      <w:r w:rsidR="00AA4496" w:rsidRPr="00FA78B1">
        <w:t>decision under subsection</w:t>
      </w:r>
      <w:r w:rsidR="00FA78B1" w:rsidRPr="00FA78B1">
        <w:t> </w:t>
      </w:r>
      <w:r w:rsidR="00AA4496" w:rsidRPr="00FA78B1">
        <w:t>33(1) or 35(1) of the Act</w:t>
      </w:r>
      <w:r w:rsidRPr="00FA78B1">
        <w:t>;</w:t>
      </w:r>
    </w:p>
    <w:p w:rsidR="00BC2A44" w:rsidRPr="00FA78B1" w:rsidRDefault="00BC2A44" w:rsidP="008A26A6">
      <w:pPr>
        <w:pStyle w:val="paragraph"/>
      </w:pPr>
      <w:r w:rsidRPr="00FA78B1">
        <w:tab/>
        <w:t>(c)</w:t>
      </w:r>
      <w:r w:rsidRPr="00FA78B1">
        <w:tab/>
        <w:t xml:space="preserve">a </w:t>
      </w:r>
      <w:r w:rsidR="005E779A" w:rsidRPr="00FA78B1">
        <w:t>high level health claims procedure level 3</w:t>
      </w:r>
      <w:r w:rsidR="00804B47" w:rsidRPr="00FA78B1">
        <w:t xml:space="preserve"> application</w:t>
      </w:r>
      <w:r w:rsidR="005E779A" w:rsidRPr="00FA78B1">
        <w:t xml:space="preserve"> or </w:t>
      </w:r>
      <w:r w:rsidR="00804B47" w:rsidRPr="00FA78B1">
        <w:t xml:space="preserve">a high level health claims procedure level </w:t>
      </w:r>
      <w:r w:rsidR="005E779A" w:rsidRPr="00FA78B1">
        <w:t>4 application</w:t>
      </w:r>
      <w:r w:rsidRPr="00FA78B1">
        <w:t xml:space="preserve"> that </w:t>
      </w:r>
      <w:r w:rsidRPr="00FA78B1">
        <w:lastRenderedPageBreak/>
        <w:t>has been withdrawn under section</w:t>
      </w:r>
      <w:r w:rsidR="00FA78B1" w:rsidRPr="00FA78B1">
        <w:t> </w:t>
      </w:r>
      <w:r w:rsidRPr="00FA78B1">
        <w:t xml:space="preserve">24 of the Act </w:t>
      </w:r>
      <w:r w:rsidR="00804B47" w:rsidRPr="00FA78B1">
        <w:t>before</w:t>
      </w:r>
      <w:r w:rsidR="00AA4496" w:rsidRPr="00FA78B1">
        <w:t xml:space="preserve"> the Authority has made </w:t>
      </w:r>
      <w:r w:rsidR="00863B24" w:rsidRPr="00FA78B1">
        <w:t xml:space="preserve">a </w:t>
      </w:r>
      <w:r w:rsidR="00AA4496" w:rsidRPr="00FA78B1">
        <w:t>decision under subsection</w:t>
      </w:r>
      <w:r w:rsidR="00FA78B1" w:rsidRPr="00FA78B1">
        <w:t> </w:t>
      </w:r>
      <w:r w:rsidR="00AA4496" w:rsidRPr="00FA78B1">
        <w:t xml:space="preserve">52(1) </w:t>
      </w:r>
      <w:r w:rsidRPr="00FA78B1">
        <w:t>of the Act;</w:t>
      </w:r>
    </w:p>
    <w:p w:rsidR="008A26A6" w:rsidRPr="00FA78B1" w:rsidRDefault="008A26A6" w:rsidP="008A26A6">
      <w:pPr>
        <w:pStyle w:val="paragraph"/>
      </w:pPr>
      <w:r w:rsidRPr="00FA78B1">
        <w:tab/>
        <w:t>(</w:t>
      </w:r>
      <w:r w:rsidR="00BC2A44" w:rsidRPr="00FA78B1">
        <w:t>d</w:t>
      </w:r>
      <w:r w:rsidRPr="00FA78B1">
        <w:t>)</w:t>
      </w:r>
      <w:r w:rsidRPr="00FA78B1">
        <w:tab/>
        <w:t>an application that is rejected by the Authority under paragraph</w:t>
      </w:r>
      <w:r w:rsidR="00FA78B1" w:rsidRPr="00FA78B1">
        <w:t> </w:t>
      </w:r>
      <w:r w:rsidRPr="00FA78B1">
        <w:t xml:space="preserve">30(1)(b) </w:t>
      </w:r>
      <w:r w:rsidR="005E779A" w:rsidRPr="00FA78B1">
        <w:t>or subparagraph</w:t>
      </w:r>
      <w:r w:rsidR="00FA78B1" w:rsidRPr="00FA78B1">
        <w:t> </w:t>
      </w:r>
      <w:r w:rsidR="005E779A" w:rsidRPr="00FA78B1">
        <w:t xml:space="preserve">52(1)(a)(ii) </w:t>
      </w:r>
      <w:r w:rsidRPr="00FA78B1">
        <w:t>of the Act</w:t>
      </w:r>
      <w:r w:rsidR="00BC2A44" w:rsidRPr="00FA78B1">
        <w:t>.</w:t>
      </w:r>
    </w:p>
    <w:p w:rsidR="00BC2A44" w:rsidRPr="00FA78B1" w:rsidRDefault="00BC2A44" w:rsidP="00BC2A44">
      <w:pPr>
        <w:pStyle w:val="subsection"/>
      </w:pPr>
      <w:r w:rsidRPr="00FA78B1">
        <w:tab/>
        <w:t>(2)</w:t>
      </w:r>
      <w:r w:rsidRPr="00FA78B1">
        <w:tab/>
        <w:t>The second instalment</w:t>
      </w:r>
      <w:r w:rsidR="00EB4B28" w:rsidRPr="00FA78B1">
        <w:t xml:space="preserve"> </w:t>
      </w:r>
      <w:r w:rsidR="00266AF0" w:rsidRPr="00FA78B1">
        <w:t>is to consist</w:t>
      </w:r>
      <w:r w:rsidR="00EB4B28" w:rsidRPr="00FA78B1">
        <w:t xml:space="preserve"> of </w:t>
      </w:r>
      <w:r w:rsidRPr="00FA78B1">
        <w:t>$115 for each hour (if any) taken for the ap</w:t>
      </w:r>
      <w:r w:rsidR="005E779A" w:rsidRPr="00FA78B1">
        <w:t>plication consideration process</w:t>
      </w:r>
      <w:r w:rsidR="005C58BC" w:rsidRPr="00FA78B1">
        <w:t xml:space="preserve"> that</w:t>
      </w:r>
      <w:r w:rsidR="00F30B10" w:rsidRPr="00FA78B1">
        <w:t>:</w:t>
      </w:r>
    </w:p>
    <w:p w:rsidR="00BC2A44" w:rsidRPr="00FA78B1" w:rsidRDefault="00BC2A44" w:rsidP="00BC2A44">
      <w:pPr>
        <w:pStyle w:val="paragraph"/>
      </w:pPr>
      <w:r w:rsidRPr="00FA78B1">
        <w:tab/>
        <w:t>(a)</w:t>
      </w:r>
      <w:r w:rsidRPr="00FA78B1">
        <w:tab/>
      </w:r>
      <w:r w:rsidR="004F04EE" w:rsidRPr="00FA78B1">
        <w:t>has not been paid for</w:t>
      </w:r>
      <w:r w:rsidR="005C58BC" w:rsidRPr="00FA78B1">
        <w:t xml:space="preserve"> </w:t>
      </w:r>
      <w:r w:rsidR="005E779A" w:rsidRPr="00FA78B1">
        <w:t>by the applicant under paragraph</w:t>
      </w:r>
      <w:r w:rsidR="00FA78B1" w:rsidRPr="00FA78B1">
        <w:t> </w:t>
      </w:r>
      <w:r w:rsidR="00863B24" w:rsidRPr="00FA78B1">
        <w:t>8A</w:t>
      </w:r>
      <w:r w:rsidR="005E779A" w:rsidRPr="00FA78B1">
        <w:t>(2)(a), (b) or (c)</w:t>
      </w:r>
      <w:r w:rsidRPr="00FA78B1">
        <w:t>; and</w:t>
      </w:r>
    </w:p>
    <w:p w:rsidR="00F30B10" w:rsidRPr="00FA78B1" w:rsidRDefault="00BC2A44" w:rsidP="00F30B10">
      <w:pPr>
        <w:pStyle w:val="paragraph"/>
      </w:pPr>
      <w:r w:rsidRPr="00FA78B1">
        <w:tab/>
        <w:t>(b)</w:t>
      </w:r>
      <w:r w:rsidRPr="00FA78B1">
        <w:tab/>
        <w:t>occurs before notice of the withdrawal of the application is given to the Authority, or notice of the rejection of the application is given to the applicant.</w:t>
      </w:r>
    </w:p>
    <w:p w:rsidR="00304A42" w:rsidRPr="00FA78B1" w:rsidRDefault="005E779A" w:rsidP="00F30B10">
      <w:pPr>
        <w:pStyle w:val="subsection"/>
      </w:pPr>
      <w:r w:rsidRPr="00FA78B1">
        <w:tab/>
      </w:r>
      <w:r w:rsidR="00304A42" w:rsidRPr="00FA78B1">
        <w:t>(3)</w:t>
      </w:r>
      <w:r w:rsidR="00304A42" w:rsidRPr="00FA78B1">
        <w:tab/>
        <w:t>The Authority must give the applicant a written notice that sets out the time taken for the application consideration process and the amount of the second instalment.</w:t>
      </w:r>
    </w:p>
    <w:p w:rsidR="008A26A6" w:rsidRPr="00FA78B1" w:rsidRDefault="00304A42" w:rsidP="00F30B10">
      <w:pPr>
        <w:pStyle w:val="subsection"/>
      </w:pPr>
      <w:r w:rsidRPr="00FA78B1">
        <w:tab/>
      </w:r>
      <w:r w:rsidR="005E779A" w:rsidRPr="00FA78B1">
        <w:t>(</w:t>
      </w:r>
      <w:r w:rsidRPr="00FA78B1">
        <w:t>4</w:t>
      </w:r>
      <w:r w:rsidR="005E779A" w:rsidRPr="00FA78B1">
        <w:t>)</w:t>
      </w:r>
      <w:r w:rsidR="005E779A" w:rsidRPr="00FA78B1">
        <w:tab/>
        <w:t>The second instalment</w:t>
      </w:r>
      <w:r w:rsidR="00BC2A44" w:rsidRPr="00FA78B1">
        <w:t xml:space="preserve"> is payable within </w:t>
      </w:r>
      <w:r w:rsidR="005E779A" w:rsidRPr="00FA78B1">
        <w:t>20 business days after the day the</w:t>
      </w:r>
      <w:r w:rsidR="00BC2A44" w:rsidRPr="00FA78B1">
        <w:t xml:space="preserve"> notice </w:t>
      </w:r>
      <w:r w:rsidR="005E779A" w:rsidRPr="00FA78B1">
        <w:t>of withdrawal or rejection</w:t>
      </w:r>
      <w:r w:rsidR="00BC2A44" w:rsidRPr="00FA78B1">
        <w:t xml:space="preserve"> is given.</w:t>
      </w:r>
    </w:p>
    <w:p w:rsidR="00EB4B4F" w:rsidRPr="00FA78B1" w:rsidRDefault="00CA3EAD" w:rsidP="005311C0">
      <w:pPr>
        <w:pStyle w:val="ActHead5"/>
      </w:pPr>
      <w:bookmarkStart w:id="16" w:name="_Toc415724517"/>
      <w:r w:rsidRPr="00FA78B1">
        <w:rPr>
          <w:rStyle w:val="CharSectno"/>
        </w:rPr>
        <w:t>9</w:t>
      </w:r>
      <w:r w:rsidR="00EB4B4F" w:rsidRPr="00FA78B1">
        <w:t xml:space="preserve">  Refunds</w:t>
      </w:r>
      <w:bookmarkEnd w:id="16"/>
    </w:p>
    <w:p w:rsidR="00EB4B4F" w:rsidRPr="00FA78B1" w:rsidRDefault="00EB4B4F" w:rsidP="00EB4B4F">
      <w:pPr>
        <w:pStyle w:val="subsection"/>
      </w:pPr>
      <w:r w:rsidRPr="00FA78B1">
        <w:tab/>
      </w:r>
      <w:r w:rsidR="00BB0210" w:rsidRPr="00FA78B1">
        <w:tab/>
        <w:t>For subsections</w:t>
      </w:r>
      <w:r w:rsidR="00FA78B1" w:rsidRPr="00FA78B1">
        <w:t> </w:t>
      </w:r>
      <w:r w:rsidR="00BB0210" w:rsidRPr="00FA78B1">
        <w:t>24</w:t>
      </w:r>
      <w:r w:rsidRPr="00FA78B1">
        <w:t xml:space="preserve">(2), </w:t>
      </w:r>
      <w:r w:rsidR="00BB0210" w:rsidRPr="00FA78B1">
        <w:t>110(3) and 149</w:t>
      </w:r>
      <w:r w:rsidRPr="00FA78B1">
        <w:t>(2) of the Act,</w:t>
      </w:r>
      <w:r w:rsidR="00E90CF5" w:rsidRPr="00FA78B1">
        <w:t xml:space="preserve"> the amount to be refunded to</w:t>
      </w:r>
      <w:r w:rsidRPr="00FA78B1">
        <w:t xml:space="preserve"> an applicant </w:t>
      </w:r>
      <w:r w:rsidR="00E90CF5" w:rsidRPr="00FA78B1">
        <w:t>in relation to</w:t>
      </w:r>
      <w:r w:rsidRPr="00FA78B1">
        <w:t xml:space="preserve"> an application is the total of:</w:t>
      </w:r>
    </w:p>
    <w:p w:rsidR="00EB4B4F" w:rsidRPr="00FA78B1" w:rsidRDefault="00EB4B4F" w:rsidP="00EB4B4F">
      <w:pPr>
        <w:pStyle w:val="paragraph"/>
      </w:pPr>
      <w:r w:rsidRPr="00FA78B1">
        <w:tab/>
        <w:t>(a)</w:t>
      </w:r>
      <w:r w:rsidRPr="00FA78B1">
        <w:tab/>
      </w:r>
      <w:r w:rsidR="004F04EE" w:rsidRPr="00FA78B1">
        <w:t>t</w:t>
      </w:r>
      <w:r w:rsidRPr="00FA78B1">
        <w:t xml:space="preserve">he balance, if any, of the </w:t>
      </w:r>
      <w:r w:rsidR="005E779A" w:rsidRPr="00FA78B1">
        <w:t xml:space="preserve">administration </w:t>
      </w:r>
      <w:r w:rsidR="00EB4B28" w:rsidRPr="00FA78B1">
        <w:t>charge</w:t>
      </w:r>
      <w:r w:rsidR="005E779A" w:rsidRPr="00FA78B1">
        <w:t xml:space="preserve"> paid by the applicant</w:t>
      </w:r>
      <w:r w:rsidR="004F04EE" w:rsidRPr="00FA78B1">
        <w:t xml:space="preserve"> after the Authority has paid any required amounts</w:t>
      </w:r>
      <w:r w:rsidRPr="00FA78B1">
        <w:t>; and</w:t>
      </w:r>
    </w:p>
    <w:p w:rsidR="00267FE2" w:rsidRPr="00FA78B1" w:rsidRDefault="00EB4B4F" w:rsidP="00EB4B4F">
      <w:pPr>
        <w:pStyle w:val="paragraph"/>
      </w:pPr>
      <w:r w:rsidRPr="00FA78B1">
        <w:tab/>
        <w:t>(b)</w:t>
      </w:r>
      <w:r w:rsidRPr="00FA78B1">
        <w:tab/>
      </w:r>
      <w:r w:rsidR="00B06727" w:rsidRPr="00FA78B1">
        <w:t>if</w:t>
      </w:r>
      <w:r w:rsidR="00267FE2" w:rsidRPr="00FA78B1">
        <w:t xml:space="preserve"> the application </w:t>
      </w:r>
      <w:r w:rsidR="009D20F5" w:rsidRPr="00FA78B1">
        <w:t xml:space="preserve">consideration </w:t>
      </w:r>
      <w:r w:rsidR="00267FE2" w:rsidRPr="00FA78B1">
        <w:t xml:space="preserve">process </w:t>
      </w:r>
      <w:r w:rsidR="00B06727" w:rsidRPr="00FA78B1">
        <w:t>has taken less time</w:t>
      </w:r>
      <w:r w:rsidR="00267FE2" w:rsidRPr="00FA78B1">
        <w:t xml:space="preserve"> than</w:t>
      </w:r>
      <w:r w:rsidR="00AA4496" w:rsidRPr="00FA78B1">
        <w:t xml:space="preserve"> the</w:t>
      </w:r>
      <w:r w:rsidR="00267FE2" w:rsidRPr="00FA78B1">
        <w:t xml:space="preserve"> </w:t>
      </w:r>
      <w:r w:rsidR="00AA4496" w:rsidRPr="00FA78B1">
        <w:t>hours charged in relation to the application (as set out in column 4 of the table in regulation</w:t>
      </w:r>
      <w:r w:rsidR="00FA78B1" w:rsidRPr="00FA78B1">
        <w:t> </w:t>
      </w:r>
      <w:r w:rsidR="00AA4496" w:rsidRPr="00FA78B1">
        <w:t>7)</w:t>
      </w:r>
      <w:r w:rsidR="00687055" w:rsidRPr="00FA78B1">
        <w:t>—</w:t>
      </w:r>
      <w:r w:rsidRPr="00FA78B1">
        <w:t xml:space="preserve">$115 for each </w:t>
      </w:r>
      <w:r w:rsidR="00267FE2" w:rsidRPr="00FA78B1">
        <w:t xml:space="preserve">unused </w:t>
      </w:r>
      <w:r w:rsidRPr="00FA78B1">
        <w:t>hour</w:t>
      </w:r>
      <w:r w:rsidR="00267FE2" w:rsidRPr="00FA78B1">
        <w:t>.</w:t>
      </w:r>
    </w:p>
    <w:p w:rsidR="00EB4B4F" w:rsidRPr="00FA78B1" w:rsidRDefault="00EB4B4F" w:rsidP="007A6104">
      <w:pPr>
        <w:pStyle w:val="notetext"/>
      </w:pPr>
      <w:r w:rsidRPr="00FA78B1">
        <w:t>Example:</w:t>
      </w:r>
      <w:r w:rsidRPr="00FA78B1">
        <w:tab/>
        <w:t>The Authority classifies an application as a general proced</w:t>
      </w:r>
      <w:r w:rsidR="00DC24E1" w:rsidRPr="00FA78B1">
        <w:t>ure level 2 application because the application consideration process</w:t>
      </w:r>
      <w:r w:rsidRPr="00FA78B1">
        <w:t xml:space="preserve"> is likely to take</w:t>
      </w:r>
      <w:r w:rsidR="00267FE2" w:rsidRPr="00FA78B1">
        <w:t xml:space="preserve"> </w:t>
      </w:r>
      <w:r w:rsidR="003261AB" w:rsidRPr="00FA78B1">
        <w:t xml:space="preserve">more than </w:t>
      </w:r>
      <w:r w:rsidR="00267FE2" w:rsidRPr="00FA78B1">
        <w:t xml:space="preserve">350 </w:t>
      </w:r>
      <w:r w:rsidR="003261AB" w:rsidRPr="00FA78B1">
        <w:t>hours but not more than 650 hours</w:t>
      </w:r>
      <w:r w:rsidR="005E779A" w:rsidRPr="00FA78B1">
        <w:t xml:space="preserve">. </w:t>
      </w:r>
      <w:r w:rsidRPr="00FA78B1">
        <w:t>The application is withdrawn after the applicant has paid $84</w:t>
      </w:r>
      <w:r w:rsidR="00FA78B1" w:rsidRPr="00FA78B1">
        <w:t> </w:t>
      </w:r>
      <w:r w:rsidRPr="00FA78B1">
        <w:t>750 (</w:t>
      </w:r>
      <w:r w:rsidR="00DC24E1" w:rsidRPr="00FA78B1">
        <w:t>consisting of the administration charge ($10</w:t>
      </w:r>
      <w:r w:rsidR="00FA78B1" w:rsidRPr="00FA78B1">
        <w:t> </w:t>
      </w:r>
      <w:r w:rsidR="00DC24E1" w:rsidRPr="00FA78B1">
        <w:t>000)</w:t>
      </w:r>
      <w:r w:rsidR="00BC5E73" w:rsidRPr="00FA78B1">
        <w:t xml:space="preserve"> </w:t>
      </w:r>
      <w:r w:rsidRPr="00FA78B1">
        <w:t>plus the charge for a general procedure level 2 application</w:t>
      </w:r>
      <w:r w:rsidR="00DC24E1" w:rsidRPr="00FA78B1">
        <w:t xml:space="preserve"> ($74</w:t>
      </w:r>
      <w:r w:rsidR="00FA78B1" w:rsidRPr="00FA78B1">
        <w:t> </w:t>
      </w:r>
      <w:r w:rsidR="00DC24E1" w:rsidRPr="00FA78B1">
        <w:t>750)</w:t>
      </w:r>
      <w:r w:rsidRPr="00FA78B1">
        <w:t>), and after 500</w:t>
      </w:r>
      <w:r w:rsidR="005E779A" w:rsidRPr="00FA78B1">
        <w:t xml:space="preserve"> hours of work have been done. </w:t>
      </w:r>
      <w:r w:rsidR="00BC5E73" w:rsidRPr="00FA78B1">
        <w:t>The Authority has not be</w:t>
      </w:r>
      <w:r w:rsidR="00EB4B28" w:rsidRPr="00FA78B1">
        <w:t>en</w:t>
      </w:r>
      <w:r w:rsidR="00BC5E73" w:rsidRPr="00FA78B1">
        <w:t xml:space="preserve"> required to pay any amounts cover</w:t>
      </w:r>
      <w:r w:rsidR="00EB4B28" w:rsidRPr="00FA78B1">
        <w:t>ed by the administration charge</w:t>
      </w:r>
      <w:r w:rsidR="00BC5E73" w:rsidRPr="00FA78B1">
        <w:t xml:space="preserve">. </w:t>
      </w:r>
      <w:r w:rsidRPr="00FA78B1">
        <w:t>The refund amount is $27</w:t>
      </w:r>
      <w:r w:rsidR="00FA78B1" w:rsidRPr="00FA78B1">
        <w:t> </w:t>
      </w:r>
      <w:r w:rsidR="00B06727" w:rsidRPr="00FA78B1">
        <w:t xml:space="preserve">250 </w:t>
      </w:r>
      <w:r w:rsidR="00DC24E1" w:rsidRPr="00FA78B1">
        <w:t>(consisting</w:t>
      </w:r>
      <w:r w:rsidR="00B06727" w:rsidRPr="00FA78B1">
        <w:t xml:space="preserve"> of the</w:t>
      </w:r>
      <w:r w:rsidR="00DC24E1" w:rsidRPr="00FA78B1">
        <w:t xml:space="preserve"> </w:t>
      </w:r>
      <w:r w:rsidR="00EB4B28" w:rsidRPr="00FA78B1">
        <w:t>administration charge</w:t>
      </w:r>
      <w:r w:rsidRPr="00FA78B1">
        <w:t xml:space="preserve"> </w:t>
      </w:r>
      <w:r w:rsidR="00B06727" w:rsidRPr="00FA78B1">
        <w:t>($10</w:t>
      </w:r>
      <w:r w:rsidR="00FA78B1" w:rsidRPr="00FA78B1">
        <w:t> </w:t>
      </w:r>
      <w:r w:rsidR="00B06727" w:rsidRPr="00FA78B1">
        <w:t xml:space="preserve">000) plus </w:t>
      </w:r>
      <w:r w:rsidRPr="00FA78B1">
        <w:t>the 150 unused hours paid at the rate of $115 per hour</w:t>
      </w:r>
      <w:r w:rsidR="00B06727" w:rsidRPr="00FA78B1">
        <w:t xml:space="preserve"> ($17</w:t>
      </w:r>
      <w:r w:rsidR="00FA78B1" w:rsidRPr="00FA78B1">
        <w:t> </w:t>
      </w:r>
      <w:r w:rsidR="00B06727" w:rsidRPr="00FA78B1">
        <w:t>250</w:t>
      </w:r>
      <w:r w:rsidRPr="00FA78B1">
        <w:t>)</w:t>
      </w:r>
      <w:r w:rsidR="00DC24E1" w:rsidRPr="00FA78B1">
        <w:t>)</w:t>
      </w:r>
      <w:r w:rsidRPr="00FA78B1">
        <w:t>.</w:t>
      </w:r>
    </w:p>
    <w:p w:rsidR="001907E9" w:rsidRPr="00FA78B1" w:rsidRDefault="00266AF0" w:rsidP="001907E9">
      <w:pPr>
        <w:pStyle w:val="ItemHead"/>
      </w:pPr>
      <w:r w:rsidRPr="00FA78B1">
        <w:lastRenderedPageBreak/>
        <w:t>6</w:t>
      </w:r>
      <w:r w:rsidR="00411ED8" w:rsidRPr="00FA78B1">
        <w:t xml:space="preserve">  </w:t>
      </w:r>
      <w:r w:rsidR="00804B47" w:rsidRPr="00FA78B1">
        <w:t>Paragraph</w:t>
      </w:r>
      <w:r w:rsidR="009E65E3" w:rsidRPr="00FA78B1">
        <w:t xml:space="preserve"> </w:t>
      </w:r>
      <w:r w:rsidR="001907E9" w:rsidRPr="00FA78B1">
        <w:t>11</w:t>
      </w:r>
      <w:r w:rsidR="00804B47" w:rsidRPr="00FA78B1">
        <w:t>(c)</w:t>
      </w:r>
    </w:p>
    <w:p w:rsidR="001907E9" w:rsidRPr="00FA78B1" w:rsidRDefault="00804B47" w:rsidP="001907E9">
      <w:pPr>
        <w:pStyle w:val="Item"/>
      </w:pPr>
      <w:r w:rsidRPr="00FA78B1">
        <w:t>Repeal the paragraph, substitute</w:t>
      </w:r>
      <w:r w:rsidR="001958C6" w:rsidRPr="00FA78B1">
        <w:t>:</w:t>
      </w:r>
    </w:p>
    <w:p w:rsidR="00411ED8" w:rsidRPr="00FA78B1" w:rsidRDefault="001907E9" w:rsidP="001958C6">
      <w:pPr>
        <w:pStyle w:val="paragraph"/>
      </w:pPr>
      <w:r w:rsidRPr="00FA78B1">
        <w:tab/>
      </w:r>
      <w:r w:rsidR="00804B47" w:rsidRPr="00FA78B1">
        <w:t>(c</w:t>
      </w:r>
      <w:r w:rsidR="00411ED8" w:rsidRPr="00FA78B1">
        <w:t>)</w:t>
      </w:r>
      <w:r w:rsidR="00411ED8" w:rsidRPr="00FA78B1">
        <w:tab/>
        <w:t>for a</w:t>
      </w:r>
      <w:r w:rsidR="00351469" w:rsidRPr="00FA78B1">
        <w:t>n application to which</w:t>
      </w:r>
      <w:r w:rsidR="00411ED8" w:rsidRPr="00FA78B1">
        <w:t xml:space="preserve"> Subdivision G of Division</w:t>
      </w:r>
      <w:r w:rsidR="00FA78B1" w:rsidRPr="00FA78B1">
        <w:t> </w:t>
      </w:r>
      <w:r w:rsidR="00411ED8" w:rsidRPr="00FA78B1">
        <w:t>1 of Part</w:t>
      </w:r>
      <w:r w:rsidR="00FA78B1" w:rsidRPr="00FA78B1">
        <w:t> </w:t>
      </w:r>
      <w:r w:rsidR="00411ED8" w:rsidRPr="00FA78B1">
        <w:t>3 of the Act</w:t>
      </w:r>
      <w:r w:rsidR="00351469" w:rsidRPr="00FA78B1">
        <w:t xml:space="preserve"> (high level health claims) applies</w:t>
      </w:r>
      <w:r w:rsidR="00411ED8" w:rsidRPr="00FA78B1">
        <w:t>—9 months after it begins.</w:t>
      </w:r>
    </w:p>
    <w:p w:rsidR="001958C6" w:rsidRPr="00FA78B1" w:rsidRDefault="00266AF0" w:rsidP="001958C6">
      <w:pPr>
        <w:pStyle w:val="ItemHead"/>
      </w:pPr>
      <w:r w:rsidRPr="00FA78B1">
        <w:t>7</w:t>
      </w:r>
      <w:r w:rsidR="001958C6" w:rsidRPr="00FA78B1">
        <w:t xml:space="preserve">  After regulation</w:t>
      </w:r>
      <w:r w:rsidR="00FA78B1" w:rsidRPr="00FA78B1">
        <w:t> </w:t>
      </w:r>
      <w:r w:rsidR="001958C6" w:rsidRPr="00FA78B1">
        <w:t>11</w:t>
      </w:r>
    </w:p>
    <w:p w:rsidR="001958C6" w:rsidRPr="00FA78B1" w:rsidRDefault="00EE0FA7" w:rsidP="001958C6">
      <w:pPr>
        <w:pStyle w:val="Item"/>
      </w:pPr>
      <w:r w:rsidRPr="00FA78B1">
        <w:t>Insert</w:t>
      </w:r>
      <w:r w:rsidR="001958C6" w:rsidRPr="00FA78B1">
        <w:t>:</w:t>
      </w:r>
    </w:p>
    <w:p w:rsidR="001958C6" w:rsidRPr="00FA78B1" w:rsidRDefault="001958C6" w:rsidP="001958C6">
      <w:pPr>
        <w:pStyle w:val="ActHead5"/>
      </w:pPr>
      <w:bookmarkStart w:id="17" w:name="_Toc415724518"/>
      <w:r w:rsidRPr="00FA78B1">
        <w:rPr>
          <w:rStyle w:val="CharSectno"/>
        </w:rPr>
        <w:t>12</w:t>
      </w:r>
      <w:r w:rsidRPr="00FA78B1">
        <w:t xml:space="preserve">  Application of the </w:t>
      </w:r>
      <w:r w:rsidRPr="00FA78B1">
        <w:rPr>
          <w:i/>
        </w:rPr>
        <w:t>Food Standards Australia New Zealand Amendment (High Level Health Claims and Other Measures) Regulation</w:t>
      </w:r>
      <w:r w:rsidR="00FA78B1" w:rsidRPr="00FA78B1">
        <w:rPr>
          <w:i/>
        </w:rPr>
        <w:t> </w:t>
      </w:r>
      <w:r w:rsidRPr="00FA78B1">
        <w:rPr>
          <w:i/>
        </w:rPr>
        <w:t>2015</w:t>
      </w:r>
      <w:bookmarkEnd w:id="17"/>
    </w:p>
    <w:p w:rsidR="001958C6" w:rsidRPr="00FA78B1" w:rsidRDefault="001958C6" w:rsidP="00E4084B">
      <w:pPr>
        <w:pStyle w:val="Item"/>
      </w:pPr>
      <w:r w:rsidRPr="00FA78B1">
        <w:t>Schedule</w:t>
      </w:r>
      <w:r w:rsidR="00FA78B1" w:rsidRPr="00FA78B1">
        <w:t> </w:t>
      </w:r>
      <w:r w:rsidRPr="00FA78B1">
        <w:t xml:space="preserve">1 to the </w:t>
      </w:r>
      <w:r w:rsidRPr="00FA78B1">
        <w:rPr>
          <w:i/>
        </w:rPr>
        <w:t>Food Standards Australia New Zealand Amendment (High Level Health Claims and Other Measures) Regulation</w:t>
      </w:r>
      <w:r w:rsidR="00FA78B1" w:rsidRPr="00FA78B1">
        <w:rPr>
          <w:i/>
        </w:rPr>
        <w:t> </w:t>
      </w:r>
      <w:r w:rsidRPr="00FA78B1">
        <w:rPr>
          <w:i/>
        </w:rPr>
        <w:t>2015</w:t>
      </w:r>
      <w:r w:rsidRPr="00FA78B1">
        <w:t xml:space="preserve"> applies to an application received by the Authority on or after the commencement of that Schedule.</w:t>
      </w:r>
    </w:p>
    <w:p w:rsidR="00624833" w:rsidRPr="00FA78B1" w:rsidRDefault="00266AF0" w:rsidP="00C147AB">
      <w:pPr>
        <w:pStyle w:val="ItemHead"/>
      </w:pPr>
      <w:r w:rsidRPr="00FA78B1">
        <w:t>8</w:t>
      </w:r>
      <w:r w:rsidR="00C147AB" w:rsidRPr="00FA78B1">
        <w:t xml:space="preserve">  Schedule</w:t>
      </w:r>
      <w:r w:rsidR="006B6A63" w:rsidRPr="00FA78B1">
        <w:t>s</w:t>
      </w:r>
      <w:r w:rsidR="00FA78B1" w:rsidRPr="00FA78B1">
        <w:t> </w:t>
      </w:r>
      <w:r w:rsidR="00B35E83" w:rsidRPr="00FA78B1">
        <w:t>3</w:t>
      </w:r>
      <w:r w:rsidR="00951A0A" w:rsidRPr="00FA78B1">
        <w:t xml:space="preserve"> and 4</w:t>
      </w:r>
    </w:p>
    <w:p w:rsidR="00C147AB" w:rsidRPr="00FA78B1" w:rsidRDefault="00C147AB" w:rsidP="00C147AB">
      <w:pPr>
        <w:pStyle w:val="Item"/>
      </w:pPr>
      <w:r w:rsidRPr="00FA78B1">
        <w:t>Repeal the Schedule</w:t>
      </w:r>
      <w:r w:rsidR="00471290" w:rsidRPr="00FA78B1">
        <w:t>s.</w:t>
      </w:r>
    </w:p>
    <w:p w:rsidR="0058591E" w:rsidRPr="00FA78B1" w:rsidRDefault="0058591E" w:rsidP="004B6EC9">
      <w:pPr>
        <w:pStyle w:val="ActHead6"/>
        <w:pageBreakBefore/>
      </w:pPr>
      <w:bookmarkStart w:id="18" w:name="_Toc415724519"/>
      <w:bookmarkStart w:id="19" w:name="opcCurrentFind"/>
      <w:r w:rsidRPr="00FA78B1">
        <w:rPr>
          <w:rStyle w:val="CharAmSchNo"/>
        </w:rPr>
        <w:lastRenderedPageBreak/>
        <w:t>Schedule</w:t>
      </w:r>
      <w:r w:rsidR="00FA78B1" w:rsidRPr="00FA78B1">
        <w:rPr>
          <w:rStyle w:val="CharAmSchNo"/>
        </w:rPr>
        <w:t> </w:t>
      </w:r>
      <w:r w:rsidRPr="00FA78B1">
        <w:rPr>
          <w:rStyle w:val="CharAmSchNo"/>
        </w:rPr>
        <w:t>2</w:t>
      </w:r>
      <w:r w:rsidRPr="00FA78B1">
        <w:t>—</w:t>
      </w:r>
      <w:r w:rsidRPr="00FA78B1">
        <w:rPr>
          <w:rStyle w:val="CharAmSchText"/>
        </w:rPr>
        <w:t>Other amendments</w:t>
      </w:r>
      <w:bookmarkEnd w:id="18"/>
    </w:p>
    <w:bookmarkEnd w:id="19"/>
    <w:p w:rsidR="0058591E" w:rsidRPr="00FA78B1" w:rsidRDefault="0058591E">
      <w:pPr>
        <w:pStyle w:val="Header"/>
      </w:pPr>
      <w:r w:rsidRPr="00FA78B1">
        <w:rPr>
          <w:rStyle w:val="CharAmPartNo"/>
        </w:rPr>
        <w:t xml:space="preserve"> </w:t>
      </w:r>
      <w:r w:rsidRPr="00FA78B1">
        <w:rPr>
          <w:rStyle w:val="CharAmPartText"/>
        </w:rPr>
        <w:t xml:space="preserve"> </w:t>
      </w:r>
    </w:p>
    <w:p w:rsidR="00304FAB" w:rsidRPr="00FA78B1" w:rsidRDefault="00304FAB" w:rsidP="00304FAB">
      <w:pPr>
        <w:pStyle w:val="ActHead9"/>
      </w:pPr>
      <w:bookmarkStart w:id="20" w:name="_Toc415724520"/>
      <w:r w:rsidRPr="00FA78B1">
        <w:t>Food Standards Australia New Zealand Regulations</w:t>
      </w:r>
      <w:r w:rsidR="00FA78B1" w:rsidRPr="00FA78B1">
        <w:t> </w:t>
      </w:r>
      <w:r w:rsidRPr="00FA78B1">
        <w:t>1994</w:t>
      </w:r>
      <w:bookmarkEnd w:id="20"/>
    </w:p>
    <w:p w:rsidR="0058591E" w:rsidRPr="00FA78B1" w:rsidRDefault="003A42F6" w:rsidP="0058591E">
      <w:pPr>
        <w:pStyle w:val="ItemHead"/>
        <w:tabs>
          <w:tab w:val="left" w:pos="6663"/>
        </w:tabs>
      </w:pPr>
      <w:r w:rsidRPr="00FA78B1">
        <w:t>1</w:t>
      </w:r>
      <w:r w:rsidR="0058591E" w:rsidRPr="00FA78B1">
        <w:t xml:space="preserve">  Regulation</w:t>
      </w:r>
      <w:r w:rsidR="00FA78B1" w:rsidRPr="00FA78B1">
        <w:t> </w:t>
      </w:r>
      <w:r w:rsidR="0058591E" w:rsidRPr="00FA78B1">
        <w:t>2</w:t>
      </w:r>
    </w:p>
    <w:p w:rsidR="0058591E" w:rsidRPr="00FA78B1" w:rsidRDefault="0058591E" w:rsidP="0058591E">
      <w:pPr>
        <w:pStyle w:val="Item"/>
      </w:pPr>
      <w:r w:rsidRPr="00FA78B1">
        <w:t>Insert:</w:t>
      </w:r>
    </w:p>
    <w:p w:rsidR="0058591E" w:rsidRPr="00FA78B1" w:rsidRDefault="0058591E" w:rsidP="0058591E">
      <w:pPr>
        <w:pStyle w:val="Definition"/>
      </w:pPr>
      <w:r w:rsidRPr="00FA78B1">
        <w:rPr>
          <w:b/>
          <w:i/>
          <w:lang w:eastAsia="en-US"/>
        </w:rPr>
        <w:t>A</w:t>
      </w:r>
      <w:r w:rsidRPr="00FA78B1">
        <w:rPr>
          <w:b/>
          <w:i/>
        </w:rPr>
        <w:t>griculture</w:t>
      </w:r>
      <w:r w:rsidRPr="00FA78B1">
        <w:t xml:space="preserve"> </w:t>
      </w:r>
      <w:r w:rsidRPr="00FA78B1">
        <w:rPr>
          <w:b/>
          <w:i/>
        </w:rPr>
        <w:t xml:space="preserve">Department </w:t>
      </w:r>
      <w:r w:rsidRPr="00FA78B1">
        <w:t xml:space="preserve">means the Department administered by the Minister administering the </w:t>
      </w:r>
      <w:r w:rsidR="00804B47" w:rsidRPr="00FA78B1">
        <w:rPr>
          <w:i/>
        </w:rPr>
        <w:t>Imported Food Control Act 1992</w:t>
      </w:r>
      <w:r w:rsidR="00906ED9" w:rsidRPr="00FA78B1">
        <w:rPr>
          <w:i/>
        </w:rPr>
        <w:t>.</w:t>
      </w:r>
    </w:p>
    <w:p w:rsidR="0058591E" w:rsidRPr="00FA78B1" w:rsidRDefault="0058591E" w:rsidP="0058591E">
      <w:pPr>
        <w:pStyle w:val="Definition"/>
      </w:pPr>
      <w:r w:rsidRPr="00FA78B1">
        <w:rPr>
          <w:b/>
          <w:i/>
        </w:rPr>
        <w:t>Foreign Affairs Department</w:t>
      </w:r>
      <w:r w:rsidRPr="00FA78B1">
        <w:t xml:space="preserve"> means the Department administered by the Minister administering the </w:t>
      </w:r>
      <w:r w:rsidRPr="00FA78B1">
        <w:rPr>
          <w:i/>
        </w:rPr>
        <w:t>Diplomatic Privileges and Immunities Act 1967</w:t>
      </w:r>
      <w:r w:rsidRPr="00FA78B1">
        <w:t>.</w:t>
      </w:r>
    </w:p>
    <w:p w:rsidR="0058591E" w:rsidRPr="00FA78B1" w:rsidRDefault="0058591E" w:rsidP="0058591E">
      <w:pPr>
        <w:pStyle w:val="Definition"/>
        <w:rPr>
          <w:i/>
        </w:rPr>
      </w:pPr>
      <w:r w:rsidRPr="00FA78B1">
        <w:rPr>
          <w:b/>
          <w:i/>
        </w:rPr>
        <w:t>Health Department</w:t>
      </w:r>
      <w:r w:rsidRPr="00FA78B1">
        <w:t xml:space="preserve"> means the Department administered by</w:t>
      </w:r>
      <w:r w:rsidR="00804B47" w:rsidRPr="00FA78B1">
        <w:t xml:space="preserve"> the Minister administering the Act</w:t>
      </w:r>
      <w:r w:rsidRPr="00FA78B1">
        <w:rPr>
          <w:i/>
        </w:rPr>
        <w:t>.</w:t>
      </w:r>
    </w:p>
    <w:p w:rsidR="0058591E" w:rsidRPr="00FA78B1" w:rsidRDefault="0058591E" w:rsidP="0058591E">
      <w:pPr>
        <w:pStyle w:val="Definition"/>
      </w:pPr>
      <w:r w:rsidRPr="00FA78B1">
        <w:rPr>
          <w:b/>
          <w:i/>
        </w:rPr>
        <w:t>Industry Department</w:t>
      </w:r>
      <w:r w:rsidRPr="00FA78B1">
        <w:t xml:space="preserve"> means the Department administered by the Minister administering the </w:t>
      </w:r>
      <w:r w:rsidRPr="00FA78B1">
        <w:rPr>
          <w:i/>
        </w:rPr>
        <w:t>Industry Research and Development Act 1986</w:t>
      </w:r>
      <w:r w:rsidRPr="00FA78B1">
        <w:t>.</w:t>
      </w:r>
    </w:p>
    <w:p w:rsidR="0058591E" w:rsidRPr="00FA78B1" w:rsidRDefault="0058591E" w:rsidP="0058591E">
      <w:pPr>
        <w:pStyle w:val="Definition"/>
      </w:pPr>
      <w:r w:rsidRPr="00FA78B1">
        <w:rPr>
          <w:b/>
          <w:i/>
        </w:rPr>
        <w:t>Treasury Department</w:t>
      </w:r>
      <w:r w:rsidRPr="00FA78B1">
        <w:t xml:space="preserve"> means the Department administered by the Treasurer.</w:t>
      </w:r>
    </w:p>
    <w:p w:rsidR="0058591E" w:rsidRPr="00FA78B1" w:rsidRDefault="003A42F6" w:rsidP="0058591E">
      <w:pPr>
        <w:pStyle w:val="ItemHead"/>
        <w:tabs>
          <w:tab w:val="left" w:pos="6663"/>
        </w:tabs>
      </w:pPr>
      <w:r w:rsidRPr="00FA78B1">
        <w:t>2</w:t>
      </w:r>
      <w:r w:rsidR="0058591E" w:rsidRPr="00FA78B1">
        <w:t xml:space="preserve">  Regulation</w:t>
      </w:r>
      <w:r w:rsidR="00FA78B1" w:rsidRPr="00FA78B1">
        <w:t> </w:t>
      </w:r>
      <w:r w:rsidR="0058591E" w:rsidRPr="00FA78B1">
        <w:t>3</w:t>
      </w:r>
    </w:p>
    <w:p w:rsidR="0058591E" w:rsidRPr="00FA78B1" w:rsidRDefault="0058591E" w:rsidP="0058591E">
      <w:pPr>
        <w:pStyle w:val="Item"/>
      </w:pPr>
      <w:r w:rsidRPr="00FA78B1">
        <w:t>Repeal the regulation, substitute:</w:t>
      </w:r>
    </w:p>
    <w:p w:rsidR="0058591E" w:rsidRPr="00FA78B1" w:rsidRDefault="0058591E" w:rsidP="0058591E">
      <w:pPr>
        <w:pStyle w:val="ActHead5"/>
      </w:pPr>
      <w:bookmarkStart w:id="21" w:name="_Toc415724521"/>
      <w:r w:rsidRPr="00FA78B1">
        <w:rPr>
          <w:rStyle w:val="CharSectno"/>
        </w:rPr>
        <w:t>3</w:t>
      </w:r>
      <w:r w:rsidRPr="00FA78B1">
        <w:t xml:space="preserve">  Appropriate government agencies</w:t>
      </w:r>
      <w:bookmarkEnd w:id="21"/>
    </w:p>
    <w:p w:rsidR="0058591E" w:rsidRPr="00FA78B1" w:rsidRDefault="0058591E" w:rsidP="0058591E">
      <w:pPr>
        <w:pStyle w:val="subsection"/>
      </w:pPr>
      <w:r w:rsidRPr="00FA78B1">
        <w:tab/>
        <w:t>(1)</w:t>
      </w:r>
      <w:r w:rsidRPr="00FA78B1">
        <w:tab/>
        <w:t xml:space="preserve">For </w:t>
      </w:r>
      <w:r w:rsidR="00FA78B1" w:rsidRPr="00FA78B1">
        <w:t>paragraph (</w:t>
      </w:r>
      <w:r w:rsidRPr="00FA78B1">
        <w:t xml:space="preserve">a) of the definition of </w:t>
      </w:r>
      <w:r w:rsidRPr="00FA78B1">
        <w:rPr>
          <w:b/>
          <w:i/>
        </w:rPr>
        <w:t>appropriate government agency</w:t>
      </w:r>
      <w:r w:rsidRPr="00FA78B1">
        <w:t xml:space="preserve"> in subsection</w:t>
      </w:r>
      <w:r w:rsidR="00FA78B1" w:rsidRPr="00FA78B1">
        <w:t> </w:t>
      </w:r>
      <w:r w:rsidRPr="00FA78B1">
        <w:t>4(1) of the Act, the following are prescribed:</w:t>
      </w:r>
    </w:p>
    <w:p w:rsidR="0058591E" w:rsidRPr="00FA78B1" w:rsidRDefault="0058591E" w:rsidP="0058591E">
      <w:pPr>
        <w:pStyle w:val="paragraph"/>
      </w:pPr>
      <w:r w:rsidRPr="00FA78B1">
        <w:tab/>
        <w:t>(a)</w:t>
      </w:r>
      <w:r w:rsidRPr="00FA78B1">
        <w:tab/>
        <w:t>the Agriculture Department;</w:t>
      </w:r>
    </w:p>
    <w:p w:rsidR="0058591E" w:rsidRPr="00FA78B1" w:rsidRDefault="0058591E" w:rsidP="0058591E">
      <w:pPr>
        <w:pStyle w:val="paragraph"/>
      </w:pPr>
      <w:r w:rsidRPr="00FA78B1">
        <w:tab/>
        <w:t>(b)</w:t>
      </w:r>
      <w:r w:rsidRPr="00FA78B1">
        <w:tab/>
        <w:t>the Foreign Affairs Department;</w:t>
      </w:r>
    </w:p>
    <w:p w:rsidR="0058591E" w:rsidRPr="00FA78B1" w:rsidRDefault="0058591E" w:rsidP="0058591E">
      <w:pPr>
        <w:pStyle w:val="paragraph"/>
      </w:pPr>
      <w:r w:rsidRPr="00FA78B1">
        <w:tab/>
        <w:t>(c)</w:t>
      </w:r>
      <w:r w:rsidRPr="00FA78B1">
        <w:tab/>
        <w:t>the Health Department;</w:t>
      </w:r>
    </w:p>
    <w:p w:rsidR="0058591E" w:rsidRPr="00FA78B1" w:rsidRDefault="0058591E" w:rsidP="0058591E">
      <w:pPr>
        <w:pStyle w:val="paragraph"/>
      </w:pPr>
      <w:r w:rsidRPr="00FA78B1">
        <w:tab/>
        <w:t>(d)</w:t>
      </w:r>
      <w:r w:rsidRPr="00FA78B1">
        <w:tab/>
        <w:t>the Industry Department;</w:t>
      </w:r>
    </w:p>
    <w:p w:rsidR="0058591E" w:rsidRPr="00FA78B1" w:rsidRDefault="0058591E" w:rsidP="0058591E">
      <w:pPr>
        <w:pStyle w:val="paragraph"/>
      </w:pPr>
      <w:r w:rsidRPr="00FA78B1">
        <w:tab/>
        <w:t>(e)</w:t>
      </w:r>
      <w:r w:rsidRPr="00FA78B1">
        <w:tab/>
        <w:t>the Treasury Department.</w:t>
      </w:r>
    </w:p>
    <w:p w:rsidR="0058591E" w:rsidRPr="00FA78B1" w:rsidRDefault="0058591E" w:rsidP="0058591E">
      <w:pPr>
        <w:pStyle w:val="subsection"/>
      </w:pPr>
      <w:r w:rsidRPr="00FA78B1">
        <w:tab/>
        <w:t>(2)</w:t>
      </w:r>
      <w:r w:rsidRPr="00FA78B1">
        <w:tab/>
        <w:t xml:space="preserve">For </w:t>
      </w:r>
      <w:r w:rsidR="00FA78B1" w:rsidRPr="00FA78B1">
        <w:t>paragraph (</w:t>
      </w:r>
      <w:r w:rsidRPr="00FA78B1">
        <w:t xml:space="preserve">d) of the definition of </w:t>
      </w:r>
      <w:r w:rsidRPr="00FA78B1">
        <w:rPr>
          <w:b/>
          <w:i/>
        </w:rPr>
        <w:t>appropriate government agency</w:t>
      </w:r>
      <w:r w:rsidRPr="00FA78B1">
        <w:t xml:space="preserve"> in subsection</w:t>
      </w:r>
      <w:r w:rsidR="00FA78B1" w:rsidRPr="00FA78B1">
        <w:t> </w:t>
      </w:r>
      <w:r w:rsidRPr="00FA78B1">
        <w:t>4(1) of the Act, the following are prescribed:</w:t>
      </w:r>
    </w:p>
    <w:p w:rsidR="0058591E" w:rsidRPr="00FA78B1" w:rsidRDefault="0058591E" w:rsidP="0058591E">
      <w:pPr>
        <w:pStyle w:val="paragraph"/>
      </w:pPr>
      <w:r w:rsidRPr="00FA78B1">
        <w:lastRenderedPageBreak/>
        <w:tab/>
        <w:t>(a)</w:t>
      </w:r>
      <w:r w:rsidRPr="00FA78B1">
        <w:tab/>
      </w:r>
      <w:r w:rsidR="002F6271" w:rsidRPr="00FA78B1">
        <w:t>the Department of State of each State and Territory that is primarily responsible for primary industries in that State or Territory</w:t>
      </w:r>
      <w:r w:rsidRPr="00FA78B1">
        <w:t>;</w:t>
      </w:r>
    </w:p>
    <w:p w:rsidR="0058591E" w:rsidRPr="00FA78B1" w:rsidRDefault="002F6271" w:rsidP="0058591E">
      <w:pPr>
        <w:pStyle w:val="paragraph"/>
      </w:pPr>
      <w:r w:rsidRPr="00FA78B1">
        <w:tab/>
        <w:t>(b)</w:t>
      </w:r>
      <w:r w:rsidRPr="00FA78B1">
        <w:tab/>
        <w:t>NSW Food Authority;</w:t>
      </w:r>
    </w:p>
    <w:p w:rsidR="0058591E" w:rsidRPr="00FA78B1" w:rsidRDefault="0058591E" w:rsidP="0058591E">
      <w:pPr>
        <w:pStyle w:val="paragraph"/>
      </w:pPr>
      <w:r w:rsidRPr="00FA78B1">
        <w:tab/>
        <w:t>(</w:t>
      </w:r>
      <w:r w:rsidR="002F6271" w:rsidRPr="00FA78B1">
        <w:t>c</w:t>
      </w:r>
      <w:r w:rsidRPr="00FA78B1">
        <w:t>)</w:t>
      </w:r>
      <w:r w:rsidRPr="00FA78B1">
        <w:tab/>
        <w:t xml:space="preserve">the Department of State of Victoria that is primarily responsible for </w:t>
      </w:r>
      <w:r w:rsidR="002F6271" w:rsidRPr="00FA78B1">
        <w:t>the food and beverage industry</w:t>
      </w:r>
      <w:r w:rsidRPr="00FA78B1">
        <w:t>;</w:t>
      </w:r>
    </w:p>
    <w:p w:rsidR="0058591E" w:rsidRPr="00FA78B1" w:rsidRDefault="0058591E" w:rsidP="0058591E">
      <w:pPr>
        <w:pStyle w:val="paragraph"/>
      </w:pPr>
      <w:r w:rsidRPr="00FA78B1">
        <w:tab/>
        <w:t>(</w:t>
      </w:r>
      <w:r w:rsidR="002F6271" w:rsidRPr="00FA78B1">
        <w:t>d)</w:t>
      </w:r>
      <w:r w:rsidR="002F6271" w:rsidRPr="00FA78B1">
        <w:tab/>
        <w:t>Safe Food Production QLD.</w:t>
      </w:r>
    </w:p>
    <w:p w:rsidR="0058591E" w:rsidRPr="00FA78B1" w:rsidRDefault="003A42F6" w:rsidP="0058591E">
      <w:pPr>
        <w:pStyle w:val="ItemHead"/>
        <w:tabs>
          <w:tab w:val="left" w:pos="6663"/>
        </w:tabs>
      </w:pPr>
      <w:r w:rsidRPr="00FA78B1">
        <w:t>3</w:t>
      </w:r>
      <w:r w:rsidR="0058591E" w:rsidRPr="00FA78B1">
        <w:t xml:space="preserve">  Regulation</w:t>
      </w:r>
      <w:r w:rsidRPr="00FA78B1">
        <w:t>s</w:t>
      </w:r>
      <w:r w:rsidR="00FA78B1" w:rsidRPr="00FA78B1">
        <w:t> </w:t>
      </w:r>
      <w:r w:rsidR="0058591E" w:rsidRPr="00FA78B1">
        <w:t>6</w:t>
      </w:r>
      <w:r w:rsidRPr="00FA78B1">
        <w:t xml:space="preserve"> and 6A</w:t>
      </w:r>
    </w:p>
    <w:p w:rsidR="0058591E" w:rsidRPr="00FA78B1" w:rsidRDefault="0058591E" w:rsidP="0058591E">
      <w:pPr>
        <w:pStyle w:val="Item"/>
      </w:pPr>
      <w:r w:rsidRPr="00FA78B1">
        <w:t>Repeal the regulation</w:t>
      </w:r>
      <w:r w:rsidR="003A42F6" w:rsidRPr="00FA78B1">
        <w:t>s</w:t>
      </w:r>
      <w:r w:rsidRPr="00FA78B1">
        <w:t>, substitute:</w:t>
      </w:r>
    </w:p>
    <w:p w:rsidR="0058591E" w:rsidRPr="00FA78B1" w:rsidRDefault="0058591E" w:rsidP="0058591E">
      <w:pPr>
        <w:pStyle w:val="ActHead5"/>
      </w:pPr>
      <w:bookmarkStart w:id="22" w:name="_Toc415724522"/>
      <w:r w:rsidRPr="00FA78B1">
        <w:rPr>
          <w:rStyle w:val="CharSectno"/>
        </w:rPr>
        <w:t>6</w:t>
      </w:r>
      <w:r w:rsidRPr="00FA78B1">
        <w:t xml:space="preserve">  Authorities to which confidential commercial information may be disclosed</w:t>
      </w:r>
      <w:bookmarkEnd w:id="22"/>
    </w:p>
    <w:p w:rsidR="0058591E" w:rsidRPr="00FA78B1" w:rsidRDefault="0058591E" w:rsidP="0058591E">
      <w:pPr>
        <w:pStyle w:val="subsection"/>
      </w:pPr>
      <w:r w:rsidRPr="00FA78B1">
        <w:tab/>
        <w:t>(1)</w:t>
      </w:r>
      <w:r w:rsidRPr="00FA78B1">
        <w:tab/>
        <w:t>For paragraph</w:t>
      </w:r>
      <w:r w:rsidR="00FA78B1" w:rsidRPr="00FA78B1">
        <w:t> </w:t>
      </w:r>
      <w:r w:rsidRPr="00FA78B1">
        <w:t>114(4)(b) of the Act, the following Commonwealth authorities are prescribed:</w:t>
      </w:r>
    </w:p>
    <w:p w:rsidR="0058591E" w:rsidRPr="00FA78B1" w:rsidRDefault="0058591E" w:rsidP="0058591E">
      <w:pPr>
        <w:pStyle w:val="paragraph"/>
      </w:pPr>
      <w:r w:rsidRPr="00FA78B1">
        <w:tab/>
        <w:t>(a)</w:t>
      </w:r>
      <w:r w:rsidRPr="00FA78B1">
        <w:tab/>
        <w:t>the Agriculture Department;</w:t>
      </w:r>
    </w:p>
    <w:p w:rsidR="0058591E" w:rsidRPr="00FA78B1" w:rsidRDefault="0058591E" w:rsidP="0058591E">
      <w:pPr>
        <w:pStyle w:val="paragraph"/>
      </w:pPr>
      <w:r w:rsidRPr="00FA78B1">
        <w:tab/>
        <w:t>(b)</w:t>
      </w:r>
      <w:r w:rsidRPr="00FA78B1">
        <w:tab/>
        <w:t>the Foreign Affairs Department;</w:t>
      </w:r>
    </w:p>
    <w:p w:rsidR="0058591E" w:rsidRPr="00FA78B1" w:rsidRDefault="0058591E" w:rsidP="0058591E">
      <w:pPr>
        <w:pStyle w:val="paragraph"/>
      </w:pPr>
      <w:r w:rsidRPr="00FA78B1">
        <w:tab/>
        <w:t>(c)</w:t>
      </w:r>
      <w:r w:rsidRPr="00FA78B1">
        <w:tab/>
        <w:t>the Health Department;</w:t>
      </w:r>
    </w:p>
    <w:p w:rsidR="0058591E" w:rsidRPr="00FA78B1" w:rsidRDefault="0058591E" w:rsidP="0058591E">
      <w:pPr>
        <w:pStyle w:val="paragraph"/>
      </w:pPr>
      <w:r w:rsidRPr="00FA78B1">
        <w:tab/>
        <w:t>(d)</w:t>
      </w:r>
      <w:r w:rsidRPr="00FA78B1">
        <w:tab/>
        <w:t>the Industry Department;</w:t>
      </w:r>
    </w:p>
    <w:p w:rsidR="0058591E" w:rsidRPr="00FA78B1" w:rsidRDefault="0058591E" w:rsidP="0058591E">
      <w:pPr>
        <w:pStyle w:val="paragraph"/>
      </w:pPr>
      <w:r w:rsidRPr="00FA78B1">
        <w:tab/>
        <w:t>(e)</w:t>
      </w:r>
      <w:r w:rsidRPr="00FA78B1">
        <w:tab/>
        <w:t>the Treasury Department.</w:t>
      </w:r>
    </w:p>
    <w:p w:rsidR="0058591E" w:rsidRPr="00FA78B1" w:rsidRDefault="0058591E" w:rsidP="0058591E">
      <w:pPr>
        <w:pStyle w:val="subsection"/>
      </w:pPr>
      <w:r w:rsidRPr="00FA78B1">
        <w:tab/>
        <w:t>(2)</w:t>
      </w:r>
      <w:r w:rsidRPr="00FA78B1">
        <w:tab/>
        <w:t>For paragraph</w:t>
      </w:r>
      <w:r w:rsidR="00FA78B1" w:rsidRPr="00FA78B1">
        <w:t> </w:t>
      </w:r>
      <w:r w:rsidRPr="00FA78B1">
        <w:t>114(4)(b) of the Act, the following State or Territory authorities are prescribed:</w:t>
      </w:r>
    </w:p>
    <w:p w:rsidR="0058591E" w:rsidRPr="00FA78B1" w:rsidRDefault="0058591E" w:rsidP="0058591E">
      <w:pPr>
        <w:pStyle w:val="paragraph"/>
      </w:pPr>
      <w:r w:rsidRPr="00FA78B1">
        <w:tab/>
        <w:t>(a)</w:t>
      </w:r>
      <w:r w:rsidRPr="00FA78B1">
        <w:tab/>
        <w:t>the Department of State of each State or Territory that is primarily responsible for public health in that State or Territory;</w:t>
      </w:r>
    </w:p>
    <w:p w:rsidR="002F6271" w:rsidRPr="00FA78B1" w:rsidRDefault="002F6271" w:rsidP="002F6271">
      <w:pPr>
        <w:pStyle w:val="paragraph"/>
      </w:pPr>
      <w:r w:rsidRPr="00FA78B1">
        <w:tab/>
        <w:t>(b)</w:t>
      </w:r>
      <w:r w:rsidRPr="00FA78B1">
        <w:tab/>
        <w:t>the Department of State of each State and Territory that is primarily responsible for primary industries in that State or Territory;</w:t>
      </w:r>
    </w:p>
    <w:p w:rsidR="002F6271" w:rsidRPr="00FA78B1" w:rsidRDefault="002F6271" w:rsidP="002F6271">
      <w:pPr>
        <w:pStyle w:val="paragraph"/>
      </w:pPr>
      <w:r w:rsidRPr="00FA78B1">
        <w:tab/>
        <w:t>(c)</w:t>
      </w:r>
      <w:r w:rsidRPr="00FA78B1">
        <w:tab/>
        <w:t>NSW Food Authority;</w:t>
      </w:r>
    </w:p>
    <w:p w:rsidR="002F6271" w:rsidRPr="00FA78B1" w:rsidRDefault="002F6271" w:rsidP="002F6271">
      <w:pPr>
        <w:pStyle w:val="paragraph"/>
      </w:pPr>
      <w:r w:rsidRPr="00FA78B1">
        <w:tab/>
        <w:t>(d)</w:t>
      </w:r>
      <w:r w:rsidRPr="00FA78B1">
        <w:tab/>
        <w:t>the Department of State of Victoria that is primarily responsible for the food and beverage industry;</w:t>
      </w:r>
    </w:p>
    <w:p w:rsidR="002F6271" w:rsidRPr="00FA78B1" w:rsidRDefault="002F6271" w:rsidP="002F6271">
      <w:pPr>
        <w:pStyle w:val="paragraph"/>
      </w:pPr>
      <w:r w:rsidRPr="00FA78B1">
        <w:tab/>
        <w:t>(e)</w:t>
      </w:r>
      <w:r w:rsidRPr="00FA78B1">
        <w:tab/>
        <w:t>Safe Food Production QLD.</w:t>
      </w:r>
    </w:p>
    <w:p w:rsidR="0058591E" w:rsidRPr="00FA78B1" w:rsidRDefault="0058591E" w:rsidP="0058591E">
      <w:pPr>
        <w:pStyle w:val="subsection"/>
      </w:pPr>
      <w:r w:rsidRPr="00FA78B1">
        <w:tab/>
        <w:t>(3)</w:t>
      </w:r>
      <w:r w:rsidRPr="00FA78B1">
        <w:tab/>
        <w:t>For paragraph</w:t>
      </w:r>
      <w:r w:rsidR="00FA78B1" w:rsidRPr="00FA78B1">
        <w:t> </w:t>
      </w:r>
      <w:r w:rsidRPr="00FA78B1">
        <w:t>114(4)(b) of the Act, the following New Zealand authorities are prescribed:</w:t>
      </w:r>
    </w:p>
    <w:p w:rsidR="0058591E" w:rsidRPr="00FA78B1" w:rsidRDefault="0058591E" w:rsidP="0058591E">
      <w:pPr>
        <w:pStyle w:val="paragraph"/>
      </w:pPr>
      <w:r w:rsidRPr="00FA78B1">
        <w:tab/>
        <w:t>(a)</w:t>
      </w:r>
      <w:r w:rsidRPr="00FA78B1">
        <w:tab/>
        <w:t>the Department of State of New Zealand that is primarily responsible for public health;</w:t>
      </w:r>
    </w:p>
    <w:p w:rsidR="0058591E" w:rsidRPr="00FA78B1" w:rsidRDefault="0058591E" w:rsidP="0058591E">
      <w:pPr>
        <w:pStyle w:val="paragraph"/>
      </w:pPr>
      <w:r w:rsidRPr="00FA78B1">
        <w:lastRenderedPageBreak/>
        <w:tab/>
        <w:t>(b)</w:t>
      </w:r>
      <w:r w:rsidRPr="00FA78B1">
        <w:tab/>
      </w:r>
      <w:r w:rsidR="002F6271" w:rsidRPr="00FA78B1">
        <w:t>the Department of State of New Zealand that is primarily responsible for primary industries</w:t>
      </w:r>
      <w:r w:rsidRPr="00FA78B1">
        <w:t>;</w:t>
      </w:r>
    </w:p>
    <w:p w:rsidR="0058591E" w:rsidRPr="00FA78B1" w:rsidRDefault="0058591E" w:rsidP="0058591E">
      <w:pPr>
        <w:pStyle w:val="paragraph"/>
      </w:pPr>
      <w:r w:rsidRPr="00FA78B1">
        <w:tab/>
        <w:t>(c)</w:t>
      </w:r>
      <w:r w:rsidRPr="00FA78B1">
        <w:tab/>
      </w:r>
      <w:r w:rsidR="002F6271" w:rsidRPr="00FA78B1">
        <w:t>Environment Protection Authority</w:t>
      </w:r>
      <w:r w:rsidRPr="00FA78B1">
        <w:t>.</w:t>
      </w:r>
    </w:p>
    <w:p w:rsidR="0058591E" w:rsidRPr="00FA78B1" w:rsidRDefault="0058591E" w:rsidP="0058591E">
      <w:pPr>
        <w:pStyle w:val="ActHead5"/>
      </w:pPr>
      <w:bookmarkStart w:id="23" w:name="_Toc415724523"/>
      <w:r w:rsidRPr="00FA78B1">
        <w:rPr>
          <w:rStyle w:val="CharSectno"/>
        </w:rPr>
        <w:t>6A</w:t>
      </w:r>
      <w:r w:rsidRPr="00FA78B1">
        <w:t xml:space="preserve">  Organisations and public bodies from which nominations for Board members may be sought</w:t>
      </w:r>
      <w:bookmarkEnd w:id="23"/>
    </w:p>
    <w:p w:rsidR="0058591E" w:rsidRPr="00FA78B1" w:rsidRDefault="0058591E" w:rsidP="0058591E">
      <w:pPr>
        <w:pStyle w:val="SubsectionHead"/>
      </w:pPr>
      <w:r w:rsidRPr="00FA78B1">
        <w:t>Australian science and public health organisations and bodies</w:t>
      </w:r>
    </w:p>
    <w:p w:rsidR="0058591E" w:rsidRPr="00FA78B1" w:rsidRDefault="0058591E" w:rsidP="0058591E">
      <w:pPr>
        <w:pStyle w:val="subsection"/>
      </w:pPr>
      <w:r w:rsidRPr="00FA78B1">
        <w:tab/>
        <w:t>(1)</w:t>
      </w:r>
      <w:r w:rsidRPr="00FA78B1">
        <w:tab/>
        <w:t>For paragraph</w:t>
      </w:r>
      <w:r w:rsidR="00FA78B1" w:rsidRPr="00FA78B1">
        <w:t> </w:t>
      </w:r>
      <w:r w:rsidRPr="00FA78B1">
        <w:t>116(3)(b) of the Act, an Australian organisation or public body mentioned in an item in the following table is prescribed for the purposes of each subparagraph of paragraph</w:t>
      </w:r>
      <w:r w:rsidR="00FA78B1" w:rsidRPr="00FA78B1">
        <w:t> </w:t>
      </w:r>
      <w:r w:rsidRPr="00FA78B1">
        <w:t>116(3)(a) of the Act mentioned in that item.</w:t>
      </w:r>
    </w:p>
    <w:p w:rsidR="0058591E" w:rsidRPr="00FA78B1" w:rsidRDefault="0058591E" w:rsidP="0058591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58591E" w:rsidRPr="00FA78B1" w:rsidTr="00AE429C">
        <w:trPr>
          <w:tblHeader/>
        </w:trPr>
        <w:tc>
          <w:tcPr>
            <w:tcW w:w="7086" w:type="dxa"/>
            <w:gridSpan w:val="3"/>
            <w:tcBorders>
              <w:top w:val="single" w:sz="12" w:space="0" w:color="auto"/>
              <w:bottom w:val="single" w:sz="6" w:space="0" w:color="auto"/>
            </w:tcBorders>
            <w:shd w:val="clear" w:color="auto" w:fill="auto"/>
          </w:tcPr>
          <w:p w:rsidR="0058591E" w:rsidRPr="00FA78B1" w:rsidRDefault="0058591E" w:rsidP="00AE429C">
            <w:pPr>
              <w:pStyle w:val="TableHeading"/>
            </w:pPr>
            <w:r w:rsidRPr="00FA78B1">
              <w:t>Australian science and public health organisations and bodies</w:t>
            </w:r>
          </w:p>
        </w:tc>
      </w:tr>
      <w:tr w:rsidR="0058591E" w:rsidRPr="00FA78B1" w:rsidTr="00AE429C">
        <w:trPr>
          <w:tblHeader/>
        </w:trPr>
        <w:tc>
          <w:tcPr>
            <w:tcW w:w="714" w:type="dxa"/>
            <w:tcBorders>
              <w:top w:val="single" w:sz="6" w:space="0" w:color="auto"/>
              <w:bottom w:val="single" w:sz="12" w:space="0" w:color="auto"/>
            </w:tcBorders>
            <w:shd w:val="clear" w:color="auto" w:fill="auto"/>
          </w:tcPr>
          <w:p w:rsidR="0058591E" w:rsidRPr="00FA78B1" w:rsidRDefault="0058591E" w:rsidP="00AE429C">
            <w:pPr>
              <w:pStyle w:val="TableHeading"/>
            </w:pPr>
            <w:r w:rsidRPr="00FA78B1">
              <w:t>Item</w:t>
            </w:r>
          </w:p>
        </w:tc>
        <w:tc>
          <w:tcPr>
            <w:tcW w:w="3186" w:type="dxa"/>
            <w:tcBorders>
              <w:top w:val="single" w:sz="6" w:space="0" w:color="auto"/>
              <w:bottom w:val="single" w:sz="12" w:space="0" w:color="auto"/>
            </w:tcBorders>
            <w:shd w:val="clear" w:color="auto" w:fill="auto"/>
          </w:tcPr>
          <w:p w:rsidR="0058591E" w:rsidRPr="00FA78B1" w:rsidRDefault="0058591E" w:rsidP="00AE429C">
            <w:pPr>
              <w:pStyle w:val="TableHeading"/>
            </w:pPr>
            <w:r w:rsidRPr="00FA78B1">
              <w:t>Organisation or body</w:t>
            </w:r>
          </w:p>
        </w:tc>
        <w:tc>
          <w:tcPr>
            <w:tcW w:w="3186" w:type="dxa"/>
            <w:tcBorders>
              <w:top w:val="single" w:sz="6" w:space="0" w:color="auto"/>
              <w:bottom w:val="single" w:sz="12" w:space="0" w:color="auto"/>
            </w:tcBorders>
            <w:shd w:val="clear" w:color="auto" w:fill="auto"/>
          </w:tcPr>
          <w:p w:rsidR="0058591E" w:rsidRPr="00FA78B1" w:rsidRDefault="0058591E" w:rsidP="00AE429C">
            <w:pPr>
              <w:pStyle w:val="TableHeading"/>
            </w:pPr>
            <w:r w:rsidRPr="00FA78B1">
              <w:t>Subparagraph of paragraph</w:t>
            </w:r>
            <w:r w:rsidR="00FA78B1" w:rsidRPr="00FA78B1">
              <w:t> </w:t>
            </w:r>
            <w:r w:rsidRPr="00FA78B1">
              <w:t>116(3)(a)</w:t>
            </w:r>
          </w:p>
        </w:tc>
      </w:tr>
      <w:tr w:rsidR="0058591E" w:rsidRPr="00FA78B1" w:rsidTr="00AE429C">
        <w:tc>
          <w:tcPr>
            <w:tcW w:w="714" w:type="dxa"/>
            <w:tcBorders>
              <w:top w:val="single" w:sz="12" w:space="0" w:color="auto"/>
            </w:tcBorders>
            <w:shd w:val="clear" w:color="auto" w:fill="auto"/>
          </w:tcPr>
          <w:p w:rsidR="0058591E" w:rsidRPr="00FA78B1" w:rsidRDefault="003A42F6" w:rsidP="00AE429C">
            <w:pPr>
              <w:pStyle w:val="Tabletext"/>
            </w:pPr>
            <w:r w:rsidRPr="00FA78B1">
              <w:t>1</w:t>
            </w:r>
          </w:p>
        </w:tc>
        <w:tc>
          <w:tcPr>
            <w:tcW w:w="3186" w:type="dxa"/>
            <w:tcBorders>
              <w:top w:val="single" w:sz="12" w:space="0" w:color="auto"/>
            </w:tcBorders>
            <w:shd w:val="clear" w:color="auto" w:fill="auto"/>
          </w:tcPr>
          <w:p w:rsidR="0058591E" w:rsidRPr="00FA78B1" w:rsidRDefault="0058591E" w:rsidP="00AE429C">
            <w:pPr>
              <w:pStyle w:val="Tabletext"/>
            </w:pPr>
            <w:r w:rsidRPr="00FA78B1">
              <w:t>Australian Academy of Science</w:t>
            </w:r>
          </w:p>
        </w:tc>
        <w:tc>
          <w:tcPr>
            <w:tcW w:w="3186" w:type="dxa"/>
            <w:tcBorders>
              <w:top w:val="single" w:sz="12" w:space="0" w:color="auto"/>
            </w:tcBorders>
            <w:shd w:val="clear" w:color="auto" w:fill="auto"/>
          </w:tcPr>
          <w:p w:rsidR="0058591E" w:rsidRPr="00FA78B1" w:rsidRDefault="00FA78B1" w:rsidP="00AE429C">
            <w:pPr>
              <w:pStyle w:val="Tabletext"/>
            </w:pPr>
            <w:r w:rsidRPr="00FA78B1">
              <w:t>Subparagraph (</w:t>
            </w:r>
            <w:r w:rsidR="0058591E" w:rsidRPr="00FA78B1">
              <w:t>vi)</w:t>
            </w:r>
          </w:p>
        </w:tc>
      </w:tr>
      <w:tr w:rsidR="0058591E" w:rsidRPr="00FA78B1" w:rsidTr="00AE429C">
        <w:tc>
          <w:tcPr>
            <w:tcW w:w="714" w:type="dxa"/>
            <w:shd w:val="clear" w:color="auto" w:fill="auto"/>
          </w:tcPr>
          <w:p w:rsidR="0058591E" w:rsidRPr="00FA78B1" w:rsidRDefault="003A42F6" w:rsidP="00AE429C">
            <w:pPr>
              <w:pStyle w:val="Tabletext"/>
            </w:pPr>
            <w:r w:rsidRPr="00FA78B1">
              <w:t>2</w:t>
            </w:r>
          </w:p>
        </w:tc>
        <w:tc>
          <w:tcPr>
            <w:tcW w:w="3186" w:type="dxa"/>
            <w:shd w:val="clear" w:color="auto" w:fill="auto"/>
          </w:tcPr>
          <w:p w:rsidR="0058591E" w:rsidRPr="00FA78B1" w:rsidRDefault="0058591E" w:rsidP="00AE429C">
            <w:pPr>
              <w:pStyle w:val="Tabletext"/>
            </w:pPr>
            <w:r w:rsidRPr="00FA78B1">
              <w:t>Australian Institute of Environmental Health</w:t>
            </w:r>
          </w:p>
        </w:tc>
        <w:tc>
          <w:tcPr>
            <w:tcW w:w="3186" w:type="dxa"/>
            <w:shd w:val="clear" w:color="auto" w:fill="auto"/>
          </w:tcPr>
          <w:p w:rsidR="0058591E" w:rsidRPr="00FA78B1" w:rsidRDefault="00FA78B1" w:rsidP="00AE429C">
            <w:pPr>
              <w:pStyle w:val="Tabletext"/>
            </w:pPr>
            <w:r w:rsidRPr="00FA78B1">
              <w:t>Subparagraphs (</w:t>
            </w:r>
            <w:r w:rsidR="0058591E" w:rsidRPr="00FA78B1">
              <w:t>i), (iii), (vii) and (viii)</w:t>
            </w:r>
          </w:p>
        </w:tc>
      </w:tr>
      <w:tr w:rsidR="0058591E" w:rsidRPr="00FA78B1" w:rsidTr="00AE429C">
        <w:tc>
          <w:tcPr>
            <w:tcW w:w="714" w:type="dxa"/>
            <w:shd w:val="clear" w:color="auto" w:fill="auto"/>
          </w:tcPr>
          <w:p w:rsidR="0058591E" w:rsidRPr="00FA78B1" w:rsidRDefault="003A42F6" w:rsidP="00AE429C">
            <w:pPr>
              <w:pStyle w:val="Tabletext"/>
            </w:pPr>
            <w:r w:rsidRPr="00FA78B1">
              <w:t>3</w:t>
            </w:r>
          </w:p>
        </w:tc>
        <w:tc>
          <w:tcPr>
            <w:tcW w:w="3186" w:type="dxa"/>
            <w:shd w:val="clear" w:color="auto" w:fill="auto"/>
          </w:tcPr>
          <w:p w:rsidR="0058591E" w:rsidRPr="00FA78B1" w:rsidRDefault="0058591E" w:rsidP="00AE429C">
            <w:pPr>
              <w:pStyle w:val="Tabletext"/>
            </w:pPr>
            <w:r w:rsidRPr="00FA78B1">
              <w:t>Australian Medical Association</w:t>
            </w:r>
          </w:p>
        </w:tc>
        <w:tc>
          <w:tcPr>
            <w:tcW w:w="3186" w:type="dxa"/>
            <w:shd w:val="clear" w:color="auto" w:fill="auto"/>
          </w:tcPr>
          <w:p w:rsidR="0058591E" w:rsidRPr="00FA78B1" w:rsidRDefault="00FA78B1" w:rsidP="00AE429C">
            <w:pPr>
              <w:pStyle w:val="Tabletext"/>
            </w:pPr>
            <w:r w:rsidRPr="00FA78B1">
              <w:t>Subparagraphs (</w:t>
            </w:r>
            <w:r w:rsidR="0058591E" w:rsidRPr="00FA78B1">
              <w:t>i) and (vi)</w:t>
            </w:r>
          </w:p>
        </w:tc>
      </w:tr>
      <w:tr w:rsidR="0058591E" w:rsidRPr="00FA78B1" w:rsidTr="00AE429C">
        <w:tc>
          <w:tcPr>
            <w:tcW w:w="714" w:type="dxa"/>
            <w:shd w:val="clear" w:color="auto" w:fill="auto"/>
          </w:tcPr>
          <w:p w:rsidR="0058591E" w:rsidRPr="00FA78B1" w:rsidRDefault="003A42F6" w:rsidP="00AE429C">
            <w:pPr>
              <w:pStyle w:val="Tabletext"/>
            </w:pPr>
            <w:r w:rsidRPr="00FA78B1">
              <w:t>4</w:t>
            </w:r>
          </w:p>
        </w:tc>
        <w:tc>
          <w:tcPr>
            <w:tcW w:w="3186" w:type="dxa"/>
            <w:shd w:val="clear" w:color="auto" w:fill="auto"/>
          </w:tcPr>
          <w:p w:rsidR="0058591E" w:rsidRPr="00FA78B1" w:rsidRDefault="0058591E" w:rsidP="00AE429C">
            <w:pPr>
              <w:pStyle w:val="Tabletext"/>
            </w:pPr>
            <w:r w:rsidRPr="00FA78B1">
              <w:t>Australian Society for Biochemistry and Molecular Biology</w:t>
            </w:r>
          </w:p>
        </w:tc>
        <w:tc>
          <w:tcPr>
            <w:tcW w:w="3186" w:type="dxa"/>
            <w:shd w:val="clear" w:color="auto" w:fill="auto"/>
          </w:tcPr>
          <w:p w:rsidR="0058591E" w:rsidRPr="00FA78B1" w:rsidRDefault="00FA78B1" w:rsidP="00AE429C">
            <w:pPr>
              <w:pStyle w:val="Tabletext"/>
            </w:pPr>
            <w:r w:rsidRPr="00FA78B1">
              <w:t>Subparagraphs (</w:t>
            </w:r>
            <w:r w:rsidR="0058591E" w:rsidRPr="00FA78B1">
              <w:t>vi), (vii) and (ix)</w:t>
            </w:r>
          </w:p>
        </w:tc>
      </w:tr>
      <w:tr w:rsidR="0058591E" w:rsidRPr="00FA78B1" w:rsidTr="00AE429C">
        <w:tc>
          <w:tcPr>
            <w:tcW w:w="714" w:type="dxa"/>
            <w:shd w:val="clear" w:color="auto" w:fill="auto"/>
          </w:tcPr>
          <w:p w:rsidR="0058591E" w:rsidRPr="00FA78B1" w:rsidRDefault="003A42F6" w:rsidP="00AE429C">
            <w:pPr>
              <w:pStyle w:val="Tabletext"/>
            </w:pPr>
            <w:r w:rsidRPr="00FA78B1">
              <w:t>5</w:t>
            </w:r>
          </w:p>
        </w:tc>
        <w:tc>
          <w:tcPr>
            <w:tcW w:w="3186" w:type="dxa"/>
            <w:shd w:val="clear" w:color="auto" w:fill="auto"/>
          </w:tcPr>
          <w:p w:rsidR="0058591E" w:rsidRPr="00FA78B1" w:rsidRDefault="0058591E" w:rsidP="00AE429C">
            <w:pPr>
              <w:pStyle w:val="Tabletext"/>
            </w:pPr>
            <w:r w:rsidRPr="00FA78B1">
              <w:t>Australian Veterinary Association</w:t>
            </w:r>
          </w:p>
        </w:tc>
        <w:tc>
          <w:tcPr>
            <w:tcW w:w="3186" w:type="dxa"/>
            <w:shd w:val="clear" w:color="auto" w:fill="auto"/>
          </w:tcPr>
          <w:p w:rsidR="0058591E" w:rsidRPr="00FA78B1" w:rsidRDefault="00FA78B1" w:rsidP="00AE429C">
            <w:pPr>
              <w:pStyle w:val="Tabletext"/>
            </w:pPr>
            <w:r w:rsidRPr="00FA78B1">
              <w:t>Subparagraph (</w:t>
            </w:r>
            <w:r w:rsidR="0058591E" w:rsidRPr="00FA78B1">
              <w:t>x)</w:t>
            </w:r>
          </w:p>
        </w:tc>
      </w:tr>
      <w:tr w:rsidR="003A42F6" w:rsidRPr="00FA78B1" w:rsidTr="00AE429C">
        <w:tc>
          <w:tcPr>
            <w:tcW w:w="714" w:type="dxa"/>
            <w:shd w:val="clear" w:color="auto" w:fill="auto"/>
          </w:tcPr>
          <w:p w:rsidR="003A42F6" w:rsidRPr="00FA78B1" w:rsidRDefault="003A42F6" w:rsidP="00906ED9">
            <w:pPr>
              <w:pStyle w:val="Tabletext"/>
            </w:pPr>
            <w:r w:rsidRPr="00FA78B1">
              <w:t>6</w:t>
            </w:r>
          </w:p>
        </w:tc>
        <w:tc>
          <w:tcPr>
            <w:tcW w:w="3186" w:type="dxa"/>
            <w:shd w:val="clear" w:color="auto" w:fill="auto"/>
          </w:tcPr>
          <w:p w:rsidR="003A42F6" w:rsidRPr="00FA78B1" w:rsidRDefault="003A42F6" w:rsidP="00906ED9">
            <w:pPr>
              <w:pStyle w:val="Tabletext"/>
            </w:pPr>
            <w:r w:rsidRPr="00FA78B1">
              <w:t>CHOICE</w:t>
            </w:r>
          </w:p>
        </w:tc>
        <w:tc>
          <w:tcPr>
            <w:tcW w:w="3186" w:type="dxa"/>
            <w:shd w:val="clear" w:color="auto" w:fill="auto"/>
          </w:tcPr>
          <w:p w:rsidR="003A42F6" w:rsidRPr="00FA78B1" w:rsidRDefault="00FA78B1" w:rsidP="00906ED9">
            <w:pPr>
              <w:pStyle w:val="Tabletext"/>
            </w:pPr>
            <w:r w:rsidRPr="00FA78B1">
              <w:t>Subparagraphs (</w:t>
            </w:r>
            <w:r w:rsidR="003A42F6" w:rsidRPr="00FA78B1">
              <w:t>i) and (ii)</w:t>
            </w:r>
          </w:p>
        </w:tc>
      </w:tr>
      <w:tr w:rsidR="003A42F6" w:rsidRPr="00FA78B1" w:rsidTr="00AE429C">
        <w:tc>
          <w:tcPr>
            <w:tcW w:w="714" w:type="dxa"/>
            <w:shd w:val="clear" w:color="auto" w:fill="auto"/>
          </w:tcPr>
          <w:p w:rsidR="003A42F6" w:rsidRPr="00FA78B1" w:rsidRDefault="003A42F6" w:rsidP="00AE429C">
            <w:pPr>
              <w:pStyle w:val="Tabletext"/>
            </w:pPr>
            <w:r w:rsidRPr="00FA78B1">
              <w:t>7</w:t>
            </w:r>
          </w:p>
        </w:tc>
        <w:tc>
          <w:tcPr>
            <w:tcW w:w="3186" w:type="dxa"/>
            <w:shd w:val="clear" w:color="auto" w:fill="auto"/>
          </w:tcPr>
          <w:p w:rsidR="003A42F6" w:rsidRPr="00FA78B1" w:rsidRDefault="003A42F6" w:rsidP="00AE429C">
            <w:pPr>
              <w:pStyle w:val="Tabletext"/>
            </w:pPr>
            <w:r w:rsidRPr="00FA78B1">
              <w:t>Consumers Health Forum of Australia</w:t>
            </w:r>
          </w:p>
        </w:tc>
        <w:tc>
          <w:tcPr>
            <w:tcW w:w="3186" w:type="dxa"/>
            <w:shd w:val="clear" w:color="auto" w:fill="auto"/>
          </w:tcPr>
          <w:p w:rsidR="003A42F6" w:rsidRPr="00FA78B1" w:rsidRDefault="00FA78B1" w:rsidP="00AE429C">
            <w:pPr>
              <w:pStyle w:val="Tabletext"/>
            </w:pPr>
            <w:r w:rsidRPr="00FA78B1">
              <w:t>Subparagraphs (</w:t>
            </w:r>
            <w:r w:rsidR="003A42F6" w:rsidRPr="00FA78B1">
              <w:t>i) and (ii)</w:t>
            </w:r>
          </w:p>
        </w:tc>
      </w:tr>
      <w:tr w:rsidR="003A42F6" w:rsidRPr="00FA78B1" w:rsidTr="00AE429C">
        <w:tc>
          <w:tcPr>
            <w:tcW w:w="714" w:type="dxa"/>
            <w:shd w:val="clear" w:color="auto" w:fill="auto"/>
          </w:tcPr>
          <w:p w:rsidR="003A42F6" w:rsidRPr="00FA78B1" w:rsidRDefault="003A42F6" w:rsidP="00AE429C">
            <w:pPr>
              <w:pStyle w:val="Tabletext"/>
            </w:pPr>
            <w:r w:rsidRPr="00FA78B1">
              <w:t>8</w:t>
            </w:r>
          </w:p>
        </w:tc>
        <w:tc>
          <w:tcPr>
            <w:tcW w:w="3186" w:type="dxa"/>
            <w:shd w:val="clear" w:color="auto" w:fill="auto"/>
          </w:tcPr>
          <w:p w:rsidR="003A42F6" w:rsidRPr="00FA78B1" w:rsidRDefault="00756EA8" w:rsidP="00AE429C">
            <w:pPr>
              <w:pStyle w:val="Tabletext"/>
            </w:pPr>
            <w:r w:rsidRPr="00FA78B1">
              <w:t>Dietit</w:t>
            </w:r>
            <w:r w:rsidR="00387DAE" w:rsidRPr="00FA78B1">
              <w:t>ians</w:t>
            </w:r>
            <w:r w:rsidR="003A42F6" w:rsidRPr="00FA78B1">
              <w:t xml:space="preserve"> Association of Australia</w:t>
            </w:r>
          </w:p>
        </w:tc>
        <w:tc>
          <w:tcPr>
            <w:tcW w:w="3186" w:type="dxa"/>
            <w:shd w:val="clear" w:color="auto" w:fill="auto"/>
          </w:tcPr>
          <w:p w:rsidR="003A42F6" w:rsidRPr="00FA78B1" w:rsidRDefault="00FA78B1" w:rsidP="00AE429C">
            <w:pPr>
              <w:pStyle w:val="Tabletext"/>
            </w:pPr>
            <w:r w:rsidRPr="00FA78B1">
              <w:t>Subparagraphs (</w:t>
            </w:r>
            <w:r w:rsidR="003A42F6" w:rsidRPr="00FA78B1">
              <w:t>i), (iii), (iv), (v) and (viii)</w:t>
            </w:r>
          </w:p>
        </w:tc>
      </w:tr>
      <w:tr w:rsidR="003A42F6" w:rsidRPr="00FA78B1" w:rsidTr="00AE429C">
        <w:tc>
          <w:tcPr>
            <w:tcW w:w="714" w:type="dxa"/>
            <w:shd w:val="clear" w:color="auto" w:fill="auto"/>
          </w:tcPr>
          <w:p w:rsidR="003A42F6" w:rsidRPr="00FA78B1" w:rsidRDefault="003A42F6" w:rsidP="00AE429C">
            <w:pPr>
              <w:pStyle w:val="Tabletext"/>
            </w:pPr>
            <w:r w:rsidRPr="00FA78B1">
              <w:t>9</w:t>
            </w:r>
          </w:p>
        </w:tc>
        <w:tc>
          <w:tcPr>
            <w:tcW w:w="3186" w:type="dxa"/>
            <w:shd w:val="clear" w:color="auto" w:fill="auto"/>
          </w:tcPr>
          <w:p w:rsidR="003A42F6" w:rsidRPr="00FA78B1" w:rsidRDefault="003A42F6" w:rsidP="00AE429C">
            <w:pPr>
              <w:pStyle w:val="Tabletext"/>
            </w:pPr>
            <w:r w:rsidRPr="00FA78B1">
              <w:t>Food Science Australia</w:t>
            </w:r>
          </w:p>
        </w:tc>
        <w:tc>
          <w:tcPr>
            <w:tcW w:w="3186" w:type="dxa"/>
            <w:shd w:val="clear" w:color="auto" w:fill="auto"/>
          </w:tcPr>
          <w:p w:rsidR="003A42F6" w:rsidRPr="00FA78B1" w:rsidRDefault="00FA78B1" w:rsidP="00AE429C">
            <w:pPr>
              <w:pStyle w:val="Tabletext"/>
            </w:pPr>
            <w:r w:rsidRPr="00FA78B1">
              <w:t>Subparagraphs (</w:t>
            </w:r>
            <w:r w:rsidR="003A42F6" w:rsidRPr="00FA78B1">
              <w:t>iii), (iv), (v), (vii) and (viii)</w:t>
            </w:r>
          </w:p>
        </w:tc>
      </w:tr>
      <w:tr w:rsidR="003A42F6" w:rsidRPr="00FA78B1" w:rsidTr="00AE429C">
        <w:tc>
          <w:tcPr>
            <w:tcW w:w="714" w:type="dxa"/>
            <w:shd w:val="clear" w:color="auto" w:fill="auto"/>
          </w:tcPr>
          <w:p w:rsidR="003A42F6" w:rsidRPr="00FA78B1" w:rsidRDefault="003A42F6" w:rsidP="00AE429C">
            <w:pPr>
              <w:pStyle w:val="Tabletext"/>
            </w:pPr>
            <w:r w:rsidRPr="00FA78B1">
              <w:t>10</w:t>
            </w:r>
          </w:p>
        </w:tc>
        <w:tc>
          <w:tcPr>
            <w:tcW w:w="3186" w:type="dxa"/>
            <w:shd w:val="clear" w:color="auto" w:fill="auto"/>
          </w:tcPr>
          <w:p w:rsidR="003A42F6" w:rsidRPr="00FA78B1" w:rsidRDefault="003A42F6" w:rsidP="00AE429C">
            <w:pPr>
              <w:pStyle w:val="Tabletext"/>
            </w:pPr>
            <w:r w:rsidRPr="00FA78B1">
              <w:t>National Aboriginal Community Controlled Health Organisation</w:t>
            </w:r>
          </w:p>
        </w:tc>
        <w:tc>
          <w:tcPr>
            <w:tcW w:w="3186" w:type="dxa"/>
            <w:shd w:val="clear" w:color="auto" w:fill="auto"/>
          </w:tcPr>
          <w:p w:rsidR="003A42F6" w:rsidRPr="00FA78B1" w:rsidRDefault="00FA78B1" w:rsidP="00AE429C">
            <w:pPr>
              <w:pStyle w:val="Tabletext"/>
            </w:pPr>
            <w:r w:rsidRPr="00FA78B1">
              <w:t>Subparagraphs (</w:t>
            </w:r>
            <w:r w:rsidR="003A42F6" w:rsidRPr="00FA78B1">
              <w:t>i) and (ii)</w:t>
            </w:r>
          </w:p>
        </w:tc>
      </w:tr>
      <w:tr w:rsidR="003A42F6" w:rsidRPr="00FA78B1" w:rsidTr="00AE429C">
        <w:tc>
          <w:tcPr>
            <w:tcW w:w="714" w:type="dxa"/>
            <w:shd w:val="clear" w:color="auto" w:fill="auto"/>
          </w:tcPr>
          <w:p w:rsidR="003A42F6" w:rsidRPr="00FA78B1" w:rsidRDefault="003A42F6" w:rsidP="00AE429C">
            <w:pPr>
              <w:pStyle w:val="Tabletext"/>
            </w:pPr>
            <w:r w:rsidRPr="00FA78B1">
              <w:t>11</w:t>
            </w:r>
          </w:p>
        </w:tc>
        <w:tc>
          <w:tcPr>
            <w:tcW w:w="3186" w:type="dxa"/>
            <w:shd w:val="clear" w:color="auto" w:fill="auto"/>
          </w:tcPr>
          <w:p w:rsidR="003A42F6" w:rsidRPr="00FA78B1" w:rsidRDefault="00FA78B1" w:rsidP="00AE429C">
            <w:pPr>
              <w:pStyle w:val="Tabletext"/>
            </w:pPr>
            <w:r w:rsidRPr="00FA78B1">
              <w:t>Nutrition Australia</w:t>
            </w:r>
          </w:p>
        </w:tc>
        <w:tc>
          <w:tcPr>
            <w:tcW w:w="3186" w:type="dxa"/>
            <w:shd w:val="clear" w:color="auto" w:fill="auto"/>
          </w:tcPr>
          <w:p w:rsidR="003A42F6" w:rsidRPr="00FA78B1" w:rsidRDefault="00FA78B1" w:rsidP="00AE429C">
            <w:pPr>
              <w:pStyle w:val="Tabletext"/>
            </w:pPr>
            <w:r w:rsidRPr="00FA78B1">
              <w:t>Subparagraphs (</w:t>
            </w:r>
            <w:r w:rsidR="003A42F6" w:rsidRPr="00FA78B1">
              <w:t>i), (ii) and (v)</w:t>
            </w:r>
          </w:p>
        </w:tc>
      </w:tr>
      <w:tr w:rsidR="003A42F6" w:rsidRPr="00FA78B1" w:rsidTr="00AE429C">
        <w:tc>
          <w:tcPr>
            <w:tcW w:w="714" w:type="dxa"/>
            <w:shd w:val="clear" w:color="auto" w:fill="auto"/>
          </w:tcPr>
          <w:p w:rsidR="003A42F6" w:rsidRPr="00FA78B1" w:rsidRDefault="003A42F6" w:rsidP="00AE429C">
            <w:pPr>
              <w:pStyle w:val="Tabletext"/>
            </w:pPr>
            <w:r w:rsidRPr="00FA78B1">
              <w:t>12</w:t>
            </w:r>
          </w:p>
        </w:tc>
        <w:tc>
          <w:tcPr>
            <w:tcW w:w="3186" w:type="dxa"/>
            <w:shd w:val="clear" w:color="auto" w:fill="auto"/>
          </w:tcPr>
          <w:p w:rsidR="003A42F6" w:rsidRPr="00FA78B1" w:rsidRDefault="003A42F6" w:rsidP="00AE429C">
            <w:pPr>
              <w:pStyle w:val="Tabletext"/>
            </w:pPr>
            <w:r w:rsidRPr="00FA78B1">
              <w:t>Nutrition Society of Australia (Inc)</w:t>
            </w:r>
          </w:p>
        </w:tc>
        <w:tc>
          <w:tcPr>
            <w:tcW w:w="3186" w:type="dxa"/>
            <w:shd w:val="clear" w:color="auto" w:fill="auto"/>
          </w:tcPr>
          <w:p w:rsidR="003A42F6" w:rsidRPr="00FA78B1" w:rsidRDefault="00FA78B1" w:rsidP="00AE429C">
            <w:pPr>
              <w:pStyle w:val="Tabletext"/>
            </w:pPr>
            <w:r w:rsidRPr="00FA78B1">
              <w:t>Subparagraphs (</w:t>
            </w:r>
            <w:r w:rsidR="003A42F6" w:rsidRPr="00FA78B1">
              <w:t>iii), (iv), (v) and (viii)</w:t>
            </w:r>
          </w:p>
        </w:tc>
      </w:tr>
      <w:tr w:rsidR="003A42F6" w:rsidRPr="00FA78B1" w:rsidTr="00AE429C">
        <w:tc>
          <w:tcPr>
            <w:tcW w:w="714" w:type="dxa"/>
            <w:shd w:val="clear" w:color="auto" w:fill="auto"/>
          </w:tcPr>
          <w:p w:rsidR="003A42F6" w:rsidRPr="00FA78B1" w:rsidRDefault="003A42F6" w:rsidP="00AE429C">
            <w:pPr>
              <w:pStyle w:val="Tabletext"/>
            </w:pPr>
            <w:r w:rsidRPr="00FA78B1">
              <w:t>13</w:t>
            </w:r>
          </w:p>
        </w:tc>
        <w:tc>
          <w:tcPr>
            <w:tcW w:w="3186" w:type="dxa"/>
            <w:shd w:val="clear" w:color="auto" w:fill="auto"/>
          </w:tcPr>
          <w:p w:rsidR="003A42F6" w:rsidRPr="00FA78B1" w:rsidRDefault="003A42F6" w:rsidP="00AE429C">
            <w:pPr>
              <w:pStyle w:val="Tabletext"/>
            </w:pPr>
            <w:r w:rsidRPr="00FA78B1">
              <w:t>Public Health Association of Australia</w:t>
            </w:r>
          </w:p>
        </w:tc>
        <w:tc>
          <w:tcPr>
            <w:tcW w:w="3186" w:type="dxa"/>
            <w:shd w:val="clear" w:color="auto" w:fill="auto"/>
          </w:tcPr>
          <w:p w:rsidR="003A42F6" w:rsidRPr="00FA78B1" w:rsidRDefault="00FA78B1" w:rsidP="00AE429C">
            <w:pPr>
              <w:pStyle w:val="Tabletext"/>
            </w:pPr>
            <w:r w:rsidRPr="00FA78B1">
              <w:t>Subparagraphs (</w:t>
            </w:r>
            <w:r w:rsidR="003A42F6" w:rsidRPr="00FA78B1">
              <w:t>i), (ii), (iii), (iv), (v) and (viii)</w:t>
            </w:r>
          </w:p>
        </w:tc>
      </w:tr>
      <w:tr w:rsidR="003A42F6" w:rsidRPr="00FA78B1" w:rsidTr="00AE429C">
        <w:tc>
          <w:tcPr>
            <w:tcW w:w="714" w:type="dxa"/>
            <w:shd w:val="clear" w:color="auto" w:fill="auto"/>
          </w:tcPr>
          <w:p w:rsidR="003A42F6" w:rsidRPr="00FA78B1" w:rsidRDefault="003A42F6" w:rsidP="00AE429C">
            <w:pPr>
              <w:pStyle w:val="Tabletext"/>
            </w:pPr>
            <w:r w:rsidRPr="00FA78B1">
              <w:lastRenderedPageBreak/>
              <w:t>14</w:t>
            </w:r>
          </w:p>
        </w:tc>
        <w:tc>
          <w:tcPr>
            <w:tcW w:w="3186" w:type="dxa"/>
            <w:shd w:val="clear" w:color="auto" w:fill="auto"/>
          </w:tcPr>
          <w:p w:rsidR="003A42F6" w:rsidRPr="00FA78B1" w:rsidRDefault="003A42F6" w:rsidP="00AE429C">
            <w:pPr>
              <w:pStyle w:val="Tabletext"/>
            </w:pPr>
            <w:r w:rsidRPr="00FA78B1">
              <w:t>Royal Australian Chemical Institute Incorporated</w:t>
            </w:r>
          </w:p>
        </w:tc>
        <w:tc>
          <w:tcPr>
            <w:tcW w:w="3186" w:type="dxa"/>
            <w:shd w:val="clear" w:color="auto" w:fill="auto"/>
          </w:tcPr>
          <w:p w:rsidR="003A42F6" w:rsidRPr="00FA78B1" w:rsidRDefault="00FA78B1" w:rsidP="00AE429C">
            <w:pPr>
              <w:pStyle w:val="Tabletext"/>
            </w:pPr>
            <w:r w:rsidRPr="00FA78B1">
              <w:t>Subparagraph (</w:t>
            </w:r>
            <w:r w:rsidR="003A42F6" w:rsidRPr="00FA78B1">
              <w:t>iii)</w:t>
            </w:r>
          </w:p>
        </w:tc>
      </w:tr>
      <w:tr w:rsidR="003A42F6" w:rsidRPr="00FA78B1" w:rsidTr="00AE429C">
        <w:tc>
          <w:tcPr>
            <w:tcW w:w="714" w:type="dxa"/>
            <w:shd w:val="clear" w:color="auto" w:fill="auto"/>
          </w:tcPr>
          <w:p w:rsidR="003A42F6" w:rsidRPr="00FA78B1" w:rsidRDefault="003A42F6" w:rsidP="00AE429C">
            <w:pPr>
              <w:pStyle w:val="Tabletext"/>
            </w:pPr>
            <w:r w:rsidRPr="00FA78B1">
              <w:t>15</w:t>
            </w:r>
          </w:p>
        </w:tc>
        <w:tc>
          <w:tcPr>
            <w:tcW w:w="3186" w:type="dxa"/>
            <w:shd w:val="clear" w:color="auto" w:fill="auto"/>
          </w:tcPr>
          <w:p w:rsidR="003A42F6" w:rsidRPr="00FA78B1" w:rsidRDefault="003A42F6" w:rsidP="00AE429C">
            <w:pPr>
              <w:pStyle w:val="Tabletext"/>
            </w:pPr>
            <w:r w:rsidRPr="00FA78B1">
              <w:t>The Australian Institute of Food Science and Technology Incorporated</w:t>
            </w:r>
          </w:p>
        </w:tc>
        <w:tc>
          <w:tcPr>
            <w:tcW w:w="3186" w:type="dxa"/>
            <w:shd w:val="clear" w:color="auto" w:fill="auto"/>
          </w:tcPr>
          <w:p w:rsidR="003A42F6" w:rsidRPr="00FA78B1" w:rsidRDefault="00FA78B1" w:rsidP="00AE429C">
            <w:pPr>
              <w:pStyle w:val="Tabletext"/>
            </w:pPr>
            <w:r w:rsidRPr="00FA78B1">
              <w:t>Subparagraphs (</w:t>
            </w:r>
            <w:r w:rsidR="003A42F6" w:rsidRPr="00FA78B1">
              <w:t>i), (iii), (vi), (v), (vii) and (viii)</w:t>
            </w:r>
          </w:p>
        </w:tc>
      </w:tr>
      <w:tr w:rsidR="003A42F6" w:rsidRPr="00FA78B1" w:rsidTr="00AE429C">
        <w:tc>
          <w:tcPr>
            <w:tcW w:w="714" w:type="dxa"/>
            <w:tcBorders>
              <w:bottom w:val="single" w:sz="4" w:space="0" w:color="auto"/>
            </w:tcBorders>
            <w:shd w:val="clear" w:color="auto" w:fill="auto"/>
          </w:tcPr>
          <w:p w:rsidR="003A42F6" w:rsidRPr="00FA78B1" w:rsidRDefault="003A42F6" w:rsidP="00AE429C">
            <w:pPr>
              <w:pStyle w:val="Tabletext"/>
            </w:pPr>
            <w:r w:rsidRPr="00FA78B1">
              <w:t>16</w:t>
            </w:r>
          </w:p>
        </w:tc>
        <w:tc>
          <w:tcPr>
            <w:tcW w:w="3186" w:type="dxa"/>
            <w:tcBorders>
              <w:bottom w:val="single" w:sz="4" w:space="0" w:color="auto"/>
            </w:tcBorders>
            <w:shd w:val="clear" w:color="auto" w:fill="auto"/>
          </w:tcPr>
          <w:p w:rsidR="003A42F6" w:rsidRPr="00FA78B1" w:rsidRDefault="003A42F6" w:rsidP="00AE429C">
            <w:pPr>
              <w:pStyle w:val="Tabletext"/>
            </w:pPr>
            <w:r w:rsidRPr="00FA78B1">
              <w:t>The Australian Society for Microbiology</w:t>
            </w:r>
          </w:p>
        </w:tc>
        <w:tc>
          <w:tcPr>
            <w:tcW w:w="3186" w:type="dxa"/>
            <w:tcBorders>
              <w:bottom w:val="single" w:sz="4" w:space="0" w:color="auto"/>
            </w:tcBorders>
            <w:shd w:val="clear" w:color="auto" w:fill="auto"/>
          </w:tcPr>
          <w:p w:rsidR="003A42F6" w:rsidRPr="00FA78B1" w:rsidRDefault="00FA78B1" w:rsidP="00AE429C">
            <w:pPr>
              <w:pStyle w:val="Tabletext"/>
            </w:pPr>
            <w:r w:rsidRPr="00FA78B1">
              <w:t>Subparagraph (</w:t>
            </w:r>
            <w:r w:rsidR="003A42F6" w:rsidRPr="00FA78B1">
              <w:t>vii)</w:t>
            </w:r>
          </w:p>
        </w:tc>
      </w:tr>
      <w:tr w:rsidR="003A42F6" w:rsidRPr="00FA78B1" w:rsidTr="00AE429C">
        <w:tc>
          <w:tcPr>
            <w:tcW w:w="714" w:type="dxa"/>
            <w:tcBorders>
              <w:bottom w:val="single" w:sz="12" w:space="0" w:color="auto"/>
            </w:tcBorders>
            <w:shd w:val="clear" w:color="auto" w:fill="auto"/>
          </w:tcPr>
          <w:p w:rsidR="003A42F6" w:rsidRPr="00FA78B1" w:rsidRDefault="003A42F6" w:rsidP="00AE429C">
            <w:pPr>
              <w:pStyle w:val="Tabletext"/>
            </w:pPr>
            <w:r w:rsidRPr="00FA78B1">
              <w:t>17</w:t>
            </w:r>
          </w:p>
        </w:tc>
        <w:tc>
          <w:tcPr>
            <w:tcW w:w="3186" w:type="dxa"/>
            <w:tcBorders>
              <w:bottom w:val="single" w:sz="12" w:space="0" w:color="auto"/>
            </w:tcBorders>
            <w:shd w:val="clear" w:color="auto" w:fill="auto"/>
          </w:tcPr>
          <w:p w:rsidR="003A42F6" w:rsidRPr="00FA78B1" w:rsidRDefault="003A42F6" w:rsidP="00AE429C">
            <w:pPr>
              <w:pStyle w:val="Tabletext"/>
            </w:pPr>
            <w:r w:rsidRPr="00FA78B1">
              <w:t>The Royal Australasian College of Physicians (Faculty of Public Health Medicine)</w:t>
            </w:r>
          </w:p>
        </w:tc>
        <w:tc>
          <w:tcPr>
            <w:tcW w:w="3186" w:type="dxa"/>
            <w:tcBorders>
              <w:bottom w:val="single" w:sz="12" w:space="0" w:color="auto"/>
            </w:tcBorders>
            <w:shd w:val="clear" w:color="auto" w:fill="auto"/>
          </w:tcPr>
          <w:p w:rsidR="003A42F6" w:rsidRPr="00FA78B1" w:rsidRDefault="00FA78B1" w:rsidP="00AE429C">
            <w:pPr>
              <w:pStyle w:val="Tabletext"/>
            </w:pPr>
            <w:r w:rsidRPr="00FA78B1">
              <w:t>Subparagraphs (</w:t>
            </w:r>
            <w:r w:rsidR="003A42F6" w:rsidRPr="00FA78B1">
              <w:t>i), (v) and (vi)</w:t>
            </w:r>
          </w:p>
        </w:tc>
      </w:tr>
    </w:tbl>
    <w:p w:rsidR="0058591E" w:rsidRPr="00FA78B1" w:rsidRDefault="0058591E" w:rsidP="0058591E">
      <w:pPr>
        <w:pStyle w:val="SubsectionHead"/>
      </w:pPr>
      <w:r w:rsidRPr="00FA78B1">
        <w:t>New Zealand science and public health organisations and bodies</w:t>
      </w:r>
    </w:p>
    <w:p w:rsidR="0058591E" w:rsidRPr="00FA78B1" w:rsidRDefault="0058591E" w:rsidP="0058591E">
      <w:pPr>
        <w:pStyle w:val="subsection"/>
      </w:pPr>
      <w:r w:rsidRPr="00FA78B1">
        <w:tab/>
        <w:t>(2)</w:t>
      </w:r>
      <w:r w:rsidRPr="00FA78B1">
        <w:tab/>
        <w:t>For paragraph</w:t>
      </w:r>
      <w:r w:rsidR="00FA78B1" w:rsidRPr="00FA78B1">
        <w:t> </w:t>
      </w:r>
      <w:r w:rsidRPr="00FA78B1">
        <w:t>116(3)(b) of the Act, an organisation or public body of New Zealand mentioned in an item in the following table is prescribed for the purposes of each subparagraph of paragraph</w:t>
      </w:r>
      <w:r w:rsidR="00FA78B1" w:rsidRPr="00FA78B1">
        <w:t> </w:t>
      </w:r>
      <w:r w:rsidRPr="00FA78B1">
        <w:t>116(3)(a) of the Act mentioned in that item.</w:t>
      </w:r>
    </w:p>
    <w:p w:rsidR="0058591E" w:rsidRPr="00FA78B1" w:rsidRDefault="0058591E" w:rsidP="0058591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58591E" w:rsidRPr="00FA78B1" w:rsidTr="002F6271">
        <w:trPr>
          <w:tblHeader/>
        </w:trPr>
        <w:tc>
          <w:tcPr>
            <w:tcW w:w="7086" w:type="dxa"/>
            <w:gridSpan w:val="3"/>
            <w:tcBorders>
              <w:top w:val="single" w:sz="12" w:space="0" w:color="auto"/>
              <w:bottom w:val="single" w:sz="2" w:space="0" w:color="auto"/>
            </w:tcBorders>
            <w:shd w:val="clear" w:color="auto" w:fill="auto"/>
          </w:tcPr>
          <w:p w:rsidR="0058591E" w:rsidRPr="00FA78B1" w:rsidRDefault="0058591E" w:rsidP="00AE429C">
            <w:pPr>
              <w:pStyle w:val="TableHeading"/>
            </w:pPr>
            <w:r w:rsidRPr="00FA78B1">
              <w:t>New Zealand science and public health organisations and bodies</w:t>
            </w:r>
          </w:p>
        </w:tc>
      </w:tr>
      <w:tr w:rsidR="0058591E" w:rsidRPr="00FA78B1" w:rsidTr="002F6271">
        <w:trPr>
          <w:tblHeader/>
        </w:trPr>
        <w:tc>
          <w:tcPr>
            <w:tcW w:w="714" w:type="dxa"/>
            <w:tcBorders>
              <w:top w:val="single" w:sz="2" w:space="0" w:color="auto"/>
              <w:bottom w:val="single" w:sz="12" w:space="0" w:color="auto"/>
            </w:tcBorders>
            <w:shd w:val="clear" w:color="auto" w:fill="auto"/>
          </w:tcPr>
          <w:p w:rsidR="0058591E" w:rsidRPr="00FA78B1" w:rsidRDefault="0058591E" w:rsidP="00AE429C">
            <w:pPr>
              <w:pStyle w:val="TableHeading"/>
            </w:pPr>
            <w:r w:rsidRPr="00FA78B1">
              <w:t>Item</w:t>
            </w:r>
          </w:p>
        </w:tc>
        <w:tc>
          <w:tcPr>
            <w:tcW w:w="3186" w:type="dxa"/>
            <w:tcBorders>
              <w:top w:val="single" w:sz="2" w:space="0" w:color="auto"/>
              <w:bottom w:val="single" w:sz="12" w:space="0" w:color="auto"/>
            </w:tcBorders>
            <w:shd w:val="clear" w:color="auto" w:fill="auto"/>
          </w:tcPr>
          <w:p w:rsidR="0058591E" w:rsidRPr="00FA78B1" w:rsidRDefault="0058591E" w:rsidP="00AE429C">
            <w:pPr>
              <w:pStyle w:val="TableHeading"/>
            </w:pPr>
            <w:r w:rsidRPr="00FA78B1">
              <w:t>Organisation or body</w:t>
            </w:r>
          </w:p>
        </w:tc>
        <w:tc>
          <w:tcPr>
            <w:tcW w:w="3186" w:type="dxa"/>
            <w:tcBorders>
              <w:top w:val="single" w:sz="2" w:space="0" w:color="auto"/>
              <w:bottom w:val="single" w:sz="12" w:space="0" w:color="auto"/>
            </w:tcBorders>
            <w:shd w:val="clear" w:color="auto" w:fill="auto"/>
          </w:tcPr>
          <w:p w:rsidR="0058591E" w:rsidRPr="00FA78B1" w:rsidRDefault="0058591E" w:rsidP="00AE429C">
            <w:pPr>
              <w:pStyle w:val="TableHeading"/>
            </w:pPr>
            <w:r w:rsidRPr="00FA78B1">
              <w:t>Subparagraph of paragraph</w:t>
            </w:r>
            <w:r w:rsidR="00FA78B1" w:rsidRPr="00FA78B1">
              <w:t> </w:t>
            </w:r>
            <w:r w:rsidRPr="00FA78B1">
              <w:t>116(3)(a)</w:t>
            </w:r>
          </w:p>
        </w:tc>
      </w:tr>
      <w:tr w:rsidR="0058591E" w:rsidRPr="00FA78B1" w:rsidTr="002F6271">
        <w:tc>
          <w:tcPr>
            <w:tcW w:w="714" w:type="dxa"/>
            <w:tcBorders>
              <w:top w:val="single" w:sz="12" w:space="0" w:color="auto"/>
            </w:tcBorders>
            <w:shd w:val="clear" w:color="auto" w:fill="auto"/>
          </w:tcPr>
          <w:p w:rsidR="0058591E" w:rsidRPr="00FA78B1" w:rsidRDefault="0058591E" w:rsidP="00AE429C">
            <w:pPr>
              <w:pStyle w:val="Tabletext"/>
            </w:pPr>
            <w:r w:rsidRPr="00FA78B1">
              <w:t>1</w:t>
            </w:r>
          </w:p>
        </w:tc>
        <w:tc>
          <w:tcPr>
            <w:tcW w:w="3186" w:type="dxa"/>
            <w:tcBorders>
              <w:top w:val="single" w:sz="12" w:space="0" w:color="auto"/>
            </w:tcBorders>
            <w:shd w:val="clear" w:color="auto" w:fill="auto"/>
          </w:tcPr>
          <w:p w:rsidR="0058591E" w:rsidRPr="00FA78B1" w:rsidRDefault="0058591E" w:rsidP="00AE429C">
            <w:pPr>
              <w:pStyle w:val="Tabletext"/>
            </w:pPr>
            <w:r w:rsidRPr="00FA78B1">
              <w:t>Consumer NZ</w:t>
            </w:r>
          </w:p>
        </w:tc>
        <w:tc>
          <w:tcPr>
            <w:tcW w:w="3186" w:type="dxa"/>
            <w:tcBorders>
              <w:top w:val="single" w:sz="12" w:space="0" w:color="auto"/>
            </w:tcBorders>
            <w:shd w:val="clear" w:color="auto" w:fill="auto"/>
          </w:tcPr>
          <w:p w:rsidR="0058591E" w:rsidRPr="00FA78B1" w:rsidRDefault="00FA78B1" w:rsidP="00AE429C">
            <w:pPr>
              <w:pStyle w:val="Tabletext"/>
            </w:pPr>
            <w:r w:rsidRPr="00FA78B1">
              <w:t>Subparagraphs (</w:t>
            </w:r>
            <w:r w:rsidR="0058591E" w:rsidRPr="00FA78B1">
              <w:t>ii), (v) and (viii)</w:t>
            </w:r>
          </w:p>
        </w:tc>
      </w:tr>
      <w:tr w:rsidR="0058591E" w:rsidRPr="00FA78B1" w:rsidTr="002F6271">
        <w:tc>
          <w:tcPr>
            <w:tcW w:w="714" w:type="dxa"/>
            <w:shd w:val="clear" w:color="auto" w:fill="auto"/>
          </w:tcPr>
          <w:p w:rsidR="0058591E" w:rsidRPr="00FA78B1" w:rsidRDefault="0058591E" w:rsidP="00AE429C">
            <w:pPr>
              <w:pStyle w:val="Tabletext"/>
            </w:pPr>
            <w:r w:rsidRPr="00FA78B1">
              <w:t>2</w:t>
            </w:r>
          </w:p>
        </w:tc>
        <w:tc>
          <w:tcPr>
            <w:tcW w:w="3186" w:type="dxa"/>
            <w:shd w:val="clear" w:color="auto" w:fill="auto"/>
          </w:tcPr>
          <w:p w:rsidR="0058591E" w:rsidRPr="00FA78B1" w:rsidRDefault="00756EA8" w:rsidP="00AE429C">
            <w:pPr>
              <w:pStyle w:val="Tabletext"/>
            </w:pPr>
            <w:r w:rsidRPr="00FA78B1">
              <w:t>Dietit</w:t>
            </w:r>
            <w:r w:rsidR="00387DAE" w:rsidRPr="00FA78B1">
              <w:t>ians</w:t>
            </w:r>
            <w:r w:rsidR="0058591E" w:rsidRPr="00FA78B1">
              <w:t xml:space="preserve"> NZ</w:t>
            </w:r>
          </w:p>
        </w:tc>
        <w:tc>
          <w:tcPr>
            <w:tcW w:w="3186" w:type="dxa"/>
            <w:shd w:val="clear" w:color="auto" w:fill="auto"/>
          </w:tcPr>
          <w:p w:rsidR="0058591E" w:rsidRPr="00FA78B1" w:rsidRDefault="00FA78B1" w:rsidP="00AE429C">
            <w:pPr>
              <w:pStyle w:val="Tabletext"/>
            </w:pPr>
            <w:r w:rsidRPr="00FA78B1">
              <w:t>Subparagraphs (</w:t>
            </w:r>
            <w:r w:rsidR="0058591E" w:rsidRPr="00FA78B1">
              <w:t>i), (ii), (iii), (iv), (v) and (viii)</w:t>
            </w:r>
          </w:p>
        </w:tc>
      </w:tr>
      <w:tr w:rsidR="0058591E" w:rsidRPr="00FA78B1" w:rsidTr="002F6271">
        <w:tc>
          <w:tcPr>
            <w:tcW w:w="714" w:type="dxa"/>
            <w:shd w:val="clear" w:color="auto" w:fill="auto"/>
          </w:tcPr>
          <w:p w:rsidR="0058591E" w:rsidRPr="00FA78B1" w:rsidRDefault="0058591E" w:rsidP="00AE429C">
            <w:pPr>
              <w:pStyle w:val="Tabletext"/>
            </w:pPr>
            <w:r w:rsidRPr="00FA78B1">
              <w:t>3</w:t>
            </w:r>
          </w:p>
        </w:tc>
        <w:tc>
          <w:tcPr>
            <w:tcW w:w="3186" w:type="dxa"/>
            <w:shd w:val="clear" w:color="auto" w:fill="auto"/>
          </w:tcPr>
          <w:p w:rsidR="0058591E" w:rsidRPr="00FA78B1" w:rsidRDefault="0058591E" w:rsidP="00AE429C">
            <w:pPr>
              <w:pStyle w:val="Tabletext"/>
            </w:pPr>
            <w:r w:rsidRPr="00FA78B1">
              <w:t>Health Research Council of New Zealand</w:t>
            </w:r>
          </w:p>
        </w:tc>
        <w:tc>
          <w:tcPr>
            <w:tcW w:w="3186" w:type="dxa"/>
            <w:shd w:val="clear" w:color="auto" w:fill="auto"/>
          </w:tcPr>
          <w:p w:rsidR="0058591E" w:rsidRPr="00FA78B1" w:rsidRDefault="00FA78B1" w:rsidP="00AE429C">
            <w:pPr>
              <w:pStyle w:val="Tabletext"/>
            </w:pPr>
            <w:r w:rsidRPr="00FA78B1">
              <w:t>Subparagraphs (</w:t>
            </w:r>
            <w:r w:rsidR="0058591E" w:rsidRPr="00FA78B1">
              <w:t>i), (iv), (v), (vi), (vii) and (ix)</w:t>
            </w:r>
          </w:p>
        </w:tc>
      </w:tr>
      <w:tr w:rsidR="0058591E" w:rsidRPr="00FA78B1" w:rsidTr="002F6271">
        <w:tc>
          <w:tcPr>
            <w:tcW w:w="714" w:type="dxa"/>
            <w:shd w:val="clear" w:color="auto" w:fill="auto"/>
          </w:tcPr>
          <w:p w:rsidR="0058591E" w:rsidRPr="00FA78B1" w:rsidRDefault="0058591E" w:rsidP="00AE429C">
            <w:pPr>
              <w:pStyle w:val="Tabletext"/>
            </w:pPr>
            <w:r w:rsidRPr="00FA78B1">
              <w:t>4</w:t>
            </w:r>
          </w:p>
        </w:tc>
        <w:tc>
          <w:tcPr>
            <w:tcW w:w="3186" w:type="dxa"/>
            <w:shd w:val="clear" w:color="auto" w:fill="auto"/>
          </w:tcPr>
          <w:p w:rsidR="0058591E" w:rsidRPr="00FA78B1" w:rsidRDefault="0058591E" w:rsidP="00AE429C">
            <w:pPr>
              <w:pStyle w:val="Tabletext"/>
            </w:pPr>
            <w:r w:rsidRPr="00FA78B1">
              <w:t>Maori Women’s Welfare League Inc</w:t>
            </w:r>
          </w:p>
        </w:tc>
        <w:tc>
          <w:tcPr>
            <w:tcW w:w="3186" w:type="dxa"/>
            <w:shd w:val="clear" w:color="auto" w:fill="auto"/>
          </w:tcPr>
          <w:p w:rsidR="0058591E" w:rsidRPr="00FA78B1" w:rsidRDefault="00FA78B1" w:rsidP="00AE429C">
            <w:pPr>
              <w:pStyle w:val="Tabletext"/>
            </w:pPr>
            <w:r w:rsidRPr="00FA78B1">
              <w:t>Subparagraphs (</w:t>
            </w:r>
            <w:r w:rsidR="0058591E" w:rsidRPr="00FA78B1">
              <w:t>i), (ii) and (viii)</w:t>
            </w:r>
          </w:p>
        </w:tc>
      </w:tr>
      <w:tr w:rsidR="0058591E" w:rsidRPr="00FA78B1" w:rsidTr="002F6271">
        <w:tc>
          <w:tcPr>
            <w:tcW w:w="714" w:type="dxa"/>
            <w:shd w:val="clear" w:color="auto" w:fill="auto"/>
          </w:tcPr>
          <w:p w:rsidR="0058591E" w:rsidRPr="00FA78B1" w:rsidRDefault="0058591E" w:rsidP="00AE429C">
            <w:pPr>
              <w:pStyle w:val="Tabletext"/>
            </w:pPr>
            <w:r w:rsidRPr="00FA78B1">
              <w:t>5</w:t>
            </w:r>
          </w:p>
        </w:tc>
        <w:tc>
          <w:tcPr>
            <w:tcW w:w="3186" w:type="dxa"/>
            <w:shd w:val="clear" w:color="auto" w:fill="auto"/>
          </w:tcPr>
          <w:p w:rsidR="0058591E" w:rsidRPr="00FA78B1" w:rsidRDefault="0058591E" w:rsidP="00AE429C">
            <w:pPr>
              <w:pStyle w:val="Tabletext"/>
            </w:pPr>
            <w:r w:rsidRPr="00FA78B1">
              <w:t>National Council of Women of New Zealand</w:t>
            </w:r>
          </w:p>
        </w:tc>
        <w:tc>
          <w:tcPr>
            <w:tcW w:w="3186" w:type="dxa"/>
            <w:shd w:val="clear" w:color="auto" w:fill="auto"/>
          </w:tcPr>
          <w:p w:rsidR="0058591E" w:rsidRPr="00FA78B1" w:rsidRDefault="00FA78B1" w:rsidP="00AE429C">
            <w:pPr>
              <w:pStyle w:val="Tabletext"/>
            </w:pPr>
            <w:r w:rsidRPr="00FA78B1">
              <w:t>Subparagraph (</w:t>
            </w:r>
            <w:r w:rsidR="0058591E" w:rsidRPr="00FA78B1">
              <w:t>ii)</w:t>
            </w:r>
          </w:p>
        </w:tc>
      </w:tr>
      <w:tr w:rsidR="0058591E" w:rsidRPr="00FA78B1" w:rsidTr="002F6271">
        <w:tc>
          <w:tcPr>
            <w:tcW w:w="714" w:type="dxa"/>
            <w:shd w:val="clear" w:color="auto" w:fill="auto"/>
          </w:tcPr>
          <w:p w:rsidR="0058591E" w:rsidRPr="00FA78B1" w:rsidRDefault="0058591E" w:rsidP="00AE429C">
            <w:pPr>
              <w:pStyle w:val="Tabletext"/>
            </w:pPr>
            <w:r w:rsidRPr="00FA78B1">
              <w:t>6</w:t>
            </w:r>
          </w:p>
        </w:tc>
        <w:tc>
          <w:tcPr>
            <w:tcW w:w="3186" w:type="dxa"/>
            <w:shd w:val="clear" w:color="auto" w:fill="auto"/>
          </w:tcPr>
          <w:p w:rsidR="0058591E" w:rsidRPr="00FA78B1" w:rsidRDefault="0058591E" w:rsidP="00AE429C">
            <w:pPr>
              <w:pStyle w:val="Tabletext"/>
            </w:pPr>
            <w:r w:rsidRPr="00FA78B1">
              <w:t>New Zealand Medical Association</w:t>
            </w:r>
          </w:p>
        </w:tc>
        <w:tc>
          <w:tcPr>
            <w:tcW w:w="3186" w:type="dxa"/>
            <w:shd w:val="clear" w:color="auto" w:fill="auto"/>
          </w:tcPr>
          <w:p w:rsidR="0058591E" w:rsidRPr="00FA78B1" w:rsidRDefault="00FA78B1" w:rsidP="00AE429C">
            <w:pPr>
              <w:pStyle w:val="Tabletext"/>
            </w:pPr>
            <w:r w:rsidRPr="00FA78B1">
              <w:t>Subparagraphs (</w:t>
            </w:r>
            <w:r w:rsidR="0058591E" w:rsidRPr="00FA78B1">
              <w:t>i) and (vi)</w:t>
            </w:r>
          </w:p>
        </w:tc>
      </w:tr>
      <w:tr w:rsidR="0058591E" w:rsidRPr="00FA78B1" w:rsidTr="002F6271">
        <w:tc>
          <w:tcPr>
            <w:tcW w:w="714" w:type="dxa"/>
            <w:shd w:val="clear" w:color="auto" w:fill="auto"/>
          </w:tcPr>
          <w:p w:rsidR="0058591E" w:rsidRPr="00FA78B1" w:rsidRDefault="0058591E" w:rsidP="00AE429C">
            <w:pPr>
              <w:pStyle w:val="Tabletext"/>
            </w:pPr>
            <w:r w:rsidRPr="00FA78B1">
              <w:t>7</w:t>
            </w:r>
          </w:p>
        </w:tc>
        <w:tc>
          <w:tcPr>
            <w:tcW w:w="3186" w:type="dxa"/>
            <w:shd w:val="clear" w:color="auto" w:fill="auto"/>
          </w:tcPr>
          <w:p w:rsidR="0058591E" w:rsidRPr="00FA78B1" w:rsidRDefault="0058591E" w:rsidP="00AE429C">
            <w:pPr>
              <w:pStyle w:val="Tabletext"/>
            </w:pPr>
            <w:r w:rsidRPr="00FA78B1">
              <w:t>NZ Nutrition Foundation</w:t>
            </w:r>
          </w:p>
        </w:tc>
        <w:tc>
          <w:tcPr>
            <w:tcW w:w="3186" w:type="dxa"/>
            <w:shd w:val="clear" w:color="auto" w:fill="auto"/>
          </w:tcPr>
          <w:p w:rsidR="0058591E" w:rsidRPr="00FA78B1" w:rsidRDefault="00FA78B1" w:rsidP="00AE429C">
            <w:pPr>
              <w:pStyle w:val="Tabletext"/>
            </w:pPr>
            <w:r w:rsidRPr="00FA78B1">
              <w:t>Subparagraphs (</w:t>
            </w:r>
            <w:r w:rsidR="0058591E" w:rsidRPr="00FA78B1">
              <w:t>v), (vi) and (viii)</w:t>
            </w:r>
          </w:p>
        </w:tc>
      </w:tr>
      <w:tr w:rsidR="0058591E" w:rsidRPr="00FA78B1" w:rsidTr="002F6271">
        <w:tc>
          <w:tcPr>
            <w:tcW w:w="714" w:type="dxa"/>
            <w:shd w:val="clear" w:color="auto" w:fill="auto"/>
          </w:tcPr>
          <w:p w:rsidR="0058591E" w:rsidRPr="00FA78B1" w:rsidRDefault="0058591E" w:rsidP="00AE429C">
            <w:pPr>
              <w:pStyle w:val="Tabletext"/>
            </w:pPr>
            <w:r w:rsidRPr="00FA78B1">
              <w:t>8</w:t>
            </w:r>
          </w:p>
        </w:tc>
        <w:tc>
          <w:tcPr>
            <w:tcW w:w="3186" w:type="dxa"/>
            <w:shd w:val="clear" w:color="auto" w:fill="auto"/>
          </w:tcPr>
          <w:p w:rsidR="0058591E" w:rsidRPr="00FA78B1" w:rsidRDefault="0058591E" w:rsidP="00AE429C">
            <w:pPr>
              <w:pStyle w:val="Tabletext"/>
            </w:pPr>
            <w:r w:rsidRPr="00FA78B1">
              <w:t>NZBIO</w:t>
            </w:r>
          </w:p>
        </w:tc>
        <w:tc>
          <w:tcPr>
            <w:tcW w:w="3186" w:type="dxa"/>
            <w:shd w:val="clear" w:color="auto" w:fill="auto"/>
          </w:tcPr>
          <w:p w:rsidR="0058591E" w:rsidRPr="00FA78B1" w:rsidRDefault="00FA78B1" w:rsidP="00AE429C">
            <w:pPr>
              <w:pStyle w:val="Tabletext"/>
            </w:pPr>
            <w:r w:rsidRPr="00FA78B1">
              <w:t>Subparagraph (</w:t>
            </w:r>
            <w:r w:rsidR="0058591E" w:rsidRPr="00FA78B1">
              <w:t>ix)</w:t>
            </w:r>
          </w:p>
        </w:tc>
      </w:tr>
      <w:tr w:rsidR="0058591E" w:rsidRPr="00FA78B1" w:rsidTr="002F6271">
        <w:tc>
          <w:tcPr>
            <w:tcW w:w="714" w:type="dxa"/>
            <w:shd w:val="clear" w:color="auto" w:fill="auto"/>
          </w:tcPr>
          <w:p w:rsidR="0058591E" w:rsidRPr="00FA78B1" w:rsidRDefault="0058591E" w:rsidP="00AE429C">
            <w:pPr>
              <w:pStyle w:val="Tabletext"/>
            </w:pPr>
            <w:r w:rsidRPr="00FA78B1">
              <w:t>9</w:t>
            </w:r>
          </w:p>
        </w:tc>
        <w:tc>
          <w:tcPr>
            <w:tcW w:w="3186" w:type="dxa"/>
            <w:shd w:val="clear" w:color="auto" w:fill="auto"/>
          </w:tcPr>
          <w:p w:rsidR="0058591E" w:rsidRPr="00FA78B1" w:rsidRDefault="0058591E" w:rsidP="00AE429C">
            <w:pPr>
              <w:pStyle w:val="Tabletext"/>
            </w:pPr>
            <w:r w:rsidRPr="00FA78B1">
              <w:t>Public Health Association of New Zealand Inc</w:t>
            </w:r>
          </w:p>
        </w:tc>
        <w:tc>
          <w:tcPr>
            <w:tcW w:w="3186" w:type="dxa"/>
            <w:shd w:val="clear" w:color="auto" w:fill="auto"/>
          </w:tcPr>
          <w:p w:rsidR="0058591E" w:rsidRPr="00FA78B1" w:rsidRDefault="00FA78B1" w:rsidP="00AE429C">
            <w:pPr>
              <w:pStyle w:val="Tabletext"/>
            </w:pPr>
            <w:r w:rsidRPr="00FA78B1">
              <w:t>Subparagraphs (</w:t>
            </w:r>
            <w:r w:rsidR="003A42F6" w:rsidRPr="00FA78B1">
              <w:t>i), (ii), (iii), (iv</w:t>
            </w:r>
            <w:r w:rsidR="0058591E" w:rsidRPr="00FA78B1">
              <w:t>), (v), (vi), (vii), (viii) and (ix)</w:t>
            </w:r>
          </w:p>
        </w:tc>
      </w:tr>
      <w:tr w:rsidR="0058591E" w:rsidRPr="00FA78B1" w:rsidTr="002F6271">
        <w:tc>
          <w:tcPr>
            <w:tcW w:w="714" w:type="dxa"/>
            <w:shd w:val="clear" w:color="auto" w:fill="auto"/>
          </w:tcPr>
          <w:p w:rsidR="0058591E" w:rsidRPr="00FA78B1" w:rsidRDefault="0058591E" w:rsidP="00AE429C">
            <w:pPr>
              <w:pStyle w:val="Tabletext"/>
            </w:pPr>
            <w:r w:rsidRPr="00FA78B1">
              <w:t>10</w:t>
            </w:r>
          </w:p>
        </w:tc>
        <w:tc>
          <w:tcPr>
            <w:tcW w:w="3186" w:type="dxa"/>
            <w:shd w:val="clear" w:color="auto" w:fill="auto"/>
          </w:tcPr>
          <w:p w:rsidR="0058591E" w:rsidRPr="00FA78B1" w:rsidRDefault="0058591E" w:rsidP="00AE429C">
            <w:pPr>
              <w:pStyle w:val="Tabletext"/>
            </w:pPr>
            <w:r w:rsidRPr="00FA78B1">
              <w:t>Science New Zealand</w:t>
            </w:r>
          </w:p>
        </w:tc>
        <w:tc>
          <w:tcPr>
            <w:tcW w:w="3186" w:type="dxa"/>
            <w:shd w:val="clear" w:color="auto" w:fill="auto"/>
          </w:tcPr>
          <w:p w:rsidR="0058591E" w:rsidRPr="00FA78B1" w:rsidRDefault="00FA78B1" w:rsidP="00AE429C">
            <w:pPr>
              <w:pStyle w:val="Tabletext"/>
            </w:pPr>
            <w:r w:rsidRPr="00FA78B1">
              <w:t>Subparagraphs (</w:t>
            </w:r>
            <w:r w:rsidR="0058591E" w:rsidRPr="00FA78B1">
              <w:t xml:space="preserve">i), (ii), (iii), (vi), </w:t>
            </w:r>
            <w:r w:rsidR="0058591E" w:rsidRPr="00FA78B1">
              <w:lastRenderedPageBreak/>
              <w:t>(vii), (viii) and (ix)</w:t>
            </w:r>
          </w:p>
        </w:tc>
      </w:tr>
      <w:tr w:rsidR="0058591E" w:rsidRPr="00FA78B1" w:rsidTr="002F6271">
        <w:tc>
          <w:tcPr>
            <w:tcW w:w="714" w:type="dxa"/>
            <w:shd w:val="clear" w:color="auto" w:fill="auto"/>
          </w:tcPr>
          <w:p w:rsidR="0058591E" w:rsidRPr="00FA78B1" w:rsidRDefault="0058591E" w:rsidP="00AE429C">
            <w:pPr>
              <w:pStyle w:val="Tabletext"/>
            </w:pPr>
            <w:r w:rsidRPr="00FA78B1">
              <w:lastRenderedPageBreak/>
              <w:t>11</w:t>
            </w:r>
          </w:p>
        </w:tc>
        <w:tc>
          <w:tcPr>
            <w:tcW w:w="3186" w:type="dxa"/>
            <w:shd w:val="clear" w:color="auto" w:fill="auto"/>
          </w:tcPr>
          <w:p w:rsidR="0058591E" w:rsidRPr="00FA78B1" w:rsidRDefault="0058591E" w:rsidP="00AE429C">
            <w:pPr>
              <w:pStyle w:val="Tabletext"/>
            </w:pPr>
            <w:r w:rsidRPr="00FA78B1">
              <w:t>The New Zealand Institute of Food Science and Technology Inc</w:t>
            </w:r>
          </w:p>
        </w:tc>
        <w:tc>
          <w:tcPr>
            <w:tcW w:w="3186" w:type="dxa"/>
            <w:shd w:val="clear" w:color="auto" w:fill="auto"/>
          </w:tcPr>
          <w:p w:rsidR="0058591E" w:rsidRPr="00FA78B1" w:rsidRDefault="00FA78B1" w:rsidP="00AE429C">
            <w:pPr>
              <w:pStyle w:val="Tabletext"/>
            </w:pPr>
            <w:r w:rsidRPr="00FA78B1">
              <w:t>Subparagraphs (</w:t>
            </w:r>
            <w:r w:rsidR="0058591E" w:rsidRPr="00FA78B1">
              <w:t>iii), (viii) and (ix)</w:t>
            </w:r>
          </w:p>
        </w:tc>
      </w:tr>
      <w:tr w:rsidR="002F6271" w:rsidRPr="00FA78B1" w:rsidTr="002F6271">
        <w:tc>
          <w:tcPr>
            <w:tcW w:w="714" w:type="dxa"/>
            <w:tcBorders>
              <w:bottom w:val="single" w:sz="4" w:space="0" w:color="auto"/>
            </w:tcBorders>
            <w:shd w:val="clear" w:color="auto" w:fill="auto"/>
          </w:tcPr>
          <w:p w:rsidR="002F6271" w:rsidRPr="00FA78B1" w:rsidRDefault="002F6271" w:rsidP="009E65E3">
            <w:pPr>
              <w:pStyle w:val="Tabletext"/>
            </w:pPr>
            <w:r w:rsidRPr="00FA78B1">
              <w:t>12</w:t>
            </w:r>
          </w:p>
        </w:tc>
        <w:tc>
          <w:tcPr>
            <w:tcW w:w="3186" w:type="dxa"/>
            <w:tcBorders>
              <w:bottom w:val="single" w:sz="4" w:space="0" w:color="auto"/>
            </w:tcBorders>
            <w:shd w:val="clear" w:color="auto" w:fill="auto"/>
          </w:tcPr>
          <w:p w:rsidR="002F6271" w:rsidRPr="00FA78B1" w:rsidRDefault="002F6271" w:rsidP="009E65E3">
            <w:pPr>
              <w:pStyle w:val="Tabletext"/>
            </w:pPr>
            <w:r w:rsidRPr="00FA78B1">
              <w:t>The Royal Australasian College of Physicians, New Zealand Committee, Faculty of Public Health Medicine</w:t>
            </w:r>
          </w:p>
        </w:tc>
        <w:tc>
          <w:tcPr>
            <w:tcW w:w="3186" w:type="dxa"/>
            <w:tcBorders>
              <w:bottom w:val="single" w:sz="4" w:space="0" w:color="auto"/>
            </w:tcBorders>
            <w:shd w:val="clear" w:color="auto" w:fill="auto"/>
          </w:tcPr>
          <w:p w:rsidR="002F6271" w:rsidRPr="00FA78B1" w:rsidRDefault="00FA78B1" w:rsidP="009E65E3">
            <w:pPr>
              <w:pStyle w:val="Tabletext"/>
            </w:pPr>
            <w:r w:rsidRPr="00FA78B1">
              <w:t>Subparagraphs (</w:t>
            </w:r>
            <w:r w:rsidR="002F6271" w:rsidRPr="00FA78B1">
              <w:t>i), (v) and (vi)</w:t>
            </w:r>
          </w:p>
        </w:tc>
      </w:tr>
      <w:tr w:rsidR="002F6271" w:rsidRPr="00FA78B1" w:rsidTr="002F6271">
        <w:tc>
          <w:tcPr>
            <w:tcW w:w="714" w:type="dxa"/>
            <w:tcBorders>
              <w:bottom w:val="single" w:sz="12" w:space="0" w:color="auto"/>
            </w:tcBorders>
            <w:shd w:val="clear" w:color="auto" w:fill="auto"/>
          </w:tcPr>
          <w:p w:rsidR="002F6271" w:rsidRPr="00FA78B1" w:rsidRDefault="002F6271" w:rsidP="00AE429C">
            <w:pPr>
              <w:pStyle w:val="Tabletext"/>
            </w:pPr>
            <w:r w:rsidRPr="00FA78B1">
              <w:t>13</w:t>
            </w:r>
          </w:p>
        </w:tc>
        <w:tc>
          <w:tcPr>
            <w:tcW w:w="3186" w:type="dxa"/>
            <w:tcBorders>
              <w:bottom w:val="single" w:sz="12" w:space="0" w:color="auto"/>
            </w:tcBorders>
            <w:shd w:val="clear" w:color="auto" w:fill="auto"/>
          </w:tcPr>
          <w:p w:rsidR="002F6271" w:rsidRPr="00FA78B1" w:rsidRDefault="002F6271" w:rsidP="00AE429C">
            <w:pPr>
              <w:pStyle w:val="Tabletext"/>
            </w:pPr>
            <w:r w:rsidRPr="00FA78B1">
              <w:t>The Royal Society of New Zealand</w:t>
            </w:r>
          </w:p>
        </w:tc>
        <w:tc>
          <w:tcPr>
            <w:tcW w:w="3186" w:type="dxa"/>
            <w:tcBorders>
              <w:bottom w:val="single" w:sz="12" w:space="0" w:color="auto"/>
            </w:tcBorders>
            <w:shd w:val="clear" w:color="auto" w:fill="auto"/>
          </w:tcPr>
          <w:p w:rsidR="002F6271" w:rsidRPr="00FA78B1" w:rsidRDefault="00FA78B1" w:rsidP="00AE429C">
            <w:pPr>
              <w:pStyle w:val="Tabletext"/>
            </w:pPr>
            <w:r w:rsidRPr="00FA78B1">
              <w:t>Subparagraphs (</w:t>
            </w:r>
            <w:r w:rsidR="002F6271" w:rsidRPr="00FA78B1">
              <w:t>vii) and (ix)</w:t>
            </w:r>
          </w:p>
        </w:tc>
      </w:tr>
    </w:tbl>
    <w:p w:rsidR="0058591E" w:rsidRPr="00FA78B1" w:rsidRDefault="0058591E" w:rsidP="0058591E">
      <w:pPr>
        <w:pStyle w:val="SubsectionHead"/>
      </w:pPr>
      <w:r w:rsidRPr="00FA78B1">
        <w:t>Australian food industry organisations and bodies</w:t>
      </w:r>
    </w:p>
    <w:p w:rsidR="0058591E" w:rsidRPr="00FA78B1" w:rsidRDefault="0058591E" w:rsidP="0058591E">
      <w:pPr>
        <w:pStyle w:val="subsection"/>
      </w:pPr>
      <w:r w:rsidRPr="00FA78B1">
        <w:tab/>
        <w:t>(3)</w:t>
      </w:r>
      <w:r w:rsidRPr="00FA78B1">
        <w:tab/>
        <w:t>For paragraph</w:t>
      </w:r>
      <w:r w:rsidR="00FA78B1" w:rsidRPr="00FA78B1">
        <w:t> </w:t>
      </w:r>
      <w:r w:rsidRPr="00FA78B1">
        <w:t>116(4)(b) of the Act, an Australian organisation or public body mentioned in an item in the following table is prescribed for the purposes of each subparagraph of paragraph</w:t>
      </w:r>
      <w:r w:rsidR="00FA78B1" w:rsidRPr="00FA78B1">
        <w:t> </w:t>
      </w:r>
      <w:r w:rsidRPr="00FA78B1">
        <w:t>116(4)(a) of the Act mentioned in that item.</w:t>
      </w:r>
    </w:p>
    <w:p w:rsidR="0058591E" w:rsidRPr="00FA78B1" w:rsidRDefault="0058591E" w:rsidP="0058591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58591E" w:rsidRPr="00FA78B1" w:rsidTr="00AE429C">
        <w:trPr>
          <w:tblHeader/>
        </w:trPr>
        <w:tc>
          <w:tcPr>
            <w:tcW w:w="7086" w:type="dxa"/>
            <w:gridSpan w:val="3"/>
            <w:tcBorders>
              <w:top w:val="single" w:sz="12" w:space="0" w:color="auto"/>
              <w:bottom w:val="single" w:sz="6" w:space="0" w:color="auto"/>
            </w:tcBorders>
            <w:shd w:val="clear" w:color="auto" w:fill="auto"/>
          </w:tcPr>
          <w:p w:rsidR="0058591E" w:rsidRPr="00FA78B1" w:rsidRDefault="0058591E" w:rsidP="00AE429C">
            <w:pPr>
              <w:pStyle w:val="TableHeading"/>
            </w:pPr>
            <w:r w:rsidRPr="00FA78B1">
              <w:t>Australian food industry organisations and bodies</w:t>
            </w:r>
          </w:p>
        </w:tc>
      </w:tr>
      <w:tr w:rsidR="0058591E" w:rsidRPr="00FA78B1" w:rsidTr="00AE429C">
        <w:trPr>
          <w:tblHeader/>
        </w:trPr>
        <w:tc>
          <w:tcPr>
            <w:tcW w:w="714" w:type="dxa"/>
            <w:tcBorders>
              <w:top w:val="single" w:sz="6" w:space="0" w:color="auto"/>
              <w:bottom w:val="single" w:sz="12" w:space="0" w:color="auto"/>
            </w:tcBorders>
            <w:shd w:val="clear" w:color="auto" w:fill="auto"/>
          </w:tcPr>
          <w:p w:rsidR="0058591E" w:rsidRPr="00FA78B1" w:rsidRDefault="0058591E" w:rsidP="00AE429C">
            <w:pPr>
              <w:pStyle w:val="TableHeading"/>
            </w:pPr>
            <w:r w:rsidRPr="00FA78B1">
              <w:t>Item</w:t>
            </w:r>
          </w:p>
        </w:tc>
        <w:tc>
          <w:tcPr>
            <w:tcW w:w="3186" w:type="dxa"/>
            <w:tcBorders>
              <w:top w:val="single" w:sz="6" w:space="0" w:color="auto"/>
              <w:bottom w:val="single" w:sz="12" w:space="0" w:color="auto"/>
            </w:tcBorders>
            <w:shd w:val="clear" w:color="auto" w:fill="auto"/>
          </w:tcPr>
          <w:p w:rsidR="0058591E" w:rsidRPr="00FA78B1" w:rsidRDefault="0058591E" w:rsidP="00AE429C">
            <w:pPr>
              <w:pStyle w:val="TableHeading"/>
            </w:pPr>
            <w:r w:rsidRPr="00FA78B1">
              <w:t>Organisation or body</w:t>
            </w:r>
          </w:p>
        </w:tc>
        <w:tc>
          <w:tcPr>
            <w:tcW w:w="3186" w:type="dxa"/>
            <w:tcBorders>
              <w:top w:val="single" w:sz="6" w:space="0" w:color="auto"/>
              <w:bottom w:val="single" w:sz="12" w:space="0" w:color="auto"/>
            </w:tcBorders>
            <w:shd w:val="clear" w:color="auto" w:fill="auto"/>
          </w:tcPr>
          <w:p w:rsidR="0058591E" w:rsidRPr="00FA78B1" w:rsidRDefault="0058591E" w:rsidP="00AE429C">
            <w:pPr>
              <w:pStyle w:val="TableHeading"/>
            </w:pPr>
            <w:r w:rsidRPr="00FA78B1">
              <w:t>Subparagraph of paragraph</w:t>
            </w:r>
            <w:r w:rsidR="00FA78B1" w:rsidRPr="00FA78B1">
              <w:t> </w:t>
            </w:r>
            <w:r w:rsidRPr="00FA78B1">
              <w:t>116(4)(a)</w:t>
            </w:r>
          </w:p>
        </w:tc>
      </w:tr>
      <w:tr w:rsidR="0058591E" w:rsidRPr="00FA78B1" w:rsidTr="00AE429C">
        <w:tc>
          <w:tcPr>
            <w:tcW w:w="714" w:type="dxa"/>
            <w:tcBorders>
              <w:top w:val="single" w:sz="12" w:space="0" w:color="auto"/>
            </w:tcBorders>
            <w:shd w:val="clear" w:color="auto" w:fill="auto"/>
          </w:tcPr>
          <w:p w:rsidR="0058591E" w:rsidRPr="00FA78B1" w:rsidRDefault="0058591E" w:rsidP="00AE429C">
            <w:pPr>
              <w:pStyle w:val="Tabletext"/>
            </w:pPr>
            <w:r w:rsidRPr="00FA78B1">
              <w:t>1</w:t>
            </w:r>
          </w:p>
        </w:tc>
        <w:tc>
          <w:tcPr>
            <w:tcW w:w="3186" w:type="dxa"/>
            <w:tcBorders>
              <w:top w:val="single" w:sz="12" w:space="0" w:color="auto"/>
            </w:tcBorders>
            <w:shd w:val="clear" w:color="auto" w:fill="auto"/>
          </w:tcPr>
          <w:p w:rsidR="0058591E" w:rsidRPr="00FA78B1" w:rsidRDefault="0058591E" w:rsidP="00AE429C">
            <w:pPr>
              <w:pStyle w:val="Tabletext"/>
            </w:pPr>
            <w:r w:rsidRPr="00FA78B1">
              <w:t>Australian Chamber of Commerce and Industry</w:t>
            </w:r>
          </w:p>
        </w:tc>
        <w:tc>
          <w:tcPr>
            <w:tcW w:w="3186" w:type="dxa"/>
            <w:tcBorders>
              <w:top w:val="single" w:sz="12" w:space="0" w:color="auto"/>
            </w:tcBorders>
            <w:shd w:val="clear" w:color="auto" w:fill="auto"/>
          </w:tcPr>
          <w:p w:rsidR="0058591E" w:rsidRPr="00FA78B1" w:rsidRDefault="00FA78B1" w:rsidP="00AE429C">
            <w:pPr>
              <w:pStyle w:val="Tabletext"/>
            </w:pPr>
            <w:r w:rsidRPr="00FA78B1">
              <w:t>Subparagraphs (</w:t>
            </w:r>
            <w:r w:rsidR="0058591E" w:rsidRPr="00FA78B1">
              <w:t>i), (ii), (iv), (vi) and (vii)</w:t>
            </w:r>
          </w:p>
        </w:tc>
      </w:tr>
      <w:tr w:rsidR="0058591E" w:rsidRPr="00FA78B1" w:rsidTr="00AE429C">
        <w:tc>
          <w:tcPr>
            <w:tcW w:w="714" w:type="dxa"/>
            <w:shd w:val="clear" w:color="auto" w:fill="auto"/>
          </w:tcPr>
          <w:p w:rsidR="0058591E" w:rsidRPr="00FA78B1" w:rsidRDefault="0058591E" w:rsidP="00AE429C">
            <w:pPr>
              <w:pStyle w:val="Tabletext"/>
            </w:pPr>
            <w:r w:rsidRPr="00FA78B1">
              <w:t>2</w:t>
            </w:r>
          </w:p>
        </w:tc>
        <w:tc>
          <w:tcPr>
            <w:tcW w:w="3186" w:type="dxa"/>
            <w:shd w:val="clear" w:color="auto" w:fill="auto"/>
          </w:tcPr>
          <w:p w:rsidR="0058591E" w:rsidRPr="00FA78B1" w:rsidRDefault="0058591E" w:rsidP="00AE429C">
            <w:pPr>
              <w:pStyle w:val="Tabletext"/>
            </w:pPr>
            <w:r w:rsidRPr="00FA78B1">
              <w:t>Australian Food and Grocery Council</w:t>
            </w:r>
          </w:p>
        </w:tc>
        <w:tc>
          <w:tcPr>
            <w:tcW w:w="3186" w:type="dxa"/>
            <w:shd w:val="clear" w:color="auto" w:fill="auto"/>
          </w:tcPr>
          <w:p w:rsidR="0058591E" w:rsidRPr="00FA78B1" w:rsidRDefault="00FA78B1" w:rsidP="00AE429C">
            <w:pPr>
              <w:pStyle w:val="Tabletext"/>
            </w:pPr>
            <w:r w:rsidRPr="00FA78B1">
              <w:t>Subparagraphs (</w:t>
            </w:r>
            <w:r w:rsidR="0058591E" w:rsidRPr="00FA78B1">
              <w:t>i), (ii), (v), (vi) and (vii)</w:t>
            </w:r>
          </w:p>
        </w:tc>
      </w:tr>
      <w:tr w:rsidR="0058591E" w:rsidRPr="00FA78B1" w:rsidTr="00AE429C">
        <w:tc>
          <w:tcPr>
            <w:tcW w:w="714" w:type="dxa"/>
            <w:shd w:val="clear" w:color="auto" w:fill="auto"/>
          </w:tcPr>
          <w:p w:rsidR="0058591E" w:rsidRPr="00FA78B1" w:rsidRDefault="0058591E" w:rsidP="00AE429C">
            <w:pPr>
              <w:pStyle w:val="Tabletext"/>
            </w:pPr>
            <w:r w:rsidRPr="00FA78B1">
              <w:t>3</w:t>
            </w:r>
          </w:p>
        </w:tc>
        <w:tc>
          <w:tcPr>
            <w:tcW w:w="3186" w:type="dxa"/>
            <w:shd w:val="clear" w:color="auto" w:fill="auto"/>
          </w:tcPr>
          <w:p w:rsidR="0058591E" w:rsidRPr="00FA78B1" w:rsidRDefault="0058591E" w:rsidP="00AE429C">
            <w:pPr>
              <w:pStyle w:val="Tabletext"/>
            </w:pPr>
            <w:r w:rsidRPr="00FA78B1">
              <w:t>Australian Hotels Association</w:t>
            </w:r>
          </w:p>
        </w:tc>
        <w:tc>
          <w:tcPr>
            <w:tcW w:w="3186" w:type="dxa"/>
            <w:shd w:val="clear" w:color="auto" w:fill="auto"/>
          </w:tcPr>
          <w:p w:rsidR="0058591E" w:rsidRPr="00FA78B1" w:rsidRDefault="00FA78B1" w:rsidP="00AE429C">
            <w:pPr>
              <w:pStyle w:val="Tabletext"/>
            </w:pPr>
            <w:r w:rsidRPr="00FA78B1">
              <w:t>Subparagraphs (</w:t>
            </w:r>
            <w:r w:rsidR="0058591E" w:rsidRPr="00FA78B1">
              <w:t>i), (iv), (vi) and (vii)</w:t>
            </w:r>
          </w:p>
        </w:tc>
      </w:tr>
      <w:tr w:rsidR="0058591E" w:rsidRPr="00FA78B1" w:rsidTr="00AE429C">
        <w:tc>
          <w:tcPr>
            <w:tcW w:w="714" w:type="dxa"/>
            <w:shd w:val="clear" w:color="auto" w:fill="auto"/>
          </w:tcPr>
          <w:p w:rsidR="0058591E" w:rsidRPr="00FA78B1" w:rsidRDefault="0058591E" w:rsidP="00AE429C">
            <w:pPr>
              <w:pStyle w:val="Tabletext"/>
            </w:pPr>
            <w:r w:rsidRPr="00FA78B1">
              <w:t>4</w:t>
            </w:r>
          </w:p>
        </w:tc>
        <w:tc>
          <w:tcPr>
            <w:tcW w:w="3186" w:type="dxa"/>
            <w:shd w:val="clear" w:color="auto" w:fill="auto"/>
          </w:tcPr>
          <w:p w:rsidR="0058591E" w:rsidRPr="00FA78B1" w:rsidRDefault="0058591E" w:rsidP="00AE429C">
            <w:pPr>
              <w:pStyle w:val="Tabletext"/>
            </w:pPr>
            <w:r w:rsidRPr="00FA78B1">
              <w:t>Council of Small Business Australia</w:t>
            </w:r>
          </w:p>
        </w:tc>
        <w:tc>
          <w:tcPr>
            <w:tcW w:w="3186" w:type="dxa"/>
            <w:shd w:val="clear" w:color="auto" w:fill="auto"/>
          </w:tcPr>
          <w:p w:rsidR="0058591E" w:rsidRPr="00FA78B1" w:rsidRDefault="00FA78B1" w:rsidP="00AE429C">
            <w:pPr>
              <w:pStyle w:val="Tabletext"/>
            </w:pPr>
            <w:r w:rsidRPr="00FA78B1">
              <w:t>Subparagraphs (</w:t>
            </w:r>
            <w:r w:rsidR="0058591E" w:rsidRPr="00FA78B1">
              <w:t>iv) and (vi)</w:t>
            </w:r>
          </w:p>
        </w:tc>
      </w:tr>
      <w:tr w:rsidR="0058591E" w:rsidRPr="00FA78B1" w:rsidTr="00AE429C">
        <w:tc>
          <w:tcPr>
            <w:tcW w:w="714" w:type="dxa"/>
            <w:shd w:val="clear" w:color="auto" w:fill="auto"/>
          </w:tcPr>
          <w:p w:rsidR="0058591E" w:rsidRPr="00FA78B1" w:rsidRDefault="0058591E" w:rsidP="00AE429C">
            <w:pPr>
              <w:pStyle w:val="Tabletext"/>
            </w:pPr>
            <w:r w:rsidRPr="00FA78B1">
              <w:t>5</w:t>
            </w:r>
          </w:p>
        </w:tc>
        <w:tc>
          <w:tcPr>
            <w:tcW w:w="3186" w:type="dxa"/>
            <w:shd w:val="clear" w:color="auto" w:fill="auto"/>
          </w:tcPr>
          <w:p w:rsidR="0058591E" w:rsidRPr="00FA78B1" w:rsidRDefault="0058591E" w:rsidP="00AE429C">
            <w:pPr>
              <w:pStyle w:val="Tabletext"/>
            </w:pPr>
            <w:r w:rsidRPr="00FA78B1">
              <w:t>National Association of Retail Grocers of Australia Pty Ltd</w:t>
            </w:r>
          </w:p>
        </w:tc>
        <w:tc>
          <w:tcPr>
            <w:tcW w:w="3186" w:type="dxa"/>
            <w:shd w:val="clear" w:color="auto" w:fill="auto"/>
          </w:tcPr>
          <w:p w:rsidR="0058591E" w:rsidRPr="00FA78B1" w:rsidRDefault="00FA78B1" w:rsidP="00AE429C">
            <w:pPr>
              <w:pStyle w:val="Tabletext"/>
            </w:pPr>
            <w:r w:rsidRPr="00FA78B1">
              <w:t>Subparagraphs (</w:t>
            </w:r>
            <w:r w:rsidR="0058591E" w:rsidRPr="00FA78B1">
              <w:t>ii) and (iv)</w:t>
            </w:r>
          </w:p>
        </w:tc>
      </w:tr>
      <w:tr w:rsidR="0058591E" w:rsidRPr="00FA78B1" w:rsidTr="00AE429C">
        <w:tc>
          <w:tcPr>
            <w:tcW w:w="714" w:type="dxa"/>
            <w:shd w:val="clear" w:color="auto" w:fill="auto"/>
          </w:tcPr>
          <w:p w:rsidR="0058591E" w:rsidRPr="00FA78B1" w:rsidRDefault="0058591E" w:rsidP="00AE429C">
            <w:pPr>
              <w:pStyle w:val="Tabletext"/>
            </w:pPr>
            <w:r w:rsidRPr="00FA78B1">
              <w:t>6</w:t>
            </w:r>
          </w:p>
        </w:tc>
        <w:tc>
          <w:tcPr>
            <w:tcW w:w="3186" w:type="dxa"/>
            <w:shd w:val="clear" w:color="auto" w:fill="auto"/>
          </w:tcPr>
          <w:p w:rsidR="0058591E" w:rsidRPr="00FA78B1" w:rsidRDefault="0058591E" w:rsidP="00AE429C">
            <w:pPr>
              <w:pStyle w:val="Tabletext"/>
            </w:pPr>
            <w:r w:rsidRPr="00FA78B1">
              <w:t>National Farmers’ Federation Limited</w:t>
            </w:r>
          </w:p>
        </w:tc>
        <w:tc>
          <w:tcPr>
            <w:tcW w:w="3186" w:type="dxa"/>
            <w:shd w:val="clear" w:color="auto" w:fill="auto"/>
          </w:tcPr>
          <w:p w:rsidR="0058591E" w:rsidRPr="00FA78B1" w:rsidRDefault="00FA78B1" w:rsidP="00AE429C">
            <w:pPr>
              <w:pStyle w:val="Tabletext"/>
            </w:pPr>
            <w:r w:rsidRPr="00FA78B1">
              <w:t>Subparagraphs (</w:t>
            </w:r>
            <w:r w:rsidR="0058591E" w:rsidRPr="00FA78B1">
              <w:t>iii), (iv), (v) and (vi)</w:t>
            </w:r>
          </w:p>
        </w:tc>
      </w:tr>
      <w:tr w:rsidR="0058591E" w:rsidRPr="00FA78B1" w:rsidTr="00AE429C">
        <w:tc>
          <w:tcPr>
            <w:tcW w:w="714" w:type="dxa"/>
            <w:shd w:val="clear" w:color="auto" w:fill="auto"/>
          </w:tcPr>
          <w:p w:rsidR="0058591E" w:rsidRPr="00FA78B1" w:rsidRDefault="0058591E" w:rsidP="00AE429C">
            <w:pPr>
              <w:pStyle w:val="Tabletext"/>
            </w:pPr>
            <w:r w:rsidRPr="00FA78B1">
              <w:t>7</w:t>
            </w:r>
          </w:p>
        </w:tc>
        <w:tc>
          <w:tcPr>
            <w:tcW w:w="3186" w:type="dxa"/>
            <w:shd w:val="clear" w:color="auto" w:fill="auto"/>
          </w:tcPr>
          <w:p w:rsidR="0058591E" w:rsidRPr="00FA78B1" w:rsidRDefault="0058591E" w:rsidP="00AE429C">
            <w:pPr>
              <w:pStyle w:val="Tabletext"/>
            </w:pPr>
            <w:r w:rsidRPr="00FA78B1">
              <w:t>Restaurant and Catering Australia</w:t>
            </w:r>
          </w:p>
        </w:tc>
        <w:tc>
          <w:tcPr>
            <w:tcW w:w="3186" w:type="dxa"/>
            <w:shd w:val="clear" w:color="auto" w:fill="auto"/>
          </w:tcPr>
          <w:p w:rsidR="0058591E" w:rsidRPr="00FA78B1" w:rsidRDefault="00FA78B1" w:rsidP="00AE429C">
            <w:pPr>
              <w:pStyle w:val="Tabletext"/>
            </w:pPr>
            <w:r w:rsidRPr="00FA78B1">
              <w:t>Subparagraphs (</w:t>
            </w:r>
            <w:r w:rsidR="0058591E" w:rsidRPr="00FA78B1">
              <w:t>i), (iv), (vi) and (vii)</w:t>
            </w:r>
          </w:p>
        </w:tc>
      </w:tr>
      <w:tr w:rsidR="0058591E" w:rsidRPr="00FA78B1" w:rsidTr="00AE429C">
        <w:tc>
          <w:tcPr>
            <w:tcW w:w="714" w:type="dxa"/>
            <w:shd w:val="clear" w:color="auto" w:fill="auto"/>
          </w:tcPr>
          <w:p w:rsidR="0058591E" w:rsidRPr="00FA78B1" w:rsidRDefault="0058591E" w:rsidP="00AE429C">
            <w:pPr>
              <w:pStyle w:val="Tabletext"/>
            </w:pPr>
            <w:r w:rsidRPr="00FA78B1">
              <w:t>8</w:t>
            </w:r>
          </w:p>
        </w:tc>
        <w:tc>
          <w:tcPr>
            <w:tcW w:w="3186" w:type="dxa"/>
            <w:shd w:val="clear" w:color="auto" w:fill="auto"/>
          </w:tcPr>
          <w:p w:rsidR="0058591E" w:rsidRPr="00FA78B1" w:rsidRDefault="0058591E" w:rsidP="00AE429C">
            <w:pPr>
              <w:pStyle w:val="Tabletext"/>
            </w:pPr>
            <w:r w:rsidRPr="00FA78B1">
              <w:t>The Australian Industry Group</w:t>
            </w:r>
          </w:p>
        </w:tc>
        <w:tc>
          <w:tcPr>
            <w:tcW w:w="3186" w:type="dxa"/>
            <w:shd w:val="clear" w:color="auto" w:fill="auto"/>
          </w:tcPr>
          <w:p w:rsidR="0058591E" w:rsidRPr="00FA78B1" w:rsidRDefault="00FA78B1" w:rsidP="00AE429C">
            <w:pPr>
              <w:pStyle w:val="Tabletext"/>
            </w:pPr>
            <w:r w:rsidRPr="00FA78B1">
              <w:t>Subparagraphs (</w:t>
            </w:r>
            <w:r w:rsidR="0058591E" w:rsidRPr="00FA78B1">
              <w:t>i), (iv), (v), (vi) and (vii)</w:t>
            </w:r>
          </w:p>
        </w:tc>
      </w:tr>
      <w:tr w:rsidR="0058591E" w:rsidRPr="00FA78B1" w:rsidTr="00AE429C">
        <w:tc>
          <w:tcPr>
            <w:tcW w:w="714" w:type="dxa"/>
            <w:tcBorders>
              <w:bottom w:val="single" w:sz="12" w:space="0" w:color="auto"/>
            </w:tcBorders>
            <w:shd w:val="clear" w:color="auto" w:fill="auto"/>
          </w:tcPr>
          <w:p w:rsidR="0058591E" w:rsidRPr="00FA78B1" w:rsidRDefault="0058591E" w:rsidP="00AE429C">
            <w:pPr>
              <w:pStyle w:val="Tabletext"/>
            </w:pPr>
            <w:r w:rsidRPr="00FA78B1">
              <w:t>9</w:t>
            </w:r>
          </w:p>
        </w:tc>
        <w:tc>
          <w:tcPr>
            <w:tcW w:w="3186" w:type="dxa"/>
            <w:tcBorders>
              <w:bottom w:val="single" w:sz="12" w:space="0" w:color="auto"/>
            </w:tcBorders>
            <w:shd w:val="clear" w:color="auto" w:fill="auto"/>
          </w:tcPr>
          <w:p w:rsidR="0058591E" w:rsidRPr="00FA78B1" w:rsidRDefault="0058591E" w:rsidP="00AE429C">
            <w:pPr>
              <w:pStyle w:val="Tabletext"/>
            </w:pPr>
            <w:r w:rsidRPr="00FA78B1">
              <w:t>The Australian Retailers Association</w:t>
            </w:r>
          </w:p>
        </w:tc>
        <w:tc>
          <w:tcPr>
            <w:tcW w:w="3186" w:type="dxa"/>
            <w:tcBorders>
              <w:bottom w:val="single" w:sz="12" w:space="0" w:color="auto"/>
            </w:tcBorders>
            <w:shd w:val="clear" w:color="auto" w:fill="auto"/>
          </w:tcPr>
          <w:p w:rsidR="0058591E" w:rsidRPr="00FA78B1" w:rsidRDefault="00FA78B1" w:rsidP="00AE429C">
            <w:pPr>
              <w:pStyle w:val="Tabletext"/>
            </w:pPr>
            <w:r w:rsidRPr="00FA78B1">
              <w:t>Subparagraphs (</w:t>
            </w:r>
            <w:r w:rsidR="0058591E" w:rsidRPr="00FA78B1">
              <w:t>i), (ii), (iv), (vi) and (vii)</w:t>
            </w:r>
          </w:p>
        </w:tc>
      </w:tr>
    </w:tbl>
    <w:p w:rsidR="0058591E" w:rsidRPr="00FA78B1" w:rsidRDefault="0058591E" w:rsidP="0058591E">
      <w:pPr>
        <w:pStyle w:val="SubsectionHead"/>
      </w:pPr>
      <w:r w:rsidRPr="00FA78B1">
        <w:lastRenderedPageBreak/>
        <w:t>New Zealand food industry organisations and bodies</w:t>
      </w:r>
    </w:p>
    <w:p w:rsidR="0058591E" w:rsidRPr="00FA78B1" w:rsidRDefault="0058591E" w:rsidP="0058591E">
      <w:pPr>
        <w:pStyle w:val="subsection"/>
      </w:pPr>
      <w:r w:rsidRPr="00FA78B1">
        <w:tab/>
        <w:t>(4)</w:t>
      </w:r>
      <w:r w:rsidRPr="00FA78B1">
        <w:tab/>
        <w:t>For paragraph</w:t>
      </w:r>
      <w:r w:rsidR="00FA78B1" w:rsidRPr="00FA78B1">
        <w:t> </w:t>
      </w:r>
      <w:r w:rsidRPr="00FA78B1">
        <w:t>116(4)(b) of the Act, an organisation or public body of New Zealand mentioned in an item in the following table is prescribed for the purposes of each subparagraph of paragraph</w:t>
      </w:r>
      <w:r w:rsidR="00FA78B1" w:rsidRPr="00FA78B1">
        <w:t> </w:t>
      </w:r>
      <w:r w:rsidRPr="00FA78B1">
        <w:t>116(4)(a) of the Act mentioned in that item.</w:t>
      </w:r>
    </w:p>
    <w:p w:rsidR="0058591E" w:rsidRPr="00FA78B1" w:rsidRDefault="0058591E" w:rsidP="0058591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58591E" w:rsidRPr="00FA78B1" w:rsidTr="00AE429C">
        <w:trPr>
          <w:tblHeader/>
        </w:trPr>
        <w:tc>
          <w:tcPr>
            <w:tcW w:w="7086" w:type="dxa"/>
            <w:gridSpan w:val="3"/>
            <w:tcBorders>
              <w:top w:val="single" w:sz="12" w:space="0" w:color="auto"/>
              <w:bottom w:val="single" w:sz="6" w:space="0" w:color="auto"/>
            </w:tcBorders>
            <w:shd w:val="clear" w:color="auto" w:fill="auto"/>
          </w:tcPr>
          <w:p w:rsidR="0058591E" w:rsidRPr="00FA78B1" w:rsidRDefault="0058591E" w:rsidP="00AE429C">
            <w:pPr>
              <w:pStyle w:val="TableHeading"/>
            </w:pPr>
            <w:r w:rsidRPr="00FA78B1">
              <w:t>New Zealand food industry organisations and bodies</w:t>
            </w:r>
          </w:p>
        </w:tc>
      </w:tr>
      <w:tr w:rsidR="0058591E" w:rsidRPr="00FA78B1" w:rsidTr="00AE429C">
        <w:trPr>
          <w:tblHeader/>
        </w:trPr>
        <w:tc>
          <w:tcPr>
            <w:tcW w:w="714" w:type="dxa"/>
            <w:tcBorders>
              <w:top w:val="single" w:sz="6" w:space="0" w:color="auto"/>
              <w:bottom w:val="single" w:sz="12" w:space="0" w:color="auto"/>
            </w:tcBorders>
            <w:shd w:val="clear" w:color="auto" w:fill="auto"/>
          </w:tcPr>
          <w:p w:rsidR="0058591E" w:rsidRPr="00FA78B1" w:rsidRDefault="0058591E" w:rsidP="00AE429C">
            <w:pPr>
              <w:pStyle w:val="TableHeading"/>
            </w:pPr>
            <w:r w:rsidRPr="00FA78B1">
              <w:t>Item</w:t>
            </w:r>
          </w:p>
        </w:tc>
        <w:tc>
          <w:tcPr>
            <w:tcW w:w="3186" w:type="dxa"/>
            <w:tcBorders>
              <w:top w:val="single" w:sz="6" w:space="0" w:color="auto"/>
              <w:bottom w:val="single" w:sz="12" w:space="0" w:color="auto"/>
            </w:tcBorders>
            <w:shd w:val="clear" w:color="auto" w:fill="auto"/>
          </w:tcPr>
          <w:p w:rsidR="0058591E" w:rsidRPr="00FA78B1" w:rsidRDefault="0058591E" w:rsidP="00AE429C">
            <w:pPr>
              <w:pStyle w:val="TableHeading"/>
            </w:pPr>
            <w:r w:rsidRPr="00FA78B1">
              <w:t>Organisation or body</w:t>
            </w:r>
          </w:p>
        </w:tc>
        <w:tc>
          <w:tcPr>
            <w:tcW w:w="3186" w:type="dxa"/>
            <w:tcBorders>
              <w:top w:val="single" w:sz="6" w:space="0" w:color="auto"/>
              <w:bottom w:val="single" w:sz="12" w:space="0" w:color="auto"/>
            </w:tcBorders>
            <w:shd w:val="clear" w:color="auto" w:fill="auto"/>
          </w:tcPr>
          <w:p w:rsidR="0058591E" w:rsidRPr="00FA78B1" w:rsidRDefault="0058591E" w:rsidP="00AE429C">
            <w:pPr>
              <w:pStyle w:val="TableHeading"/>
            </w:pPr>
            <w:r w:rsidRPr="00FA78B1">
              <w:t>Subparagraph of paragraph</w:t>
            </w:r>
            <w:r w:rsidR="00FA78B1" w:rsidRPr="00FA78B1">
              <w:t> </w:t>
            </w:r>
            <w:r w:rsidRPr="00FA78B1">
              <w:t>116(4)(a)</w:t>
            </w:r>
          </w:p>
        </w:tc>
      </w:tr>
      <w:tr w:rsidR="0058591E" w:rsidRPr="00FA78B1" w:rsidTr="00AE429C">
        <w:tc>
          <w:tcPr>
            <w:tcW w:w="714" w:type="dxa"/>
            <w:tcBorders>
              <w:top w:val="single" w:sz="12" w:space="0" w:color="auto"/>
            </w:tcBorders>
            <w:shd w:val="clear" w:color="auto" w:fill="auto"/>
          </w:tcPr>
          <w:p w:rsidR="0058591E" w:rsidRPr="00FA78B1" w:rsidRDefault="0058591E" w:rsidP="00AE429C">
            <w:pPr>
              <w:pStyle w:val="Tabletext"/>
            </w:pPr>
            <w:r w:rsidRPr="00FA78B1">
              <w:t>1</w:t>
            </w:r>
          </w:p>
        </w:tc>
        <w:tc>
          <w:tcPr>
            <w:tcW w:w="3186" w:type="dxa"/>
            <w:tcBorders>
              <w:top w:val="single" w:sz="12" w:space="0" w:color="auto"/>
            </w:tcBorders>
            <w:shd w:val="clear" w:color="auto" w:fill="auto"/>
          </w:tcPr>
          <w:p w:rsidR="0058591E" w:rsidRPr="00FA78B1" w:rsidRDefault="0058591E" w:rsidP="00AE429C">
            <w:pPr>
              <w:pStyle w:val="Tabletext"/>
            </w:pPr>
            <w:r w:rsidRPr="00FA78B1">
              <w:t>New Zealand Food and Grocery Council</w:t>
            </w:r>
          </w:p>
        </w:tc>
        <w:tc>
          <w:tcPr>
            <w:tcW w:w="3186" w:type="dxa"/>
            <w:tcBorders>
              <w:top w:val="single" w:sz="12" w:space="0" w:color="auto"/>
            </w:tcBorders>
            <w:shd w:val="clear" w:color="auto" w:fill="auto"/>
          </w:tcPr>
          <w:p w:rsidR="0058591E" w:rsidRPr="00FA78B1" w:rsidRDefault="00FA78B1" w:rsidP="00AE429C">
            <w:pPr>
              <w:pStyle w:val="Tabletext"/>
            </w:pPr>
            <w:r w:rsidRPr="00FA78B1">
              <w:t>Subparagraphs (</w:t>
            </w:r>
            <w:r w:rsidR="0058591E" w:rsidRPr="00FA78B1">
              <w:t>i), (ii), (iv), (v), (vi) and (vii)</w:t>
            </w:r>
          </w:p>
        </w:tc>
      </w:tr>
      <w:tr w:rsidR="0058591E" w:rsidRPr="00FA78B1" w:rsidTr="00AE429C">
        <w:tc>
          <w:tcPr>
            <w:tcW w:w="714" w:type="dxa"/>
            <w:tcBorders>
              <w:bottom w:val="single" w:sz="4" w:space="0" w:color="auto"/>
            </w:tcBorders>
            <w:shd w:val="clear" w:color="auto" w:fill="auto"/>
          </w:tcPr>
          <w:p w:rsidR="0058591E" w:rsidRPr="00FA78B1" w:rsidRDefault="0058591E" w:rsidP="00AE429C">
            <w:pPr>
              <w:pStyle w:val="Tabletext"/>
            </w:pPr>
            <w:r w:rsidRPr="00FA78B1">
              <w:t>2</w:t>
            </w:r>
          </w:p>
        </w:tc>
        <w:tc>
          <w:tcPr>
            <w:tcW w:w="3186" w:type="dxa"/>
            <w:tcBorders>
              <w:bottom w:val="single" w:sz="4" w:space="0" w:color="auto"/>
            </w:tcBorders>
            <w:shd w:val="clear" w:color="auto" w:fill="auto"/>
          </w:tcPr>
          <w:p w:rsidR="0058591E" w:rsidRPr="00FA78B1" w:rsidRDefault="0058591E" w:rsidP="00AE429C">
            <w:pPr>
              <w:pStyle w:val="Tabletext"/>
            </w:pPr>
            <w:r w:rsidRPr="00FA78B1">
              <w:t>New Zealand Retailers Association</w:t>
            </w:r>
          </w:p>
        </w:tc>
        <w:tc>
          <w:tcPr>
            <w:tcW w:w="3186" w:type="dxa"/>
            <w:tcBorders>
              <w:bottom w:val="single" w:sz="4" w:space="0" w:color="auto"/>
            </w:tcBorders>
            <w:shd w:val="clear" w:color="auto" w:fill="auto"/>
          </w:tcPr>
          <w:p w:rsidR="0058591E" w:rsidRPr="00FA78B1" w:rsidRDefault="00FA78B1" w:rsidP="00AE429C">
            <w:pPr>
              <w:pStyle w:val="Tabletext"/>
            </w:pPr>
            <w:r w:rsidRPr="00FA78B1">
              <w:t>Subparagraph (</w:t>
            </w:r>
            <w:r w:rsidR="0058591E" w:rsidRPr="00FA78B1">
              <w:t>ii)</w:t>
            </w:r>
          </w:p>
        </w:tc>
      </w:tr>
      <w:tr w:rsidR="0058591E" w:rsidRPr="00FA78B1" w:rsidTr="00AE429C">
        <w:tc>
          <w:tcPr>
            <w:tcW w:w="714" w:type="dxa"/>
            <w:tcBorders>
              <w:bottom w:val="single" w:sz="12" w:space="0" w:color="auto"/>
            </w:tcBorders>
            <w:shd w:val="clear" w:color="auto" w:fill="auto"/>
          </w:tcPr>
          <w:p w:rsidR="0058591E" w:rsidRPr="00FA78B1" w:rsidRDefault="0058591E" w:rsidP="00AE429C">
            <w:pPr>
              <w:pStyle w:val="Tabletext"/>
            </w:pPr>
            <w:r w:rsidRPr="00FA78B1">
              <w:t>3</w:t>
            </w:r>
          </w:p>
        </w:tc>
        <w:tc>
          <w:tcPr>
            <w:tcW w:w="3186" w:type="dxa"/>
            <w:tcBorders>
              <w:bottom w:val="single" w:sz="12" w:space="0" w:color="auto"/>
            </w:tcBorders>
            <w:shd w:val="clear" w:color="auto" w:fill="auto"/>
          </w:tcPr>
          <w:p w:rsidR="0058591E" w:rsidRPr="00FA78B1" w:rsidRDefault="0058591E" w:rsidP="00AE429C">
            <w:pPr>
              <w:pStyle w:val="Tabletext"/>
            </w:pPr>
            <w:r w:rsidRPr="00FA78B1">
              <w:t>The Grocery Retailers Association</w:t>
            </w:r>
          </w:p>
        </w:tc>
        <w:tc>
          <w:tcPr>
            <w:tcW w:w="3186" w:type="dxa"/>
            <w:tcBorders>
              <w:bottom w:val="single" w:sz="12" w:space="0" w:color="auto"/>
            </w:tcBorders>
            <w:shd w:val="clear" w:color="auto" w:fill="auto"/>
          </w:tcPr>
          <w:p w:rsidR="0058591E" w:rsidRPr="00FA78B1" w:rsidRDefault="00FA78B1" w:rsidP="00AE429C">
            <w:pPr>
              <w:pStyle w:val="Tabletext"/>
            </w:pPr>
            <w:r w:rsidRPr="00FA78B1">
              <w:t>Subparagraphs (</w:t>
            </w:r>
            <w:r w:rsidR="0058591E" w:rsidRPr="00FA78B1">
              <w:t>i), (ii) and (iv)</w:t>
            </w:r>
          </w:p>
        </w:tc>
      </w:tr>
    </w:tbl>
    <w:p w:rsidR="0058591E" w:rsidRPr="00FA78B1" w:rsidRDefault="003A42F6" w:rsidP="0058591E">
      <w:pPr>
        <w:pStyle w:val="ItemHead"/>
        <w:tabs>
          <w:tab w:val="left" w:pos="6663"/>
        </w:tabs>
      </w:pPr>
      <w:r w:rsidRPr="00FA78B1">
        <w:t>4</w:t>
      </w:r>
      <w:r w:rsidR="0058591E" w:rsidRPr="00FA78B1">
        <w:t xml:space="preserve">  Regulation</w:t>
      </w:r>
      <w:r w:rsidR="00FA78B1" w:rsidRPr="00FA78B1">
        <w:t> </w:t>
      </w:r>
      <w:r w:rsidR="0058591E" w:rsidRPr="00FA78B1">
        <w:t>10</w:t>
      </w:r>
    </w:p>
    <w:p w:rsidR="0058591E" w:rsidRPr="00FA78B1" w:rsidRDefault="0058591E" w:rsidP="0058591E">
      <w:pPr>
        <w:pStyle w:val="Item"/>
      </w:pPr>
      <w:r w:rsidRPr="00FA78B1">
        <w:t>Repeal the regulation.</w:t>
      </w:r>
    </w:p>
    <w:p w:rsidR="00EB4B28" w:rsidRPr="00FA78B1" w:rsidRDefault="003A42F6" w:rsidP="00EB4B28">
      <w:pPr>
        <w:pStyle w:val="ItemHead"/>
      </w:pPr>
      <w:r w:rsidRPr="00FA78B1">
        <w:t>5</w:t>
      </w:r>
      <w:r w:rsidR="00EB4B28" w:rsidRPr="00FA78B1">
        <w:t xml:space="preserve">  Paragraph 11(a)</w:t>
      </w:r>
    </w:p>
    <w:p w:rsidR="00EB4B28" w:rsidRPr="00FA78B1" w:rsidRDefault="00EB4B28" w:rsidP="00EB4B28">
      <w:pPr>
        <w:pStyle w:val="Item"/>
      </w:pPr>
      <w:r w:rsidRPr="00FA78B1">
        <w:t>Omit “a general procedure in Subdivision D of the Act”, substitute “an application to which Subdivision D of Division</w:t>
      </w:r>
      <w:r w:rsidR="00FA78B1" w:rsidRPr="00FA78B1">
        <w:t> </w:t>
      </w:r>
      <w:r w:rsidRPr="00FA78B1">
        <w:t>1 of Part</w:t>
      </w:r>
      <w:r w:rsidR="00FA78B1" w:rsidRPr="00FA78B1">
        <w:t> </w:t>
      </w:r>
      <w:r w:rsidRPr="00FA78B1">
        <w:t>3 of the Act (general procedure) applies”.</w:t>
      </w:r>
    </w:p>
    <w:p w:rsidR="00EB4B28" w:rsidRPr="00FA78B1" w:rsidRDefault="003A42F6" w:rsidP="00EB4B28">
      <w:pPr>
        <w:pStyle w:val="ItemHead"/>
      </w:pPr>
      <w:r w:rsidRPr="00FA78B1">
        <w:t>6</w:t>
      </w:r>
      <w:r w:rsidR="00EB4B28" w:rsidRPr="00FA78B1">
        <w:t xml:space="preserve">  Paragraph 11(b)</w:t>
      </w:r>
    </w:p>
    <w:p w:rsidR="00EB4B28" w:rsidRPr="00FA78B1" w:rsidRDefault="00EB4B28" w:rsidP="00EB4B28">
      <w:pPr>
        <w:pStyle w:val="Item"/>
      </w:pPr>
      <w:r w:rsidRPr="00FA78B1">
        <w:t>Omit “a minor procedure in Subdivision E of the Act”, substitute “an application to which Subdivision E of Division</w:t>
      </w:r>
      <w:r w:rsidR="00FA78B1" w:rsidRPr="00FA78B1">
        <w:t> </w:t>
      </w:r>
      <w:r w:rsidRPr="00FA78B1">
        <w:t>1 of Part</w:t>
      </w:r>
      <w:r w:rsidR="00FA78B1" w:rsidRPr="00FA78B1">
        <w:t> </w:t>
      </w:r>
      <w:r w:rsidRPr="00FA78B1">
        <w:t>3 of the Act (minor procedure) applies”.</w:t>
      </w:r>
    </w:p>
    <w:p w:rsidR="0058591E" w:rsidRPr="00FA78B1" w:rsidRDefault="002F6271" w:rsidP="0058591E">
      <w:pPr>
        <w:pStyle w:val="ItemHead"/>
      </w:pPr>
      <w:r w:rsidRPr="00FA78B1">
        <w:t>7</w:t>
      </w:r>
      <w:r w:rsidR="0058591E" w:rsidRPr="00FA78B1">
        <w:t xml:space="preserve">  Schedules</w:t>
      </w:r>
      <w:r w:rsidR="00FA78B1" w:rsidRPr="00FA78B1">
        <w:t> </w:t>
      </w:r>
      <w:r w:rsidR="0058591E" w:rsidRPr="00FA78B1">
        <w:t>1, 2 and 2A</w:t>
      </w:r>
    </w:p>
    <w:p w:rsidR="0058591E" w:rsidRPr="00FA78B1" w:rsidRDefault="0058591E" w:rsidP="002D361B">
      <w:pPr>
        <w:pStyle w:val="Item"/>
      </w:pPr>
      <w:r w:rsidRPr="00FA78B1">
        <w:t>Repeal the Schedules.</w:t>
      </w:r>
    </w:p>
    <w:sectPr w:rsidR="0058591E" w:rsidRPr="00FA78B1" w:rsidSect="009947D7">
      <w:headerReference w:type="even" r:id="rId20"/>
      <w:headerReference w:type="default" r:id="rId21"/>
      <w:footerReference w:type="even" r:id="rId22"/>
      <w:footerReference w:type="default" r:id="rId23"/>
      <w:headerReference w:type="first" r:id="rId24"/>
      <w:footerReference w:type="first" r:id="rId25"/>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4E1" w:rsidRDefault="00DC24E1" w:rsidP="0048364F">
      <w:pPr>
        <w:spacing w:line="240" w:lineRule="auto"/>
      </w:pPr>
      <w:r>
        <w:separator/>
      </w:r>
    </w:p>
  </w:endnote>
  <w:endnote w:type="continuationSeparator" w:id="0">
    <w:p w:rsidR="00DC24E1" w:rsidRDefault="00DC24E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4E1" w:rsidRPr="009947D7" w:rsidRDefault="00DC24E1" w:rsidP="009947D7">
    <w:pPr>
      <w:pStyle w:val="Footer"/>
      <w:tabs>
        <w:tab w:val="clear" w:pos="4153"/>
        <w:tab w:val="clear" w:pos="8306"/>
        <w:tab w:val="center" w:pos="4150"/>
        <w:tab w:val="right" w:pos="8307"/>
      </w:tabs>
      <w:spacing w:before="120"/>
      <w:rPr>
        <w:i/>
        <w:sz w:val="18"/>
      </w:rPr>
    </w:pPr>
    <w:r w:rsidRPr="009947D7">
      <w:rPr>
        <w:i/>
        <w:sz w:val="18"/>
      </w:rPr>
      <w:t xml:space="preserve"> </w:t>
    </w:r>
    <w:r w:rsidR="009947D7" w:rsidRPr="009947D7">
      <w:rPr>
        <w:i/>
        <w:sz w:val="18"/>
      </w:rPr>
      <w:t>OPC60990 -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7" w:rsidRDefault="009947D7" w:rsidP="009947D7">
    <w:pPr>
      <w:pStyle w:val="Footer"/>
    </w:pPr>
    <w:r w:rsidRPr="009947D7">
      <w:rPr>
        <w:i/>
        <w:sz w:val="18"/>
      </w:rPr>
      <w:t>OPC60990 -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4E1" w:rsidRPr="009947D7" w:rsidRDefault="00DC24E1" w:rsidP="002D361B">
    <w:pPr>
      <w:pStyle w:val="Footer"/>
      <w:rPr>
        <w:sz w:val="18"/>
      </w:rPr>
    </w:pPr>
  </w:p>
  <w:p w:rsidR="00DC24E1" w:rsidRPr="009947D7" w:rsidRDefault="009947D7" w:rsidP="009947D7">
    <w:pPr>
      <w:pStyle w:val="Footer"/>
      <w:rPr>
        <w:sz w:val="18"/>
      </w:rPr>
    </w:pPr>
    <w:r w:rsidRPr="009947D7">
      <w:rPr>
        <w:i/>
        <w:sz w:val="18"/>
      </w:rPr>
      <w:t>OPC60990 -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4E1" w:rsidRPr="009947D7" w:rsidRDefault="00DC24E1" w:rsidP="002D361B">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DC24E1" w:rsidRPr="009947D7" w:rsidTr="00AE429C">
      <w:tc>
        <w:tcPr>
          <w:tcW w:w="533" w:type="dxa"/>
          <w:tcBorders>
            <w:top w:val="nil"/>
            <w:left w:val="nil"/>
            <w:bottom w:val="nil"/>
            <w:right w:val="nil"/>
          </w:tcBorders>
        </w:tcPr>
        <w:p w:rsidR="00DC24E1" w:rsidRPr="009947D7" w:rsidRDefault="00DC24E1" w:rsidP="00AE429C">
          <w:pPr>
            <w:spacing w:line="0" w:lineRule="atLeast"/>
            <w:rPr>
              <w:rFonts w:cs="Times New Roman"/>
              <w:i/>
              <w:sz w:val="18"/>
            </w:rPr>
          </w:pPr>
          <w:r w:rsidRPr="009947D7">
            <w:rPr>
              <w:rFonts w:cs="Times New Roman"/>
              <w:i/>
              <w:sz w:val="18"/>
            </w:rPr>
            <w:fldChar w:fldCharType="begin"/>
          </w:r>
          <w:r w:rsidRPr="009947D7">
            <w:rPr>
              <w:rFonts w:cs="Times New Roman"/>
              <w:i/>
              <w:sz w:val="18"/>
            </w:rPr>
            <w:instrText xml:space="preserve"> PAGE </w:instrText>
          </w:r>
          <w:r w:rsidRPr="009947D7">
            <w:rPr>
              <w:rFonts w:cs="Times New Roman"/>
              <w:i/>
              <w:sz w:val="18"/>
            </w:rPr>
            <w:fldChar w:fldCharType="separate"/>
          </w:r>
          <w:r w:rsidR="00A828A1">
            <w:rPr>
              <w:rFonts w:cs="Times New Roman"/>
              <w:i/>
              <w:noProof/>
              <w:sz w:val="18"/>
            </w:rPr>
            <w:t>xi</w:t>
          </w:r>
          <w:r w:rsidRPr="009947D7">
            <w:rPr>
              <w:rFonts w:cs="Times New Roman"/>
              <w:i/>
              <w:sz w:val="18"/>
            </w:rPr>
            <w:fldChar w:fldCharType="end"/>
          </w:r>
        </w:p>
      </w:tc>
      <w:tc>
        <w:tcPr>
          <w:tcW w:w="5387" w:type="dxa"/>
          <w:tcBorders>
            <w:top w:val="nil"/>
            <w:left w:val="nil"/>
            <w:bottom w:val="nil"/>
            <w:right w:val="nil"/>
          </w:tcBorders>
        </w:tcPr>
        <w:p w:rsidR="00DC24E1" w:rsidRPr="009947D7" w:rsidRDefault="00DC24E1" w:rsidP="00AE429C">
          <w:pPr>
            <w:spacing w:line="0" w:lineRule="atLeast"/>
            <w:jc w:val="center"/>
            <w:rPr>
              <w:rFonts w:cs="Times New Roman"/>
              <w:i/>
              <w:sz w:val="18"/>
            </w:rPr>
          </w:pPr>
          <w:r w:rsidRPr="009947D7">
            <w:rPr>
              <w:rFonts w:cs="Times New Roman"/>
              <w:i/>
              <w:sz w:val="18"/>
            </w:rPr>
            <w:fldChar w:fldCharType="begin"/>
          </w:r>
          <w:r w:rsidRPr="009947D7">
            <w:rPr>
              <w:rFonts w:cs="Times New Roman"/>
              <w:i/>
              <w:sz w:val="18"/>
            </w:rPr>
            <w:instrText xml:space="preserve"> DOCPROPERTY ShortT </w:instrText>
          </w:r>
          <w:r w:rsidRPr="009947D7">
            <w:rPr>
              <w:rFonts w:cs="Times New Roman"/>
              <w:i/>
              <w:sz w:val="18"/>
            </w:rPr>
            <w:fldChar w:fldCharType="separate"/>
          </w:r>
          <w:r w:rsidR="00771504">
            <w:rPr>
              <w:rFonts w:cs="Times New Roman"/>
              <w:i/>
              <w:sz w:val="18"/>
            </w:rPr>
            <w:t>Food Standards Australia New Zealand Amendment (High Level Health Claims and Other Measures) Regulation 2015</w:t>
          </w:r>
          <w:r w:rsidRPr="009947D7">
            <w:rPr>
              <w:rFonts w:cs="Times New Roman"/>
              <w:i/>
              <w:sz w:val="18"/>
            </w:rPr>
            <w:fldChar w:fldCharType="end"/>
          </w:r>
        </w:p>
      </w:tc>
      <w:tc>
        <w:tcPr>
          <w:tcW w:w="1383" w:type="dxa"/>
          <w:tcBorders>
            <w:top w:val="nil"/>
            <w:left w:val="nil"/>
            <w:bottom w:val="nil"/>
            <w:right w:val="nil"/>
          </w:tcBorders>
        </w:tcPr>
        <w:p w:rsidR="00DC24E1" w:rsidRPr="009947D7" w:rsidRDefault="00DC24E1" w:rsidP="00AE429C">
          <w:pPr>
            <w:spacing w:line="0" w:lineRule="atLeast"/>
            <w:jc w:val="right"/>
            <w:rPr>
              <w:rFonts w:cs="Times New Roman"/>
              <w:i/>
              <w:sz w:val="18"/>
            </w:rPr>
          </w:pPr>
          <w:r w:rsidRPr="009947D7">
            <w:rPr>
              <w:rFonts w:cs="Times New Roman"/>
              <w:i/>
              <w:sz w:val="18"/>
            </w:rPr>
            <w:fldChar w:fldCharType="begin"/>
          </w:r>
          <w:r w:rsidRPr="009947D7">
            <w:rPr>
              <w:rFonts w:cs="Times New Roman"/>
              <w:i/>
              <w:sz w:val="18"/>
            </w:rPr>
            <w:instrText xml:space="preserve"> DOCPROPERTY ActNo </w:instrText>
          </w:r>
          <w:r w:rsidRPr="009947D7">
            <w:rPr>
              <w:rFonts w:cs="Times New Roman"/>
              <w:i/>
              <w:sz w:val="18"/>
            </w:rPr>
            <w:fldChar w:fldCharType="separate"/>
          </w:r>
          <w:r w:rsidR="00771504">
            <w:rPr>
              <w:rFonts w:cs="Times New Roman"/>
              <w:i/>
              <w:sz w:val="18"/>
            </w:rPr>
            <w:t>No. 61, 2015</w:t>
          </w:r>
          <w:r w:rsidRPr="009947D7">
            <w:rPr>
              <w:rFonts w:cs="Times New Roman"/>
              <w:i/>
              <w:sz w:val="18"/>
            </w:rPr>
            <w:fldChar w:fldCharType="end"/>
          </w:r>
        </w:p>
      </w:tc>
    </w:tr>
  </w:tbl>
  <w:p w:rsidR="00DC24E1" w:rsidRPr="009947D7" w:rsidRDefault="009947D7" w:rsidP="009947D7">
    <w:pPr>
      <w:rPr>
        <w:rFonts w:cs="Times New Roman"/>
        <w:i/>
        <w:sz w:val="18"/>
      </w:rPr>
    </w:pPr>
    <w:r w:rsidRPr="009947D7">
      <w:rPr>
        <w:rFonts w:cs="Times New Roman"/>
        <w:i/>
        <w:sz w:val="18"/>
      </w:rPr>
      <w:t>OPC60990 -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4E1" w:rsidRPr="00E33C1C" w:rsidRDefault="00DC24E1" w:rsidP="002D361B">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DC24E1" w:rsidTr="00AE429C">
      <w:tc>
        <w:tcPr>
          <w:tcW w:w="1383" w:type="dxa"/>
          <w:tcBorders>
            <w:top w:val="nil"/>
            <w:left w:val="nil"/>
            <w:bottom w:val="nil"/>
            <w:right w:val="nil"/>
          </w:tcBorders>
        </w:tcPr>
        <w:p w:rsidR="00DC24E1" w:rsidRDefault="00DC24E1" w:rsidP="00AE429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771504">
            <w:rPr>
              <w:i/>
              <w:sz w:val="18"/>
            </w:rPr>
            <w:t>No. 61, 2015</w:t>
          </w:r>
          <w:r w:rsidRPr="007A1328">
            <w:rPr>
              <w:i/>
              <w:sz w:val="18"/>
            </w:rPr>
            <w:fldChar w:fldCharType="end"/>
          </w:r>
        </w:p>
      </w:tc>
      <w:tc>
        <w:tcPr>
          <w:tcW w:w="5387" w:type="dxa"/>
          <w:tcBorders>
            <w:top w:val="nil"/>
            <w:left w:val="nil"/>
            <w:bottom w:val="nil"/>
            <w:right w:val="nil"/>
          </w:tcBorders>
        </w:tcPr>
        <w:p w:rsidR="00DC24E1" w:rsidRDefault="00DC24E1" w:rsidP="00AE429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71504">
            <w:rPr>
              <w:i/>
              <w:sz w:val="18"/>
            </w:rPr>
            <w:t>Food Standards Australia New Zealand Amendment (High Level Health Claims and Other Measures) Regulation 2015</w:t>
          </w:r>
          <w:r w:rsidRPr="007A1328">
            <w:rPr>
              <w:i/>
              <w:sz w:val="18"/>
            </w:rPr>
            <w:fldChar w:fldCharType="end"/>
          </w:r>
        </w:p>
      </w:tc>
      <w:tc>
        <w:tcPr>
          <w:tcW w:w="533" w:type="dxa"/>
          <w:tcBorders>
            <w:top w:val="nil"/>
            <w:left w:val="nil"/>
            <w:bottom w:val="nil"/>
            <w:right w:val="nil"/>
          </w:tcBorders>
        </w:tcPr>
        <w:p w:rsidR="00DC24E1" w:rsidRDefault="00DC24E1" w:rsidP="00AE429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12C1F">
            <w:rPr>
              <w:i/>
              <w:noProof/>
              <w:sz w:val="18"/>
            </w:rPr>
            <w:t>i</w:t>
          </w:r>
          <w:r w:rsidRPr="00ED79B6">
            <w:rPr>
              <w:i/>
              <w:sz w:val="18"/>
            </w:rPr>
            <w:fldChar w:fldCharType="end"/>
          </w:r>
        </w:p>
      </w:tc>
    </w:tr>
  </w:tbl>
  <w:p w:rsidR="00DC24E1" w:rsidRPr="00ED79B6" w:rsidRDefault="009947D7" w:rsidP="009947D7">
    <w:pPr>
      <w:rPr>
        <w:i/>
        <w:sz w:val="18"/>
      </w:rPr>
    </w:pPr>
    <w:r w:rsidRPr="009947D7">
      <w:rPr>
        <w:rFonts w:cs="Times New Roman"/>
        <w:i/>
        <w:sz w:val="18"/>
      </w:rPr>
      <w:t>OPC60990 -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4E1" w:rsidRPr="009947D7" w:rsidRDefault="00DC24E1" w:rsidP="002D361B">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DC24E1" w:rsidRPr="009947D7" w:rsidTr="00AE429C">
      <w:tc>
        <w:tcPr>
          <w:tcW w:w="533" w:type="dxa"/>
          <w:tcBorders>
            <w:top w:val="nil"/>
            <w:left w:val="nil"/>
            <w:bottom w:val="nil"/>
            <w:right w:val="nil"/>
          </w:tcBorders>
        </w:tcPr>
        <w:p w:rsidR="00DC24E1" w:rsidRPr="009947D7" w:rsidRDefault="00DC24E1" w:rsidP="00AE429C">
          <w:pPr>
            <w:spacing w:line="0" w:lineRule="atLeast"/>
            <w:rPr>
              <w:rFonts w:cs="Times New Roman"/>
              <w:i/>
              <w:sz w:val="18"/>
            </w:rPr>
          </w:pPr>
          <w:r w:rsidRPr="009947D7">
            <w:rPr>
              <w:rFonts w:cs="Times New Roman"/>
              <w:i/>
              <w:sz w:val="18"/>
            </w:rPr>
            <w:fldChar w:fldCharType="begin"/>
          </w:r>
          <w:r w:rsidRPr="009947D7">
            <w:rPr>
              <w:rFonts w:cs="Times New Roman"/>
              <w:i/>
              <w:sz w:val="18"/>
            </w:rPr>
            <w:instrText xml:space="preserve"> PAGE </w:instrText>
          </w:r>
          <w:r w:rsidRPr="009947D7">
            <w:rPr>
              <w:rFonts w:cs="Times New Roman"/>
              <w:i/>
              <w:sz w:val="18"/>
            </w:rPr>
            <w:fldChar w:fldCharType="separate"/>
          </w:r>
          <w:r w:rsidR="00512C1F">
            <w:rPr>
              <w:rFonts w:cs="Times New Roman"/>
              <w:i/>
              <w:noProof/>
              <w:sz w:val="18"/>
            </w:rPr>
            <w:t>16</w:t>
          </w:r>
          <w:r w:rsidRPr="009947D7">
            <w:rPr>
              <w:rFonts w:cs="Times New Roman"/>
              <w:i/>
              <w:sz w:val="18"/>
            </w:rPr>
            <w:fldChar w:fldCharType="end"/>
          </w:r>
        </w:p>
      </w:tc>
      <w:tc>
        <w:tcPr>
          <w:tcW w:w="5387" w:type="dxa"/>
          <w:tcBorders>
            <w:top w:val="nil"/>
            <w:left w:val="nil"/>
            <w:bottom w:val="nil"/>
            <w:right w:val="nil"/>
          </w:tcBorders>
        </w:tcPr>
        <w:p w:rsidR="00DC24E1" w:rsidRPr="009947D7" w:rsidRDefault="00DC24E1" w:rsidP="00AE429C">
          <w:pPr>
            <w:spacing w:line="0" w:lineRule="atLeast"/>
            <w:jc w:val="center"/>
            <w:rPr>
              <w:rFonts w:cs="Times New Roman"/>
              <w:i/>
              <w:sz w:val="18"/>
            </w:rPr>
          </w:pPr>
          <w:r w:rsidRPr="009947D7">
            <w:rPr>
              <w:rFonts w:cs="Times New Roman"/>
              <w:i/>
              <w:sz w:val="18"/>
            </w:rPr>
            <w:fldChar w:fldCharType="begin"/>
          </w:r>
          <w:r w:rsidRPr="009947D7">
            <w:rPr>
              <w:rFonts w:cs="Times New Roman"/>
              <w:i/>
              <w:sz w:val="18"/>
            </w:rPr>
            <w:instrText xml:space="preserve"> DOCPROPERTY ShortT </w:instrText>
          </w:r>
          <w:r w:rsidRPr="009947D7">
            <w:rPr>
              <w:rFonts w:cs="Times New Roman"/>
              <w:i/>
              <w:sz w:val="18"/>
            </w:rPr>
            <w:fldChar w:fldCharType="separate"/>
          </w:r>
          <w:r w:rsidR="00771504">
            <w:rPr>
              <w:rFonts w:cs="Times New Roman"/>
              <w:i/>
              <w:sz w:val="18"/>
            </w:rPr>
            <w:t>Food Standards Australia New Zealand Amendment (High Level Health Claims and Other Measures) Regulation 2015</w:t>
          </w:r>
          <w:r w:rsidRPr="009947D7">
            <w:rPr>
              <w:rFonts w:cs="Times New Roman"/>
              <w:i/>
              <w:sz w:val="18"/>
            </w:rPr>
            <w:fldChar w:fldCharType="end"/>
          </w:r>
        </w:p>
      </w:tc>
      <w:tc>
        <w:tcPr>
          <w:tcW w:w="1383" w:type="dxa"/>
          <w:tcBorders>
            <w:top w:val="nil"/>
            <w:left w:val="nil"/>
            <w:bottom w:val="nil"/>
            <w:right w:val="nil"/>
          </w:tcBorders>
        </w:tcPr>
        <w:p w:rsidR="00DC24E1" w:rsidRPr="009947D7" w:rsidRDefault="00DC24E1" w:rsidP="00AE429C">
          <w:pPr>
            <w:spacing w:line="0" w:lineRule="atLeast"/>
            <w:jc w:val="right"/>
            <w:rPr>
              <w:rFonts w:cs="Times New Roman"/>
              <w:i/>
              <w:sz w:val="18"/>
            </w:rPr>
          </w:pPr>
          <w:r w:rsidRPr="009947D7">
            <w:rPr>
              <w:rFonts w:cs="Times New Roman"/>
              <w:i/>
              <w:sz w:val="18"/>
            </w:rPr>
            <w:fldChar w:fldCharType="begin"/>
          </w:r>
          <w:r w:rsidRPr="009947D7">
            <w:rPr>
              <w:rFonts w:cs="Times New Roman"/>
              <w:i/>
              <w:sz w:val="18"/>
            </w:rPr>
            <w:instrText xml:space="preserve"> DOCPROPERTY ActNo </w:instrText>
          </w:r>
          <w:r w:rsidRPr="009947D7">
            <w:rPr>
              <w:rFonts w:cs="Times New Roman"/>
              <w:i/>
              <w:sz w:val="18"/>
            </w:rPr>
            <w:fldChar w:fldCharType="separate"/>
          </w:r>
          <w:r w:rsidR="00771504">
            <w:rPr>
              <w:rFonts w:cs="Times New Roman"/>
              <w:i/>
              <w:sz w:val="18"/>
            </w:rPr>
            <w:t>No. 61, 2015</w:t>
          </w:r>
          <w:r w:rsidRPr="009947D7">
            <w:rPr>
              <w:rFonts w:cs="Times New Roman"/>
              <w:i/>
              <w:sz w:val="18"/>
            </w:rPr>
            <w:fldChar w:fldCharType="end"/>
          </w:r>
        </w:p>
      </w:tc>
    </w:tr>
  </w:tbl>
  <w:p w:rsidR="00DC24E1" w:rsidRPr="009947D7" w:rsidRDefault="009947D7" w:rsidP="009947D7">
    <w:pPr>
      <w:rPr>
        <w:rFonts w:cs="Times New Roman"/>
        <w:i/>
        <w:sz w:val="18"/>
      </w:rPr>
    </w:pPr>
    <w:r w:rsidRPr="009947D7">
      <w:rPr>
        <w:rFonts w:cs="Times New Roman"/>
        <w:i/>
        <w:sz w:val="18"/>
      </w:rPr>
      <w:t>OPC60990 -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4E1" w:rsidRPr="00E33C1C" w:rsidRDefault="00DC24E1" w:rsidP="002D361B">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DC24E1" w:rsidTr="00AE429C">
      <w:tc>
        <w:tcPr>
          <w:tcW w:w="1383" w:type="dxa"/>
          <w:tcBorders>
            <w:top w:val="nil"/>
            <w:left w:val="nil"/>
            <w:bottom w:val="nil"/>
            <w:right w:val="nil"/>
          </w:tcBorders>
        </w:tcPr>
        <w:p w:rsidR="00DC24E1" w:rsidRDefault="00DC24E1" w:rsidP="00AE429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771504">
            <w:rPr>
              <w:i/>
              <w:sz w:val="18"/>
            </w:rPr>
            <w:t>No. 61, 2015</w:t>
          </w:r>
          <w:r w:rsidRPr="007A1328">
            <w:rPr>
              <w:i/>
              <w:sz w:val="18"/>
            </w:rPr>
            <w:fldChar w:fldCharType="end"/>
          </w:r>
        </w:p>
      </w:tc>
      <w:tc>
        <w:tcPr>
          <w:tcW w:w="5387" w:type="dxa"/>
          <w:tcBorders>
            <w:top w:val="nil"/>
            <w:left w:val="nil"/>
            <w:bottom w:val="nil"/>
            <w:right w:val="nil"/>
          </w:tcBorders>
        </w:tcPr>
        <w:p w:rsidR="00DC24E1" w:rsidRDefault="00DC24E1" w:rsidP="00AE429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71504">
            <w:rPr>
              <w:i/>
              <w:sz w:val="18"/>
            </w:rPr>
            <w:t>Food Standards Australia New Zealand Amendment (High Level Health Claims and Other Measures) Regulation 2015</w:t>
          </w:r>
          <w:r w:rsidRPr="007A1328">
            <w:rPr>
              <w:i/>
              <w:sz w:val="18"/>
            </w:rPr>
            <w:fldChar w:fldCharType="end"/>
          </w:r>
        </w:p>
      </w:tc>
      <w:tc>
        <w:tcPr>
          <w:tcW w:w="533" w:type="dxa"/>
          <w:tcBorders>
            <w:top w:val="nil"/>
            <w:left w:val="nil"/>
            <w:bottom w:val="nil"/>
            <w:right w:val="nil"/>
          </w:tcBorders>
        </w:tcPr>
        <w:p w:rsidR="00DC24E1" w:rsidRDefault="00DC24E1" w:rsidP="00AE429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12C1F">
            <w:rPr>
              <w:i/>
              <w:noProof/>
              <w:sz w:val="18"/>
            </w:rPr>
            <w:t>15</w:t>
          </w:r>
          <w:r w:rsidRPr="00ED79B6">
            <w:rPr>
              <w:i/>
              <w:sz w:val="18"/>
            </w:rPr>
            <w:fldChar w:fldCharType="end"/>
          </w:r>
        </w:p>
      </w:tc>
    </w:tr>
  </w:tbl>
  <w:p w:rsidR="00DC24E1" w:rsidRPr="00ED79B6" w:rsidRDefault="009947D7" w:rsidP="009947D7">
    <w:pPr>
      <w:rPr>
        <w:i/>
        <w:sz w:val="18"/>
      </w:rPr>
    </w:pPr>
    <w:r w:rsidRPr="009947D7">
      <w:rPr>
        <w:rFonts w:cs="Times New Roman"/>
        <w:i/>
        <w:sz w:val="18"/>
      </w:rPr>
      <w:t>OPC60990 -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4E1" w:rsidRPr="00E33C1C" w:rsidRDefault="00DC24E1" w:rsidP="002D361B">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DC24E1" w:rsidTr="00AE429C">
      <w:tc>
        <w:tcPr>
          <w:tcW w:w="1383" w:type="dxa"/>
          <w:tcBorders>
            <w:top w:val="nil"/>
            <w:left w:val="nil"/>
            <w:bottom w:val="nil"/>
            <w:right w:val="nil"/>
          </w:tcBorders>
        </w:tcPr>
        <w:p w:rsidR="00DC24E1" w:rsidRDefault="00DC24E1" w:rsidP="00AE429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771504">
            <w:rPr>
              <w:i/>
              <w:sz w:val="18"/>
            </w:rPr>
            <w:t>No. 61, 2015</w:t>
          </w:r>
          <w:r w:rsidRPr="007A1328">
            <w:rPr>
              <w:i/>
              <w:sz w:val="18"/>
            </w:rPr>
            <w:fldChar w:fldCharType="end"/>
          </w:r>
        </w:p>
      </w:tc>
      <w:tc>
        <w:tcPr>
          <w:tcW w:w="5387" w:type="dxa"/>
          <w:tcBorders>
            <w:top w:val="nil"/>
            <w:left w:val="nil"/>
            <w:bottom w:val="nil"/>
            <w:right w:val="nil"/>
          </w:tcBorders>
        </w:tcPr>
        <w:p w:rsidR="00DC24E1" w:rsidRDefault="00DC24E1" w:rsidP="00AE429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71504">
            <w:rPr>
              <w:i/>
              <w:sz w:val="18"/>
            </w:rPr>
            <w:t>Food Standards Australia New Zealand Amendment (High Level Health Claims and Other Measures) Regulation 2015</w:t>
          </w:r>
          <w:r w:rsidRPr="007A1328">
            <w:rPr>
              <w:i/>
              <w:sz w:val="18"/>
            </w:rPr>
            <w:fldChar w:fldCharType="end"/>
          </w:r>
        </w:p>
      </w:tc>
      <w:tc>
        <w:tcPr>
          <w:tcW w:w="533" w:type="dxa"/>
          <w:tcBorders>
            <w:top w:val="nil"/>
            <w:left w:val="nil"/>
            <w:bottom w:val="nil"/>
            <w:right w:val="nil"/>
          </w:tcBorders>
        </w:tcPr>
        <w:p w:rsidR="00DC24E1" w:rsidRDefault="00DC24E1" w:rsidP="00AE429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828A1">
            <w:rPr>
              <w:i/>
              <w:noProof/>
              <w:sz w:val="18"/>
            </w:rPr>
            <w:t>11</w:t>
          </w:r>
          <w:r w:rsidRPr="00ED79B6">
            <w:rPr>
              <w:i/>
              <w:sz w:val="18"/>
            </w:rPr>
            <w:fldChar w:fldCharType="end"/>
          </w:r>
        </w:p>
      </w:tc>
    </w:tr>
  </w:tbl>
  <w:p w:rsidR="00DC24E1" w:rsidRPr="00ED79B6" w:rsidRDefault="00DC24E1" w:rsidP="002D361B">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4E1" w:rsidRDefault="00DC24E1" w:rsidP="0048364F">
      <w:pPr>
        <w:spacing w:line="240" w:lineRule="auto"/>
      </w:pPr>
      <w:r>
        <w:separator/>
      </w:r>
    </w:p>
  </w:footnote>
  <w:footnote w:type="continuationSeparator" w:id="0">
    <w:p w:rsidR="00DC24E1" w:rsidRDefault="00DC24E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4E1" w:rsidRPr="005F1388" w:rsidRDefault="00DC24E1" w:rsidP="002D361B">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4E1" w:rsidRPr="005F1388" w:rsidRDefault="00DC24E1" w:rsidP="002D361B">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4E1" w:rsidRPr="005F1388" w:rsidRDefault="00DC24E1" w:rsidP="002D361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4E1" w:rsidRPr="00ED79B6" w:rsidRDefault="00DC24E1" w:rsidP="002D361B">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4E1" w:rsidRPr="00ED79B6" w:rsidRDefault="00DC24E1" w:rsidP="002D361B">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4E1" w:rsidRPr="00ED79B6" w:rsidRDefault="00DC24E1" w:rsidP="002D361B">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4E1" w:rsidRPr="00A961C4" w:rsidRDefault="00DC24E1" w:rsidP="002D361B">
    <w:pPr>
      <w:rPr>
        <w:b/>
        <w:sz w:val="20"/>
      </w:rPr>
    </w:pPr>
    <w:r>
      <w:rPr>
        <w:b/>
        <w:sz w:val="20"/>
      </w:rPr>
      <w:fldChar w:fldCharType="begin"/>
    </w:r>
    <w:r>
      <w:rPr>
        <w:b/>
        <w:sz w:val="20"/>
      </w:rPr>
      <w:instrText xml:space="preserve"> STYLEREF CharAmSchNo </w:instrText>
    </w:r>
    <w:r w:rsidR="00512C1F">
      <w:rPr>
        <w:b/>
        <w:sz w:val="20"/>
      </w:rPr>
      <w:fldChar w:fldCharType="separate"/>
    </w:r>
    <w:r w:rsidR="00512C1F">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512C1F">
      <w:rPr>
        <w:sz w:val="20"/>
      </w:rPr>
      <w:fldChar w:fldCharType="separate"/>
    </w:r>
    <w:r w:rsidR="00512C1F">
      <w:rPr>
        <w:noProof/>
        <w:sz w:val="20"/>
      </w:rPr>
      <w:t>Other amendments</w:t>
    </w:r>
    <w:r>
      <w:rPr>
        <w:sz w:val="20"/>
      </w:rPr>
      <w:fldChar w:fldCharType="end"/>
    </w:r>
  </w:p>
  <w:p w:rsidR="00DC24E1" w:rsidRPr="00A961C4" w:rsidRDefault="00DC24E1" w:rsidP="002D361B">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DC24E1" w:rsidRPr="00A961C4" w:rsidRDefault="00DC24E1" w:rsidP="002D361B">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4E1" w:rsidRPr="00A961C4" w:rsidRDefault="00DC24E1" w:rsidP="002D361B">
    <w:pPr>
      <w:jc w:val="right"/>
      <w:rPr>
        <w:sz w:val="20"/>
      </w:rPr>
    </w:pPr>
    <w:r w:rsidRPr="00A961C4">
      <w:rPr>
        <w:sz w:val="20"/>
      </w:rPr>
      <w:fldChar w:fldCharType="begin"/>
    </w:r>
    <w:r w:rsidRPr="00A961C4">
      <w:rPr>
        <w:sz w:val="20"/>
      </w:rPr>
      <w:instrText xml:space="preserve"> STYLEREF CharAmSchText </w:instrText>
    </w:r>
    <w:r w:rsidR="00512C1F">
      <w:rPr>
        <w:sz w:val="20"/>
      </w:rPr>
      <w:fldChar w:fldCharType="separate"/>
    </w:r>
    <w:r w:rsidR="00512C1F">
      <w:rPr>
        <w:noProof/>
        <w:sz w:val="20"/>
      </w:rPr>
      <w:t>Other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512C1F">
      <w:rPr>
        <w:b/>
        <w:sz w:val="20"/>
      </w:rPr>
      <w:fldChar w:fldCharType="separate"/>
    </w:r>
    <w:r w:rsidR="00512C1F">
      <w:rPr>
        <w:b/>
        <w:noProof/>
        <w:sz w:val="20"/>
      </w:rPr>
      <w:t>Schedule 2</w:t>
    </w:r>
    <w:r>
      <w:rPr>
        <w:b/>
        <w:sz w:val="20"/>
      </w:rPr>
      <w:fldChar w:fldCharType="end"/>
    </w:r>
  </w:p>
  <w:p w:rsidR="00DC24E1" w:rsidRPr="00A961C4" w:rsidRDefault="00DC24E1" w:rsidP="002D361B">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DC24E1" w:rsidRPr="00A961C4" w:rsidRDefault="00DC24E1" w:rsidP="002D361B">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4E1" w:rsidRPr="00A961C4" w:rsidRDefault="00DC24E1" w:rsidP="002D36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7E7033D"/>
    <w:multiLevelType w:val="hybridMultilevel"/>
    <w:tmpl w:val="BEEAA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doNotDisplayPageBoundaries/>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1EC"/>
    <w:rsid w:val="000041C6"/>
    <w:rsid w:val="000063E4"/>
    <w:rsid w:val="00011222"/>
    <w:rsid w:val="000113BC"/>
    <w:rsid w:val="000136AF"/>
    <w:rsid w:val="00025060"/>
    <w:rsid w:val="0004044E"/>
    <w:rsid w:val="000458FC"/>
    <w:rsid w:val="00055D88"/>
    <w:rsid w:val="000614BF"/>
    <w:rsid w:val="000C4E79"/>
    <w:rsid w:val="000C629C"/>
    <w:rsid w:val="000D05EF"/>
    <w:rsid w:val="000E09ED"/>
    <w:rsid w:val="000E1D87"/>
    <w:rsid w:val="000F21C1"/>
    <w:rsid w:val="000F7427"/>
    <w:rsid w:val="0010745C"/>
    <w:rsid w:val="00113782"/>
    <w:rsid w:val="00116975"/>
    <w:rsid w:val="00126F1A"/>
    <w:rsid w:val="00154EAC"/>
    <w:rsid w:val="001643C9"/>
    <w:rsid w:val="00165568"/>
    <w:rsid w:val="00166C2F"/>
    <w:rsid w:val="001716C9"/>
    <w:rsid w:val="00171EAE"/>
    <w:rsid w:val="00184BB5"/>
    <w:rsid w:val="001907E9"/>
    <w:rsid w:val="00191859"/>
    <w:rsid w:val="00193461"/>
    <w:rsid w:val="001939E1"/>
    <w:rsid w:val="00195382"/>
    <w:rsid w:val="001958C6"/>
    <w:rsid w:val="001B3097"/>
    <w:rsid w:val="001B7A5D"/>
    <w:rsid w:val="001C69C4"/>
    <w:rsid w:val="001D4229"/>
    <w:rsid w:val="001D7F83"/>
    <w:rsid w:val="001E16D0"/>
    <w:rsid w:val="001E3590"/>
    <w:rsid w:val="001E562E"/>
    <w:rsid w:val="001E6068"/>
    <w:rsid w:val="001E7407"/>
    <w:rsid w:val="001F5DAF"/>
    <w:rsid w:val="001F6924"/>
    <w:rsid w:val="00201D27"/>
    <w:rsid w:val="002057F7"/>
    <w:rsid w:val="0020771A"/>
    <w:rsid w:val="0022506E"/>
    <w:rsid w:val="00225C89"/>
    <w:rsid w:val="00231427"/>
    <w:rsid w:val="0023554B"/>
    <w:rsid w:val="00240749"/>
    <w:rsid w:val="00263A85"/>
    <w:rsid w:val="00265FBC"/>
    <w:rsid w:val="00266AF0"/>
    <w:rsid w:val="00266D05"/>
    <w:rsid w:val="00267DB7"/>
    <w:rsid w:val="00267FE2"/>
    <w:rsid w:val="0027565A"/>
    <w:rsid w:val="0029233E"/>
    <w:rsid w:val="002932B1"/>
    <w:rsid w:val="00295408"/>
    <w:rsid w:val="00297ECB"/>
    <w:rsid w:val="002A0FFD"/>
    <w:rsid w:val="002A2CA1"/>
    <w:rsid w:val="002B2731"/>
    <w:rsid w:val="002B5B89"/>
    <w:rsid w:val="002B7D96"/>
    <w:rsid w:val="002D043A"/>
    <w:rsid w:val="002D361B"/>
    <w:rsid w:val="002F6271"/>
    <w:rsid w:val="00304A42"/>
    <w:rsid w:val="00304E75"/>
    <w:rsid w:val="00304FAB"/>
    <w:rsid w:val="003072FA"/>
    <w:rsid w:val="0031713F"/>
    <w:rsid w:val="003261AB"/>
    <w:rsid w:val="003415D3"/>
    <w:rsid w:val="00351469"/>
    <w:rsid w:val="00352B0F"/>
    <w:rsid w:val="00355068"/>
    <w:rsid w:val="00361BD9"/>
    <w:rsid w:val="00363549"/>
    <w:rsid w:val="003801D0"/>
    <w:rsid w:val="00387DAE"/>
    <w:rsid w:val="0039228E"/>
    <w:rsid w:val="003926B5"/>
    <w:rsid w:val="003A42F6"/>
    <w:rsid w:val="003B04EC"/>
    <w:rsid w:val="003C52B9"/>
    <w:rsid w:val="003C5F2B"/>
    <w:rsid w:val="003D0BFE"/>
    <w:rsid w:val="003D5700"/>
    <w:rsid w:val="003D68BF"/>
    <w:rsid w:val="003E0A92"/>
    <w:rsid w:val="003E5FF5"/>
    <w:rsid w:val="003F4CA9"/>
    <w:rsid w:val="003F567B"/>
    <w:rsid w:val="004010E7"/>
    <w:rsid w:val="00401403"/>
    <w:rsid w:val="004116CD"/>
    <w:rsid w:val="00411ED8"/>
    <w:rsid w:val="00412B83"/>
    <w:rsid w:val="00424CA9"/>
    <w:rsid w:val="00433910"/>
    <w:rsid w:val="0044291A"/>
    <w:rsid w:val="004541B9"/>
    <w:rsid w:val="004568BF"/>
    <w:rsid w:val="00460499"/>
    <w:rsid w:val="00471290"/>
    <w:rsid w:val="00480FB9"/>
    <w:rsid w:val="0048364F"/>
    <w:rsid w:val="00486382"/>
    <w:rsid w:val="00496F97"/>
    <w:rsid w:val="004A2484"/>
    <w:rsid w:val="004B6EC9"/>
    <w:rsid w:val="004C0255"/>
    <w:rsid w:val="004C5B5A"/>
    <w:rsid w:val="004C6444"/>
    <w:rsid w:val="004C6DE1"/>
    <w:rsid w:val="004F04EE"/>
    <w:rsid w:val="004F1FAC"/>
    <w:rsid w:val="004F3A90"/>
    <w:rsid w:val="004F676E"/>
    <w:rsid w:val="005018F8"/>
    <w:rsid w:val="005127D5"/>
    <w:rsid w:val="00512C1F"/>
    <w:rsid w:val="00516B8D"/>
    <w:rsid w:val="00525E4E"/>
    <w:rsid w:val="005311C0"/>
    <w:rsid w:val="00537FBC"/>
    <w:rsid w:val="00543469"/>
    <w:rsid w:val="00557C7A"/>
    <w:rsid w:val="0057385E"/>
    <w:rsid w:val="00583E88"/>
    <w:rsid w:val="00584811"/>
    <w:rsid w:val="005851A5"/>
    <w:rsid w:val="0058591E"/>
    <w:rsid w:val="0058646E"/>
    <w:rsid w:val="00591E07"/>
    <w:rsid w:val="00593AA6"/>
    <w:rsid w:val="00594161"/>
    <w:rsid w:val="00594749"/>
    <w:rsid w:val="005B4067"/>
    <w:rsid w:val="005C12DE"/>
    <w:rsid w:val="005C3F41"/>
    <w:rsid w:val="005C58BC"/>
    <w:rsid w:val="005D6BEE"/>
    <w:rsid w:val="005E4EE3"/>
    <w:rsid w:val="005E552A"/>
    <w:rsid w:val="005E68F2"/>
    <w:rsid w:val="005E779A"/>
    <w:rsid w:val="005F05E4"/>
    <w:rsid w:val="00600219"/>
    <w:rsid w:val="00603184"/>
    <w:rsid w:val="00620C83"/>
    <w:rsid w:val="006241FC"/>
    <w:rsid w:val="00624833"/>
    <w:rsid w:val="006249E6"/>
    <w:rsid w:val="00630733"/>
    <w:rsid w:val="00635E76"/>
    <w:rsid w:val="0064468A"/>
    <w:rsid w:val="006511EA"/>
    <w:rsid w:val="00654CCA"/>
    <w:rsid w:val="00656DE9"/>
    <w:rsid w:val="00663BDD"/>
    <w:rsid w:val="0066491D"/>
    <w:rsid w:val="00665F60"/>
    <w:rsid w:val="00677700"/>
    <w:rsid w:val="00677CC2"/>
    <w:rsid w:val="00680F17"/>
    <w:rsid w:val="00685F42"/>
    <w:rsid w:val="00687055"/>
    <w:rsid w:val="00690A8D"/>
    <w:rsid w:val="0069207B"/>
    <w:rsid w:val="006937E2"/>
    <w:rsid w:val="0069392E"/>
    <w:rsid w:val="006977FB"/>
    <w:rsid w:val="006A45FC"/>
    <w:rsid w:val="006A5E88"/>
    <w:rsid w:val="006B262A"/>
    <w:rsid w:val="006B38A5"/>
    <w:rsid w:val="006B6A63"/>
    <w:rsid w:val="006C2C12"/>
    <w:rsid w:val="006C3FFF"/>
    <w:rsid w:val="006C7F8C"/>
    <w:rsid w:val="006D01EC"/>
    <w:rsid w:val="006D3667"/>
    <w:rsid w:val="006D4E91"/>
    <w:rsid w:val="006E004B"/>
    <w:rsid w:val="006E7147"/>
    <w:rsid w:val="006F0DFE"/>
    <w:rsid w:val="006F2C38"/>
    <w:rsid w:val="006F4D1B"/>
    <w:rsid w:val="00700834"/>
    <w:rsid w:val="00700B2C"/>
    <w:rsid w:val="00701E6A"/>
    <w:rsid w:val="007076F2"/>
    <w:rsid w:val="00711433"/>
    <w:rsid w:val="00713084"/>
    <w:rsid w:val="00721B4B"/>
    <w:rsid w:val="00722023"/>
    <w:rsid w:val="00730192"/>
    <w:rsid w:val="00731E00"/>
    <w:rsid w:val="00741A34"/>
    <w:rsid w:val="007440B7"/>
    <w:rsid w:val="00756EA8"/>
    <w:rsid w:val="007634AD"/>
    <w:rsid w:val="00766CF0"/>
    <w:rsid w:val="00771504"/>
    <w:rsid w:val="007715C9"/>
    <w:rsid w:val="00774EDD"/>
    <w:rsid w:val="007757EC"/>
    <w:rsid w:val="00776164"/>
    <w:rsid w:val="007769D4"/>
    <w:rsid w:val="00785062"/>
    <w:rsid w:val="00785AFA"/>
    <w:rsid w:val="007903AC"/>
    <w:rsid w:val="007A6104"/>
    <w:rsid w:val="007A7F9F"/>
    <w:rsid w:val="007D0E84"/>
    <w:rsid w:val="007E7D4A"/>
    <w:rsid w:val="007F7A00"/>
    <w:rsid w:val="00804B47"/>
    <w:rsid w:val="00826DA5"/>
    <w:rsid w:val="00833416"/>
    <w:rsid w:val="00846EB9"/>
    <w:rsid w:val="00856A31"/>
    <w:rsid w:val="00863B24"/>
    <w:rsid w:val="00874B69"/>
    <w:rsid w:val="008754D0"/>
    <w:rsid w:val="00877D48"/>
    <w:rsid w:val="00880795"/>
    <w:rsid w:val="00885A08"/>
    <w:rsid w:val="0089783B"/>
    <w:rsid w:val="008A26A6"/>
    <w:rsid w:val="008C1A5D"/>
    <w:rsid w:val="008D0EE0"/>
    <w:rsid w:val="008D4DF9"/>
    <w:rsid w:val="008D6B29"/>
    <w:rsid w:val="008D71FC"/>
    <w:rsid w:val="008E0B5A"/>
    <w:rsid w:val="008F07E3"/>
    <w:rsid w:val="008F4F1C"/>
    <w:rsid w:val="008F5B05"/>
    <w:rsid w:val="0090173B"/>
    <w:rsid w:val="00906ED9"/>
    <w:rsid w:val="00907271"/>
    <w:rsid w:val="00932377"/>
    <w:rsid w:val="00932A33"/>
    <w:rsid w:val="00947A9A"/>
    <w:rsid w:val="00951A0A"/>
    <w:rsid w:val="00977F47"/>
    <w:rsid w:val="009848EC"/>
    <w:rsid w:val="00993845"/>
    <w:rsid w:val="009947D7"/>
    <w:rsid w:val="009A1858"/>
    <w:rsid w:val="009B3629"/>
    <w:rsid w:val="009C49D8"/>
    <w:rsid w:val="009D20F5"/>
    <w:rsid w:val="009E3601"/>
    <w:rsid w:val="009E65E3"/>
    <w:rsid w:val="009F727E"/>
    <w:rsid w:val="00A1027A"/>
    <w:rsid w:val="00A2057D"/>
    <w:rsid w:val="00A231E2"/>
    <w:rsid w:val="00A2550D"/>
    <w:rsid w:val="00A26774"/>
    <w:rsid w:val="00A26DBE"/>
    <w:rsid w:val="00A326A4"/>
    <w:rsid w:val="00A4169B"/>
    <w:rsid w:val="00A4361F"/>
    <w:rsid w:val="00A5197F"/>
    <w:rsid w:val="00A64912"/>
    <w:rsid w:val="00A70A74"/>
    <w:rsid w:val="00A71387"/>
    <w:rsid w:val="00A71C4E"/>
    <w:rsid w:val="00A828A1"/>
    <w:rsid w:val="00A87AB9"/>
    <w:rsid w:val="00A92FB6"/>
    <w:rsid w:val="00AA4496"/>
    <w:rsid w:val="00AA485C"/>
    <w:rsid w:val="00AB3315"/>
    <w:rsid w:val="00AB5446"/>
    <w:rsid w:val="00AB7B41"/>
    <w:rsid w:val="00AC06B3"/>
    <w:rsid w:val="00AD5641"/>
    <w:rsid w:val="00AE429C"/>
    <w:rsid w:val="00AE50A2"/>
    <w:rsid w:val="00AF0336"/>
    <w:rsid w:val="00AF52E0"/>
    <w:rsid w:val="00AF6613"/>
    <w:rsid w:val="00B00902"/>
    <w:rsid w:val="00B032D8"/>
    <w:rsid w:val="00B06727"/>
    <w:rsid w:val="00B07887"/>
    <w:rsid w:val="00B117BA"/>
    <w:rsid w:val="00B242F8"/>
    <w:rsid w:val="00B332B8"/>
    <w:rsid w:val="00B33B3C"/>
    <w:rsid w:val="00B35E83"/>
    <w:rsid w:val="00B61D2C"/>
    <w:rsid w:val="00B63BDE"/>
    <w:rsid w:val="00B766DE"/>
    <w:rsid w:val="00B82FF6"/>
    <w:rsid w:val="00BA5026"/>
    <w:rsid w:val="00BB0210"/>
    <w:rsid w:val="00BB6E79"/>
    <w:rsid w:val="00BC2A44"/>
    <w:rsid w:val="00BC4F91"/>
    <w:rsid w:val="00BC5E73"/>
    <w:rsid w:val="00BD60E6"/>
    <w:rsid w:val="00BE253A"/>
    <w:rsid w:val="00BE719A"/>
    <w:rsid w:val="00BE720A"/>
    <w:rsid w:val="00BF4533"/>
    <w:rsid w:val="00C067E5"/>
    <w:rsid w:val="00C147AB"/>
    <w:rsid w:val="00C15528"/>
    <w:rsid w:val="00C164CA"/>
    <w:rsid w:val="00C21B63"/>
    <w:rsid w:val="00C41750"/>
    <w:rsid w:val="00C42BF8"/>
    <w:rsid w:val="00C460AE"/>
    <w:rsid w:val="00C50043"/>
    <w:rsid w:val="00C5034E"/>
    <w:rsid w:val="00C63713"/>
    <w:rsid w:val="00C7573B"/>
    <w:rsid w:val="00C76CF3"/>
    <w:rsid w:val="00C77E30"/>
    <w:rsid w:val="00C814F5"/>
    <w:rsid w:val="00C97B10"/>
    <w:rsid w:val="00CA08BF"/>
    <w:rsid w:val="00CA3EAD"/>
    <w:rsid w:val="00CA7B3A"/>
    <w:rsid w:val="00CB0180"/>
    <w:rsid w:val="00CB3470"/>
    <w:rsid w:val="00CB6D89"/>
    <w:rsid w:val="00CD606E"/>
    <w:rsid w:val="00CD7ECB"/>
    <w:rsid w:val="00CE37F7"/>
    <w:rsid w:val="00CF0BB2"/>
    <w:rsid w:val="00D0104A"/>
    <w:rsid w:val="00D13441"/>
    <w:rsid w:val="00D17B17"/>
    <w:rsid w:val="00D22477"/>
    <w:rsid w:val="00D243A3"/>
    <w:rsid w:val="00D333D9"/>
    <w:rsid w:val="00D33440"/>
    <w:rsid w:val="00D40403"/>
    <w:rsid w:val="00D42B6D"/>
    <w:rsid w:val="00D52EFE"/>
    <w:rsid w:val="00D63EF6"/>
    <w:rsid w:val="00D70DFB"/>
    <w:rsid w:val="00D766DF"/>
    <w:rsid w:val="00D83D21"/>
    <w:rsid w:val="00D84B58"/>
    <w:rsid w:val="00D925D1"/>
    <w:rsid w:val="00D93B6E"/>
    <w:rsid w:val="00DA6DF7"/>
    <w:rsid w:val="00DC24E1"/>
    <w:rsid w:val="00DD4C10"/>
    <w:rsid w:val="00E05704"/>
    <w:rsid w:val="00E05C46"/>
    <w:rsid w:val="00E101C6"/>
    <w:rsid w:val="00E24CB6"/>
    <w:rsid w:val="00E30206"/>
    <w:rsid w:val="00E33C1C"/>
    <w:rsid w:val="00E4084B"/>
    <w:rsid w:val="00E414C2"/>
    <w:rsid w:val="00E4230F"/>
    <w:rsid w:val="00E429F5"/>
    <w:rsid w:val="00E443FC"/>
    <w:rsid w:val="00E45FE7"/>
    <w:rsid w:val="00E476B8"/>
    <w:rsid w:val="00E54292"/>
    <w:rsid w:val="00E55BCD"/>
    <w:rsid w:val="00E73EC4"/>
    <w:rsid w:val="00E74DC7"/>
    <w:rsid w:val="00E76FAB"/>
    <w:rsid w:val="00E83E2E"/>
    <w:rsid w:val="00E84B32"/>
    <w:rsid w:val="00E87264"/>
    <w:rsid w:val="00E87699"/>
    <w:rsid w:val="00E90CF5"/>
    <w:rsid w:val="00EB0789"/>
    <w:rsid w:val="00EB20EB"/>
    <w:rsid w:val="00EB25BD"/>
    <w:rsid w:val="00EB4B28"/>
    <w:rsid w:val="00EB4B4F"/>
    <w:rsid w:val="00ED3A7D"/>
    <w:rsid w:val="00EE0FA7"/>
    <w:rsid w:val="00EF2E3A"/>
    <w:rsid w:val="00F047E2"/>
    <w:rsid w:val="00F078DC"/>
    <w:rsid w:val="00F13E86"/>
    <w:rsid w:val="00F24C35"/>
    <w:rsid w:val="00F30B10"/>
    <w:rsid w:val="00F56759"/>
    <w:rsid w:val="00F677A9"/>
    <w:rsid w:val="00F76358"/>
    <w:rsid w:val="00F769A1"/>
    <w:rsid w:val="00F84CF5"/>
    <w:rsid w:val="00FA2A4E"/>
    <w:rsid w:val="00FA420B"/>
    <w:rsid w:val="00FA78B1"/>
    <w:rsid w:val="00FB03B3"/>
    <w:rsid w:val="00FB192C"/>
    <w:rsid w:val="00FD7CFE"/>
    <w:rsid w:val="00FE7DDC"/>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A78B1"/>
    <w:pPr>
      <w:spacing w:line="260" w:lineRule="atLeast"/>
    </w:pPr>
    <w:rPr>
      <w:sz w:val="22"/>
    </w:rPr>
  </w:style>
  <w:style w:type="paragraph" w:styleId="Heading1">
    <w:name w:val="heading 1"/>
    <w:basedOn w:val="Normal"/>
    <w:next w:val="Normal"/>
    <w:link w:val="Heading1Char"/>
    <w:uiPriority w:val="9"/>
    <w:qFormat/>
    <w:rsid w:val="005859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859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591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8591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91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58591E"/>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58591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8591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8591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A78B1"/>
  </w:style>
  <w:style w:type="paragraph" w:customStyle="1" w:styleId="OPCParaBase">
    <w:name w:val="OPCParaBase"/>
    <w:qFormat/>
    <w:rsid w:val="00FA78B1"/>
    <w:pPr>
      <w:spacing w:line="260" w:lineRule="atLeast"/>
    </w:pPr>
    <w:rPr>
      <w:rFonts w:eastAsia="Times New Roman" w:cs="Times New Roman"/>
      <w:sz w:val="22"/>
      <w:lang w:eastAsia="en-AU"/>
    </w:rPr>
  </w:style>
  <w:style w:type="paragraph" w:customStyle="1" w:styleId="ShortT">
    <w:name w:val="ShortT"/>
    <w:basedOn w:val="OPCParaBase"/>
    <w:next w:val="Normal"/>
    <w:qFormat/>
    <w:rsid w:val="00FA78B1"/>
    <w:pPr>
      <w:spacing w:line="240" w:lineRule="auto"/>
    </w:pPr>
    <w:rPr>
      <w:b/>
      <w:sz w:val="40"/>
    </w:rPr>
  </w:style>
  <w:style w:type="paragraph" w:customStyle="1" w:styleId="ActHead1">
    <w:name w:val="ActHead 1"/>
    <w:aliases w:val="c"/>
    <w:basedOn w:val="OPCParaBase"/>
    <w:next w:val="Normal"/>
    <w:qFormat/>
    <w:rsid w:val="00FA78B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78B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78B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78B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78B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78B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78B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78B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78B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78B1"/>
  </w:style>
  <w:style w:type="paragraph" w:customStyle="1" w:styleId="Blocks">
    <w:name w:val="Blocks"/>
    <w:aliases w:val="bb"/>
    <w:basedOn w:val="OPCParaBase"/>
    <w:qFormat/>
    <w:rsid w:val="00FA78B1"/>
    <w:pPr>
      <w:spacing w:line="240" w:lineRule="auto"/>
    </w:pPr>
    <w:rPr>
      <w:sz w:val="24"/>
    </w:rPr>
  </w:style>
  <w:style w:type="paragraph" w:customStyle="1" w:styleId="BoxText">
    <w:name w:val="BoxText"/>
    <w:aliases w:val="bt"/>
    <w:basedOn w:val="OPCParaBase"/>
    <w:qFormat/>
    <w:rsid w:val="00FA78B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78B1"/>
    <w:rPr>
      <w:b/>
    </w:rPr>
  </w:style>
  <w:style w:type="paragraph" w:customStyle="1" w:styleId="BoxHeadItalic">
    <w:name w:val="BoxHeadItalic"/>
    <w:aliases w:val="bhi"/>
    <w:basedOn w:val="BoxText"/>
    <w:next w:val="BoxStep"/>
    <w:qFormat/>
    <w:rsid w:val="00FA78B1"/>
    <w:rPr>
      <w:i/>
    </w:rPr>
  </w:style>
  <w:style w:type="paragraph" w:customStyle="1" w:styleId="BoxList">
    <w:name w:val="BoxList"/>
    <w:aliases w:val="bl"/>
    <w:basedOn w:val="BoxText"/>
    <w:qFormat/>
    <w:rsid w:val="00FA78B1"/>
    <w:pPr>
      <w:ind w:left="1559" w:hanging="425"/>
    </w:pPr>
  </w:style>
  <w:style w:type="paragraph" w:customStyle="1" w:styleId="BoxNote">
    <w:name w:val="BoxNote"/>
    <w:aliases w:val="bn"/>
    <w:basedOn w:val="BoxText"/>
    <w:qFormat/>
    <w:rsid w:val="00FA78B1"/>
    <w:pPr>
      <w:tabs>
        <w:tab w:val="left" w:pos="1985"/>
      </w:tabs>
      <w:spacing w:before="122" w:line="198" w:lineRule="exact"/>
      <w:ind w:left="2948" w:hanging="1814"/>
    </w:pPr>
    <w:rPr>
      <w:sz w:val="18"/>
    </w:rPr>
  </w:style>
  <w:style w:type="paragraph" w:customStyle="1" w:styleId="BoxPara">
    <w:name w:val="BoxPara"/>
    <w:aliases w:val="bp"/>
    <w:basedOn w:val="BoxText"/>
    <w:qFormat/>
    <w:rsid w:val="00FA78B1"/>
    <w:pPr>
      <w:tabs>
        <w:tab w:val="right" w:pos="2268"/>
      </w:tabs>
      <w:ind w:left="2552" w:hanging="1418"/>
    </w:pPr>
  </w:style>
  <w:style w:type="paragraph" w:customStyle="1" w:styleId="BoxStep">
    <w:name w:val="BoxStep"/>
    <w:aliases w:val="bs"/>
    <w:basedOn w:val="BoxText"/>
    <w:qFormat/>
    <w:rsid w:val="00FA78B1"/>
    <w:pPr>
      <w:ind w:left="1985" w:hanging="851"/>
    </w:pPr>
  </w:style>
  <w:style w:type="character" w:customStyle="1" w:styleId="CharAmPartNo">
    <w:name w:val="CharAmPartNo"/>
    <w:basedOn w:val="OPCCharBase"/>
    <w:qFormat/>
    <w:rsid w:val="00FA78B1"/>
  </w:style>
  <w:style w:type="character" w:customStyle="1" w:styleId="CharAmPartText">
    <w:name w:val="CharAmPartText"/>
    <w:basedOn w:val="OPCCharBase"/>
    <w:qFormat/>
    <w:rsid w:val="00FA78B1"/>
  </w:style>
  <w:style w:type="character" w:customStyle="1" w:styleId="CharAmSchNo">
    <w:name w:val="CharAmSchNo"/>
    <w:basedOn w:val="OPCCharBase"/>
    <w:qFormat/>
    <w:rsid w:val="00FA78B1"/>
  </w:style>
  <w:style w:type="character" w:customStyle="1" w:styleId="CharAmSchText">
    <w:name w:val="CharAmSchText"/>
    <w:basedOn w:val="OPCCharBase"/>
    <w:qFormat/>
    <w:rsid w:val="00FA78B1"/>
  </w:style>
  <w:style w:type="character" w:customStyle="1" w:styleId="CharBoldItalic">
    <w:name w:val="CharBoldItalic"/>
    <w:basedOn w:val="OPCCharBase"/>
    <w:uiPriority w:val="1"/>
    <w:qFormat/>
    <w:rsid w:val="00FA78B1"/>
    <w:rPr>
      <w:b/>
      <w:i/>
    </w:rPr>
  </w:style>
  <w:style w:type="character" w:customStyle="1" w:styleId="CharChapNo">
    <w:name w:val="CharChapNo"/>
    <w:basedOn w:val="OPCCharBase"/>
    <w:uiPriority w:val="1"/>
    <w:qFormat/>
    <w:rsid w:val="00FA78B1"/>
  </w:style>
  <w:style w:type="character" w:customStyle="1" w:styleId="CharChapText">
    <w:name w:val="CharChapText"/>
    <w:basedOn w:val="OPCCharBase"/>
    <w:uiPriority w:val="1"/>
    <w:qFormat/>
    <w:rsid w:val="00FA78B1"/>
  </w:style>
  <w:style w:type="character" w:customStyle="1" w:styleId="CharDivNo">
    <w:name w:val="CharDivNo"/>
    <w:basedOn w:val="OPCCharBase"/>
    <w:uiPriority w:val="1"/>
    <w:qFormat/>
    <w:rsid w:val="00FA78B1"/>
  </w:style>
  <w:style w:type="character" w:customStyle="1" w:styleId="CharDivText">
    <w:name w:val="CharDivText"/>
    <w:basedOn w:val="OPCCharBase"/>
    <w:uiPriority w:val="1"/>
    <w:qFormat/>
    <w:rsid w:val="00FA78B1"/>
  </w:style>
  <w:style w:type="character" w:customStyle="1" w:styleId="CharItalic">
    <w:name w:val="CharItalic"/>
    <w:basedOn w:val="OPCCharBase"/>
    <w:uiPriority w:val="1"/>
    <w:qFormat/>
    <w:rsid w:val="00FA78B1"/>
    <w:rPr>
      <w:i/>
    </w:rPr>
  </w:style>
  <w:style w:type="character" w:customStyle="1" w:styleId="CharPartNo">
    <w:name w:val="CharPartNo"/>
    <w:basedOn w:val="OPCCharBase"/>
    <w:uiPriority w:val="1"/>
    <w:qFormat/>
    <w:rsid w:val="00FA78B1"/>
  </w:style>
  <w:style w:type="character" w:customStyle="1" w:styleId="CharPartText">
    <w:name w:val="CharPartText"/>
    <w:basedOn w:val="OPCCharBase"/>
    <w:uiPriority w:val="1"/>
    <w:qFormat/>
    <w:rsid w:val="00FA78B1"/>
  </w:style>
  <w:style w:type="character" w:customStyle="1" w:styleId="CharSectno">
    <w:name w:val="CharSectno"/>
    <w:basedOn w:val="OPCCharBase"/>
    <w:qFormat/>
    <w:rsid w:val="00FA78B1"/>
  </w:style>
  <w:style w:type="character" w:customStyle="1" w:styleId="CharSubdNo">
    <w:name w:val="CharSubdNo"/>
    <w:basedOn w:val="OPCCharBase"/>
    <w:uiPriority w:val="1"/>
    <w:qFormat/>
    <w:rsid w:val="00FA78B1"/>
  </w:style>
  <w:style w:type="character" w:customStyle="1" w:styleId="CharSubdText">
    <w:name w:val="CharSubdText"/>
    <w:basedOn w:val="OPCCharBase"/>
    <w:uiPriority w:val="1"/>
    <w:qFormat/>
    <w:rsid w:val="00FA78B1"/>
  </w:style>
  <w:style w:type="paragraph" w:customStyle="1" w:styleId="CTA--">
    <w:name w:val="CTA --"/>
    <w:basedOn w:val="OPCParaBase"/>
    <w:next w:val="Normal"/>
    <w:rsid w:val="00FA78B1"/>
    <w:pPr>
      <w:spacing w:before="60" w:line="240" w:lineRule="atLeast"/>
      <w:ind w:left="142" w:hanging="142"/>
    </w:pPr>
    <w:rPr>
      <w:sz w:val="20"/>
    </w:rPr>
  </w:style>
  <w:style w:type="paragraph" w:customStyle="1" w:styleId="CTA-">
    <w:name w:val="CTA -"/>
    <w:basedOn w:val="OPCParaBase"/>
    <w:rsid w:val="00FA78B1"/>
    <w:pPr>
      <w:spacing w:before="60" w:line="240" w:lineRule="atLeast"/>
      <w:ind w:left="85" w:hanging="85"/>
    </w:pPr>
    <w:rPr>
      <w:sz w:val="20"/>
    </w:rPr>
  </w:style>
  <w:style w:type="paragraph" w:customStyle="1" w:styleId="CTA---">
    <w:name w:val="CTA ---"/>
    <w:basedOn w:val="OPCParaBase"/>
    <w:next w:val="Normal"/>
    <w:rsid w:val="00FA78B1"/>
    <w:pPr>
      <w:spacing w:before="60" w:line="240" w:lineRule="atLeast"/>
      <w:ind w:left="198" w:hanging="198"/>
    </w:pPr>
    <w:rPr>
      <w:sz w:val="20"/>
    </w:rPr>
  </w:style>
  <w:style w:type="paragraph" w:customStyle="1" w:styleId="CTA----">
    <w:name w:val="CTA ----"/>
    <w:basedOn w:val="OPCParaBase"/>
    <w:next w:val="Normal"/>
    <w:rsid w:val="00FA78B1"/>
    <w:pPr>
      <w:spacing w:before="60" w:line="240" w:lineRule="atLeast"/>
      <w:ind w:left="255" w:hanging="255"/>
    </w:pPr>
    <w:rPr>
      <w:sz w:val="20"/>
    </w:rPr>
  </w:style>
  <w:style w:type="paragraph" w:customStyle="1" w:styleId="CTA1a">
    <w:name w:val="CTA 1(a)"/>
    <w:basedOn w:val="OPCParaBase"/>
    <w:rsid w:val="00FA78B1"/>
    <w:pPr>
      <w:tabs>
        <w:tab w:val="right" w:pos="414"/>
      </w:tabs>
      <w:spacing w:before="40" w:line="240" w:lineRule="atLeast"/>
      <w:ind w:left="675" w:hanging="675"/>
    </w:pPr>
    <w:rPr>
      <w:sz w:val="20"/>
    </w:rPr>
  </w:style>
  <w:style w:type="paragraph" w:customStyle="1" w:styleId="CTA1ai">
    <w:name w:val="CTA 1(a)(i)"/>
    <w:basedOn w:val="OPCParaBase"/>
    <w:rsid w:val="00FA78B1"/>
    <w:pPr>
      <w:tabs>
        <w:tab w:val="right" w:pos="1004"/>
      </w:tabs>
      <w:spacing w:before="40" w:line="240" w:lineRule="atLeast"/>
      <w:ind w:left="1253" w:hanging="1253"/>
    </w:pPr>
    <w:rPr>
      <w:sz w:val="20"/>
    </w:rPr>
  </w:style>
  <w:style w:type="paragraph" w:customStyle="1" w:styleId="CTA2a">
    <w:name w:val="CTA 2(a)"/>
    <w:basedOn w:val="OPCParaBase"/>
    <w:rsid w:val="00FA78B1"/>
    <w:pPr>
      <w:tabs>
        <w:tab w:val="right" w:pos="482"/>
      </w:tabs>
      <w:spacing w:before="40" w:line="240" w:lineRule="atLeast"/>
      <w:ind w:left="748" w:hanging="748"/>
    </w:pPr>
    <w:rPr>
      <w:sz w:val="20"/>
    </w:rPr>
  </w:style>
  <w:style w:type="paragraph" w:customStyle="1" w:styleId="CTA2ai">
    <w:name w:val="CTA 2(a)(i)"/>
    <w:basedOn w:val="OPCParaBase"/>
    <w:rsid w:val="00FA78B1"/>
    <w:pPr>
      <w:tabs>
        <w:tab w:val="right" w:pos="1089"/>
      </w:tabs>
      <w:spacing w:before="40" w:line="240" w:lineRule="atLeast"/>
      <w:ind w:left="1327" w:hanging="1327"/>
    </w:pPr>
    <w:rPr>
      <w:sz w:val="20"/>
    </w:rPr>
  </w:style>
  <w:style w:type="paragraph" w:customStyle="1" w:styleId="CTA3a">
    <w:name w:val="CTA 3(a)"/>
    <w:basedOn w:val="OPCParaBase"/>
    <w:rsid w:val="00FA78B1"/>
    <w:pPr>
      <w:tabs>
        <w:tab w:val="right" w:pos="556"/>
      </w:tabs>
      <w:spacing w:before="40" w:line="240" w:lineRule="atLeast"/>
      <w:ind w:left="805" w:hanging="805"/>
    </w:pPr>
    <w:rPr>
      <w:sz w:val="20"/>
    </w:rPr>
  </w:style>
  <w:style w:type="paragraph" w:customStyle="1" w:styleId="CTA3ai">
    <w:name w:val="CTA 3(a)(i)"/>
    <w:basedOn w:val="OPCParaBase"/>
    <w:rsid w:val="00FA78B1"/>
    <w:pPr>
      <w:tabs>
        <w:tab w:val="right" w:pos="1140"/>
      </w:tabs>
      <w:spacing w:before="40" w:line="240" w:lineRule="atLeast"/>
      <w:ind w:left="1361" w:hanging="1361"/>
    </w:pPr>
    <w:rPr>
      <w:sz w:val="20"/>
    </w:rPr>
  </w:style>
  <w:style w:type="paragraph" w:customStyle="1" w:styleId="CTA4a">
    <w:name w:val="CTA 4(a)"/>
    <w:basedOn w:val="OPCParaBase"/>
    <w:rsid w:val="00FA78B1"/>
    <w:pPr>
      <w:tabs>
        <w:tab w:val="right" w:pos="624"/>
      </w:tabs>
      <w:spacing w:before="40" w:line="240" w:lineRule="atLeast"/>
      <w:ind w:left="873" w:hanging="873"/>
    </w:pPr>
    <w:rPr>
      <w:sz w:val="20"/>
    </w:rPr>
  </w:style>
  <w:style w:type="paragraph" w:customStyle="1" w:styleId="CTA4ai">
    <w:name w:val="CTA 4(a)(i)"/>
    <w:basedOn w:val="OPCParaBase"/>
    <w:rsid w:val="00FA78B1"/>
    <w:pPr>
      <w:tabs>
        <w:tab w:val="right" w:pos="1213"/>
      </w:tabs>
      <w:spacing w:before="40" w:line="240" w:lineRule="atLeast"/>
      <w:ind w:left="1452" w:hanging="1452"/>
    </w:pPr>
    <w:rPr>
      <w:sz w:val="20"/>
    </w:rPr>
  </w:style>
  <w:style w:type="paragraph" w:customStyle="1" w:styleId="CTACAPS">
    <w:name w:val="CTA CAPS"/>
    <w:basedOn w:val="OPCParaBase"/>
    <w:rsid w:val="00FA78B1"/>
    <w:pPr>
      <w:spacing w:before="60" w:line="240" w:lineRule="atLeast"/>
    </w:pPr>
    <w:rPr>
      <w:sz w:val="20"/>
    </w:rPr>
  </w:style>
  <w:style w:type="paragraph" w:customStyle="1" w:styleId="CTAright">
    <w:name w:val="CTA right"/>
    <w:basedOn w:val="OPCParaBase"/>
    <w:rsid w:val="00FA78B1"/>
    <w:pPr>
      <w:spacing w:before="60" w:line="240" w:lineRule="auto"/>
      <w:jc w:val="right"/>
    </w:pPr>
    <w:rPr>
      <w:sz w:val="20"/>
    </w:rPr>
  </w:style>
  <w:style w:type="paragraph" w:customStyle="1" w:styleId="subsection">
    <w:name w:val="subsection"/>
    <w:aliases w:val="ss"/>
    <w:basedOn w:val="OPCParaBase"/>
    <w:rsid w:val="00FA78B1"/>
    <w:pPr>
      <w:tabs>
        <w:tab w:val="right" w:pos="1021"/>
      </w:tabs>
      <w:spacing w:before="180" w:line="240" w:lineRule="auto"/>
      <w:ind w:left="1134" w:hanging="1134"/>
    </w:pPr>
  </w:style>
  <w:style w:type="paragraph" w:customStyle="1" w:styleId="Definition">
    <w:name w:val="Definition"/>
    <w:aliases w:val="dd"/>
    <w:basedOn w:val="OPCParaBase"/>
    <w:rsid w:val="00FA78B1"/>
    <w:pPr>
      <w:spacing w:before="180" w:line="240" w:lineRule="auto"/>
      <w:ind w:left="1134"/>
    </w:pPr>
  </w:style>
  <w:style w:type="paragraph" w:customStyle="1" w:styleId="ETAsubitem">
    <w:name w:val="ETA(subitem)"/>
    <w:basedOn w:val="OPCParaBase"/>
    <w:rsid w:val="00FA78B1"/>
    <w:pPr>
      <w:tabs>
        <w:tab w:val="right" w:pos="340"/>
      </w:tabs>
      <w:spacing w:before="60" w:line="240" w:lineRule="auto"/>
      <w:ind w:left="454" w:hanging="454"/>
    </w:pPr>
    <w:rPr>
      <w:sz w:val="20"/>
    </w:rPr>
  </w:style>
  <w:style w:type="paragraph" w:customStyle="1" w:styleId="ETApara">
    <w:name w:val="ETA(para)"/>
    <w:basedOn w:val="OPCParaBase"/>
    <w:rsid w:val="00FA78B1"/>
    <w:pPr>
      <w:tabs>
        <w:tab w:val="right" w:pos="754"/>
      </w:tabs>
      <w:spacing w:before="60" w:line="240" w:lineRule="auto"/>
      <w:ind w:left="828" w:hanging="828"/>
    </w:pPr>
    <w:rPr>
      <w:sz w:val="20"/>
    </w:rPr>
  </w:style>
  <w:style w:type="paragraph" w:customStyle="1" w:styleId="ETAsubpara">
    <w:name w:val="ETA(subpara)"/>
    <w:basedOn w:val="OPCParaBase"/>
    <w:rsid w:val="00FA78B1"/>
    <w:pPr>
      <w:tabs>
        <w:tab w:val="right" w:pos="1083"/>
      </w:tabs>
      <w:spacing w:before="60" w:line="240" w:lineRule="auto"/>
      <w:ind w:left="1191" w:hanging="1191"/>
    </w:pPr>
    <w:rPr>
      <w:sz w:val="20"/>
    </w:rPr>
  </w:style>
  <w:style w:type="paragraph" w:customStyle="1" w:styleId="ETAsub-subpara">
    <w:name w:val="ETA(sub-subpara)"/>
    <w:basedOn w:val="OPCParaBase"/>
    <w:rsid w:val="00FA78B1"/>
    <w:pPr>
      <w:tabs>
        <w:tab w:val="right" w:pos="1412"/>
      </w:tabs>
      <w:spacing w:before="60" w:line="240" w:lineRule="auto"/>
      <w:ind w:left="1525" w:hanging="1525"/>
    </w:pPr>
    <w:rPr>
      <w:sz w:val="20"/>
    </w:rPr>
  </w:style>
  <w:style w:type="paragraph" w:customStyle="1" w:styleId="Formula">
    <w:name w:val="Formula"/>
    <w:basedOn w:val="OPCParaBase"/>
    <w:rsid w:val="00FA78B1"/>
    <w:pPr>
      <w:spacing w:line="240" w:lineRule="auto"/>
      <w:ind w:left="1134"/>
    </w:pPr>
    <w:rPr>
      <w:sz w:val="20"/>
    </w:rPr>
  </w:style>
  <w:style w:type="paragraph" w:styleId="Header">
    <w:name w:val="header"/>
    <w:basedOn w:val="OPCParaBase"/>
    <w:link w:val="HeaderChar"/>
    <w:unhideWhenUsed/>
    <w:rsid w:val="00FA78B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A78B1"/>
    <w:rPr>
      <w:rFonts w:eastAsia="Times New Roman" w:cs="Times New Roman"/>
      <w:sz w:val="16"/>
      <w:lang w:eastAsia="en-AU"/>
    </w:rPr>
  </w:style>
  <w:style w:type="paragraph" w:customStyle="1" w:styleId="House">
    <w:name w:val="House"/>
    <w:basedOn w:val="OPCParaBase"/>
    <w:rsid w:val="00FA78B1"/>
    <w:pPr>
      <w:spacing w:line="240" w:lineRule="auto"/>
    </w:pPr>
    <w:rPr>
      <w:sz w:val="28"/>
    </w:rPr>
  </w:style>
  <w:style w:type="paragraph" w:customStyle="1" w:styleId="Item">
    <w:name w:val="Item"/>
    <w:aliases w:val="i"/>
    <w:basedOn w:val="OPCParaBase"/>
    <w:next w:val="ItemHead"/>
    <w:rsid w:val="00FA78B1"/>
    <w:pPr>
      <w:keepLines/>
      <w:spacing w:before="80" w:line="240" w:lineRule="auto"/>
      <w:ind w:left="709"/>
    </w:pPr>
  </w:style>
  <w:style w:type="paragraph" w:customStyle="1" w:styleId="ItemHead">
    <w:name w:val="ItemHead"/>
    <w:aliases w:val="ih"/>
    <w:basedOn w:val="OPCParaBase"/>
    <w:next w:val="Item"/>
    <w:rsid w:val="00FA78B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78B1"/>
    <w:pPr>
      <w:spacing w:line="240" w:lineRule="auto"/>
    </w:pPr>
    <w:rPr>
      <w:b/>
      <w:sz w:val="32"/>
    </w:rPr>
  </w:style>
  <w:style w:type="paragraph" w:customStyle="1" w:styleId="notedraft">
    <w:name w:val="note(draft)"/>
    <w:aliases w:val="nd"/>
    <w:basedOn w:val="OPCParaBase"/>
    <w:rsid w:val="00FA78B1"/>
    <w:pPr>
      <w:spacing w:before="240" w:line="240" w:lineRule="auto"/>
      <w:ind w:left="284" w:hanging="284"/>
    </w:pPr>
    <w:rPr>
      <w:i/>
      <w:sz w:val="24"/>
    </w:rPr>
  </w:style>
  <w:style w:type="paragraph" w:customStyle="1" w:styleId="notemargin">
    <w:name w:val="note(margin)"/>
    <w:aliases w:val="nm"/>
    <w:basedOn w:val="OPCParaBase"/>
    <w:rsid w:val="00FA78B1"/>
    <w:pPr>
      <w:tabs>
        <w:tab w:val="left" w:pos="709"/>
      </w:tabs>
      <w:spacing w:before="122" w:line="198" w:lineRule="exact"/>
      <w:ind w:left="709" w:hanging="709"/>
    </w:pPr>
    <w:rPr>
      <w:sz w:val="18"/>
    </w:rPr>
  </w:style>
  <w:style w:type="paragraph" w:customStyle="1" w:styleId="noteToPara">
    <w:name w:val="noteToPara"/>
    <w:aliases w:val="ntp"/>
    <w:basedOn w:val="OPCParaBase"/>
    <w:rsid w:val="00FA78B1"/>
    <w:pPr>
      <w:spacing w:before="122" w:line="198" w:lineRule="exact"/>
      <w:ind w:left="2353" w:hanging="709"/>
    </w:pPr>
    <w:rPr>
      <w:sz w:val="18"/>
    </w:rPr>
  </w:style>
  <w:style w:type="paragraph" w:customStyle="1" w:styleId="noteParlAmend">
    <w:name w:val="note(ParlAmend)"/>
    <w:aliases w:val="npp"/>
    <w:basedOn w:val="OPCParaBase"/>
    <w:next w:val="ParlAmend"/>
    <w:rsid w:val="00FA78B1"/>
    <w:pPr>
      <w:spacing w:line="240" w:lineRule="auto"/>
      <w:jc w:val="right"/>
    </w:pPr>
    <w:rPr>
      <w:rFonts w:ascii="Arial" w:hAnsi="Arial"/>
      <w:b/>
      <w:i/>
    </w:rPr>
  </w:style>
  <w:style w:type="paragraph" w:customStyle="1" w:styleId="Page1">
    <w:name w:val="Page1"/>
    <w:basedOn w:val="OPCParaBase"/>
    <w:rsid w:val="00FA78B1"/>
    <w:pPr>
      <w:spacing w:before="5600" w:line="240" w:lineRule="auto"/>
    </w:pPr>
    <w:rPr>
      <w:b/>
      <w:sz w:val="32"/>
    </w:rPr>
  </w:style>
  <w:style w:type="paragraph" w:customStyle="1" w:styleId="PageBreak">
    <w:name w:val="PageBreak"/>
    <w:aliases w:val="pb"/>
    <w:basedOn w:val="OPCParaBase"/>
    <w:rsid w:val="00FA78B1"/>
    <w:pPr>
      <w:spacing w:line="240" w:lineRule="auto"/>
    </w:pPr>
    <w:rPr>
      <w:sz w:val="20"/>
    </w:rPr>
  </w:style>
  <w:style w:type="paragraph" w:customStyle="1" w:styleId="paragraphsub">
    <w:name w:val="paragraph(sub)"/>
    <w:aliases w:val="aa"/>
    <w:basedOn w:val="OPCParaBase"/>
    <w:rsid w:val="00FA78B1"/>
    <w:pPr>
      <w:tabs>
        <w:tab w:val="right" w:pos="1985"/>
      </w:tabs>
      <w:spacing w:before="40" w:line="240" w:lineRule="auto"/>
      <w:ind w:left="2098" w:hanging="2098"/>
    </w:pPr>
  </w:style>
  <w:style w:type="paragraph" w:customStyle="1" w:styleId="paragraphsub-sub">
    <w:name w:val="paragraph(sub-sub)"/>
    <w:aliases w:val="aaa"/>
    <w:basedOn w:val="OPCParaBase"/>
    <w:rsid w:val="00FA78B1"/>
    <w:pPr>
      <w:tabs>
        <w:tab w:val="right" w:pos="2722"/>
      </w:tabs>
      <w:spacing w:before="40" w:line="240" w:lineRule="auto"/>
      <w:ind w:left="2835" w:hanging="2835"/>
    </w:pPr>
  </w:style>
  <w:style w:type="paragraph" w:customStyle="1" w:styleId="paragraph">
    <w:name w:val="paragraph"/>
    <w:aliases w:val="a"/>
    <w:basedOn w:val="OPCParaBase"/>
    <w:rsid w:val="00FA78B1"/>
    <w:pPr>
      <w:tabs>
        <w:tab w:val="right" w:pos="1531"/>
      </w:tabs>
      <w:spacing w:before="40" w:line="240" w:lineRule="auto"/>
      <w:ind w:left="1644" w:hanging="1644"/>
    </w:pPr>
  </w:style>
  <w:style w:type="paragraph" w:customStyle="1" w:styleId="ParlAmend">
    <w:name w:val="ParlAmend"/>
    <w:aliases w:val="pp"/>
    <w:basedOn w:val="OPCParaBase"/>
    <w:rsid w:val="00FA78B1"/>
    <w:pPr>
      <w:spacing w:before="240" w:line="240" w:lineRule="atLeast"/>
      <w:ind w:hanging="567"/>
    </w:pPr>
    <w:rPr>
      <w:sz w:val="24"/>
    </w:rPr>
  </w:style>
  <w:style w:type="paragraph" w:customStyle="1" w:styleId="Penalty">
    <w:name w:val="Penalty"/>
    <w:basedOn w:val="OPCParaBase"/>
    <w:rsid w:val="00FA78B1"/>
    <w:pPr>
      <w:tabs>
        <w:tab w:val="left" w:pos="2977"/>
      </w:tabs>
      <w:spacing w:before="180" w:line="240" w:lineRule="auto"/>
      <w:ind w:left="1985" w:hanging="851"/>
    </w:pPr>
  </w:style>
  <w:style w:type="paragraph" w:customStyle="1" w:styleId="Portfolio">
    <w:name w:val="Portfolio"/>
    <w:basedOn w:val="OPCParaBase"/>
    <w:rsid w:val="00FA78B1"/>
    <w:pPr>
      <w:spacing w:line="240" w:lineRule="auto"/>
    </w:pPr>
    <w:rPr>
      <w:i/>
      <w:sz w:val="20"/>
    </w:rPr>
  </w:style>
  <w:style w:type="paragraph" w:customStyle="1" w:styleId="Preamble">
    <w:name w:val="Preamble"/>
    <w:basedOn w:val="OPCParaBase"/>
    <w:next w:val="Normal"/>
    <w:rsid w:val="00FA78B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78B1"/>
    <w:pPr>
      <w:spacing w:line="240" w:lineRule="auto"/>
    </w:pPr>
    <w:rPr>
      <w:i/>
      <w:sz w:val="20"/>
    </w:rPr>
  </w:style>
  <w:style w:type="paragraph" w:customStyle="1" w:styleId="Session">
    <w:name w:val="Session"/>
    <w:basedOn w:val="OPCParaBase"/>
    <w:rsid w:val="00FA78B1"/>
    <w:pPr>
      <w:spacing w:line="240" w:lineRule="auto"/>
    </w:pPr>
    <w:rPr>
      <w:sz w:val="28"/>
    </w:rPr>
  </w:style>
  <w:style w:type="paragraph" w:customStyle="1" w:styleId="Sponsor">
    <w:name w:val="Sponsor"/>
    <w:basedOn w:val="OPCParaBase"/>
    <w:rsid w:val="00FA78B1"/>
    <w:pPr>
      <w:spacing w:line="240" w:lineRule="auto"/>
    </w:pPr>
    <w:rPr>
      <w:i/>
    </w:rPr>
  </w:style>
  <w:style w:type="paragraph" w:customStyle="1" w:styleId="Subitem">
    <w:name w:val="Subitem"/>
    <w:aliases w:val="iss"/>
    <w:basedOn w:val="OPCParaBase"/>
    <w:rsid w:val="00FA78B1"/>
    <w:pPr>
      <w:spacing w:before="180" w:line="240" w:lineRule="auto"/>
      <w:ind w:left="709" w:hanging="709"/>
    </w:pPr>
  </w:style>
  <w:style w:type="paragraph" w:customStyle="1" w:styleId="SubitemHead">
    <w:name w:val="SubitemHead"/>
    <w:aliases w:val="issh"/>
    <w:basedOn w:val="OPCParaBase"/>
    <w:rsid w:val="00FA78B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78B1"/>
    <w:pPr>
      <w:spacing w:before="40" w:line="240" w:lineRule="auto"/>
      <w:ind w:left="1134"/>
    </w:pPr>
  </w:style>
  <w:style w:type="paragraph" w:customStyle="1" w:styleId="SubsectionHead">
    <w:name w:val="SubsectionHead"/>
    <w:aliases w:val="ssh"/>
    <w:basedOn w:val="OPCParaBase"/>
    <w:next w:val="subsection"/>
    <w:rsid w:val="00FA78B1"/>
    <w:pPr>
      <w:keepNext/>
      <w:keepLines/>
      <w:spacing w:before="240" w:line="240" w:lineRule="auto"/>
      <w:ind w:left="1134"/>
    </w:pPr>
    <w:rPr>
      <w:i/>
    </w:rPr>
  </w:style>
  <w:style w:type="paragraph" w:customStyle="1" w:styleId="Tablea">
    <w:name w:val="Table(a)"/>
    <w:aliases w:val="ta"/>
    <w:basedOn w:val="OPCParaBase"/>
    <w:rsid w:val="00FA78B1"/>
    <w:pPr>
      <w:spacing w:before="60" w:line="240" w:lineRule="auto"/>
      <w:ind w:left="284" w:hanging="284"/>
    </w:pPr>
    <w:rPr>
      <w:sz w:val="20"/>
    </w:rPr>
  </w:style>
  <w:style w:type="paragraph" w:customStyle="1" w:styleId="TableAA">
    <w:name w:val="Table(AA)"/>
    <w:aliases w:val="taaa"/>
    <w:basedOn w:val="OPCParaBase"/>
    <w:rsid w:val="00FA78B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78B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78B1"/>
    <w:pPr>
      <w:spacing w:before="60" w:line="240" w:lineRule="atLeast"/>
    </w:pPr>
    <w:rPr>
      <w:sz w:val="20"/>
    </w:rPr>
  </w:style>
  <w:style w:type="paragraph" w:customStyle="1" w:styleId="TLPBoxTextnote">
    <w:name w:val="TLPBoxText(note"/>
    <w:aliases w:val="right)"/>
    <w:basedOn w:val="OPCParaBase"/>
    <w:rsid w:val="00FA78B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78B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78B1"/>
    <w:pPr>
      <w:spacing w:before="122" w:line="198" w:lineRule="exact"/>
      <w:ind w:left="1985" w:hanging="851"/>
      <w:jc w:val="right"/>
    </w:pPr>
    <w:rPr>
      <w:sz w:val="18"/>
    </w:rPr>
  </w:style>
  <w:style w:type="paragraph" w:customStyle="1" w:styleId="TLPTableBullet">
    <w:name w:val="TLPTableBullet"/>
    <w:aliases w:val="ttb"/>
    <w:basedOn w:val="OPCParaBase"/>
    <w:rsid w:val="00FA78B1"/>
    <w:pPr>
      <w:spacing w:line="240" w:lineRule="exact"/>
      <w:ind w:left="284" w:hanging="284"/>
    </w:pPr>
    <w:rPr>
      <w:sz w:val="20"/>
    </w:rPr>
  </w:style>
  <w:style w:type="paragraph" w:styleId="TOC1">
    <w:name w:val="toc 1"/>
    <w:basedOn w:val="OPCParaBase"/>
    <w:next w:val="Normal"/>
    <w:uiPriority w:val="39"/>
    <w:unhideWhenUsed/>
    <w:rsid w:val="00FA78B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78B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A78B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A78B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A78B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A78B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A78B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A78B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A78B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78B1"/>
    <w:pPr>
      <w:keepLines/>
      <w:spacing w:before="240" w:after="120" w:line="240" w:lineRule="auto"/>
      <w:ind w:left="794"/>
    </w:pPr>
    <w:rPr>
      <w:b/>
      <w:kern w:val="28"/>
      <w:sz w:val="20"/>
    </w:rPr>
  </w:style>
  <w:style w:type="paragraph" w:customStyle="1" w:styleId="TofSectsHeading">
    <w:name w:val="TofSects(Heading)"/>
    <w:basedOn w:val="OPCParaBase"/>
    <w:rsid w:val="00FA78B1"/>
    <w:pPr>
      <w:spacing w:before="240" w:after="120" w:line="240" w:lineRule="auto"/>
    </w:pPr>
    <w:rPr>
      <w:b/>
      <w:sz w:val="24"/>
    </w:rPr>
  </w:style>
  <w:style w:type="paragraph" w:customStyle="1" w:styleId="TofSectsSection">
    <w:name w:val="TofSects(Section)"/>
    <w:basedOn w:val="OPCParaBase"/>
    <w:rsid w:val="00FA78B1"/>
    <w:pPr>
      <w:keepLines/>
      <w:spacing w:before="40" w:line="240" w:lineRule="auto"/>
      <w:ind w:left="1588" w:hanging="794"/>
    </w:pPr>
    <w:rPr>
      <w:kern w:val="28"/>
      <w:sz w:val="18"/>
    </w:rPr>
  </w:style>
  <w:style w:type="paragraph" w:customStyle="1" w:styleId="TofSectsSubdiv">
    <w:name w:val="TofSects(Subdiv)"/>
    <w:basedOn w:val="OPCParaBase"/>
    <w:rsid w:val="00FA78B1"/>
    <w:pPr>
      <w:keepLines/>
      <w:spacing w:before="80" w:line="240" w:lineRule="auto"/>
      <w:ind w:left="1588" w:hanging="794"/>
    </w:pPr>
    <w:rPr>
      <w:kern w:val="28"/>
    </w:rPr>
  </w:style>
  <w:style w:type="paragraph" w:customStyle="1" w:styleId="WRStyle">
    <w:name w:val="WR Style"/>
    <w:aliases w:val="WR"/>
    <w:basedOn w:val="OPCParaBase"/>
    <w:rsid w:val="00FA78B1"/>
    <w:pPr>
      <w:spacing w:before="240" w:line="240" w:lineRule="auto"/>
      <w:ind w:left="284" w:hanging="284"/>
    </w:pPr>
    <w:rPr>
      <w:b/>
      <w:i/>
      <w:kern w:val="28"/>
      <w:sz w:val="24"/>
    </w:rPr>
  </w:style>
  <w:style w:type="paragraph" w:customStyle="1" w:styleId="notepara">
    <w:name w:val="note(para)"/>
    <w:aliases w:val="na"/>
    <w:basedOn w:val="OPCParaBase"/>
    <w:rsid w:val="00FA78B1"/>
    <w:pPr>
      <w:spacing w:before="40" w:line="198" w:lineRule="exact"/>
      <w:ind w:left="2354" w:hanging="369"/>
    </w:pPr>
    <w:rPr>
      <w:sz w:val="18"/>
    </w:rPr>
  </w:style>
  <w:style w:type="paragraph" w:styleId="Footer">
    <w:name w:val="footer"/>
    <w:link w:val="FooterChar"/>
    <w:rsid w:val="00FA78B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A78B1"/>
    <w:rPr>
      <w:rFonts w:eastAsia="Times New Roman" w:cs="Times New Roman"/>
      <w:sz w:val="22"/>
      <w:szCs w:val="24"/>
      <w:lang w:eastAsia="en-AU"/>
    </w:rPr>
  </w:style>
  <w:style w:type="character" w:styleId="LineNumber">
    <w:name w:val="line number"/>
    <w:basedOn w:val="OPCCharBase"/>
    <w:uiPriority w:val="99"/>
    <w:semiHidden/>
    <w:unhideWhenUsed/>
    <w:rsid w:val="00FA78B1"/>
    <w:rPr>
      <w:sz w:val="16"/>
    </w:rPr>
  </w:style>
  <w:style w:type="table" w:customStyle="1" w:styleId="CFlag">
    <w:name w:val="CFlag"/>
    <w:basedOn w:val="TableNormal"/>
    <w:uiPriority w:val="99"/>
    <w:rsid w:val="00FA78B1"/>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78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8B1"/>
    <w:rPr>
      <w:rFonts w:ascii="Tahoma" w:hAnsi="Tahoma" w:cs="Tahoma"/>
      <w:sz w:val="16"/>
      <w:szCs w:val="16"/>
    </w:rPr>
  </w:style>
  <w:style w:type="character" w:styleId="Hyperlink">
    <w:name w:val="Hyperlink"/>
    <w:basedOn w:val="DefaultParagraphFont"/>
    <w:rsid w:val="00FA78B1"/>
    <w:rPr>
      <w:color w:val="0000FF"/>
      <w:u w:val="single"/>
    </w:rPr>
  </w:style>
  <w:style w:type="table" w:styleId="TableGrid">
    <w:name w:val="Table Grid"/>
    <w:basedOn w:val="TableNormal"/>
    <w:uiPriority w:val="59"/>
    <w:rsid w:val="00FA78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FA78B1"/>
    <w:rPr>
      <w:b/>
      <w:sz w:val="28"/>
      <w:szCs w:val="32"/>
    </w:rPr>
  </w:style>
  <w:style w:type="paragraph" w:customStyle="1" w:styleId="TerritoryT">
    <w:name w:val="TerritoryT"/>
    <w:basedOn w:val="OPCParaBase"/>
    <w:next w:val="Normal"/>
    <w:rsid w:val="00FA78B1"/>
    <w:rPr>
      <w:b/>
      <w:sz w:val="32"/>
    </w:rPr>
  </w:style>
  <w:style w:type="paragraph" w:customStyle="1" w:styleId="LegislationMadeUnder">
    <w:name w:val="LegislationMadeUnder"/>
    <w:basedOn w:val="OPCParaBase"/>
    <w:next w:val="Normal"/>
    <w:rsid w:val="00FA78B1"/>
    <w:rPr>
      <w:i/>
      <w:sz w:val="32"/>
      <w:szCs w:val="32"/>
    </w:rPr>
  </w:style>
  <w:style w:type="paragraph" w:customStyle="1" w:styleId="SignCoverPageEnd">
    <w:name w:val="SignCoverPageEnd"/>
    <w:basedOn w:val="OPCParaBase"/>
    <w:next w:val="Normal"/>
    <w:rsid w:val="00FA78B1"/>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A78B1"/>
    <w:pPr>
      <w:pBdr>
        <w:top w:val="single" w:sz="4" w:space="1" w:color="auto"/>
      </w:pBdr>
      <w:spacing w:before="360"/>
      <w:ind w:right="397"/>
      <w:jc w:val="both"/>
    </w:pPr>
  </w:style>
  <w:style w:type="paragraph" w:customStyle="1" w:styleId="NotesHeading1">
    <w:name w:val="NotesHeading 1"/>
    <w:basedOn w:val="OPCParaBase"/>
    <w:next w:val="Normal"/>
    <w:rsid w:val="00FA78B1"/>
    <w:rPr>
      <w:b/>
      <w:sz w:val="28"/>
      <w:szCs w:val="28"/>
    </w:rPr>
  </w:style>
  <w:style w:type="paragraph" w:customStyle="1" w:styleId="NotesHeading2">
    <w:name w:val="NotesHeading 2"/>
    <w:basedOn w:val="OPCParaBase"/>
    <w:next w:val="Normal"/>
    <w:rsid w:val="00FA78B1"/>
    <w:rPr>
      <w:b/>
      <w:sz w:val="28"/>
      <w:szCs w:val="28"/>
    </w:rPr>
  </w:style>
  <w:style w:type="paragraph" w:customStyle="1" w:styleId="ENotesText">
    <w:name w:val="ENotesText"/>
    <w:basedOn w:val="OPCParaBase"/>
    <w:next w:val="Normal"/>
    <w:rsid w:val="00FA78B1"/>
  </w:style>
  <w:style w:type="paragraph" w:customStyle="1" w:styleId="CompiledActNo">
    <w:name w:val="CompiledActNo"/>
    <w:basedOn w:val="OPCParaBase"/>
    <w:next w:val="Normal"/>
    <w:rsid w:val="00FA78B1"/>
    <w:rPr>
      <w:b/>
      <w:sz w:val="24"/>
      <w:szCs w:val="24"/>
    </w:rPr>
  </w:style>
  <w:style w:type="paragraph" w:customStyle="1" w:styleId="CompiledMadeUnder">
    <w:name w:val="CompiledMadeUnder"/>
    <w:basedOn w:val="OPCParaBase"/>
    <w:next w:val="Normal"/>
    <w:rsid w:val="00FA78B1"/>
    <w:rPr>
      <w:i/>
      <w:sz w:val="24"/>
      <w:szCs w:val="24"/>
    </w:rPr>
  </w:style>
  <w:style w:type="paragraph" w:customStyle="1" w:styleId="Paragraphsub-sub-sub">
    <w:name w:val="Paragraph(sub-sub-sub)"/>
    <w:aliases w:val="aaaa"/>
    <w:basedOn w:val="OPCParaBase"/>
    <w:rsid w:val="00FA78B1"/>
    <w:pPr>
      <w:tabs>
        <w:tab w:val="right" w:pos="3402"/>
      </w:tabs>
      <w:spacing w:before="40" w:line="240" w:lineRule="auto"/>
      <w:ind w:left="3402" w:hanging="3402"/>
    </w:pPr>
  </w:style>
  <w:style w:type="paragraph" w:customStyle="1" w:styleId="NoteToSubpara">
    <w:name w:val="NoteToSubpara"/>
    <w:aliases w:val="nts"/>
    <w:basedOn w:val="OPCParaBase"/>
    <w:rsid w:val="00FA78B1"/>
    <w:pPr>
      <w:spacing w:before="40" w:line="198" w:lineRule="exact"/>
      <w:ind w:left="2835" w:hanging="709"/>
    </w:pPr>
    <w:rPr>
      <w:sz w:val="18"/>
    </w:rPr>
  </w:style>
  <w:style w:type="paragraph" w:customStyle="1" w:styleId="EndNotespara">
    <w:name w:val="EndNotes(para)"/>
    <w:aliases w:val="eta"/>
    <w:basedOn w:val="OPCParaBase"/>
    <w:next w:val="Normal"/>
    <w:rsid w:val="00FA78B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78B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FA78B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78B1"/>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FA78B1"/>
    <w:pPr>
      <w:keepNext/>
      <w:spacing w:before="60" w:line="240" w:lineRule="atLeast"/>
    </w:pPr>
    <w:rPr>
      <w:rFonts w:ascii="Arial" w:hAnsi="Arial"/>
      <w:b/>
      <w:sz w:val="16"/>
    </w:rPr>
  </w:style>
  <w:style w:type="paragraph" w:customStyle="1" w:styleId="ENoteTTi">
    <w:name w:val="ENoteTTi"/>
    <w:aliases w:val="entti"/>
    <w:basedOn w:val="OPCParaBase"/>
    <w:rsid w:val="00FA78B1"/>
    <w:pPr>
      <w:keepNext/>
      <w:spacing w:before="60" w:line="240" w:lineRule="atLeast"/>
      <w:ind w:left="170"/>
    </w:pPr>
    <w:rPr>
      <w:sz w:val="16"/>
    </w:rPr>
  </w:style>
  <w:style w:type="paragraph" w:customStyle="1" w:styleId="ENotesHeading1">
    <w:name w:val="ENotesHeading 1"/>
    <w:aliases w:val="Enh1"/>
    <w:basedOn w:val="OPCParaBase"/>
    <w:next w:val="Normal"/>
    <w:rsid w:val="00FA78B1"/>
    <w:pPr>
      <w:spacing w:before="120"/>
      <w:outlineLvl w:val="1"/>
    </w:pPr>
    <w:rPr>
      <w:b/>
      <w:sz w:val="28"/>
      <w:szCs w:val="28"/>
    </w:rPr>
  </w:style>
  <w:style w:type="paragraph" w:customStyle="1" w:styleId="ENotesHeading2">
    <w:name w:val="ENotesHeading 2"/>
    <w:aliases w:val="Enh2"/>
    <w:basedOn w:val="OPCParaBase"/>
    <w:next w:val="Normal"/>
    <w:rsid w:val="00FA78B1"/>
    <w:pPr>
      <w:spacing w:before="120" w:after="120"/>
      <w:outlineLvl w:val="2"/>
    </w:pPr>
    <w:rPr>
      <w:b/>
      <w:sz w:val="24"/>
      <w:szCs w:val="28"/>
    </w:rPr>
  </w:style>
  <w:style w:type="paragraph" w:customStyle="1" w:styleId="ENoteTTIndentHeading">
    <w:name w:val="ENoteTTIndentHeading"/>
    <w:aliases w:val="enTTHi"/>
    <w:basedOn w:val="OPCParaBase"/>
    <w:rsid w:val="00FA78B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78B1"/>
    <w:pPr>
      <w:spacing w:before="60" w:line="240" w:lineRule="atLeast"/>
    </w:pPr>
    <w:rPr>
      <w:sz w:val="16"/>
    </w:rPr>
  </w:style>
  <w:style w:type="paragraph" w:customStyle="1" w:styleId="MadeunderText">
    <w:name w:val="MadeunderText"/>
    <w:basedOn w:val="OPCParaBase"/>
    <w:next w:val="CompiledMadeUnder"/>
    <w:rsid w:val="00FA78B1"/>
    <w:pPr>
      <w:spacing w:before="240"/>
    </w:pPr>
    <w:rPr>
      <w:sz w:val="24"/>
      <w:szCs w:val="24"/>
    </w:rPr>
  </w:style>
  <w:style w:type="paragraph" w:customStyle="1" w:styleId="ENotesHeading3">
    <w:name w:val="ENotesHeading 3"/>
    <w:aliases w:val="Enh3"/>
    <w:basedOn w:val="OPCParaBase"/>
    <w:next w:val="Normal"/>
    <w:rsid w:val="00FA78B1"/>
    <w:pPr>
      <w:keepNext/>
      <w:spacing w:before="120" w:line="240" w:lineRule="auto"/>
      <w:outlineLvl w:val="4"/>
    </w:pPr>
    <w:rPr>
      <w:b/>
      <w:szCs w:val="24"/>
    </w:rPr>
  </w:style>
  <w:style w:type="character" w:customStyle="1" w:styleId="CharSubPartTextCASA">
    <w:name w:val="CharSubPartText(CASA)"/>
    <w:basedOn w:val="OPCCharBase"/>
    <w:uiPriority w:val="1"/>
    <w:rsid w:val="00FA78B1"/>
  </w:style>
  <w:style w:type="character" w:customStyle="1" w:styleId="CharSubPartNoCASA">
    <w:name w:val="CharSubPartNo(CASA)"/>
    <w:basedOn w:val="OPCCharBase"/>
    <w:uiPriority w:val="1"/>
    <w:rsid w:val="00FA78B1"/>
  </w:style>
  <w:style w:type="paragraph" w:customStyle="1" w:styleId="ENoteTTIndentHeadingSub">
    <w:name w:val="ENoteTTIndentHeadingSub"/>
    <w:aliases w:val="enTTHis"/>
    <w:basedOn w:val="OPCParaBase"/>
    <w:rsid w:val="00FA78B1"/>
    <w:pPr>
      <w:keepNext/>
      <w:spacing w:before="60" w:line="240" w:lineRule="atLeast"/>
      <w:ind w:left="340"/>
    </w:pPr>
    <w:rPr>
      <w:b/>
      <w:sz w:val="16"/>
    </w:rPr>
  </w:style>
  <w:style w:type="paragraph" w:customStyle="1" w:styleId="ENoteTTiSub">
    <w:name w:val="ENoteTTiSub"/>
    <w:aliases w:val="enttis"/>
    <w:basedOn w:val="OPCParaBase"/>
    <w:rsid w:val="00FA78B1"/>
    <w:pPr>
      <w:keepNext/>
      <w:spacing w:before="60" w:line="240" w:lineRule="atLeast"/>
      <w:ind w:left="340"/>
    </w:pPr>
    <w:rPr>
      <w:sz w:val="16"/>
    </w:rPr>
  </w:style>
  <w:style w:type="paragraph" w:customStyle="1" w:styleId="SubDivisionMigration">
    <w:name w:val="SubDivisionMigration"/>
    <w:aliases w:val="sdm"/>
    <w:basedOn w:val="OPCParaBase"/>
    <w:rsid w:val="00FA78B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78B1"/>
    <w:pPr>
      <w:keepNext/>
      <w:keepLines/>
      <w:spacing w:before="240" w:line="240" w:lineRule="auto"/>
      <w:ind w:left="1134" w:hanging="1134"/>
    </w:pPr>
    <w:rPr>
      <w:b/>
      <w:sz w:val="28"/>
    </w:rPr>
  </w:style>
  <w:style w:type="paragraph" w:customStyle="1" w:styleId="notetext">
    <w:name w:val="note(text)"/>
    <w:aliases w:val="n"/>
    <w:basedOn w:val="OPCParaBase"/>
    <w:rsid w:val="00FA78B1"/>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FA78B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A78B1"/>
    <w:rPr>
      <w:sz w:val="22"/>
    </w:rPr>
  </w:style>
  <w:style w:type="paragraph" w:customStyle="1" w:styleId="SOTextNote">
    <w:name w:val="SO TextNote"/>
    <w:aliases w:val="sont"/>
    <w:basedOn w:val="SOText"/>
    <w:qFormat/>
    <w:rsid w:val="00FA78B1"/>
    <w:pPr>
      <w:spacing w:before="122" w:line="198" w:lineRule="exact"/>
      <w:ind w:left="1843" w:hanging="709"/>
    </w:pPr>
    <w:rPr>
      <w:sz w:val="18"/>
    </w:rPr>
  </w:style>
  <w:style w:type="paragraph" w:customStyle="1" w:styleId="SOPara">
    <w:name w:val="SO Para"/>
    <w:aliases w:val="soa"/>
    <w:basedOn w:val="SOText"/>
    <w:link w:val="SOParaChar"/>
    <w:qFormat/>
    <w:rsid w:val="00FA78B1"/>
    <w:pPr>
      <w:tabs>
        <w:tab w:val="right" w:pos="1786"/>
      </w:tabs>
      <w:spacing w:before="40"/>
      <w:ind w:left="2070" w:hanging="936"/>
    </w:pPr>
  </w:style>
  <w:style w:type="character" w:customStyle="1" w:styleId="SOParaChar">
    <w:name w:val="SO Para Char"/>
    <w:aliases w:val="soa Char"/>
    <w:basedOn w:val="DefaultParagraphFont"/>
    <w:link w:val="SOPara"/>
    <w:rsid w:val="00FA78B1"/>
    <w:rPr>
      <w:sz w:val="22"/>
    </w:rPr>
  </w:style>
  <w:style w:type="paragraph" w:customStyle="1" w:styleId="FileName">
    <w:name w:val="FileName"/>
    <w:basedOn w:val="Normal"/>
    <w:rsid w:val="00FA78B1"/>
  </w:style>
  <w:style w:type="paragraph" w:customStyle="1" w:styleId="TableHeading">
    <w:name w:val="TableHeading"/>
    <w:aliases w:val="th"/>
    <w:basedOn w:val="OPCParaBase"/>
    <w:next w:val="Tabletext"/>
    <w:rsid w:val="00FA78B1"/>
    <w:pPr>
      <w:keepNext/>
      <w:spacing w:before="60" w:line="240" w:lineRule="atLeast"/>
    </w:pPr>
    <w:rPr>
      <w:b/>
      <w:sz w:val="20"/>
    </w:rPr>
  </w:style>
  <w:style w:type="paragraph" w:customStyle="1" w:styleId="SOHeadBold">
    <w:name w:val="SO HeadBold"/>
    <w:aliases w:val="sohb"/>
    <w:basedOn w:val="SOText"/>
    <w:next w:val="SOText"/>
    <w:link w:val="SOHeadBoldChar"/>
    <w:qFormat/>
    <w:rsid w:val="00FA78B1"/>
    <w:rPr>
      <w:b/>
    </w:rPr>
  </w:style>
  <w:style w:type="character" w:customStyle="1" w:styleId="SOHeadBoldChar">
    <w:name w:val="SO HeadBold Char"/>
    <w:aliases w:val="sohb Char"/>
    <w:basedOn w:val="DefaultParagraphFont"/>
    <w:link w:val="SOHeadBold"/>
    <w:rsid w:val="00FA78B1"/>
    <w:rPr>
      <w:b/>
      <w:sz w:val="22"/>
    </w:rPr>
  </w:style>
  <w:style w:type="paragraph" w:customStyle="1" w:styleId="SOHeadItalic">
    <w:name w:val="SO HeadItalic"/>
    <w:aliases w:val="sohi"/>
    <w:basedOn w:val="SOText"/>
    <w:next w:val="SOText"/>
    <w:link w:val="SOHeadItalicChar"/>
    <w:qFormat/>
    <w:rsid w:val="00FA78B1"/>
    <w:rPr>
      <w:i/>
    </w:rPr>
  </w:style>
  <w:style w:type="character" w:customStyle="1" w:styleId="SOHeadItalicChar">
    <w:name w:val="SO HeadItalic Char"/>
    <w:aliases w:val="sohi Char"/>
    <w:basedOn w:val="DefaultParagraphFont"/>
    <w:link w:val="SOHeadItalic"/>
    <w:rsid w:val="00FA78B1"/>
    <w:rPr>
      <w:i/>
      <w:sz w:val="22"/>
    </w:rPr>
  </w:style>
  <w:style w:type="paragraph" w:customStyle="1" w:styleId="SOBullet">
    <w:name w:val="SO Bullet"/>
    <w:aliases w:val="sotb"/>
    <w:basedOn w:val="SOText"/>
    <w:link w:val="SOBulletChar"/>
    <w:qFormat/>
    <w:rsid w:val="00FA78B1"/>
    <w:pPr>
      <w:ind w:left="1559" w:hanging="425"/>
    </w:pPr>
  </w:style>
  <w:style w:type="character" w:customStyle="1" w:styleId="SOBulletChar">
    <w:name w:val="SO Bullet Char"/>
    <w:aliases w:val="sotb Char"/>
    <w:basedOn w:val="DefaultParagraphFont"/>
    <w:link w:val="SOBullet"/>
    <w:rsid w:val="00FA78B1"/>
    <w:rPr>
      <w:sz w:val="22"/>
    </w:rPr>
  </w:style>
  <w:style w:type="paragraph" w:customStyle="1" w:styleId="SOBulletNote">
    <w:name w:val="SO BulletNote"/>
    <w:aliases w:val="sonb"/>
    <w:basedOn w:val="SOTextNote"/>
    <w:link w:val="SOBulletNoteChar"/>
    <w:qFormat/>
    <w:rsid w:val="00FA78B1"/>
    <w:pPr>
      <w:tabs>
        <w:tab w:val="left" w:pos="1560"/>
      </w:tabs>
      <w:ind w:left="2268" w:hanging="1134"/>
    </w:pPr>
  </w:style>
  <w:style w:type="character" w:customStyle="1" w:styleId="SOBulletNoteChar">
    <w:name w:val="SO BulletNote Char"/>
    <w:aliases w:val="sonb Char"/>
    <w:basedOn w:val="DefaultParagraphFont"/>
    <w:link w:val="SOBulletNote"/>
    <w:rsid w:val="00FA78B1"/>
    <w:rPr>
      <w:sz w:val="18"/>
    </w:rPr>
  </w:style>
  <w:style w:type="paragraph" w:customStyle="1" w:styleId="SOText2">
    <w:name w:val="SO Text2"/>
    <w:aliases w:val="sot2"/>
    <w:basedOn w:val="Normal"/>
    <w:next w:val="SOText"/>
    <w:link w:val="SOText2Char"/>
    <w:rsid w:val="00FA78B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A78B1"/>
    <w:rPr>
      <w:sz w:val="22"/>
    </w:rPr>
  </w:style>
  <w:style w:type="paragraph" w:customStyle="1" w:styleId="SubPartCASA">
    <w:name w:val="SubPart(CASA)"/>
    <w:aliases w:val="csp"/>
    <w:basedOn w:val="OPCParaBase"/>
    <w:next w:val="ActHead3"/>
    <w:rsid w:val="00FA78B1"/>
    <w:pPr>
      <w:keepNext/>
      <w:keepLines/>
      <w:spacing w:before="280"/>
      <w:ind w:left="1134" w:hanging="1134"/>
      <w:outlineLvl w:val="1"/>
    </w:pPr>
    <w:rPr>
      <w:b/>
      <w:kern w:val="28"/>
      <w:sz w:val="32"/>
    </w:rPr>
  </w:style>
  <w:style w:type="character" w:customStyle="1" w:styleId="Heading6Char">
    <w:name w:val="Heading 6 Char"/>
    <w:basedOn w:val="DefaultParagraphFont"/>
    <w:link w:val="Heading6"/>
    <w:rsid w:val="0058591E"/>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5859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8591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8591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8591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8591E"/>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58591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591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8591E"/>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A78B1"/>
    <w:pPr>
      <w:spacing w:line="260" w:lineRule="atLeast"/>
    </w:pPr>
    <w:rPr>
      <w:sz w:val="22"/>
    </w:rPr>
  </w:style>
  <w:style w:type="paragraph" w:styleId="Heading1">
    <w:name w:val="heading 1"/>
    <w:basedOn w:val="Normal"/>
    <w:next w:val="Normal"/>
    <w:link w:val="Heading1Char"/>
    <w:uiPriority w:val="9"/>
    <w:qFormat/>
    <w:rsid w:val="005859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859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591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8591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91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58591E"/>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58591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8591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8591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A78B1"/>
  </w:style>
  <w:style w:type="paragraph" w:customStyle="1" w:styleId="OPCParaBase">
    <w:name w:val="OPCParaBase"/>
    <w:qFormat/>
    <w:rsid w:val="00FA78B1"/>
    <w:pPr>
      <w:spacing w:line="260" w:lineRule="atLeast"/>
    </w:pPr>
    <w:rPr>
      <w:rFonts w:eastAsia="Times New Roman" w:cs="Times New Roman"/>
      <w:sz w:val="22"/>
      <w:lang w:eastAsia="en-AU"/>
    </w:rPr>
  </w:style>
  <w:style w:type="paragraph" w:customStyle="1" w:styleId="ShortT">
    <w:name w:val="ShortT"/>
    <w:basedOn w:val="OPCParaBase"/>
    <w:next w:val="Normal"/>
    <w:qFormat/>
    <w:rsid w:val="00FA78B1"/>
    <w:pPr>
      <w:spacing w:line="240" w:lineRule="auto"/>
    </w:pPr>
    <w:rPr>
      <w:b/>
      <w:sz w:val="40"/>
    </w:rPr>
  </w:style>
  <w:style w:type="paragraph" w:customStyle="1" w:styleId="ActHead1">
    <w:name w:val="ActHead 1"/>
    <w:aliases w:val="c"/>
    <w:basedOn w:val="OPCParaBase"/>
    <w:next w:val="Normal"/>
    <w:qFormat/>
    <w:rsid w:val="00FA78B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78B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78B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78B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78B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78B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78B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78B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78B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78B1"/>
  </w:style>
  <w:style w:type="paragraph" w:customStyle="1" w:styleId="Blocks">
    <w:name w:val="Blocks"/>
    <w:aliases w:val="bb"/>
    <w:basedOn w:val="OPCParaBase"/>
    <w:qFormat/>
    <w:rsid w:val="00FA78B1"/>
    <w:pPr>
      <w:spacing w:line="240" w:lineRule="auto"/>
    </w:pPr>
    <w:rPr>
      <w:sz w:val="24"/>
    </w:rPr>
  </w:style>
  <w:style w:type="paragraph" w:customStyle="1" w:styleId="BoxText">
    <w:name w:val="BoxText"/>
    <w:aliases w:val="bt"/>
    <w:basedOn w:val="OPCParaBase"/>
    <w:qFormat/>
    <w:rsid w:val="00FA78B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78B1"/>
    <w:rPr>
      <w:b/>
    </w:rPr>
  </w:style>
  <w:style w:type="paragraph" w:customStyle="1" w:styleId="BoxHeadItalic">
    <w:name w:val="BoxHeadItalic"/>
    <w:aliases w:val="bhi"/>
    <w:basedOn w:val="BoxText"/>
    <w:next w:val="BoxStep"/>
    <w:qFormat/>
    <w:rsid w:val="00FA78B1"/>
    <w:rPr>
      <w:i/>
    </w:rPr>
  </w:style>
  <w:style w:type="paragraph" w:customStyle="1" w:styleId="BoxList">
    <w:name w:val="BoxList"/>
    <w:aliases w:val="bl"/>
    <w:basedOn w:val="BoxText"/>
    <w:qFormat/>
    <w:rsid w:val="00FA78B1"/>
    <w:pPr>
      <w:ind w:left="1559" w:hanging="425"/>
    </w:pPr>
  </w:style>
  <w:style w:type="paragraph" w:customStyle="1" w:styleId="BoxNote">
    <w:name w:val="BoxNote"/>
    <w:aliases w:val="bn"/>
    <w:basedOn w:val="BoxText"/>
    <w:qFormat/>
    <w:rsid w:val="00FA78B1"/>
    <w:pPr>
      <w:tabs>
        <w:tab w:val="left" w:pos="1985"/>
      </w:tabs>
      <w:spacing w:before="122" w:line="198" w:lineRule="exact"/>
      <w:ind w:left="2948" w:hanging="1814"/>
    </w:pPr>
    <w:rPr>
      <w:sz w:val="18"/>
    </w:rPr>
  </w:style>
  <w:style w:type="paragraph" w:customStyle="1" w:styleId="BoxPara">
    <w:name w:val="BoxPara"/>
    <w:aliases w:val="bp"/>
    <w:basedOn w:val="BoxText"/>
    <w:qFormat/>
    <w:rsid w:val="00FA78B1"/>
    <w:pPr>
      <w:tabs>
        <w:tab w:val="right" w:pos="2268"/>
      </w:tabs>
      <w:ind w:left="2552" w:hanging="1418"/>
    </w:pPr>
  </w:style>
  <w:style w:type="paragraph" w:customStyle="1" w:styleId="BoxStep">
    <w:name w:val="BoxStep"/>
    <w:aliases w:val="bs"/>
    <w:basedOn w:val="BoxText"/>
    <w:qFormat/>
    <w:rsid w:val="00FA78B1"/>
    <w:pPr>
      <w:ind w:left="1985" w:hanging="851"/>
    </w:pPr>
  </w:style>
  <w:style w:type="character" w:customStyle="1" w:styleId="CharAmPartNo">
    <w:name w:val="CharAmPartNo"/>
    <w:basedOn w:val="OPCCharBase"/>
    <w:qFormat/>
    <w:rsid w:val="00FA78B1"/>
  </w:style>
  <w:style w:type="character" w:customStyle="1" w:styleId="CharAmPartText">
    <w:name w:val="CharAmPartText"/>
    <w:basedOn w:val="OPCCharBase"/>
    <w:qFormat/>
    <w:rsid w:val="00FA78B1"/>
  </w:style>
  <w:style w:type="character" w:customStyle="1" w:styleId="CharAmSchNo">
    <w:name w:val="CharAmSchNo"/>
    <w:basedOn w:val="OPCCharBase"/>
    <w:qFormat/>
    <w:rsid w:val="00FA78B1"/>
  </w:style>
  <w:style w:type="character" w:customStyle="1" w:styleId="CharAmSchText">
    <w:name w:val="CharAmSchText"/>
    <w:basedOn w:val="OPCCharBase"/>
    <w:qFormat/>
    <w:rsid w:val="00FA78B1"/>
  </w:style>
  <w:style w:type="character" w:customStyle="1" w:styleId="CharBoldItalic">
    <w:name w:val="CharBoldItalic"/>
    <w:basedOn w:val="OPCCharBase"/>
    <w:uiPriority w:val="1"/>
    <w:qFormat/>
    <w:rsid w:val="00FA78B1"/>
    <w:rPr>
      <w:b/>
      <w:i/>
    </w:rPr>
  </w:style>
  <w:style w:type="character" w:customStyle="1" w:styleId="CharChapNo">
    <w:name w:val="CharChapNo"/>
    <w:basedOn w:val="OPCCharBase"/>
    <w:uiPriority w:val="1"/>
    <w:qFormat/>
    <w:rsid w:val="00FA78B1"/>
  </w:style>
  <w:style w:type="character" w:customStyle="1" w:styleId="CharChapText">
    <w:name w:val="CharChapText"/>
    <w:basedOn w:val="OPCCharBase"/>
    <w:uiPriority w:val="1"/>
    <w:qFormat/>
    <w:rsid w:val="00FA78B1"/>
  </w:style>
  <w:style w:type="character" w:customStyle="1" w:styleId="CharDivNo">
    <w:name w:val="CharDivNo"/>
    <w:basedOn w:val="OPCCharBase"/>
    <w:uiPriority w:val="1"/>
    <w:qFormat/>
    <w:rsid w:val="00FA78B1"/>
  </w:style>
  <w:style w:type="character" w:customStyle="1" w:styleId="CharDivText">
    <w:name w:val="CharDivText"/>
    <w:basedOn w:val="OPCCharBase"/>
    <w:uiPriority w:val="1"/>
    <w:qFormat/>
    <w:rsid w:val="00FA78B1"/>
  </w:style>
  <w:style w:type="character" w:customStyle="1" w:styleId="CharItalic">
    <w:name w:val="CharItalic"/>
    <w:basedOn w:val="OPCCharBase"/>
    <w:uiPriority w:val="1"/>
    <w:qFormat/>
    <w:rsid w:val="00FA78B1"/>
    <w:rPr>
      <w:i/>
    </w:rPr>
  </w:style>
  <w:style w:type="character" w:customStyle="1" w:styleId="CharPartNo">
    <w:name w:val="CharPartNo"/>
    <w:basedOn w:val="OPCCharBase"/>
    <w:uiPriority w:val="1"/>
    <w:qFormat/>
    <w:rsid w:val="00FA78B1"/>
  </w:style>
  <w:style w:type="character" w:customStyle="1" w:styleId="CharPartText">
    <w:name w:val="CharPartText"/>
    <w:basedOn w:val="OPCCharBase"/>
    <w:uiPriority w:val="1"/>
    <w:qFormat/>
    <w:rsid w:val="00FA78B1"/>
  </w:style>
  <w:style w:type="character" w:customStyle="1" w:styleId="CharSectno">
    <w:name w:val="CharSectno"/>
    <w:basedOn w:val="OPCCharBase"/>
    <w:qFormat/>
    <w:rsid w:val="00FA78B1"/>
  </w:style>
  <w:style w:type="character" w:customStyle="1" w:styleId="CharSubdNo">
    <w:name w:val="CharSubdNo"/>
    <w:basedOn w:val="OPCCharBase"/>
    <w:uiPriority w:val="1"/>
    <w:qFormat/>
    <w:rsid w:val="00FA78B1"/>
  </w:style>
  <w:style w:type="character" w:customStyle="1" w:styleId="CharSubdText">
    <w:name w:val="CharSubdText"/>
    <w:basedOn w:val="OPCCharBase"/>
    <w:uiPriority w:val="1"/>
    <w:qFormat/>
    <w:rsid w:val="00FA78B1"/>
  </w:style>
  <w:style w:type="paragraph" w:customStyle="1" w:styleId="CTA--">
    <w:name w:val="CTA --"/>
    <w:basedOn w:val="OPCParaBase"/>
    <w:next w:val="Normal"/>
    <w:rsid w:val="00FA78B1"/>
    <w:pPr>
      <w:spacing w:before="60" w:line="240" w:lineRule="atLeast"/>
      <w:ind w:left="142" w:hanging="142"/>
    </w:pPr>
    <w:rPr>
      <w:sz w:val="20"/>
    </w:rPr>
  </w:style>
  <w:style w:type="paragraph" w:customStyle="1" w:styleId="CTA-">
    <w:name w:val="CTA -"/>
    <w:basedOn w:val="OPCParaBase"/>
    <w:rsid w:val="00FA78B1"/>
    <w:pPr>
      <w:spacing w:before="60" w:line="240" w:lineRule="atLeast"/>
      <w:ind w:left="85" w:hanging="85"/>
    </w:pPr>
    <w:rPr>
      <w:sz w:val="20"/>
    </w:rPr>
  </w:style>
  <w:style w:type="paragraph" w:customStyle="1" w:styleId="CTA---">
    <w:name w:val="CTA ---"/>
    <w:basedOn w:val="OPCParaBase"/>
    <w:next w:val="Normal"/>
    <w:rsid w:val="00FA78B1"/>
    <w:pPr>
      <w:spacing w:before="60" w:line="240" w:lineRule="atLeast"/>
      <w:ind w:left="198" w:hanging="198"/>
    </w:pPr>
    <w:rPr>
      <w:sz w:val="20"/>
    </w:rPr>
  </w:style>
  <w:style w:type="paragraph" w:customStyle="1" w:styleId="CTA----">
    <w:name w:val="CTA ----"/>
    <w:basedOn w:val="OPCParaBase"/>
    <w:next w:val="Normal"/>
    <w:rsid w:val="00FA78B1"/>
    <w:pPr>
      <w:spacing w:before="60" w:line="240" w:lineRule="atLeast"/>
      <w:ind w:left="255" w:hanging="255"/>
    </w:pPr>
    <w:rPr>
      <w:sz w:val="20"/>
    </w:rPr>
  </w:style>
  <w:style w:type="paragraph" w:customStyle="1" w:styleId="CTA1a">
    <w:name w:val="CTA 1(a)"/>
    <w:basedOn w:val="OPCParaBase"/>
    <w:rsid w:val="00FA78B1"/>
    <w:pPr>
      <w:tabs>
        <w:tab w:val="right" w:pos="414"/>
      </w:tabs>
      <w:spacing w:before="40" w:line="240" w:lineRule="atLeast"/>
      <w:ind w:left="675" w:hanging="675"/>
    </w:pPr>
    <w:rPr>
      <w:sz w:val="20"/>
    </w:rPr>
  </w:style>
  <w:style w:type="paragraph" w:customStyle="1" w:styleId="CTA1ai">
    <w:name w:val="CTA 1(a)(i)"/>
    <w:basedOn w:val="OPCParaBase"/>
    <w:rsid w:val="00FA78B1"/>
    <w:pPr>
      <w:tabs>
        <w:tab w:val="right" w:pos="1004"/>
      </w:tabs>
      <w:spacing w:before="40" w:line="240" w:lineRule="atLeast"/>
      <w:ind w:left="1253" w:hanging="1253"/>
    </w:pPr>
    <w:rPr>
      <w:sz w:val="20"/>
    </w:rPr>
  </w:style>
  <w:style w:type="paragraph" w:customStyle="1" w:styleId="CTA2a">
    <w:name w:val="CTA 2(a)"/>
    <w:basedOn w:val="OPCParaBase"/>
    <w:rsid w:val="00FA78B1"/>
    <w:pPr>
      <w:tabs>
        <w:tab w:val="right" w:pos="482"/>
      </w:tabs>
      <w:spacing w:before="40" w:line="240" w:lineRule="atLeast"/>
      <w:ind w:left="748" w:hanging="748"/>
    </w:pPr>
    <w:rPr>
      <w:sz w:val="20"/>
    </w:rPr>
  </w:style>
  <w:style w:type="paragraph" w:customStyle="1" w:styleId="CTA2ai">
    <w:name w:val="CTA 2(a)(i)"/>
    <w:basedOn w:val="OPCParaBase"/>
    <w:rsid w:val="00FA78B1"/>
    <w:pPr>
      <w:tabs>
        <w:tab w:val="right" w:pos="1089"/>
      </w:tabs>
      <w:spacing w:before="40" w:line="240" w:lineRule="atLeast"/>
      <w:ind w:left="1327" w:hanging="1327"/>
    </w:pPr>
    <w:rPr>
      <w:sz w:val="20"/>
    </w:rPr>
  </w:style>
  <w:style w:type="paragraph" w:customStyle="1" w:styleId="CTA3a">
    <w:name w:val="CTA 3(a)"/>
    <w:basedOn w:val="OPCParaBase"/>
    <w:rsid w:val="00FA78B1"/>
    <w:pPr>
      <w:tabs>
        <w:tab w:val="right" w:pos="556"/>
      </w:tabs>
      <w:spacing w:before="40" w:line="240" w:lineRule="atLeast"/>
      <w:ind w:left="805" w:hanging="805"/>
    </w:pPr>
    <w:rPr>
      <w:sz w:val="20"/>
    </w:rPr>
  </w:style>
  <w:style w:type="paragraph" w:customStyle="1" w:styleId="CTA3ai">
    <w:name w:val="CTA 3(a)(i)"/>
    <w:basedOn w:val="OPCParaBase"/>
    <w:rsid w:val="00FA78B1"/>
    <w:pPr>
      <w:tabs>
        <w:tab w:val="right" w:pos="1140"/>
      </w:tabs>
      <w:spacing w:before="40" w:line="240" w:lineRule="atLeast"/>
      <w:ind w:left="1361" w:hanging="1361"/>
    </w:pPr>
    <w:rPr>
      <w:sz w:val="20"/>
    </w:rPr>
  </w:style>
  <w:style w:type="paragraph" w:customStyle="1" w:styleId="CTA4a">
    <w:name w:val="CTA 4(a)"/>
    <w:basedOn w:val="OPCParaBase"/>
    <w:rsid w:val="00FA78B1"/>
    <w:pPr>
      <w:tabs>
        <w:tab w:val="right" w:pos="624"/>
      </w:tabs>
      <w:spacing w:before="40" w:line="240" w:lineRule="atLeast"/>
      <w:ind w:left="873" w:hanging="873"/>
    </w:pPr>
    <w:rPr>
      <w:sz w:val="20"/>
    </w:rPr>
  </w:style>
  <w:style w:type="paragraph" w:customStyle="1" w:styleId="CTA4ai">
    <w:name w:val="CTA 4(a)(i)"/>
    <w:basedOn w:val="OPCParaBase"/>
    <w:rsid w:val="00FA78B1"/>
    <w:pPr>
      <w:tabs>
        <w:tab w:val="right" w:pos="1213"/>
      </w:tabs>
      <w:spacing w:before="40" w:line="240" w:lineRule="atLeast"/>
      <w:ind w:left="1452" w:hanging="1452"/>
    </w:pPr>
    <w:rPr>
      <w:sz w:val="20"/>
    </w:rPr>
  </w:style>
  <w:style w:type="paragraph" w:customStyle="1" w:styleId="CTACAPS">
    <w:name w:val="CTA CAPS"/>
    <w:basedOn w:val="OPCParaBase"/>
    <w:rsid w:val="00FA78B1"/>
    <w:pPr>
      <w:spacing w:before="60" w:line="240" w:lineRule="atLeast"/>
    </w:pPr>
    <w:rPr>
      <w:sz w:val="20"/>
    </w:rPr>
  </w:style>
  <w:style w:type="paragraph" w:customStyle="1" w:styleId="CTAright">
    <w:name w:val="CTA right"/>
    <w:basedOn w:val="OPCParaBase"/>
    <w:rsid w:val="00FA78B1"/>
    <w:pPr>
      <w:spacing w:before="60" w:line="240" w:lineRule="auto"/>
      <w:jc w:val="right"/>
    </w:pPr>
    <w:rPr>
      <w:sz w:val="20"/>
    </w:rPr>
  </w:style>
  <w:style w:type="paragraph" w:customStyle="1" w:styleId="subsection">
    <w:name w:val="subsection"/>
    <w:aliases w:val="ss"/>
    <w:basedOn w:val="OPCParaBase"/>
    <w:rsid w:val="00FA78B1"/>
    <w:pPr>
      <w:tabs>
        <w:tab w:val="right" w:pos="1021"/>
      </w:tabs>
      <w:spacing w:before="180" w:line="240" w:lineRule="auto"/>
      <w:ind w:left="1134" w:hanging="1134"/>
    </w:pPr>
  </w:style>
  <w:style w:type="paragraph" w:customStyle="1" w:styleId="Definition">
    <w:name w:val="Definition"/>
    <w:aliases w:val="dd"/>
    <w:basedOn w:val="OPCParaBase"/>
    <w:rsid w:val="00FA78B1"/>
    <w:pPr>
      <w:spacing w:before="180" w:line="240" w:lineRule="auto"/>
      <w:ind w:left="1134"/>
    </w:pPr>
  </w:style>
  <w:style w:type="paragraph" w:customStyle="1" w:styleId="ETAsubitem">
    <w:name w:val="ETA(subitem)"/>
    <w:basedOn w:val="OPCParaBase"/>
    <w:rsid w:val="00FA78B1"/>
    <w:pPr>
      <w:tabs>
        <w:tab w:val="right" w:pos="340"/>
      </w:tabs>
      <w:spacing w:before="60" w:line="240" w:lineRule="auto"/>
      <w:ind w:left="454" w:hanging="454"/>
    </w:pPr>
    <w:rPr>
      <w:sz w:val="20"/>
    </w:rPr>
  </w:style>
  <w:style w:type="paragraph" w:customStyle="1" w:styleId="ETApara">
    <w:name w:val="ETA(para)"/>
    <w:basedOn w:val="OPCParaBase"/>
    <w:rsid w:val="00FA78B1"/>
    <w:pPr>
      <w:tabs>
        <w:tab w:val="right" w:pos="754"/>
      </w:tabs>
      <w:spacing w:before="60" w:line="240" w:lineRule="auto"/>
      <w:ind w:left="828" w:hanging="828"/>
    </w:pPr>
    <w:rPr>
      <w:sz w:val="20"/>
    </w:rPr>
  </w:style>
  <w:style w:type="paragraph" w:customStyle="1" w:styleId="ETAsubpara">
    <w:name w:val="ETA(subpara)"/>
    <w:basedOn w:val="OPCParaBase"/>
    <w:rsid w:val="00FA78B1"/>
    <w:pPr>
      <w:tabs>
        <w:tab w:val="right" w:pos="1083"/>
      </w:tabs>
      <w:spacing w:before="60" w:line="240" w:lineRule="auto"/>
      <w:ind w:left="1191" w:hanging="1191"/>
    </w:pPr>
    <w:rPr>
      <w:sz w:val="20"/>
    </w:rPr>
  </w:style>
  <w:style w:type="paragraph" w:customStyle="1" w:styleId="ETAsub-subpara">
    <w:name w:val="ETA(sub-subpara)"/>
    <w:basedOn w:val="OPCParaBase"/>
    <w:rsid w:val="00FA78B1"/>
    <w:pPr>
      <w:tabs>
        <w:tab w:val="right" w:pos="1412"/>
      </w:tabs>
      <w:spacing w:before="60" w:line="240" w:lineRule="auto"/>
      <w:ind w:left="1525" w:hanging="1525"/>
    </w:pPr>
    <w:rPr>
      <w:sz w:val="20"/>
    </w:rPr>
  </w:style>
  <w:style w:type="paragraph" w:customStyle="1" w:styleId="Formula">
    <w:name w:val="Formula"/>
    <w:basedOn w:val="OPCParaBase"/>
    <w:rsid w:val="00FA78B1"/>
    <w:pPr>
      <w:spacing w:line="240" w:lineRule="auto"/>
      <w:ind w:left="1134"/>
    </w:pPr>
    <w:rPr>
      <w:sz w:val="20"/>
    </w:rPr>
  </w:style>
  <w:style w:type="paragraph" w:styleId="Header">
    <w:name w:val="header"/>
    <w:basedOn w:val="OPCParaBase"/>
    <w:link w:val="HeaderChar"/>
    <w:unhideWhenUsed/>
    <w:rsid w:val="00FA78B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A78B1"/>
    <w:rPr>
      <w:rFonts w:eastAsia="Times New Roman" w:cs="Times New Roman"/>
      <w:sz w:val="16"/>
      <w:lang w:eastAsia="en-AU"/>
    </w:rPr>
  </w:style>
  <w:style w:type="paragraph" w:customStyle="1" w:styleId="House">
    <w:name w:val="House"/>
    <w:basedOn w:val="OPCParaBase"/>
    <w:rsid w:val="00FA78B1"/>
    <w:pPr>
      <w:spacing w:line="240" w:lineRule="auto"/>
    </w:pPr>
    <w:rPr>
      <w:sz w:val="28"/>
    </w:rPr>
  </w:style>
  <w:style w:type="paragraph" w:customStyle="1" w:styleId="Item">
    <w:name w:val="Item"/>
    <w:aliases w:val="i"/>
    <w:basedOn w:val="OPCParaBase"/>
    <w:next w:val="ItemHead"/>
    <w:rsid w:val="00FA78B1"/>
    <w:pPr>
      <w:keepLines/>
      <w:spacing w:before="80" w:line="240" w:lineRule="auto"/>
      <w:ind w:left="709"/>
    </w:pPr>
  </w:style>
  <w:style w:type="paragraph" w:customStyle="1" w:styleId="ItemHead">
    <w:name w:val="ItemHead"/>
    <w:aliases w:val="ih"/>
    <w:basedOn w:val="OPCParaBase"/>
    <w:next w:val="Item"/>
    <w:rsid w:val="00FA78B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78B1"/>
    <w:pPr>
      <w:spacing w:line="240" w:lineRule="auto"/>
    </w:pPr>
    <w:rPr>
      <w:b/>
      <w:sz w:val="32"/>
    </w:rPr>
  </w:style>
  <w:style w:type="paragraph" w:customStyle="1" w:styleId="notedraft">
    <w:name w:val="note(draft)"/>
    <w:aliases w:val="nd"/>
    <w:basedOn w:val="OPCParaBase"/>
    <w:rsid w:val="00FA78B1"/>
    <w:pPr>
      <w:spacing w:before="240" w:line="240" w:lineRule="auto"/>
      <w:ind w:left="284" w:hanging="284"/>
    </w:pPr>
    <w:rPr>
      <w:i/>
      <w:sz w:val="24"/>
    </w:rPr>
  </w:style>
  <w:style w:type="paragraph" w:customStyle="1" w:styleId="notemargin">
    <w:name w:val="note(margin)"/>
    <w:aliases w:val="nm"/>
    <w:basedOn w:val="OPCParaBase"/>
    <w:rsid w:val="00FA78B1"/>
    <w:pPr>
      <w:tabs>
        <w:tab w:val="left" w:pos="709"/>
      </w:tabs>
      <w:spacing w:before="122" w:line="198" w:lineRule="exact"/>
      <w:ind w:left="709" w:hanging="709"/>
    </w:pPr>
    <w:rPr>
      <w:sz w:val="18"/>
    </w:rPr>
  </w:style>
  <w:style w:type="paragraph" w:customStyle="1" w:styleId="noteToPara">
    <w:name w:val="noteToPara"/>
    <w:aliases w:val="ntp"/>
    <w:basedOn w:val="OPCParaBase"/>
    <w:rsid w:val="00FA78B1"/>
    <w:pPr>
      <w:spacing w:before="122" w:line="198" w:lineRule="exact"/>
      <w:ind w:left="2353" w:hanging="709"/>
    </w:pPr>
    <w:rPr>
      <w:sz w:val="18"/>
    </w:rPr>
  </w:style>
  <w:style w:type="paragraph" w:customStyle="1" w:styleId="noteParlAmend">
    <w:name w:val="note(ParlAmend)"/>
    <w:aliases w:val="npp"/>
    <w:basedOn w:val="OPCParaBase"/>
    <w:next w:val="ParlAmend"/>
    <w:rsid w:val="00FA78B1"/>
    <w:pPr>
      <w:spacing w:line="240" w:lineRule="auto"/>
      <w:jc w:val="right"/>
    </w:pPr>
    <w:rPr>
      <w:rFonts w:ascii="Arial" w:hAnsi="Arial"/>
      <w:b/>
      <w:i/>
    </w:rPr>
  </w:style>
  <w:style w:type="paragraph" w:customStyle="1" w:styleId="Page1">
    <w:name w:val="Page1"/>
    <w:basedOn w:val="OPCParaBase"/>
    <w:rsid w:val="00FA78B1"/>
    <w:pPr>
      <w:spacing w:before="5600" w:line="240" w:lineRule="auto"/>
    </w:pPr>
    <w:rPr>
      <w:b/>
      <w:sz w:val="32"/>
    </w:rPr>
  </w:style>
  <w:style w:type="paragraph" w:customStyle="1" w:styleId="PageBreak">
    <w:name w:val="PageBreak"/>
    <w:aliases w:val="pb"/>
    <w:basedOn w:val="OPCParaBase"/>
    <w:rsid w:val="00FA78B1"/>
    <w:pPr>
      <w:spacing w:line="240" w:lineRule="auto"/>
    </w:pPr>
    <w:rPr>
      <w:sz w:val="20"/>
    </w:rPr>
  </w:style>
  <w:style w:type="paragraph" w:customStyle="1" w:styleId="paragraphsub">
    <w:name w:val="paragraph(sub)"/>
    <w:aliases w:val="aa"/>
    <w:basedOn w:val="OPCParaBase"/>
    <w:rsid w:val="00FA78B1"/>
    <w:pPr>
      <w:tabs>
        <w:tab w:val="right" w:pos="1985"/>
      </w:tabs>
      <w:spacing w:before="40" w:line="240" w:lineRule="auto"/>
      <w:ind w:left="2098" w:hanging="2098"/>
    </w:pPr>
  </w:style>
  <w:style w:type="paragraph" w:customStyle="1" w:styleId="paragraphsub-sub">
    <w:name w:val="paragraph(sub-sub)"/>
    <w:aliases w:val="aaa"/>
    <w:basedOn w:val="OPCParaBase"/>
    <w:rsid w:val="00FA78B1"/>
    <w:pPr>
      <w:tabs>
        <w:tab w:val="right" w:pos="2722"/>
      </w:tabs>
      <w:spacing w:before="40" w:line="240" w:lineRule="auto"/>
      <w:ind w:left="2835" w:hanging="2835"/>
    </w:pPr>
  </w:style>
  <w:style w:type="paragraph" w:customStyle="1" w:styleId="paragraph">
    <w:name w:val="paragraph"/>
    <w:aliases w:val="a"/>
    <w:basedOn w:val="OPCParaBase"/>
    <w:rsid w:val="00FA78B1"/>
    <w:pPr>
      <w:tabs>
        <w:tab w:val="right" w:pos="1531"/>
      </w:tabs>
      <w:spacing w:before="40" w:line="240" w:lineRule="auto"/>
      <w:ind w:left="1644" w:hanging="1644"/>
    </w:pPr>
  </w:style>
  <w:style w:type="paragraph" w:customStyle="1" w:styleId="ParlAmend">
    <w:name w:val="ParlAmend"/>
    <w:aliases w:val="pp"/>
    <w:basedOn w:val="OPCParaBase"/>
    <w:rsid w:val="00FA78B1"/>
    <w:pPr>
      <w:spacing w:before="240" w:line="240" w:lineRule="atLeast"/>
      <w:ind w:hanging="567"/>
    </w:pPr>
    <w:rPr>
      <w:sz w:val="24"/>
    </w:rPr>
  </w:style>
  <w:style w:type="paragraph" w:customStyle="1" w:styleId="Penalty">
    <w:name w:val="Penalty"/>
    <w:basedOn w:val="OPCParaBase"/>
    <w:rsid w:val="00FA78B1"/>
    <w:pPr>
      <w:tabs>
        <w:tab w:val="left" w:pos="2977"/>
      </w:tabs>
      <w:spacing w:before="180" w:line="240" w:lineRule="auto"/>
      <w:ind w:left="1985" w:hanging="851"/>
    </w:pPr>
  </w:style>
  <w:style w:type="paragraph" w:customStyle="1" w:styleId="Portfolio">
    <w:name w:val="Portfolio"/>
    <w:basedOn w:val="OPCParaBase"/>
    <w:rsid w:val="00FA78B1"/>
    <w:pPr>
      <w:spacing w:line="240" w:lineRule="auto"/>
    </w:pPr>
    <w:rPr>
      <w:i/>
      <w:sz w:val="20"/>
    </w:rPr>
  </w:style>
  <w:style w:type="paragraph" w:customStyle="1" w:styleId="Preamble">
    <w:name w:val="Preamble"/>
    <w:basedOn w:val="OPCParaBase"/>
    <w:next w:val="Normal"/>
    <w:rsid w:val="00FA78B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78B1"/>
    <w:pPr>
      <w:spacing w:line="240" w:lineRule="auto"/>
    </w:pPr>
    <w:rPr>
      <w:i/>
      <w:sz w:val="20"/>
    </w:rPr>
  </w:style>
  <w:style w:type="paragraph" w:customStyle="1" w:styleId="Session">
    <w:name w:val="Session"/>
    <w:basedOn w:val="OPCParaBase"/>
    <w:rsid w:val="00FA78B1"/>
    <w:pPr>
      <w:spacing w:line="240" w:lineRule="auto"/>
    </w:pPr>
    <w:rPr>
      <w:sz w:val="28"/>
    </w:rPr>
  </w:style>
  <w:style w:type="paragraph" w:customStyle="1" w:styleId="Sponsor">
    <w:name w:val="Sponsor"/>
    <w:basedOn w:val="OPCParaBase"/>
    <w:rsid w:val="00FA78B1"/>
    <w:pPr>
      <w:spacing w:line="240" w:lineRule="auto"/>
    </w:pPr>
    <w:rPr>
      <w:i/>
    </w:rPr>
  </w:style>
  <w:style w:type="paragraph" w:customStyle="1" w:styleId="Subitem">
    <w:name w:val="Subitem"/>
    <w:aliases w:val="iss"/>
    <w:basedOn w:val="OPCParaBase"/>
    <w:rsid w:val="00FA78B1"/>
    <w:pPr>
      <w:spacing w:before="180" w:line="240" w:lineRule="auto"/>
      <w:ind w:left="709" w:hanging="709"/>
    </w:pPr>
  </w:style>
  <w:style w:type="paragraph" w:customStyle="1" w:styleId="SubitemHead">
    <w:name w:val="SubitemHead"/>
    <w:aliases w:val="issh"/>
    <w:basedOn w:val="OPCParaBase"/>
    <w:rsid w:val="00FA78B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78B1"/>
    <w:pPr>
      <w:spacing w:before="40" w:line="240" w:lineRule="auto"/>
      <w:ind w:left="1134"/>
    </w:pPr>
  </w:style>
  <w:style w:type="paragraph" w:customStyle="1" w:styleId="SubsectionHead">
    <w:name w:val="SubsectionHead"/>
    <w:aliases w:val="ssh"/>
    <w:basedOn w:val="OPCParaBase"/>
    <w:next w:val="subsection"/>
    <w:rsid w:val="00FA78B1"/>
    <w:pPr>
      <w:keepNext/>
      <w:keepLines/>
      <w:spacing w:before="240" w:line="240" w:lineRule="auto"/>
      <w:ind w:left="1134"/>
    </w:pPr>
    <w:rPr>
      <w:i/>
    </w:rPr>
  </w:style>
  <w:style w:type="paragraph" w:customStyle="1" w:styleId="Tablea">
    <w:name w:val="Table(a)"/>
    <w:aliases w:val="ta"/>
    <w:basedOn w:val="OPCParaBase"/>
    <w:rsid w:val="00FA78B1"/>
    <w:pPr>
      <w:spacing w:before="60" w:line="240" w:lineRule="auto"/>
      <w:ind w:left="284" w:hanging="284"/>
    </w:pPr>
    <w:rPr>
      <w:sz w:val="20"/>
    </w:rPr>
  </w:style>
  <w:style w:type="paragraph" w:customStyle="1" w:styleId="TableAA">
    <w:name w:val="Table(AA)"/>
    <w:aliases w:val="taaa"/>
    <w:basedOn w:val="OPCParaBase"/>
    <w:rsid w:val="00FA78B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78B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78B1"/>
    <w:pPr>
      <w:spacing w:before="60" w:line="240" w:lineRule="atLeast"/>
    </w:pPr>
    <w:rPr>
      <w:sz w:val="20"/>
    </w:rPr>
  </w:style>
  <w:style w:type="paragraph" w:customStyle="1" w:styleId="TLPBoxTextnote">
    <w:name w:val="TLPBoxText(note"/>
    <w:aliases w:val="right)"/>
    <w:basedOn w:val="OPCParaBase"/>
    <w:rsid w:val="00FA78B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78B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78B1"/>
    <w:pPr>
      <w:spacing w:before="122" w:line="198" w:lineRule="exact"/>
      <w:ind w:left="1985" w:hanging="851"/>
      <w:jc w:val="right"/>
    </w:pPr>
    <w:rPr>
      <w:sz w:val="18"/>
    </w:rPr>
  </w:style>
  <w:style w:type="paragraph" w:customStyle="1" w:styleId="TLPTableBullet">
    <w:name w:val="TLPTableBullet"/>
    <w:aliases w:val="ttb"/>
    <w:basedOn w:val="OPCParaBase"/>
    <w:rsid w:val="00FA78B1"/>
    <w:pPr>
      <w:spacing w:line="240" w:lineRule="exact"/>
      <w:ind w:left="284" w:hanging="284"/>
    </w:pPr>
    <w:rPr>
      <w:sz w:val="20"/>
    </w:rPr>
  </w:style>
  <w:style w:type="paragraph" w:styleId="TOC1">
    <w:name w:val="toc 1"/>
    <w:basedOn w:val="OPCParaBase"/>
    <w:next w:val="Normal"/>
    <w:uiPriority w:val="39"/>
    <w:unhideWhenUsed/>
    <w:rsid w:val="00FA78B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78B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A78B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A78B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A78B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A78B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A78B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A78B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A78B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78B1"/>
    <w:pPr>
      <w:keepLines/>
      <w:spacing w:before="240" w:after="120" w:line="240" w:lineRule="auto"/>
      <w:ind w:left="794"/>
    </w:pPr>
    <w:rPr>
      <w:b/>
      <w:kern w:val="28"/>
      <w:sz w:val="20"/>
    </w:rPr>
  </w:style>
  <w:style w:type="paragraph" w:customStyle="1" w:styleId="TofSectsHeading">
    <w:name w:val="TofSects(Heading)"/>
    <w:basedOn w:val="OPCParaBase"/>
    <w:rsid w:val="00FA78B1"/>
    <w:pPr>
      <w:spacing w:before="240" w:after="120" w:line="240" w:lineRule="auto"/>
    </w:pPr>
    <w:rPr>
      <w:b/>
      <w:sz w:val="24"/>
    </w:rPr>
  </w:style>
  <w:style w:type="paragraph" w:customStyle="1" w:styleId="TofSectsSection">
    <w:name w:val="TofSects(Section)"/>
    <w:basedOn w:val="OPCParaBase"/>
    <w:rsid w:val="00FA78B1"/>
    <w:pPr>
      <w:keepLines/>
      <w:spacing w:before="40" w:line="240" w:lineRule="auto"/>
      <w:ind w:left="1588" w:hanging="794"/>
    </w:pPr>
    <w:rPr>
      <w:kern w:val="28"/>
      <w:sz w:val="18"/>
    </w:rPr>
  </w:style>
  <w:style w:type="paragraph" w:customStyle="1" w:styleId="TofSectsSubdiv">
    <w:name w:val="TofSects(Subdiv)"/>
    <w:basedOn w:val="OPCParaBase"/>
    <w:rsid w:val="00FA78B1"/>
    <w:pPr>
      <w:keepLines/>
      <w:spacing w:before="80" w:line="240" w:lineRule="auto"/>
      <w:ind w:left="1588" w:hanging="794"/>
    </w:pPr>
    <w:rPr>
      <w:kern w:val="28"/>
    </w:rPr>
  </w:style>
  <w:style w:type="paragraph" w:customStyle="1" w:styleId="WRStyle">
    <w:name w:val="WR Style"/>
    <w:aliases w:val="WR"/>
    <w:basedOn w:val="OPCParaBase"/>
    <w:rsid w:val="00FA78B1"/>
    <w:pPr>
      <w:spacing w:before="240" w:line="240" w:lineRule="auto"/>
      <w:ind w:left="284" w:hanging="284"/>
    </w:pPr>
    <w:rPr>
      <w:b/>
      <w:i/>
      <w:kern w:val="28"/>
      <w:sz w:val="24"/>
    </w:rPr>
  </w:style>
  <w:style w:type="paragraph" w:customStyle="1" w:styleId="notepara">
    <w:name w:val="note(para)"/>
    <w:aliases w:val="na"/>
    <w:basedOn w:val="OPCParaBase"/>
    <w:rsid w:val="00FA78B1"/>
    <w:pPr>
      <w:spacing w:before="40" w:line="198" w:lineRule="exact"/>
      <w:ind w:left="2354" w:hanging="369"/>
    </w:pPr>
    <w:rPr>
      <w:sz w:val="18"/>
    </w:rPr>
  </w:style>
  <w:style w:type="paragraph" w:styleId="Footer">
    <w:name w:val="footer"/>
    <w:link w:val="FooterChar"/>
    <w:rsid w:val="00FA78B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A78B1"/>
    <w:rPr>
      <w:rFonts w:eastAsia="Times New Roman" w:cs="Times New Roman"/>
      <w:sz w:val="22"/>
      <w:szCs w:val="24"/>
      <w:lang w:eastAsia="en-AU"/>
    </w:rPr>
  </w:style>
  <w:style w:type="character" w:styleId="LineNumber">
    <w:name w:val="line number"/>
    <w:basedOn w:val="OPCCharBase"/>
    <w:uiPriority w:val="99"/>
    <w:semiHidden/>
    <w:unhideWhenUsed/>
    <w:rsid w:val="00FA78B1"/>
    <w:rPr>
      <w:sz w:val="16"/>
    </w:rPr>
  </w:style>
  <w:style w:type="table" w:customStyle="1" w:styleId="CFlag">
    <w:name w:val="CFlag"/>
    <w:basedOn w:val="TableNormal"/>
    <w:uiPriority w:val="99"/>
    <w:rsid w:val="00FA78B1"/>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78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8B1"/>
    <w:rPr>
      <w:rFonts w:ascii="Tahoma" w:hAnsi="Tahoma" w:cs="Tahoma"/>
      <w:sz w:val="16"/>
      <w:szCs w:val="16"/>
    </w:rPr>
  </w:style>
  <w:style w:type="character" w:styleId="Hyperlink">
    <w:name w:val="Hyperlink"/>
    <w:basedOn w:val="DefaultParagraphFont"/>
    <w:rsid w:val="00FA78B1"/>
    <w:rPr>
      <w:color w:val="0000FF"/>
      <w:u w:val="single"/>
    </w:rPr>
  </w:style>
  <w:style w:type="table" w:styleId="TableGrid">
    <w:name w:val="Table Grid"/>
    <w:basedOn w:val="TableNormal"/>
    <w:uiPriority w:val="59"/>
    <w:rsid w:val="00FA78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FA78B1"/>
    <w:rPr>
      <w:b/>
      <w:sz w:val="28"/>
      <w:szCs w:val="32"/>
    </w:rPr>
  </w:style>
  <w:style w:type="paragraph" w:customStyle="1" w:styleId="TerritoryT">
    <w:name w:val="TerritoryT"/>
    <w:basedOn w:val="OPCParaBase"/>
    <w:next w:val="Normal"/>
    <w:rsid w:val="00FA78B1"/>
    <w:rPr>
      <w:b/>
      <w:sz w:val="32"/>
    </w:rPr>
  </w:style>
  <w:style w:type="paragraph" w:customStyle="1" w:styleId="LegislationMadeUnder">
    <w:name w:val="LegislationMadeUnder"/>
    <w:basedOn w:val="OPCParaBase"/>
    <w:next w:val="Normal"/>
    <w:rsid w:val="00FA78B1"/>
    <w:rPr>
      <w:i/>
      <w:sz w:val="32"/>
      <w:szCs w:val="32"/>
    </w:rPr>
  </w:style>
  <w:style w:type="paragraph" w:customStyle="1" w:styleId="SignCoverPageEnd">
    <w:name w:val="SignCoverPageEnd"/>
    <w:basedOn w:val="OPCParaBase"/>
    <w:next w:val="Normal"/>
    <w:rsid w:val="00FA78B1"/>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A78B1"/>
    <w:pPr>
      <w:pBdr>
        <w:top w:val="single" w:sz="4" w:space="1" w:color="auto"/>
      </w:pBdr>
      <w:spacing w:before="360"/>
      <w:ind w:right="397"/>
      <w:jc w:val="both"/>
    </w:pPr>
  </w:style>
  <w:style w:type="paragraph" w:customStyle="1" w:styleId="NotesHeading1">
    <w:name w:val="NotesHeading 1"/>
    <w:basedOn w:val="OPCParaBase"/>
    <w:next w:val="Normal"/>
    <w:rsid w:val="00FA78B1"/>
    <w:rPr>
      <w:b/>
      <w:sz w:val="28"/>
      <w:szCs w:val="28"/>
    </w:rPr>
  </w:style>
  <w:style w:type="paragraph" w:customStyle="1" w:styleId="NotesHeading2">
    <w:name w:val="NotesHeading 2"/>
    <w:basedOn w:val="OPCParaBase"/>
    <w:next w:val="Normal"/>
    <w:rsid w:val="00FA78B1"/>
    <w:rPr>
      <w:b/>
      <w:sz w:val="28"/>
      <w:szCs w:val="28"/>
    </w:rPr>
  </w:style>
  <w:style w:type="paragraph" w:customStyle="1" w:styleId="ENotesText">
    <w:name w:val="ENotesText"/>
    <w:basedOn w:val="OPCParaBase"/>
    <w:next w:val="Normal"/>
    <w:rsid w:val="00FA78B1"/>
  </w:style>
  <w:style w:type="paragraph" w:customStyle="1" w:styleId="CompiledActNo">
    <w:name w:val="CompiledActNo"/>
    <w:basedOn w:val="OPCParaBase"/>
    <w:next w:val="Normal"/>
    <w:rsid w:val="00FA78B1"/>
    <w:rPr>
      <w:b/>
      <w:sz w:val="24"/>
      <w:szCs w:val="24"/>
    </w:rPr>
  </w:style>
  <w:style w:type="paragraph" w:customStyle="1" w:styleId="CompiledMadeUnder">
    <w:name w:val="CompiledMadeUnder"/>
    <w:basedOn w:val="OPCParaBase"/>
    <w:next w:val="Normal"/>
    <w:rsid w:val="00FA78B1"/>
    <w:rPr>
      <w:i/>
      <w:sz w:val="24"/>
      <w:szCs w:val="24"/>
    </w:rPr>
  </w:style>
  <w:style w:type="paragraph" w:customStyle="1" w:styleId="Paragraphsub-sub-sub">
    <w:name w:val="Paragraph(sub-sub-sub)"/>
    <w:aliases w:val="aaaa"/>
    <w:basedOn w:val="OPCParaBase"/>
    <w:rsid w:val="00FA78B1"/>
    <w:pPr>
      <w:tabs>
        <w:tab w:val="right" w:pos="3402"/>
      </w:tabs>
      <w:spacing w:before="40" w:line="240" w:lineRule="auto"/>
      <w:ind w:left="3402" w:hanging="3402"/>
    </w:pPr>
  </w:style>
  <w:style w:type="paragraph" w:customStyle="1" w:styleId="NoteToSubpara">
    <w:name w:val="NoteToSubpara"/>
    <w:aliases w:val="nts"/>
    <w:basedOn w:val="OPCParaBase"/>
    <w:rsid w:val="00FA78B1"/>
    <w:pPr>
      <w:spacing w:before="40" w:line="198" w:lineRule="exact"/>
      <w:ind w:left="2835" w:hanging="709"/>
    </w:pPr>
    <w:rPr>
      <w:sz w:val="18"/>
    </w:rPr>
  </w:style>
  <w:style w:type="paragraph" w:customStyle="1" w:styleId="EndNotespara">
    <w:name w:val="EndNotes(para)"/>
    <w:aliases w:val="eta"/>
    <w:basedOn w:val="OPCParaBase"/>
    <w:next w:val="Normal"/>
    <w:rsid w:val="00FA78B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78B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FA78B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78B1"/>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FA78B1"/>
    <w:pPr>
      <w:keepNext/>
      <w:spacing w:before="60" w:line="240" w:lineRule="atLeast"/>
    </w:pPr>
    <w:rPr>
      <w:rFonts w:ascii="Arial" w:hAnsi="Arial"/>
      <w:b/>
      <w:sz w:val="16"/>
    </w:rPr>
  </w:style>
  <w:style w:type="paragraph" w:customStyle="1" w:styleId="ENoteTTi">
    <w:name w:val="ENoteTTi"/>
    <w:aliases w:val="entti"/>
    <w:basedOn w:val="OPCParaBase"/>
    <w:rsid w:val="00FA78B1"/>
    <w:pPr>
      <w:keepNext/>
      <w:spacing w:before="60" w:line="240" w:lineRule="atLeast"/>
      <w:ind w:left="170"/>
    </w:pPr>
    <w:rPr>
      <w:sz w:val="16"/>
    </w:rPr>
  </w:style>
  <w:style w:type="paragraph" w:customStyle="1" w:styleId="ENotesHeading1">
    <w:name w:val="ENotesHeading 1"/>
    <w:aliases w:val="Enh1"/>
    <w:basedOn w:val="OPCParaBase"/>
    <w:next w:val="Normal"/>
    <w:rsid w:val="00FA78B1"/>
    <w:pPr>
      <w:spacing w:before="120"/>
      <w:outlineLvl w:val="1"/>
    </w:pPr>
    <w:rPr>
      <w:b/>
      <w:sz w:val="28"/>
      <w:szCs w:val="28"/>
    </w:rPr>
  </w:style>
  <w:style w:type="paragraph" w:customStyle="1" w:styleId="ENotesHeading2">
    <w:name w:val="ENotesHeading 2"/>
    <w:aliases w:val="Enh2"/>
    <w:basedOn w:val="OPCParaBase"/>
    <w:next w:val="Normal"/>
    <w:rsid w:val="00FA78B1"/>
    <w:pPr>
      <w:spacing w:before="120" w:after="120"/>
      <w:outlineLvl w:val="2"/>
    </w:pPr>
    <w:rPr>
      <w:b/>
      <w:sz w:val="24"/>
      <w:szCs w:val="28"/>
    </w:rPr>
  </w:style>
  <w:style w:type="paragraph" w:customStyle="1" w:styleId="ENoteTTIndentHeading">
    <w:name w:val="ENoteTTIndentHeading"/>
    <w:aliases w:val="enTTHi"/>
    <w:basedOn w:val="OPCParaBase"/>
    <w:rsid w:val="00FA78B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78B1"/>
    <w:pPr>
      <w:spacing w:before="60" w:line="240" w:lineRule="atLeast"/>
    </w:pPr>
    <w:rPr>
      <w:sz w:val="16"/>
    </w:rPr>
  </w:style>
  <w:style w:type="paragraph" w:customStyle="1" w:styleId="MadeunderText">
    <w:name w:val="MadeunderText"/>
    <w:basedOn w:val="OPCParaBase"/>
    <w:next w:val="CompiledMadeUnder"/>
    <w:rsid w:val="00FA78B1"/>
    <w:pPr>
      <w:spacing w:before="240"/>
    </w:pPr>
    <w:rPr>
      <w:sz w:val="24"/>
      <w:szCs w:val="24"/>
    </w:rPr>
  </w:style>
  <w:style w:type="paragraph" w:customStyle="1" w:styleId="ENotesHeading3">
    <w:name w:val="ENotesHeading 3"/>
    <w:aliases w:val="Enh3"/>
    <w:basedOn w:val="OPCParaBase"/>
    <w:next w:val="Normal"/>
    <w:rsid w:val="00FA78B1"/>
    <w:pPr>
      <w:keepNext/>
      <w:spacing w:before="120" w:line="240" w:lineRule="auto"/>
      <w:outlineLvl w:val="4"/>
    </w:pPr>
    <w:rPr>
      <w:b/>
      <w:szCs w:val="24"/>
    </w:rPr>
  </w:style>
  <w:style w:type="character" w:customStyle="1" w:styleId="CharSubPartTextCASA">
    <w:name w:val="CharSubPartText(CASA)"/>
    <w:basedOn w:val="OPCCharBase"/>
    <w:uiPriority w:val="1"/>
    <w:rsid w:val="00FA78B1"/>
  </w:style>
  <w:style w:type="character" w:customStyle="1" w:styleId="CharSubPartNoCASA">
    <w:name w:val="CharSubPartNo(CASA)"/>
    <w:basedOn w:val="OPCCharBase"/>
    <w:uiPriority w:val="1"/>
    <w:rsid w:val="00FA78B1"/>
  </w:style>
  <w:style w:type="paragraph" w:customStyle="1" w:styleId="ENoteTTIndentHeadingSub">
    <w:name w:val="ENoteTTIndentHeadingSub"/>
    <w:aliases w:val="enTTHis"/>
    <w:basedOn w:val="OPCParaBase"/>
    <w:rsid w:val="00FA78B1"/>
    <w:pPr>
      <w:keepNext/>
      <w:spacing w:before="60" w:line="240" w:lineRule="atLeast"/>
      <w:ind w:left="340"/>
    </w:pPr>
    <w:rPr>
      <w:b/>
      <w:sz w:val="16"/>
    </w:rPr>
  </w:style>
  <w:style w:type="paragraph" w:customStyle="1" w:styleId="ENoteTTiSub">
    <w:name w:val="ENoteTTiSub"/>
    <w:aliases w:val="enttis"/>
    <w:basedOn w:val="OPCParaBase"/>
    <w:rsid w:val="00FA78B1"/>
    <w:pPr>
      <w:keepNext/>
      <w:spacing w:before="60" w:line="240" w:lineRule="atLeast"/>
      <w:ind w:left="340"/>
    </w:pPr>
    <w:rPr>
      <w:sz w:val="16"/>
    </w:rPr>
  </w:style>
  <w:style w:type="paragraph" w:customStyle="1" w:styleId="SubDivisionMigration">
    <w:name w:val="SubDivisionMigration"/>
    <w:aliases w:val="sdm"/>
    <w:basedOn w:val="OPCParaBase"/>
    <w:rsid w:val="00FA78B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78B1"/>
    <w:pPr>
      <w:keepNext/>
      <w:keepLines/>
      <w:spacing w:before="240" w:line="240" w:lineRule="auto"/>
      <w:ind w:left="1134" w:hanging="1134"/>
    </w:pPr>
    <w:rPr>
      <w:b/>
      <w:sz w:val="28"/>
    </w:rPr>
  </w:style>
  <w:style w:type="paragraph" w:customStyle="1" w:styleId="notetext">
    <w:name w:val="note(text)"/>
    <w:aliases w:val="n"/>
    <w:basedOn w:val="OPCParaBase"/>
    <w:rsid w:val="00FA78B1"/>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FA78B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A78B1"/>
    <w:rPr>
      <w:sz w:val="22"/>
    </w:rPr>
  </w:style>
  <w:style w:type="paragraph" w:customStyle="1" w:styleId="SOTextNote">
    <w:name w:val="SO TextNote"/>
    <w:aliases w:val="sont"/>
    <w:basedOn w:val="SOText"/>
    <w:qFormat/>
    <w:rsid w:val="00FA78B1"/>
    <w:pPr>
      <w:spacing w:before="122" w:line="198" w:lineRule="exact"/>
      <w:ind w:left="1843" w:hanging="709"/>
    </w:pPr>
    <w:rPr>
      <w:sz w:val="18"/>
    </w:rPr>
  </w:style>
  <w:style w:type="paragraph" w:customStyle="1" w:styleId="SOPara">
    <w:name w:val="SO Para"/>
    <w:aliases w:val="soa"/>
    <w:basedOn w:val="SOText"/>
    <w:link w:val="SOParaChar"/>
    <w:qFormat/>
    <w:rsid w:val="00FA78B1"/>
    <w:pPr>
      <w:tabs>
        <w:tab w:val="right" w:pos="1786"/>
      </w:tabs>
      <w:spacing w:before="40"/>
      <w:ind w:left="2070" w:hanging="936"/>
    </w:pPr>
  </w:style>
  <w:style w:type="character" w:customStyle="1" w:styleId="SOParaChar">
    <w:name w:val="SO Para Char"/>
    <w:aliases w:val="soa Char"/>
    <w:basedOn w:val="DefaultParagraphFont"/>
    <w:link w:val="SOPara"/>
    <w:rsid w:val="00FA78B1"/>
    <w:rPr>
      <w:sz w:val="22"/>
    </w:rPr>
  </w:style>
  <w:style w:type="paragraph" w:customStyle="1" w:styleId="FileName">
    <w:name w:val="FileName"/>
    <w:basedOn w:val="Normal"/>
    <w:rsid w:val="00FA78B1"/>
  </w:style>
  <w:style w:type="paragraph" w:customStyle="1" w:styleId="TableHeading">
    <w:name w:val="TableHeading"/>
    <w:aliases w:val="th"/>
    <w:basedOn w:val="OPCParaBase"/>
    <w:next w:val="Tabletext"/>
    <w:rsid w:val="00FA78B1"/>
    <w:pPr>
      <w:keepNext/>
      <w:spacing w:before="60" w:line="240" w:lineRule="atLeast"/>
    </w:pPr>
    <w:rPr>
      <w:b/>
      <w:sz w:val="20"/>
    </w:rPr>
  </w:style>
  <w:style w:type="paragraph" w:customStyle="1" w:styleId="SOHeadBold">
    <w:name w:val="SO HeadBold"/>
    <w:aliases w:val="sohb"/>
    <w:basedOn w:val="SOText"/>
    <w:next w:val="SOText"/>
    <w:link w:val="SOHeadBoldChar"/>
    <w:qFormat/>
    <w:rsid w:val="00FA78B1"/>
    <w:rPr>
      <w:b/>
    </w:rPr>
  </w:style>
  <w:style w:type="character" w:customStyle="1" w:styleId="SOHeadBoldChar">
    <w:name w:val="SO HeadBold Char"/>
    <w:aliases w:val="sohb Char"/>
    <w:basedOn w:val="DefaultParagraphFont"/>
    <w:link w:val="SOHeadBold"/>
    <w:rsid w:val="00FA78B1"/>
    <w:rPr>
      <w:b/>
      <w:sz w:val="22"/>
    </w:rPr>
  </w:style>
  <w:style w:type="paragraph" w:customStyle="1" w:styleId="SOHeadItalic">
    <w:name w:val="SO HeadItalic"/>
    <w:aliases w:val="sohi"/>
    <w:basedOn w:val="SOText"/>
    <w:next w:val="SOText"/>
    <w:link w:val="SOHeadItalicChar"/>
    <w:qFormat/>
    <w:rsid w:val="00FA78B1"/>
    <w:rPr>
      <w:i/>
    </w:rPr>
  </w:style>
  <w:style w:type="character" w:customStyle="1" w:styleId="SOHeadItalicChar">
    <w:name w:val="SO HeadItalic Char"/>
    <w:aliases w:val="sohi Char"/>
    <w:basedOn w:val="DefaultParagraphFont"/>
    <w:link w:val="SOHeadItalic"/>
    <w:rsid w:val="00FA78B1"/>
    <w:rPr>
      <w:i/>
      <w:sz w:val="22"/>
    </w:rPr>
  </w:style>
  <w:style w:type="paragraph" w:customStyle="1" w:styleId="SOBullet">
    <w:name w:val="SO Bullet"/>
    <w:aliases w:val="sotb"/>
    <w:basedOn w:val="SOText"/>
    <w:link w:val="SOBulletChar"/>
    <w:qFormat/>
    <w:rsid w:val="00FA78B1"/>
    <w:pPr>
      <w:ind w:left="1559" w:hanging="425"/>
    </w:pPr>
  </w:style>
  <w:style w:type="character" w:customStyle="1" w:styleId="SOBulletChar">
    <w:name w:val="SO Bullet Char"/>
    <w:aliases w:val="sotb Char"/>
    <w:basedOn w:val="DefaultParagraphFont"/>
    <w:link w:val="SOBullet"/>
    <w:rsid w:val="00FA78B1"/>
    <w:rPr>
      <w:sz w:val="22"/>
    </w:rPr>
  </w:style>
  <w:style w:type="paragraph" w:customStyle="1" w:styleId="SOBulletNote">
    <w:name w:val="SO BulletNote"/>
    <w:aliases w:val="sonb"/>
    <w:basedOn w:val="SOTextNote"/>
    <w:link w:val="SOBulletNoteChar"/>
    <w:qFormat/>
    <w:rsid w:val="00FA78B1"/>
    <w:pPr>
      <w:tabs>
        <w:tab w:val="left" w:pos="1560"/>
      </w:tabs>
      <w:ind w:left="2268" w:hanging="1134"/>
    </w:pPr>
  </w:style>
  <w:style w:type="character" w:customStyle="1" w:styleId="SOBulletNoteChar">
    <w:name w:val="SO BulletNote Char"/>
    <w:aliases w:val="sonb Char"/>
    <w:basedOn w:val="DefaultParagraphFont"/>
    <w:link w:val="SOBulletNote"/>
    <w:rsid w:val="00FA78B1"/>
    <w:rPr>
      <w:sz w:val="18"/>
    </w:rPr>
  </w:style>
  <w:style w:type="paragraph" w:customStyle="1" w:styleId="SOText2">
    <w:name w:val="SO Text2"/>
    <w:aliases w:val="sot2"/>
    <w:basedOn w:val="Normal"/>
    <w:next w:val="SOText"/>
    <w:link w:val="SOText2Char"/>
    <w:rsid w:val="00FA78B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A78B1"/>
    <w:rPr>
      <w:sz w:val="22"/>
    </w:rPr>
  </w:style>
  <w:style w:type="paragraph" w:customStyle="1" w:styleId="SubPartCASA">
    <w:name w:val="SubPart(CASA)"/>
    <w:aliases w:val="csp"/>
    <w:basedOn w:val="OPCParaBase"/>
    <w:next w:val="ActHead3"/>
    <w:rsid w:val="00FA78B1"/>
    <w:pPr>
      <w:keepNext/>
      <w:keepLines/>
      <w:spacing w:before="280"/>
      <w:ind w:left="1134" w:hanging="1134"/>
      <w:outlineLvl w:val="1"/>
    </w:pPr>
    <w:rPr>
      <w:b/>
      <w:kern w:val="28"/>
      <w:sz w:val="32"/>
    </w:rPr>
  </w:style>
  <w:style w:type="character" w:customStyle="1" w:styleId="Heading6Char">
    <w:name w:val="Heading 6 Char"/>
    <w:basedOn w:val="DefaultParagraphFont"/>
    <w:link w:val="Heading6"/>
    <w:rsid w:val="0058591E"/>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5859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8591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8591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8591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8591E"/>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58591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591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8591E"/>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20</Pages>
  <Words>3556</Words>
  <Characters>18725</Characters>
  <Application>Microsoft Office Word</Application>
  <DocSecurity>0</DocSecurity>
  <PresentationFormat/>
  <Lines>750</Lines>
  <Paragraphs>410</Paragraphs>
  <ScaleCrop>false</ScaleCrop>
  <HeadingPairs>
    <vt:vector size="2" baseType="variant">
      <vt:variant>
        <vt:lpstr>Title</vt:lpstr>
      </vt:variant>
      <vt:variant>
        <vt:i4>1</vt:i4>
      </vt:variant>
    </vt:vector>
  </HeadingPairs>
  <TitlesOfParts>
    <vt:vector size="1" baseType="lpstr">
      <vt:lpstr>Food Standards Australia New Zealand Amendment (High Level Health Claims and Other Measures) Regulation 2015</vt:lpstr>
    </vt:vector>
  </TitlesOfParts>
  <Manager/>
  <Company/>
  <LinksUpToDate>false</LinksUpToDate>
  <CharactersWithSpaces>21971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2015-03-12T03:18:00Z</cp:lastPrinted>
  <dcterms:created xsi:type="dcterms:W3CDTF">2015-04-27T06:01:00Z</dcterms:created>
  <dcterms:modified xsi:type="dcterms:W3CDTF">2015-04-27T06:01:00Z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61, 2015</vt:lpwstr>
  </property>
  <property fmtid="{D5CDD505-2E9C-101B-9397-08002B2CF9AE}" pid="3" name="ShortT">
    <vt:lpwstr>Food Standards Australia New Zealand Amendment (High Level Health Claims and Other Measures) Regulation 2015</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30 April 2015</vt:lpwstr>
  </property>
  <property fmtid="{D5CDD505-2E9C-101B-9397-08002B2CF9AE}" pid="10" name="Authority">
    <vt:lpwstr/>
  </property>
  <property fmtid="{D5CDD505-2E9C-101B-9397-08002B2CF9AE}" pid="11" name="ID">
    <vt:lpwstr>OPC60990</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Food Standards Australia New Zealand Act 1991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30 April 2015</vt:lpwstr>
  </property>
</Properties>
</file>