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EE" w:rsidRPr="000D13E5" w:rsidRDefault="004005EE" w:rsidP="004005EE">
      <w:pPr>
        <w:pStyle w:val="Default"/>
      </w:pPr>
    </w:p>
    <w:p w:rsidR="006F2B25" w:rsidRDefault="006F2B25" w:rsidP="004005EE">
      <w:pPr>
        <w:pStyle w:val="Default"/>
        <w:jc w:val="center"/>
        <w:rPr>
          <w:b/>
          <w:bCs/>
          <w:sz w:val="28"/>
          <w:szCs w:val="28"/>
        </w:rPr>
      </w:pPr>
      <w:r w:rsidRPr="006F2B25">
        <w:rPr>
          <w:b/>
          <w:bCs/>
          <w:sz w:val="28"/>
          <w:szCs w:val="28"/>
        </w:rPr>
        <w:t>EXPLANATORY STATEMENT</w:t>
      </w:r>
      <w:r>
        <w:rPr>
          <w:b/>
          <w:bCs/>
          <w:sz w:val="28"/>
          <w:szCs w:val="28"/>
        </w:rPr>
        <w:t xml:space="preserve"> for</w:t>
      </w:r>
    </w:p>
    <w:p w:rsidR="004005EE" w:rsidRPr="000D13E5" w:rsidRDefault="004005EE" w:rsidP="004005EE">
      <w:pPr>
        <w:pStyle w:val="Default"/>
        <w:jc w:val="center"/>
        <w:rPr>
          <w:b/>
          <w:bCs/>
          <w:sz w:val="28"/>
          <w:szCs w:val="28"/>
        </w:rPr>
      </w:pPr>
      <w:bookmarkStart w:id="0" w:name="_GoBack"/>
      <w:r w:rsidRPr="000D13E5">
        <w:rPr>
          <w:b/>
          <w:bCs/>
          <w:sz w:val="28"/>
          <w:szCs w:val="28"/>
        </w:rPr>
        <w:t xml:space="preserve">ASIC CLASS RULE WAIVER [CW </w:t>
      </w:r>
      <w:r w:rsidR="00894D0E" w:rsidRPr="000D13E5">
        <w:rPr>
          <w:b/>
          <w:bCs/>
          <w:sz w:val="28"/>
          <w:szCs w:val="28"/>
        </w:rPr>
        <w:t>1</w:t>
      </w:r>
      <w:r w:rsidR="00B972A9">
        <w:rPr>
          <w:b/>
          <w:bCs/>
          <w:sz w:val="28"/>
          <w:szCs w:val="28"/>
        </w:rPr>
        <w:t>5</w:t>
      </w:r>
      <w:r w:rsidR="00894D0E" w:rsidRPr="000D13E5">
        <w:rPr>
          <w:b/>
          <w:bCs/>
          <w:sz w:val="28"/>
          <w:szCs w:val="28"/>
        </w:rPr>
        <w:t>/</w:t>
      </w:r>
      <w:r w:rsidR="00DF73A6">
        <w:rPr>
          <w:b/>
          <w:bCs/>
          <w:sz w:val="28"/>
          <w:szCs w:val="28"/>
        </w:rPr>
        <w:t>0384</w:t>
      </w:r>
      <w:r w:rsidRPr="000D13E5">
        <w:rPr>
          <w:b/>
          <w:bCs/>
          <w:sz w:val="28"/>
          <w:szCs w:val="28"/>
        </w:rPr>
        <w:t>]</w:t>
      </w:r>
      <w:bookmarkEnd w:id="0"/>
    </w:p>
    <w:p w:rsidR="004005EE" w:rsidRPr="000D13E5" w:rsidRDefault="004005EE" w:rsidP="004005EE">
      <w:pPr>
        <w:pStyle w:val="Default"/>
        <w:jc w:val="center"/>
      </w:pPr>
    </w:p>
    <w:p w:rsidR="004005EE" w:rsidRPr="000D13E5" w:rsidRDefault="004005EE" w:rsidP="004005EE">
      <w:pPr>
        <w:pStyle w:val="Default"/>
        <w:jc w:val="center"/>
      </w:pPr>
      <w:r w:rsidRPr="000D13E5">
        <w:t>Prepared by the Australian Securities and Investments Commission</w:t>
      </w:r>
    </w:p>
    <w:p w:rsidR="004005EE" w:rsidRPr="000D13E5" w:rsidRDefault="004005EE" w:rsidP="004005EE">
      <w:pPr>
        <w:pStyle w:val="Default"/>
        <w:jc w:val="center"/>
      </w:pPr>
    </w:p>
    <w:p w:rsidR="004005EE" w:rsidRPr="000D13E5" w:rsidRDefault="004005EE" w:rsidP="004005EE">
      <w:pPr>
        <w:pStyle w:val="Default"/>
        <w:jc w:val="center"/>
        <w:rPr>
          <w:i/>
          <w:iCs/>
        </w:rPr>
      </w:pPr>
      <w:r w:rsidRPr="000D13E5">
        <w:rPr>
          <w:i/>
          <w:iCs/>
        </w:rPr>
        <w:t>ASIC Market Integrity Rules (Competition in Exchange Markets) 2011</w:t>
      </w:r>
    </w:p>
    <w:p w:rsidR="004005EE" w:rsidRPr="000D13E5" w:rsidRDefault="004005EE" w:rsidP="004005EE">
      <w:pPr>
        <w:pStyle w:val="Default"/>
        <w:jc w:val="center"/>
        <w:rPr>
          <w:sz w:val="23"/>
          <w:szCs w:val="23"/>
        </w:rPr>
      </w:pPr>
    </w:p>
    <w:p w:rsidR="004005EE" w:rsidRPr="000D13E5" w:rsidRDefault="004005EE" w:rsidP="004005EE">
      <w:pPr>
        <w:pStyle w:val="Default"/>
      </w:pPr>
      <w:r w:rsidRPr="000D13E5">
        <w:t>The Australian Securities and Investments Commission (</w:t>
      </w:r>
      <w:r w:rsidRPr="000D13E5">
        <w:rPr>
          <w:b/>
          <w:bCs/>
          <w:iCs/>
        </w:rPr>
        <w:t>ASIC</w:t>
      </w:r>
      <w:r w:rsidRPr="000D13E5">
        <w:t>) makes this instrument under subrule 1.2.1(1)</w:t>
      </w:r>
      <w:r w:rsidR="00803250" w:rsidRPr="000D13E5">
        <w:t xml:space="preserve"> </w:t>
      </w:r>
      <w:r w:rsidRPr="000D13E5">
        <w:t xml:space="preserve">of the </w:t>
      </w:r>
      <w:r w:rsidRPr="000D13E5">
        <w:rPr>
          <w:i/>
          <w:iCs/>
        </w:rPr>
        <w:t>ASIC Market Integrity Rules (Competition in Exchange Markets) 2011</w:t>
      </w:r>
      <w:r w:rsidR="00664150" w:rsidRPr="000D13E5">
        <w:rPr>
          <w:b/>
        </w:rPr>
        <w:t xml:space="preserve"> (</w:t>
      </w:r>
      <w:r w:rsidR="00D81947" w:rsidRPr="006F2B25">
        <w:t>the</w:t>
      </w:r>
      <w:r w:rsidR="00D81947">
        <w:rPr>
          <w:b/>
        </w:rPr>
        <w:t xml:space="preserve"> </w:t>
      </w:r>
      <w:r w:rsidRPr="000D13E5">
        <w:rPr>
          <w:b/>
          <w:bCs/>
          <w:iCs/>
        </w:rPr>
        <w:t>Competition</w:t>
      </w:r>
      <w:r w:rsidR="00333FC1">
        <w:rPr>
          <w:b/>
          <w:bCs/>
          <w:iCs/>
        </w:rPr>
        <w:t xml:space="preserve"> Rules</w:t>
      </w:r>
      <w:r w:rsidR="00664150" w:rsidRPr="000D13E5">
        <w:t>)</w:t>
      </w:r>
      <w:r w:rsidRPr="000D13E5">
        <w:t xml:space="preserve">. </w:t>
      </w:r>
    </w:p>
    <w:p w:rsidR="004005EE" w:rsidRPr="000D13E5" w:rsidRDefault="004005EE" w:rsidP="004005EE">
      <w:pPr>
        <w:pStyle w:val="Default"/>
      </w:pPr>
    </w:p>
    <w:p w:rsidR="004005EE" w:rsidRPr="000D13E5" w:rsidRDefault="004005EE" w:rsidP="004005EE">
      <w:pPr>
        <w:pStyle w:val="Default"/>
      </w:pPr>
      <w:r w:rsidRPr="000D13E5">
        <w:t>Under subrule 1.2.1(1), ASIC may relieve any person or class of persons from the obligation to comply with a provision of the Competition</w:t>
      </w:r>
      <w:r w:rsidR="00D81947">
        <w:t xml:space="preserve"> Rules</w:t>
      </w:r>
      <w:r w:rsidRPr="000D13E5">
        <w:t xml:space="preserve">. </w:t>
      </w:r>
    </w:p>
    <w:p w:rsidR="00894D0E" w:rsidRPr="000D13E5" w:rsidRDefault="00894D0E" w:rsidP="004005EE">
      <w:pPr>
        <w:pStyle w:val="Default"/>
      </w:pPr>
    </w:p>
    <w:p w:rsidR="00894D0E" w:rsidRPr="000D13E5" w:rsidRDefault="0028351D" w:rsidP="004005EE">
      <w:pPr>
        <w:pStyle w:val="Default"/>
      </w:pPr>
      <w:r w:rsidRPr="000D13E5">
        <w:t>Unless otherwise indicated, c</w:t>
      </w:r>
      <w:r w:rsidR="00894D0E" w:rsidRPr="000D13E5">
        <w:t>apitalised terms in this Explanatory Statement refer to defined terms in the Competition</w:t>
      </w:r>
      <w:r w:rsidR="00D81947">
        <w:t xml:space="preserve"> Rules</w:t>
      </w:r>
      <w:r w:rsidR="00894D0E" w:rsidRPr="000D13E5">
        <w:t>.</w:t>
      </w:r>
    </w:p>
    <w:p w:rsidR="004005EE" w:rsidRPr="000D13E5" w:rsidRDefault="004005EE" w:rsidP="00D15888">
      <w:pPr>
        <w:pStyle w:val="Default"/>
        <w:numPr>
          <w:ilvl w:val="0"/>
          <w:numId w:val="1"/>
        </w:numPr>
        <w:spacing w:before="240" w:after="240"/>
        <w:ind w:left="357" w:hanging="357"/>
        <w:rPr>
          <w:b/>
          <w:bCs/>
        </w:rPr>
      </w:pPr>
      <w:r w:rsidRPr="000D13E5">
        <w:rPr>
          <w:b/>
          <w:bCs/>
        </w:rPr>
        <w:t xml:space="preserve">Background </w:t>
      </w:r>
    </w:p>
    <w:p w:rsidR="005E1E15" w:rsidRPr="000D13E5" w:rsidRDefault="000C36BA" w:rsidP="00D15888">
      <w:pPr>
        <w:pStyle w:val="Default"/>
        <w:spacing w:after="240"/>
        <w:rPr>
          <w:i/>
          <w:iCs/>
        </w:rPr>
      </w:pPr>
      <w:r>
        <w:rPr>
          <w:i/>
          <w:iCs/>
        </w:rPr>
        <w:t xml:space="preserve">The </w:t>
      </w:r>
      <w:r w:rsidR="005E1E15" w:rsidRPr="000D13E5">
        <w:rPr>
          <w:i/>
          <w:iCs/>
        </w:rPr>
        <w:t>Competition</w:t>
      </w:r>
      <w:r>
        <w:rPr>
          <w:i/>
          <w:iCs/>
        </w:rPr>
        <w:t xml:space="preserve"> Rules</w:t>
      </w:r>
      <w:r w:rsidR="005E1E15" w:rsidRPr="000D13E5">
        <w:rPr>
          <w:i/>
          <w:iCs/>
        </w:rPr>
        <w:t xml:space="preserve"> </w:t>
      </w:r>
    </w:p>
    <w:p w:rsidR="005E1E15" w:rsidRPr="000D13E5" w:rsidRDefault="005E1E15" w:rsidP="00D15888">
      <w:pPr>
        <w:pStyle w:val="Default"/>
        <w:spacing w:after="120"/>
      </w:pPr>
      <w:r w:rsidRPr="000D13E5">
        <w:t>On 29 April 2011, ASIC made the Competition</w:t>
      </w:r>
      <w:r w:rsidR="000C36BA">
        <w:t xml:space="preserve"> Rules</w:t>
      </w:r>
      <w:r w:rsidRPr="000D13E5">
        <w:t xml:space="preserve"> which form part of the regulatory framework for competition between exchange markets. </w:t>
      </w:r>
    </w:p>
    <w:p w:rsidR="005E1E15" w:rsidRPr="0079529D" w:rsidRDefault="005E1E15" w:rsidP="00230B70">
      <w:pPr>
        <w:pStyle w:val="Default"/>
        <w:spacing w:before="120" w:after="120"/>
      </w:pPr>
      <w:r w:rsidRPr="0079529D">
        <w:t>The Competition</w:t>
      </w:r>
      <w:r w:rsidR="000C36BA">
        <w:t xml:space="preserve"> Rules</w:t>
      </w:r>
      <w:r w:rsidRPr="0079529D">
        <w:t xml:space="preserve"> apply to:</w:t>
      </w:r>
    </w:p>
    <w:p w:rsidR="005E1E15" w:rsidRPr="0079529D" w:rsidRDefault="005E1E15" w:rsidP="005E1E15">
      <w:pPr>
        <w:pStyle w:val="Default"/>
        <w:numPr>
          <w:ilvl w:val="0"/>
          <w:numId w:val="16"/>
        </w:numPr>
      </w:pPr>
      <w:r w:rsidRPr="0079529D">
        <w:t>the activities or conduct of a Market;</w:t>
      </w:r>
    </w:p>
    <w:p w:rsidR="005E1E15" w:rsidRPr="0079529D" w:rsidRDefault="005E1E15" w:rsidP="005E1E15">
      <w:pPr>
        <w:pStyle w:val="Default"/>
        <w:numPr>
          <w:ilvl w:val="0"/>
          <w:numId w:val="16"/>
        </w:numPr>
      </w:pPr>
      <w:r w:rsidRPr="0079529D">
        <w:t>the activities or conduct of person</w:t>
      </w:r>
      <w:r w:rsidR="005C55F4" w:rsidRPr="0079529D">
        <w:t>s</w:t>
      </w:r>
      <w:r w:rsidRPr="0079529D">
        <w:t xml:space="preserve"> in relation to a Market; and</w:t>
      </w:r>
    </w:p>
    <w:p w:rsidR="005E1E15" w:rsidRPr="0079529D" w:rsidRDefault="005E1E15" w:rsidP="005E1E15">
      <w:pPr>
        <w:pStyle w:val="Default"/>
        <w:numPr>
          <w:ilvl w:val="0"/>
          <w:numId w:val="16"/>
        </w:numPr>
      </w:pPr>
      <w:r w:rsidRPr="0079529D">
        <w:t>the activities or conduct of persons in relation to Financial Products</w:t>
      </w:r>
      <w:r w:rsidR="005C55F4" w:rsidRPr="0079529D">
        <w:t>,</w:t>
      </w:r>
    </w:p>
    <w:p w:rsidR="005E1E15" w:rsidRPr="000D13E5" w:rsidRDefault="005E1E15" w:rsidP="00D15888">
      <w:pPr>
        <w:pStyle w:val="Default"/>
        <w:spacing w:after="120"/>
      </w:pPr>
      <w:r w:rsidRPr="0079529D">
        <w:t>as specified in each Chapter, Part or Rule</w:t>
      </w:r>
      <w:r w:rsidR="000C51FF" w:rsidRPr="0079529D">
        <w:t>.</w:t>
      </w:r>
    </w:p>
    <w:p w:rsidR="005E1E15" w:rsidRPr="000D13E5" w:rsidRDefault="005E1E15" w:rsidP="00230B70">
      <w:pPr>
        <w:pStyle w:val="Default"/>
        <w:spacing w:after="120"/>
      </w:pPr>
      <w:r w:rsidRPr="000D13E5">
        <w:t>Chapter 4 of the Competition</w:t>
      </w:r>
      <w:r w:rsidR="00DE7CD2">
        <w:t xml:space="preserve"> Rules</w:t>
      </w:r>
      <w:r w:rsidRPr="000D13E5">
        <w:t xml:space="preserve"> relates to Pre-Trade Transparency. Chapter 4 applies to:</w:t>
      </w:r>
    </w:p>
    <w:p w:rsidR="005E1E15" w:rsidRPr="000D13E5" w:rsidRDefault="005E1E15" w:rsidP="005E1E15">
      <w:pPr>
        <w:pStyle w:val="Default"/>
        <w:numPr>
          <w:ilvl w:val="0"/>
          <w:numId w:val="17"/>
        </w:numPr>
      </w:pPr>
      <w:r w:rsidRPr="000D13E5">
        <w:t>Equity Market Operators</w:t>
      </w:r>
      <w:r w:rsidR="00BF6ABB">
        <w:t xml:space="preserve"> and CGS Market Operators</w:t>
      </w:r>
      <w:r w:rsidRPr="000D13E5">
        <w:t>;</w:t>
      </w:r>
    </w:p>
    <w:p w:rsidR="005E1E15" w:rsidRPr="000D13E5" w:rsidRDefault="00BF6ABB" w:rsidP="005E1E15">
      <w:pPr>
        <w:pStyle w:val="Default"/>
        <w:numPr>
          <w:ilvl w:val="0"/>
          <w:numId w:val="17"/>
        </w:numPr>
      </w:pPr>
      <w:r>
        <w:t xml:space="preserve">Equity Market Participants </w:t>
      </w:r>
      <w:r w:rsidR="00E350CE">
        <w:t>and CGS Market Participants</w:t>
      </w:r>
      <w:r w:rsidR="005E1E15" w:rsidRPr="00E350CE">
        <w:rPr>
          <w:iCs/>
        </w:rPr>
        <w:t>;</w:t>
      </w:r>
      <w:r w:rsidR="00E350CE" w:rsidRPr="00E350CE">
        <w:rPr>
          <w:iCs/>
        </w:rPr>
        <w:t xml:space="preserve"> </w:t>
      </w:r>
      <w:r w:rsidR="005E1E15" w:rsidRPr="00E350CE">
        <w:rPr>
          <w:iCs/>
        </w:rPr>
        <w:t xml:space="preserve"> and</w:t>
      </w:r>
    </w:p>
    <w:p w:rsidR="005E1E15" w:rsidRPr="000D13E5" w:rsidRDefault="005E1E15" w:rsidP="00D15888">
      <w:pPr>
        <w:pStyle w:val="Default"/>
        <w:numPr>
          <w:ilvl w:val="0"/>
          <w:numId w:val="17"/>
        </w:numPr>
        <w:spacing w:after="120"/>
        <w:ind w:left="714" w:hanging="357"/>
      </w:pPr>
      <w:r w:rsidRPr="000D13E5">
        <w:rPr>
          <w:iCs/>
        </w:rPr>
        <w:t>Orders and Transactions in Equity Market Products and CGS Depository Interests.</w:t>
      </w:r>
    </w:p>
    <w:p w:rsidR="005E1E15" w:rsidRPr="000D13E5" w:rsidRDefault="0079529D" w:rsidP="00D15888">
      <w:pPr>
        <w:pStyle w:val="Default"/>
        <w:spacing w:after="120"/>
      </w:pPr>
      <w:r w:rsidRPr="0079529D">
        <w:t>Currently the Financial Markets to which the Competition Rules apply</w:t>
      </w:r>
      <w:r w:rsidR="005E1E15" w:rsidRPr="0079529D">
        <w:t xml:space="preserve"> include the financial markets operated by ASX Limited </w:t>
      </w:r>
      <w:r w:rsidR="00D15888" w:rsidRPr="0079529D">
        <w:t xml:space="preserve">(ACN 008 624 691) </w:t>
      </w:r>
      <w:r w:rsidR="005E1E15" w:rsidRPr="0079529D">
        <w:t>(</w:t>
      </w:r>
      <w:r w:rsidR="005E1E15" w:rsidRPr="0079529D">
        <w:rPr>
          <w:b/>
          <w:bCs/>
          <w:iCs/>
        </w:rPr>
        <w:t>ASX</w:t>
      </w:r>
      <w:r w:rsidR="005E1E15" w:rsidRPr="0079529D">
        <w:t>) and Chi-X Australia Pty Ltd</w:t>
      </w:r>
      <w:r w:rsidR="00D15888" w:rsidRPr="0079529D">
        <w:t xml:space="preserve"> (ACN 129 584 667) (</w:t>
      </w:r>
      <w:r w:rsidR="00D15888" w:rsidRPr="0079529D">
        <w:rPr>
          <w:b/>
        </w:rPr>
        <w:t>Chi-X</w:t>
      </w:r>
      <w:r w:rsidR="00D15888" w:rsidRPr="0079529D">
        <w:t>)</w:t>
      </w:r>
      <w:r w:rsidR="005E1E15" w:rsidRPr="0079529D">
        <w:t>.</w:t>
      </w:r>
      <w:r w:rsidR="005E1E15" w:rsidRPr="000D13E5">
        <w:t xml:space="preserve"> </w:t>
      </w:r>
    </w:p>
    <w:p w:rsidR="005E1E15" w:rsidRPr="000D13E5" w:rsidRDefault="005E1E15" w:rsidP="00D15888">
      <w:pPr>
        <w:pStyle w:val="Default"/>
        <w:spacing w:before="120" w:after="120"/>
        <w:rPr>
          <w:i/>
          <w:iCs/>
        </w:rPr>
      </w:pPr>
      <w:r w:rsidRPr="000D13E5">
        <w:rPr>
          <w:i/>
          <w:iCs/>
        </w:rPr>
        <w:t xml:space="preserve">Pre-trade transparency exceptions </w:t>
      </w:r>
    </w:p>
    <w:p w:rsidR="005E1E15" w:rsidRPr="000D13E5" w:rsidRDefault="005E1E15" w:rsidP="00D15888">
      <w:pPr>
        <w:pStyle w:val="Default"/>
        <w:spacing w:after="120"/>
      </w:pPr>
      <w:r w:rsidRPr="000D13E5">
        <w:t>Subrule 4.1.1(1) of the Competition</w:t>
      </w:r>
      <w:r w:rsidR="00DE7CD2">
        <w:t xml:space="preserve"> Rules</w:t>
      </w:r>
      <w:r w:rsidRPr="000D13E5">
        <w:t xml:space="preserve"> provides that, subject to subrule 4.1.1(2), a Participant must not enter into a Transaction unless the Transaction is entered into by matching of a Pre-Trade Transparent Order (being an Order for which information such as price and volume is made available before execution) on an </w:t>
      </w:r>
      <w:r w:rsidR="005C55F4" w:rsidRPr="0079529D">
        <w:t>O</w:t>
      </w:r>
      <w:r w:rsidRPr="0079529D">
        <w:t xml:space="preserve">rder </w:t>
      </w:r>
      <w:r w:rsidR="0079529D" w:rsidRPr="0079529D">
        <w:t>B</w:t>
      </w:r>
      <w:r w:rsidRPr="0079529D">
        <w:t>ook.</w:t>
      </w:r>
    </w:p>
    <w:p w:rsidR="005E1E15" w:rsidRDefault="005E1E15" w:rsidP="005E1E15">
      <w:pPr>
        <w:pStyle w:val="Default"/>
      </w:pPr>
      <w:r w:rsidRPr="000D13E5">
        <w:t>Subrule 4.1.1(1) reflects the importance of pre-trade transparency to the price formation process</w:t>
      </w:r>
      <w:r w:rsidR="005C55F4">
        <w:t>, liquidity</w:t>
      </w:r>
      <w:r w:rsidRPr="000D13E5">
        <w:t xml:space="preserve"> and to fair</w:t>
      </w:r>
      <w:r w:rsidR="0083472D">
        <w:t>, orderly and transparent</w:t>
      </w:r>
      <w:r w:rsidR="002227DC">
        <w:t xml:space="preserve"> </w:t>
      </w:r>
      <w:r w:rsidRPr="000D13E5">
        <w:t xml:space="preserve">markets. </w:t>
      </w:r>
    </w:p>
    <w:p w:rsidR="00A04AF7" w:rsidRPr="000D13E5" w:rsidRDefault="00A04AF7" w:rsidP="005E1E15">
      <w:pPr>
        <w:pStyle w:val="Default"/>
      </w:pPr>
    </w:p>
    <w:p w:rsidR="005E1E15" w:rsidRPr="000D13E5" w:rsidRDefault="005E1E15" w:rsidP="00D15888">
      <w:pPr>
        <w:pStyle w:val="Default"/>
        <w:spacing w:after="120"/>
      </w:pPr>
      <w:r w:rsidRPr="000D13E5">
        <w:t>Subrule 4.1.1(2) of the Competition</w:t>
      </w:r>
      <w:r w:rsidR="00DE7CD2">
        <w:t xml:space="preserve"> Rules</w:t>
      </w:r>
      <w:r w:rsidRPr="000D13E5">
        <w:t xml:space="preserve"> lists the exceptions to the requirements of subrule 4.1.1(1). A Participant is not required to comply with subrule 4.1.1(1) in relation to: </w:t>
      </w:r>
    </w:p>
    <w:p w:rsidR="005E1E15" w:rsidRPr="000D13E5" w:rsidRDefault="005E1E15" w:rsidP="009676C5">
      <w:pPr>
        <w:pStyle w:val="Default"/>
        <w:numPr>
          <w:ilvl w:val="0"/>
          <w:numId w:val="18"/>
        </w:numPr>
        <w:ind w:left="1134" w:hanging="567"/>
        <w:rPr>
          <w:lang w:val="en-US"/>
        </w:rPr>
      </w:pPr>
      <w:r w:rsidRPr="000D13E5">
        <w:rPr>
          <w:lang w:val="en-US"/>
        </w:rPr>
        <w:t xml:space="preserve">Block Trades; </w:t>
      </w:r>
    </w:p>
    <w:p w:rsidR="005E1E15" w:rsidRPr="000D13E5" w:rsidRDefault="005E1E15" w:rsidP="009676C5">
      <w:pPr>
        <w:pStyle w:val="Default"/>
        <w:numPr>
          <w:ilvl w:val="0"/>
          <w:numId w:val="18"/>
        </w:numPr>
        <w:ind w:left="1134" w:hanging="567"/>
        <w:rPr>
          <w:lang w:val="en-US"/>
        </w:rPr>
      </w:pPr>
      <w:r w:rsidRPr="000D13E5">
        <w:rPr>
          <w:lang w:val="en-US"/>
        </w:rPr>
        <w:lastRenderedPageBreak/>
        <w:t xml:space="preserve">Large Portfolio Trades; </w:t>
      </w:r>
    </w:p>
    <w:p w:rsidR="005E1E15" w:rsidRPr="000D13E5" w:rsidRDefault="005E1E15" w:rsidP="009676C5">
      <w:pPr>
        <w:pStyle w:val="Default"/>
        <w:numPr>
          <w:ilvl w:val="0"/>
          <w:numId w:val="18"/>
        </w:numPr>
        <w:ind w:left="1134" w:hanging="567"/>
        <w:rPr>
          <w:lang w:val="en-US"/>
        </w:rPr>
      </w:pPr>
      <w:r w:rsidRPr="000D13E5">
        <w:rPr>
          <w:lang w:val="en-US"/>
        </w:rPr>
        <w:t xml:space="preserve">Trades </w:t>
      </w:r>
      <w:r w:rsidR="00AC593C" w:rsidRPr="000D13E5">
        <w:rPr>
          <w:lang w:val="en-US"/>
        </w:rPr>
        <w:t>with</w:t>
      </w:r>
      <w:r w:rsidRPr="000D13E5">
        <w:rPr>
          <w:lang w:val="en-US"/>
        </w:rPr>
        <w:t xml:space="preserve"> Price Improvement; </w:t>
      </w:r>
    </w:p>
    <w:p w:rsidR="005E1E15" w:rsidRPr="000D13E5" w:rsidRDefault="005E1E15" w:rsidP="009676C5">
      <w:pPr>
        <w:pStyle w:val="Default"/>
        <w:numPr>
          <w:ilvl w:val="0"/>
          <w:numId w:val="18"/>
        </w:numPr>
        <w:ind w:left="1134" w:hanging="567"/>
        <w:rPr>
          <w:lang w:val="en-US"/>
        </w:rPr>
      </w:pPr>
      <w:r w:rsidRPr="000D13E5">
        <w:rPr>
          <w:lang w:val="en-US"/>
        </w:rPr>
        <w:t xml:space="preserve">Permitted Trades during the Post-Trading Hours Period; </w:t>
      </w:r>
    </w:p>
    <w:p w:rsidR="005E1E15" w:rsidRPr="000D13E5" w:rsidRDefault="005E1E15" w:rsidP="009676C5">
      <w:pPr>
        <w:pStyle w:val="Default"/>
        <w:numPr>
          <w:ilvl w:val="0"/>
          <w:numId w:val="18"/>
        </w:numPr>
        <w:ind w:left="1134" w:hanging="567"/>
        <w:rPr>
          <w:lang w:val="en-US"/>
        </w:rPr>
      </w:pPr>
      <w:r w:rsidRPr="000D13E5">
        <w:rPr>
          <w:lang w:val="en-US"/>
        </w:rPr>
        <w:t xml:space="preserve">Permitted Trades during the Pre-Trading Hours Period; and </w:t>
      </w:r>
    </w:p>
    <w:p w:rsidR="005E1E15" w:rsidRPr="000D13E5" w:rsidRDefault="005E1E15" w:rsidP="009676C5">
      <w:pPr>
        <w:pStyle w:val="Default"/>
        <w:numPr>
          <w:ilvl w:val="0"/>
          <w:numId w:val="18"/>
        </w:numPr>
        <w:ind w:left="1134" w:hanging="567"/>
        <w:rPr>
          <w:lang w:val="en-US"/>
        </w:rPr>
      </w:pPr>
      <w:r w:rsidRPr="000D13E5">
        <w:rPr>
          <w:lang w:val="en-US"/>
        </w:rPr>
        <w:t xml:space="preserve">Out of Hours Trades. </w:t>
      </w:r>
    </w:p>
    <w:p w:rsidR="00E81E3D" w:rsidRPr="000D13E5" w:rsidRDefault="00E81E3D" w:rsidP="00D15888">
      <w:pPr>
        <w:pStyle w:val="Default"/>
        <w:spacing w:before="240" w:after="240"/>
        <w:rPr>
          <w:lang w:val="en-US"/>
        </w:rPr>
      </w:pPr>
      <w:r w:rsidRPr="000D13E5">
        <w:rPr>
          <w:i/>
          <w:lang w:val="en-US"/>
        </w:rPr>
        <w:t>ASIC Class Rule Waivers [CW 12/1710] and [CW 13/680]</w:t>
      </w:r>
    </w:p>
    <w:p w:rsidR="00E81E3D" w:rsidRPr="000D13E5" w:rsidRDefault="00E81E3D" w:rsidP="00D15888">
      <w:pPr>
        <w:pStyle w:val="Default"/>
        <w:spacing w:after="120"/>
        <w:rPr>
          <w:lang w:val="en-US"/>
        </w:rPr>
      </w:pPr>
      <w:r w:rsidRPr="000D13E5">
        <w:rPr>
          <w:lang w:val="en-US"/>
        </w:rPr>
        <w:t>On 13 December 2012, ASIC made ASIC Class Rule Waiver [CW 12/1710].  Class Rule Waiver [12/1710]:</w:t>
      </w:r>
    </w:p>
    <w:p w:rsidR="00E81E3D" w:rsidRPr="000D13E5" w:rsidRDefault="00E81E3D" w:rsidP="006F2B25">
      <w:pPr>
        <w:pStyle w:val="Default"/>
        <w:numPr>
          <w:ilvl w:val="0"/>
          <w:numId w:val="33"/>
        </w:numPr>
        <w:tabs>
          <w:tab w:val="left" w:pos="1134"/>
        </w:tabs>
        <w:ind w:hanging="153"/>
        <w:rPr>
          <w:lang w:val="en-US"/>
        </w:rPr>
      </w:pPr>
      <w:r w:rsidRPr="000D13E5">
        <w:rPr>
          <w:lang w:val="en-US"/>
        </w:rPr>
        <w:t>withdrew Class Rule Waivers [11/1103] and [12/233];</w:t>
      </w:r>
    </w:p>
    <w:p w:rsidR="00E81E3D" w:rsidRPr="000D13E5" w:rsidRDefault="00E81E3D" w:rsidP="006F2B25">
      <w:pPr>
        <w:pStyle w:val="Default"/>
        <w:numPr>
          <w:ilvl w:val="0"/>
          <w:numId w:val="33"/>
        </w:numPr>
        <w:spacing w:after="120"/>
        <w:ind w:left="1134" w:hanging="573"/>
        <w:rPr>
          <w:lang w:val="en-US"/>
        </w:rPr>
      </w:pPr>
      <w:r w:rsidRPr="000D13E5">
        <w:rPr>
          <w:lang w:val="en-US"/>
        </w:rPr>
        <w:t xml:space="preserve">provided relief from the Pre-Trade Transparency obligations in Rule 4.1.1(1) of the </w:t>
      </w:r>
      <w:r w:rsidRPr="000D13E5">
        <w:t>Competition</w:t>
      </w:r>
      <w:r w:rsidR="00DE7CD2">
        <w:t xml:space="preserve"> Rules</w:t>
      </w:r>
      <w:r w:rsidRPr="000D13E5">
        <w:t xml:space="preserve"> for</w:t>
      </w:r>
      <w:r w:rsidR="005C55F4" w:rsidRPr="0079529D">
        <w:t>:</w:t>
      </w:r>
      <w:r w:rsidRPr="000D13E5">
        <w:t xml:space="preserve"> </w:t>
      </w:r>
    </w:p>
    <w:p w:rsidR="00E81E3D" w:rsidRPr="000D13E5" w:rsidRDefault="00E81E3D" w:rsidP="00E81E3D">
      <w:pPr>
        <w:pStyle w:val="Default"/>
        <w:numPr>
          <w:ilvl w:val="0"/>
          <w:numId w:val="20"/>
        </w:numPr>
        <w:ind w:left="1701" w:hanging="567"/>
        <w:rPr>
          <w:lang w:val="en-US"/>
        </w:rPr>
      </w:pPr>
      <w:r w:rsidRPr="000D13E5">
        <w:t>“</w:t>
      </w:r>
      <w:r w:rsidRPr="000D13E5">
        <w:rPr>
          <w:lang w:val="en-US"/>
        </w:rPr>
        <w:t>ETF Special Trades”;</w:t>
      </w:r>
    </w:p>
    <w:p w:rsidR="00E81E3D" w:rsidRPr="000D13E5" w:rsidRDefault="006F2B25" w:rsidP="006F2B25">
      <w:pPr>
        <w:pStyle w:val="Default"/>
        <w:numPr>
          <w:ilvl w:val="0"/>
          <w:numId w:val="20"/>
        </w:numPr>
        <w:ind w:firstLine="414"/>
        <w:rPr>
          <w:lang w:val="en-US"/>
        </w:rPr>
      </w:pPr>
      <w:r>
        <w:rPr>
          <w:lang w:val="en-US"/>
        </w:rPr>
        <w:t xml:space="preserve">    </w:t>
      </w:r>
      <w:r w:rsidR="00E81E3D" w:rsidRPr="000D13E5">
        <w:rPr>
          <w:lang w:val="en-US"/>
        </w:rPr>
        <w:t>“Crossings of a Derivative/Cash Combination</w:t>
      </w:r>
      <w:r w:rsidRPr="006F2B25">
        <w:rPr>
          <w:lang w:val="en-US"/>
        </w:rPr>
        <w:t>”</w:t>
      </w:r>
      <w:r w:rsidR="00E81E3D" w:rsidRPr="000D13E5">
        <w:rPr>
          <w:lang w:val="en-US"/>
        </w:rPr>
        <w:t xml:space="preserve">; and </w:t>
      </w:r>
    </w:p>
    <w:p w:rsidR="00E81E3D" w:rsidRPr="000D13E5" w:rsidRDefault="00E81E3D" w:rsidP="00D15888">
      <w:pPr>
        <w:pStyle w:val="Default"/>
        <w:numPr>
          <w:ilvl w:val="0"/>
          <w:numId w:val="20"/>
        </w:numPr>
        <w:spacing w:after="120"/>
        <w:ind w:left="1701" w:hanging="567"/>
        <w:rPr>
          <w:lang w:val="en-US"/>
        </w:rPr>
      </w:pPr>
      <w:r w:rsidRPr="000D13E5">
        <w:rPr>
          <w:lang w:val="en-US"/>
        </w:rPr>
        <w:t>Crossings based on the Best Available Bid or the Best Available Offer.</w:t>
      </w:r>
    </w:p>
    <w:p w:rsidR="00E81E3D" w:rsidRPr="000D13E5" w:rsidRDefault="00E81E3D" w:rsidP="00D15888">
      <w:pPr>
        <w:pStyle w:val="Default"/>
        <w:spacing w:before="120" w:after="120"/>
      </w:pPr>
      <w:r w:rsidRPr="000D13E5">
        <w:rPr>
          <w:lang w:val="en-US"/>
        </w:rPr>
        <w:t>On 24 May 2013, ASIC made ASIC Class Rule Waiver [CW 13/680] which withdrew [CW 12/17</w:t>
      </w:r>
      <w:r w:rsidR="000031E2">
        <w:rPr>
          <w:lang w:val="en-US"/>
        </w:rPr>
        <w:t>1</w:t>
      </w:r>
      <w:r w:rsidRPr="000D13E5">
        <w:rPr>
          <w:lang w:val="en-US"/>
        </w:rPr>
        <w:t xml:space="preserve">0] but continued, refined and extended the relief previously provided in [CW 12/1710]. In particular, paragraph 7 of [CW 13/680] extended the relief in [CW 12/1710] from Rule 4.1.1(1) of the </w:t>
      </w:r>
      <w:r w:rsidRPr="000D13E5">
        <w:t>Competition</w:t>
      </w:r>
      <w:r w:rsidR="000031E2">
        <w:t xml:space="preserve"> Rules</w:t>
      </w:r>
      <w:r w:rsidRPr="000D13E5">
        <w:t>, to certain Transactions on the Market operated by Chi-X arising from:</w:t>
      </w:r>
    </w:p>
    <w:p w:rsidR="00E81E3D" w:rsidRPr="000D13E5" w:rsidRDefault="00E81E3D" w:rsidP="00E81E3D">
      <w:pPr>
        <w:pStyle w:val="Default"/>
        <w:numPr>
          <w:ilvl w:val="0"/>
          <w:numId w:val="21"/>
        </w:numPr>
        <w:ind w:left="1134" w:hanging="567"/>
        <w:rPr>
          <w:lang w:val="en-US"/>
        </w:rPr>
      </w:pPr>
      <w:r w:rsidRPr="000D13E5">
        <w:t>Market Pegged Orders;</w:t>
      </w:r>
    </w:p>
    <w:p w:rsidR="00E81E3D" w:rsidRPr="000D13E5" w:rsidRDefault="00E81E3D" w:rsidP="00E81E3D">
      <w:pPr>
        <w:pStyle w:val="Default"/>
        <w:numPr>
          <w:ilvl w:val="0"/>
          <w:numId w:val="21"/>
        </w:numPr>
        <w:ind w:left="1134" w:hanging="567"/>
        <w:rPr>
          <w:lang w:val="en-US"/>
        </w:rPr>
      </w:pPr>
      <w:r w:rsidRPr="000D13E5">
        <w:t>Primary Pegged Orders; and</w:t>
      </w:r>
    </w:p>
    <w:p w:rsidR="00E81E3D" w:rsidRPr="000D13E5" w:rsidRDefault="00E81E3D" w:rsidP="00D15888">
      <w:pPr>
        <w:pStyle w:val="Default"/>
        <w:numPr>
          <w:ilvl w:val="0"/>
          <w:numId w:val="21"/>
        </w:numPr>
        <w:spacing w:after="120"/>
        <w:ind w:left="1134" w:hanging="567"/>
        <w:rPr>
          <w:lang w:val="en-US"/>
        </w:rPr>
      </w:pPr>
      <w:proofErr w:type="spellStart"/>
      <w:r w:rsidRPr="000D13E5">
        <w:t>Mid Point</w:t>
      </w:r>
      <w:proofErr w:type="spellEnd"/>
      <w:r w:rsidRPr="000D13E5">
        <w:t xml:space="preserve"> Orders.</w:t>
      </w:r>
    </w:p>
    <w:p w:rsidR="00E81E3D" w:rsidRPr="000D13E5" w:rsidRDefault="00E81E3D" w:rsidP="00D15888">
      <w:pPr>
        <w:pStyle w:val="Default"/>
        <w:spacing w:after="120"/>
        <w:rPr>
          <w:lang w:val="en-US"/>
        </w:rPr>
      </w:pPr>
      <w:r w:rsidRPr="000D13E5">
        <w:t>This relief applied from 26 May 2013 to 26 September 2013.</w:t>
      </w:r>
    </w:p>
    <w:p w:rsidR="00CE78FA" w:rsidRPr="000D13E5" w:rsidRDefault="00055778" w:rsidP="00D15888">
      <w:pPr>
        <w:pStyle w:val="Default"/>
        <w:spacing w:before="120"/>
      </w:pPr>
      <w:r w:rsidRPr="000D13E5">
        <w:t xml:space="preserve">On 17 April 2014, ASIC made ASIC Class Rule </w:t>
      </w:r>
      <w:r w:rsidR="00D90CBC" w:rsidRPr="000D13E5">
        <w:t xml:space="preserve">Waiver [CW 14-0322] which </w:t>
      </w:r>
      <w:r w:rsidR="0006720F">
        <w:t>varied</w:t>
      </w:r>
      <w:r w:rsidR="0006720F" w:rsidRPr="000D13E5">
        <w:t xml:space="preserve"> </w:t>
      </w:r>
      <w:r w:rsidR="00D90CBC" w:rsidRPr="000D13E5">
        <w:t>ASIC Class Rule Waiver [CW 13/680]</w:t>
      </w:r>
      <w:r w:rsidR="002462D9">
        <w:t xml:space="preserve"> </w:t>
      </w:r>
      <w:r w:rsidR="00182D43">
        <w:t>to extend the relief provided.</w:t>
      </w:r>
      <w:r w:rsidR="006F2B25">
        <w:t xml:space="preserve"> </w:t>
      </w:r>
      <w:r w:rsidR="00182D43">
        <w:t xml:space="preserve"> </w:t>
      </w:r>
      <w:r w:rsidR="0006720F">
        <w:t xml:space="preserve">Relief was extended to circumstances </w:t>
      </w:r>
      <w:r w:rsidR="00D43987" w:rsidRPr="000D13E5">
        <w:t xml:space="preserve">where </w:t>
      </w:r>
      <w:r w:rsidR="0006720F">
        <w:t>a</w:t>
      </w:r>
      <w:r w:rsidR="0006720F" w:rsidRPr="000D13E5">
        <w:t xml:space="preserve"> </w:t>
      </w:r>
      <w:r w:rsidR="00D43987" w:rsidRPr="000D13E5">
        <w:t xml:space="preserve">Participant enters into a Transaction in an Equity Market Product </w:t>
      </w:r>
      <w:r w:rsidR="00CE78FA" w:rsidRPr="000D13E5">
        <w:t xml:space="preserve">as a result of a </w:t>
      </w:r>
      <w:r w:rsidR="0006720F">
        <w:t>"d</w:t>
      </w:r>
      <w:r w:rsidR="00CE78FA" w:rsidRPr="000D13E5">
        <w:t xml:space="preserve">erived </w:t>
      </w:r>
      <w:r w:rsidR="0006720F">
        <w:t>o</w:t>
      </w:r>
      <w:r w:rsidR="00CE78FA" w:rsidRPr="000D13E5">
        <w:t>rder</w:t>
      </w:r>
      <w:r w:rsidR="0006720F">
        <w:t>" generated as part of a "tailor made combination order"</w:t>
      </w:r>
      <w:r w:rsidR="00CE78FA" w:rsidRPr="000D13E5">
        <w:t>.</w:t>
      </w:r>
      <w:r w:rsidR="0006720F">
        <w:t xml:space="preserve">  For more information concerning the concepts of "derived order" and "tailor made combination order", please see the explanatory statement to [CW 14-0322]</w:t>
      </w:r>
      <w:r w:rsidR="00C74CC1">
        <w:t>.</w:t>
      </w:r>
    </w:p>
    <w:p w:rsidR="005A2149" w:rsidRPr="000D13E5" w:rsidRDefault="0081611B" w:rsidP="00D15888">
      <w:pPr>
        <w:pStyle w:val="Default"/>
        <w:numPr>
          <w:ilvl w:val="0"/>
          <w:numId w:val="1"/>
        </w:numPr>
        <w:spacing w:before="240" w:after="240"/>
        <w:ind w:left="357" w:hanging="357"/>
        <w:rPr>
          <w:b/>
          <w:bCs/>
        </w:rPr>
      </w:pPr>
      <w:r w:rsidRPr="000D13E5">
        <w:rPr>
          <w:b/>
          <w:bCs/>
        </w:rPr>
        <w:t xml:space="preserve">Purpose of this Class Rule </w:t>
      </w:r>
      <w:r w:rsidR="005A2149" w:rsidRPr="000D13E5">
        <w:rPr>
          <w:b/>
          <w:bCs/>
        </w:rPr>
        <w:t>Wa</w:t>
      </w:r>
      <w:r w:rsidR="005C55F4">
        <w:rPr>
          <w:b/>
          <w:bCs/>
        </w:rPr>
        <w:t>i</w:t>
      </w:r>
      <w:r w:rsidR="005A2149" w:rsidRPr="000D13E5">
        <w:rPr>
          <w:b/>
          <w:bCs/>
        </w:rPr>
        <w:t>ver</w:t>
      </w:r>
    </w:p>
    <w:p w:rsidR="00EC38DD" w:rsidRDefault="00C4413C" w:rsidP="0079529D">
      <w:pPr>
        <w:pStyle w:val="Default"/>
      </w:pPr>
      <w:r w:rsidRPr="000D13E5">
        <w:t xml:space="preserve">This Class Rule Waiver </w:t>
      </w:r>
      <w:r w:rsidR="00B80B12" w:rsidRPr="000D13E5">
        <w:t xml:space="preserve">varies [CW 13-680] </w:t>
      </w:r>
      <w:r w:rsidR="007C26D0" w:rsidRPr="000D13E5">
        <w:t xml:space="preserve">to </w:t>
      </w:r>
      <w:r w:rsidRPr="000D13E5">
        <w:t>create an additional circumstance in which</w:t>
      </w:r>
      <w:r w:rsidR="00EC38DD">
        <w:t xml:space="preserve"> a Participant is relieved of the obligation to comply with</w:t>
      </w:r>
      <w:r w:rsidRPr="000D13E5">
        <w:t xml:space="preserve"> the </w:t>
      </w:r>
      <w:r w:rsidR="009250AB" w:rsidRPr="000D13E5">
        <w:t>p</w:t>
      </w:r>
      <w:r w:rsidRPr="000D13E5">
        <w:t>re-</w:t>
      </w:r>
      <w:r w:rsidR="009250AB" w:rsidRPr="000D13E5">
        <w:t>t</w:t>
      </w:r>
      <w:r w:rsidRPr="000D13E5">
        <w:t xml:space="preserve">rade transparency obligation in </w:t>
      </w:r>
      <w:r w:rsidR="00C914EA" w:rsidRPr="000D13E5">
        <w:t>subrule</w:t>
      </w:r>
      <w:r w:rsidRPr="000D13E5">
        <w:t xml:space="preserve"> 4.1.1(1) of the Competition</w:t>
      </w:r>
      <w:r w:rsidR="0040318D">
        <w:t xml:space="preserve"> Rules</w:t>
      </w:r>
      <w:r w:rsidRPr="000D13E5">
        <w:t xml:space="preserve">.  </w:t>
      </w:r>
    </w:p>
    <w:p w:rsidR="00A13E02" w:rsidRDefault="00A13E02" w:rsidP="0079529D">
      <w:pPr>
        <w:pStyle w:val="Default"/>
      </w:pPr>
    </w:p>
    <w:p w:rsidR="001350D3" w:rsidRDefault="0079529D" w:rsidP="00683818">
      <w:pPr>
        <w:pStyle w:val="NoSpacing"/>
        <w:spacing w:after="120"/>
      </w:pPr>
      <w:r>
        <w:t xml:space="preserve">It enables </w:t>
      </w:r>
      <w:r w:rsidR="00AC4ACA">
        <w:t xml:space="preserve">a </w:t>
      </w:r>
      <w:r>
        <w:t xml:space="preserve">Participant to </w:t>
      </w:r>
      <w:r w:rsidR="00A13E02">
        <w:t>enter into a T</w:t>
      </w:r>
      <w:r>
        <w:t>ransact</w:t>
      </w:r>
      <w:r w:rsidR="00A13E02">
        <w:t>ion</w:t>
      </w:r>
      <w:r>
        <w:t xml:space="preserve"> in </w:t>
      </w:r>
      <w:r w:rsidR="00A13E02">
        <w:t>an</w:t>
      </w:r>
      <w:r>
        <w:t xml:space="preserve"> Equity Market Product </w:t>
      </w:r>
      <w:r w:rsidR="006A23D3">
        <w:t>that is part</w:t>
      </w:r>
      <w:r w:rsidR="0089071E">
        <w:t xml:space="preserve"> </w:t>
      </w:r>
      <w:r>
        <w:t>of a C</w:t>
      </w:r>
      <w:r w:rsidR="008E2E9A">
        <w:t xml:space="preserve">ontingent </w:t>
      </w:r>
      <w:r>
        <w:t>E</w:t>
      </w:r>
      <w:r w:rsidR="008E2E9A">
        <w:t xml:space="preserve">quity </w:t>
      </w:r>
      <w:r>
        <w:t>T</w:t>
      </w:r>
      <w:r w:rsidR="008E2E9A">
        <w:t>ransaction (</w:t>
      </w:r>
      <w:r w:rsidR="008E2E9A">
        <w:rPr>
          <w:b/>
        </w:rPr>
        <w:t>CET</w:t>
      </w:r>
      <w:r w:rsidR="008E2E9A" w:rsidRPr="008E2E9A">
        <w:t>)</w:t>
      </w:r>
      <w:r w:rsidR="00EC38DD" w:rsidRPr="008E2E9A">
        <w:t>,</w:t>
      </w:r>
      <w:r>
        <w:t xml:space="preserve"> without being required to </w:t>
      </w:r>
      <w:r w:rsidR="00EC38DD">
        <w:t>comply with subrule 4.4.1(1)</w:t>
      </w:r>
      <w:r>
        <w:t>.</w:t>
      </w:r>
    </w:p>
    <w:p w:rsidR="00683818" w:rsidRPr="000D13E5" w:rsidRDefault="00683818" w:rsidP="00683818">
      <w:pPr>
        <w:pStyle w:val="NoSpacing"/>
        <w:spacing w:after="120"/>
      </w:pPr>
      <w:r w:rsidRPr="000D13E5">
        <w:t xml:space="preserve">A CET is a </w:t>
      </w:r>
      <w:r>
        <w:t>single</w:t>
      </w:r>
      <w:r w:rsidRPr="000D13E5">
        <w:t xml:space="preserve"> transaction consisting of two components or ‘legs’, namely:</w:t>
      </w:r>
    </w:p>
    <w:p w:rsidR="00683818" w:rsidRPr="000D13E5" w:rsidRDefault="00683818" w:rsidP="009D5FFE">
      <w:pPr>
        <w:pStyle w:val="NoSpacing"/>
        <w:numPr>
          <w:ilvl w:val="0"/>
          <w:numId w:val="26"/>
        </w:numPr>
        <w:tabs>
          <w:tab w:val="left" w:pos="1134"/>
        </w:tabs>
        <w:ind w:left="1134" w:hanging="567"/>
      </w:pPr>
      <w:r w:rsidRPr="000D13E5">
        <w:t>an off-market transaction in an Equity Market Product (</w:t>
      </w:r>
      <w:r w:rsidRPr="006F2B25">
        <w:t>the</w:t>
      </w:r>
      <w:r w:rsidRPr="000D13E5">
        <w:rPr>
          <w:b/>
        </w:rPr>
        <w:t xml:space="preserve"> Equity Leg</w:t>
      </w:r>
      <w:r w:rsidRPr="000D13E5">
        <w:t>)</w:t>
      </w:r>
      <w:r w:rsidR="00182D43">
        <w:t xml:space="preserve"> which is subsequently reported to the Market</w:t>
      </w:r>
      <w:r w:rsidRPr="000D13E5">
        <w:t>; and</w:t>
      </w:r>
    </w:p>
    <w:p w:rsidR="00683818" w:rsidRDefault="00683818" w:rsidP="009D5FFE">
      <w:pPr>
        <w:pStyle w:val="NoSpacing"/>
        <w:numPr>
          <w:ilvl w:val="0"/>
          <w:numId w:val="26"/>
        </w:numPr>
        <w:tabs>
          <w:tab w:val="left" w:pos="1134"/>
        </w:tabs>
        <w:ind w:left="714" w:hanging="147"/>
      </w:pPr>
      <w:r w:rsidRPr="000D13E5">
        <w:t>one or more over-the-counter (</w:t>
      </w:r>
      <w:r w:rsidRPr="000D13E5">
        <w:rPr>
          <w:b/>
        </w:rPr>
        <w:t>OTC</w:t>
      </w:r>
      <w:r w:rsidRPr="000D13E5">
        <w:t>) options transactions (</w:t>
      </w:r>
      <w:r w:rsidRPr="006F2B25">
        <w:t>the</w:t>
      </w:r>
      <w:r w:rsidRPr="000D13E5">
        <w:rPr>
          <w:b/>
        </w:rPr>
        <w:t xml:space="preserve"> Option Leg</w:t>
      </w:r>
      <w:r w:rsidRPr="000D13E5">
        <w:t>).</w:t>
      </w:r>
    </w:p>
    <w:p w:rsidR="0034235C" w:rsidRDefault="00683818" w:rsidP="0034235C">
      <w:pPr>
        <w:pStyle w:val="NoSpacing"/>
        <w:spacing w:before="120" w:after="120"/>
      </w:pPr>
      <w:r w:rsidRPr="00CB0054">
        <w:t xml:space="preserve">As both the Equity Leg and the Option Leg are transacted simultaneously, </w:t>
      </w:r>
      <w:r w:rsidR="00856E0F">
        <w:t>the</w:t>
      </w:r>
      <w:r w:rsidRPr="00CB0054">
        <w:t xml:space="preserve"> </w:t>
      </w:r>
      <w:r w:rsidR="00182D43">
        <w:t>parties</w:t>
      </w:r>
      <w:r w:rsidR="00182D43" w:rsidRPr="00CB0054">
        <w:t xml:space="preserve"> </w:t>
      </w:r>
      <w:r w:rsidR="00182D43">
        <w:t xml:space="preserve">to the CET </w:t>
      </w:r>
      <w:r w:rsidRPr="00CB0054">
        <w:t>agree on a net price for the CET rather than pric</w:t>
      </w:r>
      <w:r w:rsidR="00773DEC">
        <w:t>ing</w:t>
      </w:r>
      <w:r w:rsidRPr="00CB0054">
        <w:t xml:space="preserve"> individual legs separately.</w:t>
      </w:r>
      <w:r w:rsidRPr="000D13E5">
        <w:t xml:space="preserve"> </w:t>
      </w:r>
    </w:p>
    <w:p w:rsidR="0089071E" w:rsidRPr="000D13E5" w:rsidRDefault="009E17F2" w:rsidP="0034235C">
      <w:pPr>
        <w:pStyle w:val="NoSpacing"/>
        <w:spacing w:before="120" w:after="120"/>
      </w:pPr>
      <w:r>
        <w:lastRenderedPageBreak/>
        <w:t>The</w:t>
      </w:r>
      <w:r w:rsidR="0089071E" w:rsidRPr="0079529D">
        <w:t xml:space="preserve"> Equity Leg of the CET </w:t>
      </w:r>
      <w:r w:rsidR="0010749D">
        <w:t>will be</w:t>
      </w:r>
      <w:r w:rsidR="0089071E" w:rsidRPr="0079529D">
        <w:t xml:space="preserve"> negotiated off-market </w:t>
      </w:r>
      <w:r w:rsidR="0010749D">
        <w:t>and subsequently reported to the market.</w:t>
      </w:r>
      <w:r w:rsidR="00DF73A6">
        <w:t xml:space="preserve"> </w:t>
      </w:r>
      <w:r w:rsidR="0010749D">
        <w:t xml:space="preserve"> Accordingly, in the absence of this Class Rule Waiver, the Equity Leg</w:t>
      </w:r>
      <w:r>
        <w:t xml:space="preserve"> </w:t>
      </w:r>
      <w:r w:rsidR="008E7D0F">
        <w:t>will</w:t>
      </w:r>
      <w:r w:rsidR="0089071E" w:rsidRPr="0079529D">
        <w:t xml:space="preserve"> </w:t>
      </w:r>
      <w:r w:rsidR="0010749D">
        <w:t xml:space="preserve">contravene </w:t>
      </w:r>
      <w:r w:rsidR="008E7D0F">
        <w:t>the p</w:t>
      </w:r>
      <w:r w:rsidR="0089071E" w:rsidRPr="0079529D">
        <w:t>re-</w:t>
      </w:r>
      <w:r w:rsidR="008E7D0F">
        <w:t>t</w:t>
      </w:r>
      <w:r w:rsidR="0089071E" w:rsidRPr="0079529D">
        <w:t xml:space="preserve">rade </w:t>
      </w:r>
      <w:r w:rsidR="008E7D0F">
        <w:t>t</w:t>
      </w:r>
      <w:r w:rsidR="0089071E" w:rsidRPr="0079529D">
        <w:t>ransparen</w:t>
      </w:r>
      <w:r w:rsidR="008E7D0F">
        <w:t>cy requirement of</w:t>
      </w:r>
      <w:r w:rsidR="0089071E" w:rsidRPr="0079529D">
        <w:t xml:space="preserve"> </w:t>
      </w:r>
      <w:r w:rsidR="00BF1DD7">
        <w:t>subr</w:t>
      </w:r>
      <w:r w:rsidR="0089071E" w:rsidRPr="0079529D">
        <w:t xml:space="preserve">ule 4.1.1(1). </w:t>
      </w:r>
      <w:r w:rsidR="00DF73A6">
        <w:t xml:space="preserve"> </w:t>
      </w:r>
      <w:r w:rsidR="0089071E" w:rsidRPr="0079529D">
        <w:t xml:space="preserve">Furthermore, the Equity Leg of the CET </w:t>
      </w:r>
      <w:r w:rsidR="0010749D">
        <w:t>may</w:t>
      </w:r>
      <w:r w:rsidR="0010749D" w:rsidRPr="0079529D">
        <w:t xml:space="preserve"> </w:t>
      </w:r>
      <w:r w:rsidR="0089071E" w:rsidRPr="0079529D">
        <w:t xml:space="preserve">not fall within </w:t>
      </w:r>
      <w:r>
        <w:t xml:space="preserve">any of </w:t>
      </w:r>
      <w:r w:rsidR="0089071E" w:rsidRPr="0079529D">
        <w:t xml:space="preserve">the </w:t>
      </w:r>
      <w:r w:rsidR="00E305DA">
        <w:t xml:space="preserve">Pre-Trade Transparent exceptions in </w:t>
      </w:r>
      <w:r w:rsidR="0089071E" w:rsidRPr="0079529D">
        <w:t>subrule 4.1.1(2)</w:t>
      </w:r>
      <w:r w:rsidR="00E305DA" w:rsidRPr="000D13E5">
        <w:t>.</w:t>
      </w:r>
      <w:r w:rsidR="00E305DA">
        <w:t xml:space="preserve"> </w:t>
      </w:r>
    </w:p>
    <w:p w:rsidR="003651E0" w:rsidRPr="00D15888" w:rsidRDefault="003651E0" w:rsidP="00D15888">
      <w:pPr>
        <w:pStyle w:val="Default"/>
        <w:spacing w:before="240" w:after="240"/>
        <w:rPr>
          <w:i/>
        </w:rPr>
      </w:pPr>
      <w:r w:rsidRPr="000D13E5">
        <w:rPr>
          <w:i/>
        </w:rPr>
        <w:t xml:space="preserve">Reasons for granting </w:t>
      </w:r>
      <w:r w:rsidR="005C55F4">
        <w:rPr>
          <w:i/>
        </w:rPr>
        <w:t>the Class Rule waiver</w:t>
      </w:r>
      <w:r w:rsidRPr="000D13E5">
        <w:rPr>
          <w:i/>
        </w:rPr>
        <w:t xml:space="preserve"> </w:t>
      </w:r>
    </w:p>
    <w:p w:rsidR="009D5FFE" w:rsidRDefault="006C1337" w:rsidP="0022043A">
      <w:pPr>
        <w:pStyle w:val="Default"/>
      </w:pPr>
      <w:r>
        <w:t>The policy rationale for subrule 4.1.1 does not apply to CETs.</w:t>
      </w:r>
    </w:p>
    <w:p w:rsidR="006C1337" w:rsidRDefault="006C1337" w:rsidP="0022043A">
      <w:pPr>
        <w:pStyle w:val="Default"/>
      </w:pPr>
    </w:p>
    <w:p w:rsidR="001C2FCB" w:rsidRDefault="006C1337" w:rsidP="0022043A">
      <w:pPr>
        <w:pStyle w:val="Default"/>
      </w:pPr>
      <w:r>
        <w:t xml:space="preserve">This is because CETs are negotiated off-market </w:t>
      </w:r>
      <w:r w:rsidR="00DF73A6">
        <w:t xml:space="preserve">and </w:t>
      </w:r>
      <w:r>
        <w:t>on the basis of a net price as explained above.</w:t>
      </w:r>
      <w:r w:rsidR="00DF73A6">
        <w:t xml:space="preserve"> </w:t>
      </w:r>
      <w:r>
        <w:t xml:space="preserve"> </w:t>
      </w:r>
      <w:r w:rsidR="001C2FCB">
        <w:t>Accordingly, pre-trade information concerning the price of the Equity Leg may not provide useful and meaningful information to the market.</w:t>
      </w:r>
    </w:p>
    <w:p w:rsidR="00DF73A6" w:rsidRDefault="00DF73A6" w:rsidP="0022043A">
      <w:pPr>
        <w:pStyle w:val="Default"/>
      </w:pPr>
    </w:p>
    <w:p w:rsidR="00427055" w:rsidRDefault="00427055" w:rsidP="0022043A">
      <w:pPr>
        <w:pStyle w:val="Default"/>
      </w:pPr>
      <w:r>
        <w:t xml:space="preserve">In addition, </w:t>
      </w:r>
      <w:r w:rsidR="00477B5C">
        <w:t xml:space="preserve">ASIC considers </w:t>
      </w:r>
      <w:r>
        <w:t xml:space="preserve">that CETs </w:t>
      </w:r>
      <w:r w:rsidR="00C74CC1">
        <w:t>have</w:t>
      </w:r>
      <w:r>
        <w:t xml:space="preserve"> a number of benefits which </w:t>
      </w:r>
      <w:r w:rsidR="00C74CC1">
        <w:t xml:space="preserve">would </w:t>
      </w:r>
      <w:r>
        <w:t>contribute to fair</w:t>
      </w:r>
      <w:r w:rsidR="002462D9">
        <w:t>, orderly</w:t>
      </w:r>
      <w:r>
        <w:t xml:space="preserve"> and </w:t>
      </w:r>
      <w:r w:rsidR="002462D9">
        <w:t xml:space="preserve">transparent </w:t>
      </w:r>
      <w:r>
        <w:t>markets.</w:t>
      </w:r>
    </w:p>
    <w:p w:rsidR="006C1337" w:rsidRDefault="006C1337" w:rsidP="0022043A">
      <w:pPr>
        <w:pStyle w:val="Default"/>
      </w:pPr>
    </w:p>
    <w:p w:rsidR="008E17D0" w:rsidRDefault="00477B5C" w:rsidP="0022043A">
      <w:pPr>
        <w:pStyle w:val="Default"/>
      </w:pPr>
      <w:r>
        <w:t>CETs</w:t>
      </w:r>
      <w:r w:rsidR="00427055">
        <w:t xml:space="preserve"> are</w:t>
      </w:r>
      <w:r>
        <w:t xml:space="preserve"> a legitimate </w:t>
      </w:r>
      <w:r w:rsidR="003C5BF3">
        <w:t>hedging</w:t>
      </w:r>
      <w:r>
        <w:t xml:space="preserve"> strategy</w:t>
      </w:r>
      <w:r w:rsidR="006C1337">
        <w:t>, providing a delta hedge.</w:t>
      </w:r>
      <w:r w:rsidR="00BD5918">
        <w:t xml:space="preserve">  Delta hedging is an options strategy that aims to reduce or hedge the risk associated with price movements in the underlying security by offsetting bought and sold positions.  The change in the price of the option for each basis-point change in the price of the underlying security is the 'delta'.  </w:t>
      </w:r>
      <w:r w:rsidR="00427055">
        <w:t>CETs offer the ability to lock in</w:t>
      </w:r>
      <w:r w:rsidR="00BD5918">
        <w:t xml:space="preserve"> </w:t>
      </w:r>
      <w:r w:rsidR="006C1337">
        <w:t xml:space="preserve">a 'delta'. </w:t>
      </w:r>
      <w:r w:rsidR="00427055">
        <w:t xml:space="preserve"> This</w:t>
      </w:r>
      <w:r w:rsidR="00BD5918">
        <w:t xml:space="preserve"> </w:t>
      </w:r>
      <w:r w:rsidR="00427055">
        <w:t>will reduce the risk associated with price movements in the underlying security as they are offset by the Equity Leg position</w:t>
      </w:r>
      <w:r w:rsidR="00BD5918">
        <w:t xml:space="preserve">.    </w:t>
      </w:r>
    </w:p>
    <w:p w:rsidR="006C1337" w:rsidRDefault="006C1337" w:rsidP="0022043A">
      <w:pPr>
        <w:pStyle w:val="Default"/>
      </w:pPr>
    </w:p>
    <w:p w:rsidR="00427055" w:rsidRDefault="00E41FEC" w:rsidP="0022043A">
      <w:pPr>
        <w:pStyle w:val="Default"/>
      </w:pPr>
      <w:r>
        <w:t>Also, t</w:t>
      </w:r>
      <w:r w:rsidR="00477B5C">
        <w:t>he simultaneous pricing of the two legs in the CET facilitates market efficiency as it removes the need to renegotiate pricing of the Option Leg in response to each movement in the underlying equity.</w:t>
      </w:r>
      <w:r w:rsidR="003C5BF3">
        <w:t xml:space="preserve">  This renegotiation is otherwise cumbersome and time consuming.  In times of market volatility, this sort of hedging may not be possible in the absence of a mechanism similar to a CET.</w:t>
      </w:r>
      <w:r w:rsidR="00F27E3B">
        <w:t xml:space="preserve">  </w:t>
      </w:r>
    </w:p>
    <w:p w:rsidR="00DF73A6" w:rsidRDefault="00DF73A6" w:rsidP="0022043A">
      <w:pPr>
        <w:pStyle w:val="Default"/>
      </w:pPr>
    </w:p>
    <w:p w:rsidR="00477B5C" w:rsidRDefault="006C1337" w:rsidP="0022043A">
      <w:pPr>
        <w:pStyle w:val="Default"/>
      </w:pPr>
      <w:r>
        <w:t>A</w:t>
      </w:r>
      <w:r w:rsidR="00F27E3B" w:rsidRPr="00F27E3B">
        <w:t>s the Equity Leg will be reported to ASX, post</w:t>
      </w:r>
      <w:r w:rsidR="00427055">
        <w:t>-</w:t>
      </w:r>
      <w:r w:rsidR="00F27E3B" w:rsidRPr="00F27E3B">
        <w:t xml:space="preserve">trade transparency of the Equity Leg will be available using the "OC" trade report condition code. The "OC" code reports off-market equity trades that are reported as part of an OTC deal.  </w:t>
      </w:r>
    </w:p>
    <w:p w:rsidR="0022043A" w:rsidRDefault="0022043A" w:rsidP="0022043A">
      <w:pPr>
        <w:pStyle w:val="Default"/>
      </w:pPr>
    </w:p>
    <w:p w:rsidR="006304BD" w:rsidRDefault="006304BD" w:rsidP="0022043A">
      <w:pPr>
        <w:pStyle w:val="Default"/>
      </w:pPr>
      <w:r>
        <w:t>Furthermore, it is expected that the number of CETs will be low</w:t>
      </w:r>
      <w:r w:rsidR="00E41FEC">
        <w:t>,</w:t>
      </w:r>
      <w:r>
        <w:t xml:space="preserve"> so the overall effect on pre-trade transparency will be negligible.</w:t>
      </w:r>
    </w:p>
    <w:p w:rsidR="0022043A" w:rsidRDefault="0022043A" w:rsidP="0022043A">
      <w:pPr>
        <w:pStyle w:val="Default"/>
      </w:pPr>
    </w:p>
    <w:p w:rsidR="003C5BF3" w:rsidRDefault="003C5BF3" w:rsidP="00E15AD9">
      <w:pPr>
        <w:pStyle w:val="Default"/>
        <w:spacing w:after="120"/>
      </w:pPr>
      <w:r>
        <w:t xml:space="preserve">ASIC </w:t>
      </w:r>
      <w:r w:rsidR="00F27E3B">
        <w:t xml:space="preserve">therefore </w:t>
      </w:r>
      <w:r>
        <w:t xml:space="preserve">considers that there are considerable market innovation and market efficiency </w:t>
      </w:r>
      <w:r w:rsidR="002227DC">
        <w:t xml:space="preserve">benefits </w:t>
      </w:r>
      <w:r>
        <w:t>afforded by CETs.  We do not consider that there is a practical regulatory detriment in waiving the pre-trade transparency requirements for these transactions.</w:t>
      </w:r>
    </w:p>
    <w:p w:rsidR="001115E2" w:rsidRDefault="001115E2" w:rsidP="00D15888">
      <w:pPr>
        <w:pStyle w:val="Default"/>
        <w:numPr>
          <w:ilvl w:val="0"/>
          <w:numId w:val="1"/>
        </w:numPr>
        <w:spacing w:before="240" w:after="240"/>
        <w:ind w:left="357" w:hanging="357"/>
        <w:rPr>
          <w:b/>
        </w:rPr>
      </w:pPr>
      <w:r w:rsidRPr="000D13E5">
        <w:rPr>
          <w:b/>
        </w:rPr>
        <w:t>Operation of this Class Rule Waiver</w:t>
      </w:r>
    </w:p>
    <w:p w:rsidR="00B3782A" w:rsidRPr="000D13E5" w:rsidRDefault="00D13F64" w:rsidP="00D13F64">
      <w:pPr>
        <w:pStyle w:val="Default"/>
        <w:spacing w:after="120"/>
      </w:pPr>
      <w:r>
        <w:t xml:space="preserve">Paragraph 4 of the Class Rule Waiver inserts a new paragraph 7B into ASIC Class Rule Waiver [CW 13/680]. The new paragraph 7B of [CW 13/680] provides </w:t>
      </w:r>
      <w:r w:rsidR="008820B6" w:rsidRPr="000D13E5">
        <w:t xml:space="preserve">relief </w:t>
      </w:r>
      <w:r>
        <w:t xml:space="preserve">for a </w:t>
      </w:r>
      <w:r w:rsidRPr="00D7574F">
        <w:t>Participant from the obligation to comply with Rule 4.1.1(1) of the Competition Rules</w:t>
      </w:r>
      <w:r>
        <w:t xml:space="preserve">, </w:t>
      </w:r>
      <w:r w:rsidRPr="00D7574F">
        <w:t xml:space="preserve">in the case where a Participant enters into a Transaction </w:t>
      </w:r>
      <w:r w:rsidRPr="000E5FA2">
        <w:t xml:space="preserve">in an Equity Market Product that is part of a </w:t>
      </w:r>
      <w:r>
        <w:t xml:space="preserve">CET. </w:t>
      </w:r>
    </w:p>
    <w:p w:rsidR="00BE1E3E" w:rsidRPr="000D13E5" w:rsidRDefault="00D13F64" w:rsidP="00D15888">
      <w:pPr>
        <w:spacing w:after="120" w:line="240" w:lineRule="auto"/>
        <w:rPr>
          <w:rFonts w:ascii="Times New Roman" w:hAnsi="Times New Roman"/>
          <w:sz w:val="24"/>
          <w:szCs w:val="24"/>
          <w:lang w:val="en-US"/>
        </w:rPr>
      </w:pPr>
      <w:r>
        <w:rPr>
          <w:rFonts w:ascii="Times New Roman" w:hAnsi="Times New Roman"/>
          <w:color w:val="000000"/>
          <w:sz w:val="24"/>
          <w:szCs w:val="24"/>
        </w:rPr>
        <w:t>This</w:t>
      </w:r>
      <w:r w:rsidR="00221B5F" w:rsidRPr="000D13E5">
        <w:rPr>
          <w:rFonts w:ascii="Times New Roman" w:hAnsi="Times New Roman"/>
          <w:color w:val="000000"/>
          <w:sz w:val="24"/>
          <w:szCs w:val="24"/>
        </w:rPr>
        <w:t xml:space="preserve"> </w:t>
      </w:r>
      <w:r w:rsidR="007025EE" w:rsidRPr="000D13E5">
        <w:rPr>
          <w:rFonts w:ascii="Times New Roman" w:hAnsi="Times New Roman"/>
          <w:color w:val="000000"/>
          <w:sz w:val="24"/>
          <w:szCs w:val="24"/>
        </w:rPr>
        <w:t>Class Rule Waiver</w:t>
      </w:r>
      <w:r w:rsidR="00221B5F" w:rsidRPr="000D13E5">
        <w:rPr>
          <w:rFonts w:ascii="Times New Roman" w:hAnsi="Times New Roman"/>
          <w:color w:val="000000"/>
          <w:sz w:val="24"/>
          <w:szCs w:val="24"/>
        </w:rPr>
        <w:t xml:space="preserve"> will apply for a </w:t>
      </w:r>
      <w:r>
        <w:rPr>
          <w:rFonts w:ascii="Times New Roman" w:hAnsi="Times New Roman"/>
          <w:color w:val="000000"/>
          <w:sz w:val="24"/>
          <w:szCs w:val="24"/>
        </w:rPr>
        <w:t>period of approximately 12 months</w:t>
      </w:r>
      <w:r w:rsidR="00BE1E3E" w:rsidRPr="000D13E5">
        <w:rPr>
          <w:rFonts w:ascii="Times New Roman" w:hAnsi="Times New Roman"/>
          <w:sz w:val="24"/>
          <w:szCs w:val="24"/>
          <w:lang w:val="en-US"/>
        </w:rPr>
        <w:t>.</w:t>
      </w:r>
    </w:p>
    <w:p w:rsidR="000D7D38" w:rsidRPr="000D13E5" w:rsidRDefault="000D7D38" w:rsidP="00D15888">
      <w:pPr>
        <w:pStyle w:val="Default"/>
        <w:numPr>
          <w:ilvl w:val="0"/>
          <w:numId w:val="1"/>
        </w:numPr>
        <w:spacing w:before="240" w:after="240"/>
        <w:ind w:left="357" w:hanging="357"/>
        <w:rPr>
          <w:b/>
        </w:rPr>
      </w:pPr>
      <w:r w:rsidRPr="000D13E5">
        <w:rPr>
          <w:b/>
        </w:rPr>
        <w:t>Consultation</w:t>
      </w:r>
    </w:p>
    <w:p w:rsidR="00B91BE6" w:rsidRDefault="000D7D38" w:rsidP="00B91BE6">
      <w:pPr>
        <w:pStyle w:val="Default"/>
      </w:pPr>
      <w:r w:rsidRPr="000D13E5">
        <w:lastRenderedPageBreak/>
        <w:t xml:space="preserve">ASIC </w:t>
      </w:r>
      <w:r w:rsidR="0074504D" w:rsidRPr="000D13E5">
        <w:t>did not</w:t>
      </w:r>
      <w:r w:rsidR="00F14C4A" w:rsidRPr="000D13E5">
        <w:t xml:space="preserve"> formally</w:t>
      </w:r>
      <w:r w:rsidR="0074504D" w:rsidRPr="000D13E5">
        <w:t xml:space="preserve"> </w:t>
      </w:r>
      <w:r w:rsidR="005433E7" w:rsidRPr="000D13E5">
        <w:t>consult</w:t>
      </w:r>
      <w:r w:rsidR="0074504D" w:rsidRPr="000D13E5">
        <w:t xml:space="preserve"> on </w:t>
      </w:r>
      <w:r w:rsidRPr="000D13E5">
        <w:t xml:space="preserve">this </w:t>
      </w:r>
      <w:r w:rsidR="004D42D4" w:rsidRPr="000D13E5">
        <w:t>C</w:t>
      </w:r>
      <w:r w:rsidRPr="000D13E5">
        <w:t xml:space="preserve">lass </w:t>
      </w:r>
      <w:r w:rsidR="004D42D4" w:rsidRPr="000D13E5">
        <w:t>R</w:t>
      </w:r>
      <w:r w:rsidRPr="000D13E5">
        <w:t xml:space="preserve">ule </w:t>
      </w:r>
      <w:r w:rsidR="004D42D4" w:rsidRPr="000D13E5">
        <w:t>W</w:t>
      </w:r>
      <w:r w:rsidRPr="000D13E5">
        <w:t>aiver</w:t>
      </w:r>
      <w:r w:rsidR="004D42D4" w:rsidRPr="000D13E5">
        <w:t xml:space="preserve">, </w:t>
      </w:r>
      <w:r w:rsidR="004D42D4" w:rsidRPr="00711488">
        <w:t>h</w:t>
      </w:r>
      <w:r w:rsidR="0074504D" w:rsidRPr="00711488">
        <w:t>owever</w:t>
      </w:r>
      <w:r w:rsidR="00954004" w:rsidRPr="00711488">
        <w:t xml:space="preserve"> </w:t>
      </w:r>
      <w:r w:rsidR="0074504D" w:rsidRPr="00711488">
        <w:t xml:space="preserve">discussions </w:t>
      </w:r>
      <w:r w:rsidR="00AB26A0" w:rsidRPr="00711488">
        <w:t xml:space="preserve">were </w:t>
      </w:r>
      <w:r w:rsidR="006E29BC" w:rsidRPr="00711488">
        <w:t xml:space="preserve">held </w:t>
      </w:r>
      <w:r w:rsidR="0074504D" w:rsidRPr="00711488">
        <w:t xml:space="preserve">with </w:t>
      </w:r>
      <w:r w:rsidR="00535C72" w:rsidRPr="00711488">
        <w:t xml:space="preserve">ASX </w:t>
      </w:r>
      <w:r w:rsidR="001115E2" w:rsidRPr="00711488">
        <w:t xml:space="preserve">acting on behalf of </w:t>
      </w:r>
      <w:r w:rsidR="00E5719E" w:rsidRPr="00711488">
        <w:t xml:space="preserve">Participants </w:t>
      </w:r>
      <w:r w:rsidR="006E29BC" w:rsidRPr="00711488">
        <w:t xml:space="preserve">who potentially would </w:t>
      </w:r>
      <w:r w:rsidR="00535C72" w:rsidRPr="00711488">
        <w:t>us</w:t>
      </w:r>
      <w:r w:rsidR="006E29BC" w:rsidRPr="00711488">
        <w:t>e</w:t>
      </w:r>
      <w:r w:rsidR="00535C72" w:rsidRPr="00711488">
        <w:t xml:space="preserve"> </w:t>
      </w:r>
      <w:r w:rsidR="00E5719E" w:rsidRPr="00711488">
        <w:t>C</w:t>
      </w:r>
      <w:r w:rsidR="0079529D" w:rsidRPr="00711488">
        <w:t>ETs</w:t>
      </w:r>
      <w:r w:rsidR="0074504D" w:rsidRPr="00711488">
        <w:t>.</w:t>
      </w:r>
      <w:r w:rsidR="0074504D" w:rsidRPr="000D13E5">
        <w:t xml:space="preserve"> </w:t>
      </w:r>
      <w:r w:rsidR="006B5445">
        <w:t xml:space="preserve"> ASX </w:t>
      </w:r>
      <w:r w:rsidR="00E41FEC">
        <w:t>advised</w:t>
      </w:r>
      <w:r w:rsidR="006B5445">
        <w:t xml:space="preserve"> that </w:t>
      </w:r>
      <w:r w:rsidR="00E41FEC">
        <w:t xml:space="preserve">these </w:t>
      </w:r>
      <w:r w:rsidR="006B5445">
        <w:t xml:space="preserve">Participants </w:t>
      </w:r>
      <w:r w:rsidR="00B91BE6">
        <w:t>were supportive of a new ASX clearing service of which CETs are an important part.</w:t>
      </w:r>
    </w:p>
    <w:p w:rsidR="00DF73A6" w:rsidRDefault="00DF73A6" w:rsidP="00B91BE6">
      <w:pPr>
        <w:pStyle w:val="Default"/>
        <w:rPr>
          <w:b/>
        </w:rPr>
      </w:pPr>
    </w:p>
    <w:p w:rsidR="008820B6" w:rsidRPr="00D15888" w:rsidRDefault="008820B6" w:rsidP="00B91BE6">
      <w:pPr>
        <w:pStyle w:val="Default"/>
        <w:rPr>
          <w:b/>
        </w:rPr>
      </w:pPr>
      <w:r w:rsidRPr="00D15888">
        <w:rPr>
          <w:b/>
        </w:rPr>
        <w:t xml:space="preserve">Statement of Compatibility with Human Rights </w:t>
      </w:r>
    </w:p>
    <w:p w:rsidR="008820B6" w:rsidRPr="000D13E5" w:rsidRDefault="008820B6" w:rsidP="008820B6">
      <w:pPr>
        <w:pStyle w:val="Default"/>
      </w:pPr>
      <w:r w:rsidRPr="000D13E5">
        <w:t>A Statement of Compatibility with Human Rights is included in this Explanatory Statement at Attachment A.</w:t>
      </w:r>
    </w:p>
    <w:p w:rsidR="008820B6" w:rsidRPr="000D13E5" w:rsidRDefault="008820B6" w:rsidP="008820B6">
      <w:pPr>
        <w:pStyle w:val="Default"/>
      </w:pPr>
      <w:r w:rsidRPr="000D13E5">
        <w:br w:type="page"/>
      </w:r>
    </w:p>
    <w:p w:rsidR="005450A5" w:rsidRPr="000D13E5" w:rsidRDefault="005450A5" w:rsidP="000D7D38">
      <w:pPr>
        <w:pStyle w:val="Default"/>
      </w:pPr>
    </w:p>
    <w:p w:rsidR="002D555A" w:rsidRPr="000D13E5" w:rsidRDefault="002D555A" w:rsidP="002D555A">
      <w:pPr>
        <w:pStyle w:val="Default"/>
        <w:jc w:val="center"/>
      </w:pPr>
      <w:r w:rsidRPr="000D13E5">
        <w:rPr>
          <w:b/>
        </w:rPr>
        <w:t xml:space="preserve">ATTACHMENT </w:t>
      </w:r>
      <w:r w:rsidR="00F45F1B" w:rsidRPr="000D13E5">
        <w:rPr>
          <w:b/>
        </w:rPr>
        <w:t>A</w:t>
      </w:r>
      <w:r w:rsidRPr="000D13E5">
        <w:rPr>
          <w:b/>
        </w:rPr>
        <w:t xml:space="preserve"> – </w:t>
      </w:r>
      <w:r w:rsidRPr="000D13E5">
        <w:rPr>
          <w:b/>
          <w:bCs/>
        </w:rPr>
        <w:t>Statement of Compatibility with Human Rights</w:t>
      </w:r>
    </w:p>
    <w:p w:rsidR="002D555A" w:rsidRPr="000D13E5" w:rsidRDefault="002D555A" w:rsidP="002D555A">
      <w:pPr>
        <w:pStyle w:val="Default"/>
        <w:jc w:val="center"/>
      </w:pPr>
    </w:p>
    <w:p w:rsidR="00FA4D7F" w:rsidRPr="000D13E5" w:rsidRDefault="00FA4D7F" w:rsidP="00FA4D7F">
      <w:pPr>
        <w:pStyle w:val="Default"/>
        <w:jc w:val="center"/>
        <w:rPr>
          <w:i/>
          <w:iCs/>
        </w:rPr>
      </w:pPr>
      <w:r w:rsidRPr="000D13E5">
        <w:rPr>
          <w:i/>
          <w:iCs/>
        </w:rPr>
        <w:t xml:space="preserve">Prepared in accordance with Part 3 of the Human Rights (Parliamentary Scrutiny) Act 2011. </w:t>
      </w:r>
    </w:p>
    <w:p w:rsidR="002D555A" w:rsidRPr="000D13E5" w:rsidRDefault="002D555A" w:rsidP="002D555A">
      <w:pPr>
        <w:pStyle w:val="Default"/>
        <w:jc w:val="center"/>
        <w:rPr>
          <w:b/>
          <w:bCs/>
        </w:rPr>
      </w:pPr>
    </w:p>
    <w:p w:rsidR="002D555A" w:rsidRPr="000D13E5" w:rsidRDefault="002D555A" w:rsidP="002D555A">
      <w:pPr>
        <w:pStyle w:val="Default"/>
        <w:jc w:val="center"/>
        <w:rPr>
          <w:b/>
          <w:bCs/>
        </w:rPr>
      </w:pPr>
      <w:r w:rsidRPr="000D13E5">
        <w:rPr>
          <w:b/>
          <w:bCs/>
        </w:rPr>
        <w:t xml:space="preserve">ASIC CLASS RULE WAIVER [CW </w:t>
      </w:r>
      <w:r w:rsidR="00170D89" w:rsidRPr="000D13E5">
        <w:rPr>
          <w:b/>
          <w:bCs/>
        </w:rPr>
        <w:t>1</w:t>
      </w:r>
      <w:r w:rsidR="00B972A9">
        <w:rPr>
          <w:b/>
          <w:bCs/>
        </w:rPr>
        <w:t>5</w:t>
      </w:r>
      <w:r w:rsidR="00170D89" w:rsidRPr="000D13E5">
        <w:rPr>
          <w:b/>
          <w:bCs/>
        </w:rPr>
        <w:t>/</w:t>
      </w:r>
      <w:r w:rsidR="00DF73A6">
        <w:rPr>
          <w:b/>
          <w:bCs/>
        </w:rPr>
        <w:t>0384</w:t>
      </w:r>
      <w:r w:rsidRPr="000D13E5">
        <w:rPr>
          <w:b/>
          <w:bCs/>
        </w:rPr>
        <w:t>]</w:t>
      </w:r>
    </w:p>
    <w:p w:rsidR="002D555A" w:rsidRPr="000D13E5" w:rsidRDefault="002D555A" w:rsidP="002D555A">
      <w:pPr>
        <w:pStyle w:val="Default"/>
        <w:jc w:val="center"/>
        <w:rPr>
          <w:b/>
          <w:bCs/>
        </w:rPr>
      </w:pPr>
    </w:p>
    <w:p w:rsidR="002D555A" w:rsidRPr="000D13E5" w:rsidRDefault="002D555A" w:rsidP="00FA4D7F">
      <w:pPr>
        <w:pStyle w:val="Default"/>
      </w:pPr>
      <w:r w:rsidRPr="000D13E5">
        <w:t xml:space="preserve">This </w:t>
      </w:r>
      <w:r w:rsidR="00C34A06" w:rsidRPr="000D13E5">
        <w:t>Legislative Instrument</w:t>
      </w:r>
      <w:r w:rsidR="00483D3D" w:rsidRPr="000D13E5">
        <w:t xml:space="preserve"> </w:t>
      </w:r>
      <w:r w:rsidRPr="000D13E5">
        <w:t xml:space="preserve">is compatible with the human rights and freedoms recognised or declared in the international instruments listed in section 3 of the </w:t>
      </w:r>
      <w:r w:rsidRPr="000D13E5">
        <w:rPr>
          <w:i/>
          <w:iCs/>
        </w:rPr>
        <w:t>Human Rights (Parliamentary Scrutiny) Act 2011</w:t>
      </w:r>
      <w:r w:rsidRPr="000D13E5">
        <w:t>.</w:t>
      </w:r>
    </w:p>
    <w:p w:rsidR="00927238" w:rsidRPr="000D13E5" w:rsidRDefault="00927238" w:rsidP="00FA4D7F">
      <w:pPr>
        <w:pStyle w:val="Default"/>
      </w:pPr>
    </w:p>
    <w:p w:rsidR="00927238" w:rsidRPr="000D13E5" w:rsidRDefault="00927238" w:rsidP="00FA4D7F">
      <w:pPr>
        <w:pStyle w:val="Default"/>
      </w:pPr>
      <w:r w:rsidRPr="000D13E5">
        <w:t xml:space="preserve">Unless otherwise indicated, capitalised terms in this Statement refer to defined terms in the </w:t>
      </w:r>
      <w:r w:rsidR="00F14C4A" w:rsidRPr="000D13E5">
        <w:rPr>
          <w:i/>
          <w:iCs/>
        </w:rPr>
        <w:t xml:space="preserve">ASIC Market Integrity Rules (Competition in Exchange Markets) 2011 </w:t>
      </w:r>
      <w:r w:rsidR="00F14C4A" w:rsidRPr="000D13E5">
        <w:t>(</w:t>
      </w:r>
      <w:r w:rsidR="00F14C4A" w:rsidRPr="000D13E5">
        <w:rPr>
          <w:b/>
        </w:rPr>
        <w:t xml:space="preserve">the </w:t>
      </w:r>
      <w:r w:rsidR="00F14C4A" w:rsidRPr="000D13E5">
        <w:rPr>
          <w:b/>
          <w:bCs/>
          <w:iCs/>
        </w:rPr>
        <w:t>Competition</w:t>
      </w:r>
      <w:r w:rsidR="00D81947">
        <w:rPr>
          <w:b/>
          <w:bCs/>
          <w:iCs/>
        </w:rPr>
        <w:t xml:space="preserve"> Rules</w:t>
      </w:r>
      <w:r w:rsidR="00F14C4A" w:rsidRPr="000D13E5">
        <w:t>)</w:t>
      </w:r>
      <w:r w:rsidRPr="000D13E5">
        <w:t xml:space="preserve">. </w:t>
      </w:r>
    </w:p>
    <w:p w:rsidR="0023478B" w:rsidRPr="000D13E5" w:rsidRDefault="0023478B" w:rsidP="00D15888">
      <w:pPr>
        <w:pStyle w:val="Default"/>
        <w:numPr>
          <w:ilvl w:val="0"/>
          <w:numId w:val="9"/>
        </w:numPr>
        <w:spacing w:before="240" w:after="240"/>
        <w:ind w:left="357" w:hanging="357"/>
        <w:rPr>
          <w:b/>
        </w:rPr>
      </w:pPr>
      <w:r w:rsidRPr="000D13E5">
        <w:rPr>
          <w:b/>
        </w:rPr>
        <w:t>Overview of the Legislative Instrument</w:t>
      </w:r>
    </w:p>
    <w:p w:rsidR="009E507B" w:rsidRDefault="009373F9" w:rsidP="009E507B">
      <w:pPr>
        <w:pStyle w:val="NoSpacing"/>
        <w:spacing w:after="120"/>
      </w:pPr>
      <w:r w:rsidRPr="000D13E5">
        <w:t xml:space="preserve">This Legislative Instrument </w:t>
      </w:r>
      <w:r w:rsidR="00A90620" w:rsidRPr="000D13E5">
        <w:t>amends ASIC Class Rule Waiver [CW 13/680]</w:t>
      </w:r>
      <w:r w:rsidR="00C5127E">
        <w:t xml:space="preserve">. It </w:t>
      </w:r>
      <w:r w:rsidRPr="000D13E5">
        <w:t>provide</w:t>
      </w:r>
      <w:r w:rsidR="00C5127E">
        <w:t>s</w:t>
      </w:r>
      <w:r w:rsidRPr="000D13E5">
        <w:t xml:space="preserve"> relief to Participants of the </w:t>
      </w:r>
      <w:r w:rsidR="00B972A9">
        <w:t xml:space="preserve">Market operated by </w:t>
      </w:r>
      <w:r w:rsidR="00BC72BD" w:rsidRPr="0079529D">
        <w:t xml:space="preserve">ASX Limited (ACN 008 624 691) </w:t>
      </w:r>
      <w:r w:rsidRPr="000D13E5">
        <w:t>(</w:t>
      </w:r>
      <w:r w:rsidRPr="000D13E5">
        <w:rPr>
          <w:b/>
        </w:rPr>
        <w:t>ASX</w:t>
      </w:r>
      <w:r w:rsidRPr="000D13E5">
        <w:t>) from subrule 4.1.1(1) of the</w:t>
      </w:r>
      <w:r w:rsidR="00F14C4A" w:rsidRPr="000D13E5">
        <w:rPr>
          <w:b/>
        </w:rPr>
        <w:t xml:space="preserve"> </w:t>
      </w:r>
      <w:r w:rsidR="00F14C4A" w:rsidRPr="000D13E5">
        <w:t>Competition</w:t>
      </w:r>
      <w:r w:rsidR="003E53C1">
        <w:t xml:space="preserve"> Rules</w:t>
      </w:r>
      <w:r w:rsidR="00F14C4A" w:rsidRPr="000D13E5" w:rsidDel="00F14C4A">
        <w:rPr>
          <w:b/>
        </w:rPr>
        <w:t xml:space="preserve"> </w:t>
      </w:r>
      <w:r w:rsidRPr="000D13E5">
        <w:t xml:space="preserve">in the case where the Participant </w:t>
      </w:r>
      <w:r w:rsidR="009E507B">
        <w:t>enter</w:t>
      </w:r>
      <w:r w:rsidR="00FC56E2">
        <w:t>s</w:t>
      </w:r>
      <w:r w:rsidR="009E507B">
        <w:t xml:space="preserve"> into a Transaction in an Equity Market Product </w:t>
      </w:r>
      <w:r w:rsidR="00BB5291">
        <w:t>that is part</w:t>
      </w:r>
      <w:r w:rsidR="009E507B">
        <w:t xml:space="preserve"> of a Contingent Equity Transaction (</w:t>
      </w:r>
      <w:r w:rsidR="009E507B">
        <w:rPr>
          <w:b/>
        </w:rPr>
        <w:t>CET</w:t>
      </w:r>
      <w:r w:rsidR="009E507B" w:rsidRPr="008E2E9A">
        <w:t>)</w:t>
      </w:r>
      <w:r w:rsidR="009E507B">
        <w:t>.</w:t>
      </w:r>
      <w:r w:rsidR="00393F21">
        <w:t xml:space="preserve">  </w:t>
      </w:r>
      <w:r w:rsidR="00393F21" w:rsidRPr="000D13E5">
        <w:t>Subrule 4.1.1(1) of the Competition</w:t>
      </w:r>
      <w:r w:rsidR="00393F21">
        <w:t xml:space="preserve"> Rules</w:t>
      </w:r>
      <w:r w:rsidR="00393F21" w:rsidRPr="000D13E5">
        <w:t xml:space="preserve"> provides that, subject to</w:t>
      </w:r>
      <w:r w:rsidR="00393F21">
        <w:t xml:space="preserve"> certain exceptions in </w:t>
      </w:r>
      <w:r w:rsidR="00393F21" w:rsidRPr="000D13E5">
        <w:t xml:space="preserve"> subrule 4.1.1(2), a Participant must not enter into a Transaction unless the Transaction is entered into by matching of a Pre-Trade Transparent Order (being an Order for which information such as price and volume is made available before execution) on an </w:t>
      </w:r>
      <w:r w:rsidR="00393F21" w:rsidRPr="0079529D">
        <w:t>Order Book.</w:t>
      </w:r>
    </w:p>
    <w:p w:rsidR="009E507B" w:rsidRPr="000D13E5" w:rsidRDefault="009E507B" w:rsidP="009E507B">
      <w:pPr>
        <w:pStyle w:val="NoSpacing"/>
        <w:spacing w:after="120"/>
      </w:pPr>
      <w:r w:rsidRPr="000D13E5">
        <w:t xml:space="preserve">A CET is a </w:t>
      </w:r>
      <w:r>
        <w:t>single</w:t>
      </w:r>
      <w:r w:rsidRPr="000D13E5">
        <w:t xml:space="preserve"> transaction consisting of two components or ‘legs’, namely:</w:t>
      </w:r>
    </w:p>
    <w:p w:rsidR="009E507B" w:rsidRPr="000D13E5" w:rsidRDefault="009E507B" w:rsidP="00D97EA9">
      <w:pPr>
        <w:pStyle w:val="NoSpacing"/>
        <w:numPr>
          <w:ilvl w:val="0"/>
          <w:numId w:val="38"/>
        </w:numPr>
      </w:pPr>
      <w:r w:rsidRPr="000D13E5">
        <w:t>an off-market transaction in an Equity Market Product (</w:t>
      </w:r>
      <w:r w:rsidRPr="000D13E5">
        <w:rPr>
          <w:b/>
        </w:rPr>
        <w:t>the Equity Leg</w:t>
      </w:r>
      <w:r w:rsidRPr="000D13E5">
        <w:t>); and</w:t>
      </w:r>
    </w:p>
    <w:p w:rsidR="009E507B" w:rsidRDefault="009E507B" w:rsidP="00D97EA9">
      <w:pPr>
        <w:pStyle w:val="NoSpacing"/>
        <w:numPr>
          <w:ilvl w:val="0"/>
          <w:numId w:val="38"/>
        </w:numPr>
        <w:ind w:left="714" w:hanging="357"/>
      </w:pPr>
      <w:r w:rsidRPr="000D13E5">
        <w:t>one or more over-the-counter (</w:t>
      </w:r>
      <w:r w:rsidRPr="000D13E5">
        <w:rPr>
          <w:b/>
        </w:rPr>
        <w:t>OTC</w:t>
      </w:r>
      <w:r w:rsidRPr="000D13E5">
        <w:t>) options transactions (</w:t>
      </w:r>
      <w:r w:rsidRPr="000D13E5">
        <w:rPr>
          <w:b/>
        </w:rPr>
        <w:t>the Option Leg</w:t>
      </w:r>
      <w:r w:rsidRPr="000D13E5">
        <w:t>).</w:t>
      </w:r>
    </w:p>
    <w:p w:rsidR="009E507B" w:rsidRDefault="009E507B" w:rsidP="009E507B">
      <w:pPr>
        <w:pStyle w:val="NoSpacing"/>
        <w:spacing w:before="120" w:after="120"/>
      </w:pPr>
      <w:r w:rsidRPr="00CB0054">
        <w:t xml:space="preserve">As both the Equity Leg and the Option Leg are transacted simultaneously, </w:t>
      </w:r>
      <w:r>
        <w:t>the</w:t>
      </w:r>
      <w:r w:rsidRPr="00CB0054">
        <w:t xml:space="preserve"> client agrees on a net price for the CET rather than pric</w:t>
      </w:r>
      <w:r>
        <w:t>ing</w:t>
      </w:r>
      <w:r w:rsidRPr="00CB0054">
        <w:t xml:space="preserve"> individual legs separately.</w:t>
      </w:r>
      <w:r w:rsidRPr="000D13E5">
        <w:t xml:space="preserve"> </w:t>
      </w:r>
    </w:p>
    <w:p w:rsidR="009E507B" w:rsidRPr="000D13E5" w:rsidRDefault="009E507B" w:rsidP="009E507B">
      <w:pPr>
        <w:pStyle w:val="NoSpacing"/>
        <w:spacing w:before="120" w:after="120"/>
      </w:pPr>
      <w:r>
        <w:t>The</w:t>
      </w:r>
      <w:r w:rsidRPr="0079529D">
        <w:t xml:space="preserve"> Equity Leg of the CET is negotiated off-market and </w:t>
      </w:r>
      <w:r>
        <w:t xml:space="preserve">therefore </w:t>
      </w:r>
      <w:r w:rsidR="008E7D0F">
        <w:t>will</w:t>
      </w:r>
      <w:r w:rsidRPr="0079529D">
        <w:t xml:space="preserve"> not </w:t>
      </w:r>
      <w:r w:rsidR="008E7D0F">
        <w:t>meet the</w:t>
      </w:r>
      <w:r w:rsidRPr="0079529D">
        <w:t xml:space="preserve"> </w:t>
      </w:r>
      <w:r w:rsidR="008E7D0F">
        <w:t>p</w:t>
      </w:r>
      <w:r w:rsidRPr="0079529D">
        <w:t>re-</w:t>
      </w:r>
      <w:r w:rsidR="008E7D0F">
        <w:t>t</w:t>
      </w:r>
      <w:r w:rsidRPr="0079529D">
        <w:t xml:space="preserve">rade </w:t>
      </w:r>
      <w:r w:rsidR="008E7D0F">
        <w:t>t</w:t>
      </w:r>
      <w:r w:rsidRPr="0079529D">
        <w:t>ransparen</w:t>
      </w:r>
      <w:r w:rsidR="008E7D0F">
        <w:t>cy</w:t>
      </w:r>
      <w:r w:rsidRPr="0079529D">
        <w:t xml:space="preserve"> </w:t>
      </w:r>
      <w:r w:rsidR="00484F44">
        <w:t>requirement of</w:t>
      </w:r>
      <w:r w:rsidRPr="0079529D">
        <w:t xml:space="preserve"> </w:t>
      </w:r>
      <w:r>
        <w:t>subr</w:t>
      </w:r>
      <w:r w:rsidRPr="0079529D">
        <w:t>ule 4.1.1(1). A Participant that enters into a CET</w:t>
      </w:r>
      <w:r w:rsidRPr="000D13E5">
        <w:t xml:space="preserve"> may therefore breach subrule 4.1.1(1) </w:t>
      </w:r>
      <w:r>
        <w:t>without this Class Rule Waiver.</w:t>
      </w:r>
    </w:p>
    <w:p w:rsidR="009E507B" w:rsidRPr="00D15888" w:rsidRDefault="009E507B" w:rsidP="009E507B">
      <w:pPr>
        <w:pStyle w:val="Default"/>
        <w:spacing w:before="240" w:after="240"/>
        <w:rPr>
          <w:i/>
        </w:rPr>
      </w:pPr>
      <w:r w:rsidRPr="000D13E5">
        <w:rPr>
          <w:i/>
        </w:rPr>
        <w:t xml:space="preserve">Reasons for granting </w:t>
      </w:r>
      <w:r>
        <w:rPr>
          <w:i/>
        </w:rPr>
        <w:t>the Class Rule waiver</w:t>
      </w:r>
      <w:r w:rsidRPr="000D13E5">
        <w:rPr>
          <w:i/>
        </w:rPr>
        <w:t xml:space="preserve"> </w:t>
      </w:r>
    </w:p>
    <w:p w:rsidR="00DF73A6" w:rsidRDefault="00DF73A6" w:rsidP="00DF73A6">
      <w:pPr>
        <w:pStyle w:val="Default"/>
        <w:spacing w:after="120"/>
      </w:pPr>
      <w:r>
        <w:t>The policy rationale for subrule 4.1.1 does not apply to CETs.</w:t>
      </w:r>
    </w:p>
    <w:p w:rsidR="00DF73A6" w:rsidRDefault="00DF73A6" w:rsidP="00DF73A6">
      <w:pPr>
        <w:pStyle w:val="Default"/>
        <w:spacing w:after="120"/>
      </w:pPr>
      <w:r>
        <w:t>This is because CETs are negotiated off-market and on the basis of a net price as explained above. Accordingly, pre-trade information concerning the price of the Equity Leg may not provide useful and meaningful information to the market.</w:t>
      </w:r>
    </w:p>
    <w:p w:rsidR="00DF73A6" w:rsidRDefault="00DF73A6" w:rsidP="00DF73A6">
      <w:pPr>
        <w:pStyle w:val="Default"/>
        <w:spacing w:after="120"/>
      </w:pPr>
      <w:r>
        <w:t>In addition, ASIC considers that CETs have a number of benefits which would contribute to fair</w:t>
      </w:r>
      <w:r w:rsidR="002462D9">
        <w:t>, orderly and transparent</w:t>
      </w:r>
      <w:r>
        <w:t xml:space="preserve"> markets.</w:t>
      </w:r>
    </w:p>
    <w:p w:rsidR="00DF73A6" w:rsidRDefault="00DF73A6" w:rsidP="00DF73A6">
      <w:pPr>
        <w:pStyle w:val="Default"/>
        <w:spacing w:after="120"/>
      </w:pPr>
      <w:r>
        <w:t xml:space="preserve">CETs are a legitimate hedging strategy, providing a delta hedge.  Delta hedging is an options strategy that aims to reduce or hedge the risk associated with price movements in the underlying security by offsetting bought and sold positions.  The change in the price of the option for each basis-point change in the price of the underlying security is the 'delta'.  CETs </w:t>
      </w:r>
      <w:r>
        <w:lastRenderedPageBreak/>
        <w:t xml:space="preserve">offer the ability to lock in a 'delta'.  This will reduce the risk associated with price movements in the underlying security as they are offset by the Equity Leg position.    </w:t>
      </w:r>
    </w:p>
    <w:p w:rsidR="00DF73A6" w:rsidRDefault="00DF73A6" w:rsidP="00DF73A6">
      <w:pPr>
        <w:pStyle w:val="Default"/>
        <w:spacing w:after="120"/>
      </w:pPr>
      <w:r>
        <w:t xml:space="preserve">Also, the simultaneous pricing of the two legs in the CET facilitates market efficiency as it removes the need to renegotiate pricing of the Option Leg in response to each movement in the underlying equity.  This renegotiation is otherwise cumbersome and time consuming.  In times of market volatility, this sort of hedging may not be possible in the absence of a mechanism similar to a CET.  </w:t>
      </w:r>
    </w:p>
    <w:p w:rsidR="00DF73A6" w:rsidRDefault="00DF73A6" w:rsidP="00DF73A6">
      <w:pPr>
        <w:pStyle w:val="Default"/>
        <w:spacing w:after="120"/>
      </w:pPr>
      <w:r>
        <w:t xml:space="preserve">As the Equity Leg will be reported to ASX, post-trade transparency of the Equity Leg will be available using the "OC" trade report condition code. The "OC" code reports off-market equity trades that are reported as part of an OTC deal.  </w:t>
      </w:r>
    </w:p>
    <w:p w:rsidR="00DF73A6" w:rsidRDefault="00DF73A6" w:rsidP="00DF73A6">
      <w:pPr>
        <w:pStyle w:val="Default"/>
        <w:spacing w:after="120"/>
      </w:pPr>
      <w:r>
        <w:t>Furthermore, it is expected that the number of CETs will be low, so the overall effect on pre-trade transparency will be negligible.</w:t>
      </w:r>
    </w:p>
    <w:p w:rsidR="00393F21" w:rsidRDefault="00DF73A6" w:rsidP="00DF73A6">
      <w:pPr>
        <w:pStyle w:val="Default"/>
        <w:spacing w:after="120"/>
      </w:pPr>
      <w:r>
        <w:t>ASIC therefore considers that there are considerable market innovation and market efficiency benefits afforded by CETs.  We do not consider that there is a practical regulatory detriment in waiving the pre-trade transparency requirements for these transactions.</w:t>
      </w:r>
    </w:p>
    <w:p w:rsidR="007C13C5" w:rsidRPr="000D13E5" w:rsidRDefault="007C13C5" w:rsidP="004005EE">
      <w:pPr>
        <w:pStyle w:val="Default"/>
      </w:pPr>
    </w:p>
    <w:p w:rsidR="0023478B" w:rsidRPr="000D13E5" w:rsidRDefault="0023478B" w:rsidP="0023478B">
      <w:pPr>
        <w:pStyle w:val="Default"/>
        <w:numPr>
          <w:ilvl w:val="0"/>
          <w:numId w:val="9"/>
        </w:numPr>
        <w:rPr>
          <w:b/>
        </w:rPr>
      </w:pPr>
      <w:r w:rsidRPr="000D13E5">
        <w:rPr>
          <w:b/>
        </w:rPr>
        <w:t>Human rights implications</w:t>
      </w:r>
    </w:p>
    <w:p w:rsidR="0023478B" w:rsidRPr="000D13E5" w:rsidRDefault="0023478B" w:rsidP="004005EE">
      <w:pPr>
        <w:pStyle w:val="Default"/>
      </w:pPr>
    </w:p>
    <w:p w:rsidR="004005EE" w:rsidRPr="000D13E5" w:rsidRDefault="00842F84" w:rsidP="004005EE">
      <w:pPr>
        <w:pStyle w:val="Default"/>
      </w:pPr>
      <w:r w:rsidRPr="000D13E5">
        <w:t>This Legislative Instrument</w:t>
      </w:r>
      <w:r w:rsidR="004005EE" w:rsidRPr="000D13E5">
        <w:t xml:space="preserve"> does not engage any of the applicable rights or freedoms. </w:t>
      </w:r>
    </w:p>
    <w:p w:rsidR="00B7011F" w:rsidRPr="000D13E5" w:rsidRDefault="00B7011F" w:rsidP="004005EE">
      <w:pPr>
        <w:pStyle w:val="Default"/>
      </w:pPr>
    </w:p>
    <w:p w:rsidR="006E142D" w:rsidRPr="000D13E5" w:rsidRDefault="004005EE" w:rsidP="007D22FB">
      <w:pPr>
        <w:autoSpaceDE w:val="0"/>
        <w:autoSpaceDN w:val="0"/>
        <w:adjustRightInd w:val="0"/>
        <w:spacing w:after="0" w:line="240" w:lineRule="auto"/>
        <w:rPr>
          <w:rFonts w:ascii="Times New Roman" w:hAnsi="Times New Roman"/>
          <w:sz w:val="24"/>
          <w:szCs w:val="24"/>
        </w:rPr>
      </w:pPr>
      <w:r w:rsidRPr="000D13E5">
        <w:rPr>
          <w:rFonts w:ascii="Times New Roman" w:hAnsi="Times New Roman"/>
          <w:sz w:val="24"/>
          <w:szCs w:val="24"/>
        </w:rPr>
        <w:t>This Legislative Instrument is compatible with human rights as it does not raise any human rights issues.</w:t>
      </w:r>
    </w:p>
    <w:sectPr w:rsidR="006E142D" w:rsidRPr="000D13E5" w:rsidSect="000E4EB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67" w:rsidRDefault="00980767" w:rsidP="00ED134C">
      <w:pPr>
        <w:spacing w:after="0" w:line="240" w:lineRule="auto"/>
      </w:pPr>
      <w:r>
        <w:separator/>
      </w:r>
    </w:p>
  </w:endnote>
  <w:endnote w:type="continuationSeparator" w:id="0">
    <w:p w:rsidR="00980767" w:rsidRDefault="00980767" w:rsidP="00ED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6" w:rsidRDefault="00900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6" w:rsidRDefault="00900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6" w:rsidRDefault="00900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67" w:rsidRDefault="00980767" w:rsidP="00ED134C">
      <w:pPr>
        <w:spacing w:after="0" w:line="240" w:lineRule="auto"/>
      </w:pPr>
      <w:r>
        <w:separator/>
      </w:r>
    </w:p>
  </w:footnote>
  <w:footnote w:type="continuationSeparator" w:id="0">
    <w:p w:rsidR="00980767" w:rsidRDefault="00980767" w:rsidP="00ED1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6" w:rsidRDefault="00900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8B" w:rsidRDefault="007E0825">
    <w:pPr>
      <w:pStyle w:val="Header"/>
      <w:jc w:val="center"/>
    </w:pPr>
    <w:r>
      <w:fldChar w:fldCharType="begin"/>
    </w:r>
    <w:r>
      <w:instrText xml:space="preserve"> PAGE   \* MERGEFORMAT </w:instrText>
    </w:r>
    <w:r>
      <w:fldChar w:fldCharType="separate"/>
    </w:r>
    <w:r w:rsidR="00B33E73">
      <w:rPr>
        <w:noProof/>
      </w:rPr>
      <w:t>1</w:t>
    </w:r>
    <w:r>
      <w:rPr>
        <w:noProof/>
      </w:rPr>
      <w:fldChar w:fldCharType="end"/>
    </w:r>
  </w:p>
  <w:p w:rsidR="00140F8B" w:rsidRDefault="00140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6" w:rsidRDefault="00900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869"/>
    <w:multiLevelType w:val="hybridMultilevel"/>
    <w:tmpl w:val="70E8140E"/>
    <w:lvl w:ilvl="0" w:tplc="3D36C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C04CE8"/>
    <w:multiLevelType w:val="hybridMultilevel"/>
    <w:tmpl w:val="50EE1B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D372839"/>
    <w:multiLevelType w:val="hybridMultilevel"/>
    <w:tmpl w:val="827690A0"/>
    <w:lvl w:ilvl="0" w:tplc="B4CEEB1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ED539F"/>
    <w:multiLevelType w:val="hybridMultilevel"/>
    <w:tmpl w:val="60AA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B364CB"/>
    <w:multiLevelType w:val="hybridMultilevel"/>
    <w:tmpl w:val="AE2438A8"/>
    <w:lvl w:ilvl="0" w:tplc="8B06F5C8">
      <w:start w:val="1"/>
      <w:numFmt w:val="bullet"/>
      <w:lvlText w:val=""/>
      <w:lvlJc w:val="left"/>
      <w:pPr>
        <w:ind w:left="1800" w:hanging="360"/>
      </w:pPr>
      <w:rPr>
        <w:rFonts w:ascii="Symbol" w:hAnsi="Symbol" w:hint="default"/>
        <w:sz w:val="1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7EE3346"/>
    <w:multiLevelType w:val="hybridMultilevel"/>
    <w:tmpl w:val="B71E8AFA"/>
    <w:lvl w:ilvl="0" w:tplc="26F607E4">
      <w:start w:val="1"/>
      <w:numFmt w:val="lowerLetter"/>
      <w:lvlText w:val="(%1)"/>
      <w:lvlJc w:val="left"/>
      <w:pPr>
        <w:ind w:left="2237" w:hanging="360"/>
      </w:pPr>
      <w:rPr>
        <w:rFonts w:hint="default"/>
      </w:rPr>
    </w:lvl>
    <w:lvl w:ilvl="1" w:tplc="0C090003" w:tentative="1">
      <w:start w:val="1"/>
      <w:numFmt w:val="bullet"/>
      <w:lvlText w:val="o"/>
      <w:lvlJc w:val="left"/>
      <w:pPr>
        <w:ind w:left="1377" w:hanging="360"/>
      </w:pPr>
      <w:rPr>
        <w:rFonts w:ascii="Courier New" w:hAnsi="Courier New" w:cs="Courier New" w:hint="default"/>
      </w:rPr>
    </w:lvl>
    <w:lvl w:ilvl="2" w:tplc="0C090005" w:tentative="1">
      <w:start w:val="1"/>
      <w:numFmt w:val="bullet"/>
      <w:lvlText w:val=""/>
      <w:lvlJc w:val="left"/>
      <w:pPr>
        <w:ind w:left="2097" w:hanging="360"/>
      </w:pPr>
      <w:rPr>
        <w:rFonts w:ascii="Wingdings" w:hAnsi="Wingdings" w:hint="default"/>
      </w:rPr>
    </w:lvl>
    <w:lvl w:ilvl="3" w:tplc="0C090001" w:tentative="1">
      <w:start w:val="1"/>
      <w:numFmt w:val="bullet"/>
      <w:lvlText w:val=""/>
      <w:lvlJc w:val="left"/>
      <w:pPr>
        <w:ind w:left="2817" w:hanging="360"/>
      </w:pPr>
      <w:rPr>
        <w:rFonts w:ascii="Symbol" w:hAnsi="Symbol" w:hint="default"/>
      </w:rPr>
    </w:lvl>
    <w:lvl w:ilvl="4" w:tplc="0C090003" w:tentative="1">
      <w:start w:val="1"/>
      <w:numFmt w:val="bullet"/>
      <w:lvlText w:val="o"/>
      <w:lvlJc w:val="left"/>
      <w:pPr>
        <w:ind w:left="3537" w:hanging="360"/>
      </w:pPr>
      <w:rPr>
        <w:rFonts w:ascii="Courier New" w:hAnsi="Courier New" w:cs="Courier New" w:hint="default"/>
      </w:rPr>
    </w:lvl>
    <w:lvl w:ilvl="5" w:tplc="0C090005" w:tentative="1">
      <w:start w:val="1"/>
      <w:numFmt w:val="bullet"/>
      <w:lvlText w:val=""/>
      <w:lvlJc w:val="left"/>
      <w:pPr>
        <w:ind w:left="4257" w:hanging="360"/>
      </w:pPr>
      <w:rPr>
        <w:rFonts w:ascii="Wingdings" w:hAnsi="Wingdings" w:hint="default"/>
      </w:rPr>
    </w:lvl>
    <w:lvl w:ilvl="6" w:tplc="0C090001" w:tentative="1">
      <w:start w:val="1"/>
      <w:numFmt w:val="bullet"/>
      <w:lvlText w:val=""/>
      <w:lvlJc w:val="left"/>
      <w:pPr>
        <w:ind w:left="4977" w:hanging="360"/>
      </w:pPr>
      <w:rPr>
        <w:rFonts w:ascii="Symbol" w:hAnsi="Symbol" w:hint="default"/>
      </w:rPr>
    </w:lvl>
    <w:lvl w:ilvl="7" w:tplc="0C090003" w:tentative="1">
      <w:start w:val="1"/>
      <w:numFmt w:val="bullet"/>
      <w:lvlText w:val="o"/>
      <w:lvlJc w:val="left"/>
      <w:pPr>
        <w:ind w:left="5697" w:hanging="360"/>
      </w:pPr>
      <w:rPr>
        <w:rFonts w:ascii="Courier New" w:hAnsi="Courier New" w:cs="Courier New" w:hint="default"/>
      </w:rPr>
    </w:lvl>
    <w:lvl w:ilvl="8" w:tplc="0C090005" w:tentative="1">
      <w:start w:val="1"/>
      <w:numFmt w:val="bullet"/>
      <w:lvlText w:val=""/>
      <w:lvlJc w:val="left"/>
      <w:pPr>
        <w:ind w:left="6417" w:hanging="360"/>
      </w:pPr>
      <w:rPr>
        <w:rFonts w:ascii="Wingdings" w:hAnsi="Wingdings" w:hint="default"/>
      </w:rPr>
    </w:lvl>
  </w:abstractNum>
  <w:abstractNum w:abstractNumId="6">
    <w:nsid w:val="181808A3"/>
    <w:multiLevelType w:val="hybridMultilevel"/>
    <w:tmpl w:val="856ADB6E"/>
    <w:lvl w:ilvl="0" w:tplc="AE14D8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116501"/>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980766C"/>
    <w:multiLevelType w:val="hybridMultilevel"/>
    <w:tmpl w:val="B510C89C"/>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31F70"/>
    <w:multiLevelType w:val="hybridMultilevel"/>
    <w:tmpl w:val="58285CC6"/>
    <w:lvl w:ilvl="0" w:tplc="3D36C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416E14"/>
    <w:multiLevelType w:val="hybridMultilevel"/>
    <w:tmpl w:val="69381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EE14609"/>
    <w:multiLevelType w:val="hybridMultilevel"/>
    <w:tmpl w:val="58285CC6"/>
    <w:lvl w:ilvl="0" w:tplc="3D36C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53043E"/>
    <w:multiLevelType w:val="hybridMultilevel"/>
    <w:tmpl w:val="827690A0"/>
    <w:lvl w:ilvl="0" w:tplc="B4CEEB1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8A1EA3"/>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15">
    <w:nsid w:val="268915F0"/>
    <w:multiLevelType w:val="hybridMultilevel"/>
    <w:tmpl w:val="8D521F0A"/>
    <w:lvl w:ilvl="0" w:tplc="D1D464A2">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B514D1"/>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17">
    <w:nsid w:val="2F087D5F"/>
    <w:multiLevelType w:val="hybridMultilevel"/>
    <w:tmpl w:val="2778946C"/>
    <w:lvl w:ilvl="0" w:tplc="1912333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103228"/>
    <w:multiLevelType w:val="hybridMultilevel"/>
    <w:tmpl w:val="20629FF2"/>
    <w:lvl w:ilvl="0" w:tplc="8DE03812">
      <w:start w:val="1"/>
      <w:numFmt w:val="decimal"/>
      <w:lvlText w:val="%1."/>
      <w:lvlJc w:val="left"/>
      <w:pPr>
        <w:ind w:left="360" w:hanging="360"/>
      </w:pPr>
      <w:rPr>
        <w:rFonts w:hint="default"/>
        <w:b w:val="0"/>
        <w:sz w:val="24"/>
        <w:szCs w:val="24"/>
      </w:rPr>
    </w:lvl>
    <w:lvl w:ilvl="1" w:tplc="976C8A0A">
      <w:start w:val="1"/>
      <w:numFmt w:val="lowerLetter"/>
      <w:pStyle w:val="BodyText"/>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2C6153D"/>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0">
    <w:nsid w:val="3D4714E1"/>
    <w:multiLevelType w:val="hybridMultilevel"/>
    <w:tmpl w:val="B510C89C"/>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3E144B66"/>
    <w:multiLevelType w:val="hybridMultilevel"/>
    <w:tmpl w:val="B71E8AFA"/>
    <w:lvl w:ilvl="0" w:tplc="26F607E4">
      <w:start w:val="1"/>
      <w:numFmt w:val="lowerLetter"/>
      <w:lvlText w:val="(%1)"/>
      <w:lvlJc w:val="left"/>
      <w:pPr>
        <w:ind w:left="5747"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nsid w:val="476E1C22"/>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3">
    <w:nsid w:val="4E277698"/>
    <w:multiLevelType w:val="hybridMultilevel"/>
    <w:tmpl w:val="5756D460"/>
    <w:lvl w:ilvl="0" w:tplc="A81E2CDC">
      <w:start w:val="1"/>
      <w:numFmt w:val="decimal"/>
      <w:lvlText w:val="%1."/>
      <w:lvlJc w:val="left"/>
      <w:pPr>
        <w:ind w:left="360" w:hanging="360"/>
      </w:pPr>
      <w:rPr>
        <w:rFonts w:ascii="Times New Roman" w:eastAsia="Calibri" w:hAnsi="Times New Roman" w:cs="Times New 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F4F4A7F"/>
    <w:multiLevelType w:val="hybridMultilevel"/>
    <w:tmpl w:val="5F0A9BBC"/>
    <w:lvl w:ilvl="0" w:tplc="C4FC9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FF93CDC"/>
    <w:multiLevelType w:val="hybridMultilevel"/>
    <w:tmpl w:val="84F056F2"/>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516C5A8B"/>
    <w:multiLevelType w:val="hybridMultilevel"/>
    <w:tmpl w:val="827690A0"/>
    <w:lvl w:ilvl="0" w:tplc="B4CEEB1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06046A"/>
    <w:multiLevelType w:val="hybridMultilevel"/>
    <w:tmpl w:val="B71E8AFA"/>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595F6B5C"/>
    <w:multiLevelType w:val="hybridMultilevel"/>
    <w:tmpl w:val="84F056F2"/>
    <w:lvl w:ilvl="0" w:tplc="26F607E4">
      <w:start w:val="1"/>
      <w:numFmt w:val="lowerLetter"/>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nsid w:val="5B03513D"/>
    <w:multiLevelType w:val="hybridMultilevel"/>
    <w:tmpl w:val="EE48E5C2"/>
    <w:lvl w:ilvl="0" w:tplc="B4CEEB1E">
      <w:start w:val="1"/>
      <w:numFmt w:val="lowerLetter"/>
      <w:lvlText w:val="(%1)"/>
      <w:lvlJc w:val="left"/>
      <w:pPr>
        <w:ind w:left="761" w:hanging="360"/>
      </w:pPr>
      <w:rPr>
        <w:rFonts w:hint="default"/>
      </w:rPr>
    </w:lvl>
    <w:lvl w:ilvl="1" w:tplc="12386E96">
      <w:start w:val="1"/>
      <w:numFmt w:val="lowerRoman"/>
      <w:lvlText w:val="(%2)"/>
      <w:lvlJc w:val="right"/>
      <w:pPr>
        <w:ind w:left="1481" w:hanging="360"/>
      </w:pPr>
      <w:rPr>
        <w:rFonts w:hint="default"/>
      </w:r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30">
    <w:nsid w:val="5ED84376"/>
    <w:multiLevelType w:val="hybridMultilevel"/>
    <w:tmpl w:val="5EF684C2"/>
    <w:lvl w:ilvl="0" w:tplc="913072C4">
      <w:start w:val="1"/>
      <w:numFmt w:val="lowerRoman"/>
      <w:lvlText w:val="(%1.)"/>
      <w:lvlJc w:val="right"/>
      <w:pPr>
        <w:ind w:left="1800" w:hanging="360"/>
      </w:pPr>
      <w:rPr>
        <w:rFonts w:hint="default"/>
        <w:sz w:val="16"/>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5EE247F4"/>
    <w:multiLevelType w:val="hybridMultilevel"/>
    <w:tmpl w:val="827690A0"/>
    <w:lvl w:ilvl="0" w:tplc="B4CEEB1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169B"/>
    <w:multiLevelType w:val="hybridMultilevel"/>
    <w:tmpl w:val="E4DC79AE"/>
    <w:lvl w:ilvl="0" w:tplc="9CF4A468">
      <w:start w:val="1"/>
      <w:numFmt w:val="decimal"/>
      <w:lvlText w:val="%1."/>
      <w:lvlJc w:val="left"/>
      <w:pPr>
        <w:ind w:left="737" w:hanging="737"/>
      </w:pPr>
      <w:rPr>
        <w:rFonts w:hint="default"/>
      </w:rPr>
    </w:lvl>
    <w:lvl w:ilvl="1" w:tplc="430EBF2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6A75909"/>
    <w:multiLevelType w:val="hybridMultilevel"/>
    <w:tmpl w:val="C9C88B96"/>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3D179BF"/>
    <w:multiLevelType w:val="hybridMultilevel"/>
    <w:tmpl w:val="CA58106E"/>
    <w:lvl w:ilvl="0" w:tplc="FA6C8E62">
      <w:start w:val="1"/>
      <w:numFmt w:val="decimal"/>
      <w:lvlText w:val="%1."/>
      <w:lvlJc w:val="left"/>
      <w:pPr>
        <w:ind w:left="360" w:hanging="360"/>
      </w:pPr>
      <w:rPr>
        <w:rFonts w:ascii="Calibri" w:hAnsi="Calibri" w:hint="default"/>
        <w:b w:val="0"/>
        <w:i w:val="0"/>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425727B"/>
    <w:multiLevelType w:val="hybridMultilevel"/>
    <w:tmpl w:val="58285CC6"/>
    <w:lvl w:ilvl="0" w:tplc="3D36C3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335B4C"/>
    <w:multiLevelType w:val="hybridMultilevel"/>
    <w:tmpl w:val="FB687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977085"/>
    <w:multiLevelType w:val="hybridMultilevel"/>
    <w:tmpl w:val="1CF664C6"/>
    <w:lvl w:ilvl="0" w:tplc="81064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4"/>
  </w:num>
  <w:num w:numId="3">
    <w:abstractNumId w:val="7"/>
  </w:num>
  <w:num w:numId="4">
    <w:abstractNumId w:val="19"/>
  </w:num>
  <w:num w:numId="5">
    <w:abstractNumId w:val="14"/>
  </w:num>
  <w:num w:numId="6">
    <w:abstractNumId w:val="30"/>
  </w:num>
  <w:num w:numId="7">
    <w:abstractNumId w:val="22"/>
  </w:num>
  <w:num w:numId="8">
    <w:abstractNumId w:val="16"/>
  </w:num>
  <w:num w:numId="9">
    <w:abstractNumId w:val="33"/>
  </w:num>
  <w:num w:numId="10">
    <w:abstractNumId w:val="35"/>
  </w:num>
  <w:num w:numId="11">
    <w:abstractNumId w:val="1"/>
  </w:num>
  <w:num w:numId="12">
    <w:abstractNumId w:val="21"/>
  </w:num>
  <w:num w:numId="13">
    <w:abstractNumId w:val="32"/>
  </w:num>
  <w:num w:numId="14">
    <w:abstractNumId w:val="29"/>
  </w:num>
  <w:num w:numId="15">
    <w:abstractNumId w:val="34"/>
  </w:num>
  <w:num w:numId="16">
    <w:abstractNumId w:val="9"/>
  </w:num>
  <w:num w:numId="17">
    <w:abstractNumId w:val="6"/>
  </w:num>
  <w:num w:numId="18">
    <w:abstractNumId w:val="31"/>
  </w:num>
  <w:num w:numId="19">
    <w:abstractNumId w:val="25"/>
  </w:num>
  <w:num w:numId="20">
    <w:abstractNumId w:val="15"/>
  </w:num>
  <w:num w:numId="21">
    <w:abstractNumId w:val="38"/>
  </w:num>
  <w:num w:numId="22">
    <w:abstractNumId w:val="3"/>
  </w:num>
  <w:num w:numId="23">
    <w:abstractNumId w:val="11"/>
  </w:num>
  <w:num w:numId="24">
    <w:abstractNumId w:val="0"/>
  </w:num>
  <w:num w:numId="25">
    <w:abstractNumId w:val="18"/>
  </w:num>
  <w:num w:numId="26">
    <w:abstractNumId w:val="10"/>
  </w:num>
  <w:num w:numId="27">
    <w:abstractNumId w:val="28"/>
  </w:num>
  <w:num w:numId="28">
    <w:abstractNumId w:val="8"/>
  </w:num>
  <w:num w:numId="29">
    <w:abstractNumId w:val="20"/>
  </w:num>
  <w:num w:numId="30">
    <w:abstractNumId w:val="27"/>
  </w:num>
  <w:num w:numId="31">
    <w:abstractNumId w:val="2"/>
  </w:num>
  <w:num w:numId="32">
    <w:abstractNumId w:val="13"/>
  </w:num>
  <w:num w:numId="33">
    <w:abstractNumId w:val="26"/>
  </w:num>
  <w:num w:numId="34">
    <w:abstractNumId w:val="24"/>
  </w:num>
  <w:num w:numId="35">
    <w:abstractNumId w:val="17"/>
  </w:num>
  <w:num w:numId="36">
    <w:abstractNumId w:val="37"/>
  </w:num>
  <w:num w:numId="37">
    <w:abstractNumId w:val="5"/>
  </w:num>
  <w:num w:numId="38">
    <w:abstractNumId w:val="1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EE"/>
    <w:rsid w:val="00000917"/>
    <w:rsid w:val="000031E2"/>
    <w:rsid w:val="000033D0"/>
    <w:rsid w:val="000039C8"/>
    <w:rsid w:val="0002582B"/>
    <w:rsid w:val="00025C4F"/>
    <w:rsid w:val="00032033"/>
    <w:rsid w:val="00036AFF"/>
    <w:rsid w:val="0003785B"/>
    <w:rsid w:val="00042B3A"/>
    <w:rsid w:val="00055778"/>
    <w:rsid w:val="00055B44"/>
    <w:rsid w:val="00057A30"/>
    <w:rsid w:val="00062448"/>
    <w:rsid w:val="00064619"/>
    <w:rsid w:val="0006720F"/>
    <w:rsid w:val="00067B91"/>
    <w:rsid w:val="000705E9"/>
    <w:rsid w:val="000759F1"/>
    <w:rsid w:val="00080BBA"/>
    <w:rsid w:val="0008388A"/>
    <w:rsid w:val="00084A7F"/>
    <w:rsid w:val="00084FD8"/>
    <w:rsid w:val="00085611"/>
    <w:rsid w:val="000865F9"/>
    <w:rsid w:val="00094D62"/>
    <w:rsid w:val="00097BBA"/>
    <w:rsid w:val="000A2421"/>
    <w:rsid w:val="000B3376"/>
    <w:rsid w:val="000B3DAC"/>
    <w:rsid w:val="000C201B"/>
    <w:rsid w:val="000C36BA"/>
    <w:rsid w:val="000C51FF"/>
    <w:rsid w:val="000D13E5"/>
    <w:rsid w:val="000D58A5"/>
    <w:rsid w:val="000D607F"/>
    <w:rsid w:val="000D69BA"/>
    <w:rsid w:val="000D6D51"/>
    <w:rsid w:val="000D7D38"/>
    <w:rsid w:val="000E1377"/>
    <w:rsid w:val="000E1701"/>
    <w:rsid w:val="000E1A77"/>
    <w:rsid w:val="000E4EB2"/>
    <w:rsid w:val="000F00E5"/>
    <w:rsid w:val="001024A4"/>
    <w:rsid w:val="00103664"/>
    <w:rsid w:val="00104F40"/>
    <w:rsid w:val="0010749D"/>
    <w:rsid w:val="001115E2"/>
    <w:rsid w:val="00114B97"/>
    <w:rsid w:val="00121F13"/>
    <w:rsid w:val="00126326"/>
    <w:rsid w:val="001350D3"/>
    <w:rsid w:val="00140F8B"/>
    <w:rsid w:val="00144D42"/>
    <w:rsid w:val="00150FA7"/>
    <w:rsid w:val="001545E0"/>
    <w:rsid w:val="001573DB"/>
    <w:rsid w:val="00161BCF"/>
    <w:rsid w:val="00170D89"/>
    <w:rsid w:val="001713DE"/>
    <w:rsid w:val="0017185A"/>
    <w:rsid w:val="00177855"/>
    <w:rsid w:val="00182D43"/>
    <w:rsid w:val="00190E03"/>
    <w:rsid w:val="001B1C84"/>
    <w:rsid w:val="001B4DF5"/>
    <w:rsid w:val="001B5E60"/>
    <w:rsid w:val="001C1706"/>
    <w:rsid w:val="001C2FCB"/>
    <w:rsid w:val="001E1C00"/>
    <w:rsid w:val="001E7934"/>
    <w:rsid w:val="001F0906"/>
    <w:rsid w:val="001F7EC4"/>
    <w:rsid w:val="00207B15"/>
    <w:rsid w:val="00215CB6"/>
    <w:rsid w:val="00216A5E"/>
    <w:rsid w:val="002174DC"/>
    <w:rsid w:val="0022043A"/>
    <w:rsid w:val="00221B5F"/>
    <w:rsid w:val="002227DC"/>
    <w:rsid w:val="00230B70"/>
    <w:rsid w:val="00231D35"/>
    <w:rsid w:val="0023478B"/>
    <w:rsid w:val="002462D9"/>
    <w:rsid w:val="002552C9"/>
    <w:rsid w:val="00256676"/>
    <w:rsid w:val="00256E10"/>
    <w:rsid w:val="002656A9"/>
    <w:rsid w:val="002721AE"/>
    <w:rsid w:val="002778F1"/>
    <w:rsid w:val="0028351D"/>
    <w:rsid w:val="00287D52"/>
    <w:rsid w:val="00290E62"/>
    <w:rsid w:val="0029310A"/>
    <w:rsid w:val="002A072D"/>
    <w:rsid w:val="002A21B5"/>
    <w:rsid w:val="002A384E"/>
    <w:rsid w:val="002A7236"/>
    <w:rsid w:val="002B06C0"/>
    <w:rsid w:val="002B2918"/>
    <w:rsid w:val="002B3308"/>
    <w:rsid w:val="002B42CA"/>
    <w:rsid w:val="002B70DD"/>
    <w:rsid w:val="002B76FB"/>
    <w:rsid w:val="002C0F19"/>
    <w:rsid w:val="002C42B7"/>
    <w:rsid w:val="002D1FE7"/>
    <w:rsid w:val="002D286D"/>
    <w:rsid w:val="002D555A"/>
    <w:rsid w:val="002E21E6"/>
    <w:rsid w:val="002E58CB"/>
    <w:rsid w:val="002E60A7"/>
    <w:rsid w:val="002E756D"/>
    <w:rsid w:val="002F57FD"/>
    <w:rsid w:val="0030779A"/>
    <w:rsid w:val="00313CDF"/>
    <w:rsid w:val="00315F63"/>
    <w:rsid w:val="00317772"/>
    <w:rsid w:val="00327C67"/>
    <w:rsid w:val="0033300C"/>
    <w:rsid w:val="00333FC1"/>
    <w:rsid w:val="003345E3"/>
    <w:rsid w:val="0033726E"/>
    <w:rsid w:val="00337D78"/>
    <w:rsid w:val="003409BF"/>
    <w:rsid w:val="00341D5C"/>
    <w:rsid w:val="0034235C"/>
    <w:rsid w:val="00344813"/>
    <w:rsid w:val="00350C7B"/>
    <w:rsid w:val="00351A74"/>
    <w:rsid w:val="0035219A"/>
    <w:rsid w:val="0035481C"/>
    <w:rsid w:val="00356FC0"/>
    <w:rsid w:val="003651E0"/>
    <w:rsid w:val="003658A9"/>
    <w:rsid w:val="00367B8D"/>
    <w:rsid w:val="00382864"/>
    <w:rsid w:val="0038442E"/>
    <w:rsid w:val="00387553"/>
    <w:rsid w:val="0039317E"/>
    <w:rsid w:val="00393D07"/>
    <w:rsid w:val="00393F21"/>
    <w:rsid w:val="003A2ED0"/>
    <w:rsid w:val="003A4EAE"/>
    <w:rsid w:val="003A6BC4"/>
    <w:rsid w:val="003B39D1"/>
    <w:rsid w:val="003C124F"/>
    <w:rsid w:val="003C5BA9"/>
    <w:rsid w:val="003C5BF3"/>
    <w:rsid w:val="003D548E"/>
    <w:rsid w:val="003D598C"/>
    <w:rsid w:val="003D684F"/>
    <w:rsid w:val="003D7417"/>
    <w:rsid w:val="003E53C1"/>
    <w:rsid w:val="003F66BF"/>
    <w:rsid w:val="004005EE"/>
    <w:rsid w:val="00401258"/>
    <w:rsid w:val="0040318D"/>
    <w:rsid w:val="00403670"/>
    <w:rsid w:val="004051B0"/>
    <w:rsid w:val="004076CB"/>
    <w:rsid w:val="00407C24"/>
    <w:rsid w:val="00420329"/>
    <w:rsid w:val="00425554"/>
    <w:rsid w:val="00427055"/>
    <w:rsid w:val="004310A2"/>
    <w:rsid w:val="004406F4"/>
    <w:rsid w:val="00440BB7"/>
    <w:rsid w:val="00441B7F"/>
    <w:rsid w:val="00442CE4"/>
    <w:rsid w:val="00446196"/>
    <w:rsid w:val="0045586B"/>
    <w:rsid w:val="00463AB4"/>
    <w:rsid w:val="0046577D"/>
    <w:rsid w:val="00467038"/>
    <w:rsid w:val="00472FCC"/>
    <w:rsid w:val="00477B5C"/>
    <w:rsid w:val="00483D3D"/>
    <w:rsid w:val="00484F44"/>
    <w:rsid w:val="00490135"/>
    <w:rsid w:val="0049061F"/>
    <w:rsid w:val="00491791"/>
    <w:rsid w:val="0049779F"/>
    <w:rsid w:val="004A1DE8"/>
    <w:rsid w:val="004A5FE0"/>
    <w:rsid w:val="004B3C22"/>
    <w:rsid w:val="004B4A94"/>
    <w:rsid w:val="004D3247"/>
    <w:rsid w:val="004D42D4"/>
    <w:rsid w:val="004D5F0F"/>
    <w:rsid w:val="004E1005"/>
    <w:rsid w:val="004E2C56"/>
    <w:rsid w:val="004E4687"/>
    <w:rsid w:val="004F021C"/>
    <w:rsid w:val="004F20B4"/>
    <w:rsid w:val="004F433A"/>
    <w:rsid w:val="005000FD"/>
    <w:rsid w:val="00501E29"/>
    <w:rsid w:val="00506DAB"/>
    <w:rsid w:val="00512214"/>
    <w:rsid w:val="00515566"/>
    <w:rsid w:val="00523ACD"/>
    <w:rsid w:val="00523C91"/>
    <w:rsid w:val="0052400D"/>
    <w:rsid w:val="00531654"/>
    <w:rsid w:val="00531F54"/>
    <w:rsid w:val="00533025"/>
    <w:rsid w:val="00535C72"/>
    <w:rsid w:val="00537AC6"/>
    <w:rsid w:val="00542954"/>
    <w:rsid w:val="005433E7"/>
    <w:rsid w:val="005450A5"/>
    <w:rsid w:val="005458C5"/>
    <w:rsid w:val="005557AF"/>
    <w:rsid w:val="00561049"/>
    <w:rsid w:val="005635F9"/>
    <w:rsid w:val="00564CFB"/>
    <w:rsid w:val="00570D7D"/>
    <w:rsid w:val="00580549"/>
    <w:rsid w:val="00583504"/>
    <w:rsid w:val="00586DAB"/>
    <w:rsid w:val="005954C0"/>
    <w:rsid w:val="005A2149"/>
    <w:rsid w:val="005A247C"/>
    <w:rsid w:val="005A4498"/>
    <w:rsid w:val="005A517E"/>
    <w:rsid w:val="005B2EE6"/>
    <w:rsid w:val="005B42D6"/>
    <w:rsid w:val="005C0503"/>
    <w:rsid w:val="005C199D"/>
    <w:rsid w:val="005C2350"/>
    <w:rsid w:val="005C55F4"/>
    <w:rsid w:val="005E0F86"/>
    <w:rsid w:val="005E1E15"/>
    <w:rsid w:val="005E4338"/>
    <w:rsid w:val="005F30D3"/>
    <w:rsid w:val="0060284B"/>
    <w:rsid w:val="00602CF6"/>
    <w:rsid w:val="00616755"/>
    <w:rsid w:val="006212D3"/>
    <w:rsid w:val="006304BD"/>
    <w:rsid w:val="00631457"/>
    <w:rsid w:val="006317C5"/>
    <w:rsid w:val="00635B9B"/>
    <w:rsid w:val="0063793C"/>
    <w:rsid w:val="00642758"/>
    <w:rsid w:val="00643A9C"/>
    <w:rsid w:val="00664150"/>
    <w:rsid w:val="006700F7"/>
    <w:rsid w:val="00671DB5"/>
    <w:rsid w:val="00680A59"/>
    <w:rsid w:val="00680AD8"/>
    <w:rsid w:val="00683818"/>
    <w:rsid w:val="00691BEE"/>
    <w:rsid w:val="00696CF1"/>
    <w:rsid w:val="006A2237"/>
    <w:rsid w:val="006A23D3"/>
    <w:rsid w:val="006A315D"/>
    <w:rsid w:val="006B3DA8"/>
    <w:rsid w:val="006B5445"/>
    <w:rsid w:val="006B6DEB"/>
    <w:rsid w:val="006C1337"/>
    <w:rsid w:val="006D1693"/>
    <w:rsid w:val="006D1B04"/>
    <w:rsid w:val="006D27BC"/>
    <w:rsid w:val="006D2B1E"/>
    <w:rsid w:val="006E0855"/>
    <w:rsid w:val="006E142D"/>
    <w:rsid w:val="006E29BC"/>
    <w:rsid w:val="006E3586"/>
    <w:rsid w:val="006E59B0"/>
    <w:rsid w:val="006E6C6E"/>
    <w:rsid w:val="006F2B25"/>
    <w:rsid w:val="00700663"/>
    <w:rsid w:val="007025EE"/>
    <w:rsid w:val="007068A4"/>
    <w:rsid w:val="0070791B"/>
    <w:rsid w:val="00711488"/>
    <w:rsid w:val="0071160E"/>
    <w:rsid w:val="0071255E"/>
    <w:rsid w:val="00724D8A"/>
    <w:rsid w:val="007307D3"/>
    <w:rsid w:val="00730E75"/>
    <w:rsid w:val="00736B72"/>
    <w:rsid w:val="0074504D"/>
    <w:rsid w:val="00746C51"/>
    <w:rsid w:val="00751D11"/>
    <w:rsid w:val="0075212F"/>
    <w:rsid w:val="00752DBB"/>
    <w:rsid w:val="007530AB"/>
    <w:rsid w:val="0075599D"/>
    <w:rsid w:val="0075699F"/>
    <w:rsid w:val="00760A2C"/>
    <w:rsid w:val="00762244"/>
    <w:rsid w:val="00762923"/>
    <w:rsid w:val="00764B26"/>
    <w:rsid w:val="00770D09"/>
    <w:rsid w:val="00772315"/>
    <w:rsid w:val="00773DEC"/>
    <w:rsid w:val="00775574"/>
    <w:rsid w:val="00785E5A"/>
    <w:rsid w:val="007934A6"/>
    <w:rsid w:val="0079529D"/>
    <w:rsid w:val="007955A6"/>
    <w:rsid w:val="007A05BD"/>
    <w:rsid w:val="007A334F"/>
    <w:rsid w:val="007B4ECA"/>
    <w:rsid w:val="007C08B2"/>
    <w:rsid w:val="007C13C5"/>
    <w:rsid w:val="007C16D9"/>
    <w:rsid w:val="007C26D0"/>
    <w:rsid w:val="007C3972"/>
    <w:rsid w:val="007C755A"/>
    <w:rsid w:val="007D22FB"/>
    <w:rsid w:val="007E035C"/>
    <w:rsid w:val="007E0825"/>
    <w:rsid w:val="007E3D7E"/>
    <w:rsid w:val="007E7E26"/>
    <w:rsid w:val="007F1E47"/>
    <w:rsid w:val="007F75AB"/>
    <w:rsid w:val="00802F03"/>
    <w:rsid w:val="00803250"/>
    <w:rsid w:val="0081611B"/>
    <w:rsid w:val="008254C6"/>
    <w:rsid w:val="00826C2E"/>
    <w:rsid w:val="00831D93"/>
    <w:rsid w:val="00833281"/>
    <w:rsid w:val="0083472D"/>
    <w:rsid w:val="00834E1E"/>
    <w:rsid w:val="0083655E"/>
    <w:rsid w:val="0083657C"/>
    <w:rsid w:val="008378E5"/>
    <w:rsid w:val="00841EDB"/>
    <w:rsid w:val="00842F84"/>
    <w:rsid w:val="008453DA"/>
    <w:rsid w:val="0085522E"/>
    <w:rsid w:val="00856E0F"/>
    <w:rsid w:val="0087094E"/>
    <w:rsid w:val="00871D27"/>
    <w:rsid w:val="008820B6"/>
    <w:rsid w:val="00883254"/>
    <w:rsid w:val="0089071E"/>
    <w:rsid w:val="00894D0E"/>
    <w:rsid w:val="00897224"/>
    <w:rsid w:val="00897317"/>
    <w:rsid w:val="008A2B05"/>
    <w:rsid w:val="008A3450"/>
    <w:rsid w:val="008B1BBD"/>
    <w:rsid w:val="008B5FF3"/>
    <w:rsid w:val="008C489A"/>
    <w:rsid w:val="008C78B4"/>
    <w:rsid w:val="008D3882"/>
    <w:rsid w:val="008D4AF8"/>
    <w:rsid w:val="008E17D0"/>
    <w:rsid w:val="008E2E9A"/>
    <w:rsid w:val="008E6BA7"/>
    <w:rsid w:val="008E7D0F"/>
    <w:rsid w:val="008F0E13"/>
    <w:rsid w:val="008F2CD8"/>
    <w:rsid w:val="008F6425"/>
    <w:rsid w:val="008F73FF"/>
    <w:rsid w:val="00900236"/>
    <w:rsid w:val="00901628"/>
    <w:rsid w:val="00916023"/>
    <w:rsid w:val="00922196"/>
    <w:rsid w:val="009250AB"/>
    <w:rsid w:val="0092716F"/>
    <w:rsid w:val="00927238"/>
    <w:rsid w:val="0092770D"/>
    <w:rsid w:val="009373F9"/>
    <w:rsid w:val="009403CE"/>
    <w:rsid w:val="009448D2"/>
    <w:rsid w:val="009505E6"/>
    <w:rsid w:val="00952191"/>
    <w:rsid w:val="00953016"/>
    <w:rsid w:val="00953F7B"/>
    <w:rsid w:val="00954004"/>
    <w:rsid w:val="009541C9"/>
    <w:rsid w:val="00963FA3"/>
    <w:rsid w:val="00964D75"/>
    <w:rsid w:val="009672D6"/>
    <w:rsid w:val="009676C5"/>
    <w:rsid w:val="00967A57"/>
    <w:rsid w:val="009714AF"/>
    <w:rsid w:val="0097476B"/>
    <w:rsid w:val="00980767"/>
    <w:rsid w:val="00982AE0"/>
    <w:rsid w:val="0098302C"/>
    <w:rsid w:val="00984F57"/>
    <w:rsid w:val="00991E99"/>
    <w:rsid w:val="00992120"/>
    <w:rsid w:val="00995C9E"/>
    <w:rsid w:val="0099727E"/>
    <w:rsid w:val="009A20EB"/>
    <w:rsid w:val="009A2D47"/>
    <w:rsid w:val="009A5472"/>
    <w:rsid w:val="009B305C"/>
    <w:rsid w:val="009B5AF3"/>
    <w:rsid w:val="009B755B"/>
    <w:rsid w:val="009C63E0"/>
    <w:rsid w:val="009C7A87"/>
    <w:rsid w:val="009D1AA5"/>
    <w:rsid w:val="009D2FF9"/>
    <w:rsid w:val="009D4F28"/>
    <w:rsid w:val="009D5FFE"/>
    <w:rsid w:val="009E17F2"/>
    <w:rsid w:val="009E2156"/>
    <w:rsid w:val="009E4C9A"/>
    <w:rsid w:val="009E507B"/>
    <w:rsid w:val="009F0688"/>
    <w:rsid w:val="009F3633"/>
    <w:rsid w:val="009F683D"/>
    <w:rsid w:val="009F6DE5"/>
    <w:rsid w:val="009F6E1C"/>
    <w:rsid w:val="00A04AF7"/>
    <w:rsid w:val="00A103F7"/>
    <w:rsid w:val="00A13E02"/>
    <w:rsid w:val="00A1465B"/>
    <w:rsid w:val="00A147B2"/>
    <w:rsid w:val="00A25F89"/>
    <w:rsid w:val="00A26881"/>
    <w:rsid w:val="00A26D34"/>
    <w:rsid w:val="00A37CE1"/>
    <w:rsid w:val="00A470AC"/>
    <w:rsid w:val="00A51BD7"/>
    <w:rsid w:val="00A6382E"/>
    <w:rsid w:val="00A64452"/>
    <w:rsid w:val="00A75B55"/>
    <w:rsid w:val="00A81400"/>
    <w:rsid w:val="00A81BDC"/>
    <w:rsid w:val="00A90620"/>
    <w:rsid w:val="00A90AF5"/>
    <w:rsid w:val="00A911CA"/>
    <w:rsid w:val="00A9437F"/>
    <w:rsid w:val="00A97FB5"/>
    <w:rsid w:val="00AA0E8F"/>
    <w:rsid w:val="00AA5234"/>
    <w:rsid w:val="00AA6BDB"/>
    <w:rsid w:val="00AB26A0"/>
    <w:rsid w:val="00AC0164"/>
    <w:rsid w:val="00AC3FB3"/>
    <w:rsid w:val="00AC402E"/>
    <w:rsid w:val="00AC4ACA"/>
    <w:rsid w:val="00AC593C"/>
    <w:rsid w:val="00AC7CE1"/>
    <w:rsid w:val="00AD0405"/>
    <w:rsid w:val="00AD12C7"/>
    <w:rsid w:val="00AD5DD5"/>
    <w:rsid w:val="00AD7F83"/>
    <w:rsid w:val="00AF012F"/>
    <w:rsid w:val="00AF49AC"/>
    <w:rsid w:val="00AF68A4"/>
    <w:rsid w:val="00B33E73"/>
    <w:rsid w:val="00B3782A"/>
    <w:rsid w:val="00B417D2"/>
    <w:rsid w:val="00B423AE"/>
    <w:rsid w:val="00B44415"/>
    <w:rsid w:val="00B47700"/>
    <w:rsid w:val="00B53683"/>
    <w:rsid w:val="00B65BED"/>
    <w:rsid w:val="00B7011F"/>
    <w:rsid w:val="00B74392"/>
    <w:rsid w:val="00B7439C"/>
    <w:rsid w:val="00B80B12"/>
    <w:rsid w:val="00B80DFA"/>
    <w:rsid w:val="00B81C51"/>
    <w:rsid w:val="00B82D56"/>
    <w:rsid w:val="00B844A0"/>
    <w:rsid w:val="00B90676"/>
    <w:rsid w:val="00B91BE6"/>
    <w:rsid w:val="00B946F9"/>
    <w:rsid w:val="00B972A9"/>
    <w:rsid w:val="00BA031A"/>
    <w:rsid w:val="00BB5291"/>
    <w:rsid w:val="00BC099B"/>
    <w:rsid w:val="00BC1F16"/>
    <w:rsid w:val="00BC249D"/>
    <w:rsid w:val="00BC292D"/>
    <w:rsid w:val="00BC4579"/>
    <w:rsid w:val="00BC72BD"/>
    <w:rsid w:val="00BC7981"/>
    <w:rsid w:val="00BD014B"/>
    <w:rsid w:val="00BD46FD"/>
    <w:rsid w:val="00BD572C"/>
    <w:rsid w:val="00BD5918"/>
    <w:rsid w:val="00BE1E3E"/>
    <w:rsid w:val="00BE265B"/>
    <w:rsid w:val="00BE6385"/>
    <w:rsid w:val="00BE7C9C"/>
    <w:rsid w:val="00BF1DD7"/>
    <w:rsid w:val="00BF44AC"/>
    <w:rsid w:val="00BF48A5"/>
    <w:rsid w:val="00BF6ABB"/>
    <w:rsid w:val="00C0432A"/>
    <w:rsid w:val="00C0588B"/>
    <w:rsid w:val="00C260F7"/>
    <w:rsid w:val="00C31581"/>
    <w:rsid w:val="00C34905"/>
    <w:rsid w:val="00C34A06"/>
    <w:rsid w:val="00C4413C"/>
    <w:rsid w:val="00C50DC7"/>
    <w:rsid w:val="00C5127E"/>
    <w:rsid w:val="00C529D9"/>
    <w:rsid w:val="00C54388"/>
    <w:rsid w:val="00C5528E"/>
    <w:rsid w:val="00C60386"/>
    <w:rsid w:val="00C656A5"/>
    <w:rsid w:val="00C74CC1"/>
    <w:rsid w:val="00C76C6D"/>
    <w:rsid w:val="00C76FFD"/>
    <w:rsid w:val="00C82465"/>
    <w:rsid w:val="00C849B0"/>
    <w:rsid w:val="00C86E6D"/>
    <w:rsid w:val="00C90793"/>
    <w:rsid w:val="00C914EA"/>
    <w:rsid w:val="00C946B4"/>
    <w:rsid w:val="00C94A30"/>
    <w:rsid w:val="00C9633B"/>
    <w:rsid w:val="00CA1739"/>
    <w:rsid w:val="00CB0054"/>
    <w:rsid w:val="00CB06E5"/>
    <w:rsid w:val="00CB349D"/>
    <w:rsid w:val="00CB61B4"/>
    <w:rsid w:val="00CC0CC7"/>
    <w:rsid w:val="00CC3E8B"/>
    <w:rsid w:val="00CD34D2"/>
    <w:rsid w:val="00CD490E"/>
    <w:rsid w:val="00CD5323"/>
    <w:rsid w:val="00CD743A"/>
    <w:rsid w:val="00CE15F2"/>
    <w:rsid w:val="00CE5928"/>
    <w:rsid w:val="00CE5D89"/>
    <w:rsid w:val="00CE78FA"/>
    <w:rsid w:val="00CF059F"/>
    <w:rsid w:val="00CF2456"/>
    <w:rsid w:val="00CF6872"/>
    <w:rsid w:val="00D0200E"/>
    <w:rsid w:val="00D02984"/>
    <w:rsid w:val="00D04EB0"/>
    <w:rsid w:val="00D07F14"/>
    <w:rsid w:val="00D13F64"/>
    <w:rsid w:val="00D15888"/>
    <w:rsid w:val="00D16534"/>
    <w:rsid w:val="00D24A7E"/>
    <w:rsid w:val="00D250D1"/>
    <w:rsid w:val="00D34FB9"/>
    <w:rsid w:val="00D3555A"/>
    <w:rsid w:val="00D362E7"/>
    <w:rsid w:val="00D43987"/>
    <w:rsid w:val="00D45ED9"/>
    <w:rsid w:val="00D47CEB"/>
    <w:rsid w:val="00D52AA7"/>
    <w:rsid w:val="00D56ECE"/>
    <w:rsid w:val="00D7633D"/>
    <w:rsid w:val="00D81947"/>
    <w:rsid w:val="00D81CBF"/>
    <w:rsid w:val="00D90CBC"/>
    <w:rsid w:val="00D915E5"/>
    <w:rsid w:val="00D93BA0"/>
    <w:rsid w:val="00D95146"/>
    <w:rsid w:val="00D97EA9"/>
    <w:rsid w:val="00DA5B8C"/>
    <w:rsid w:val="00DB1E6B"/>
    <w:rsid w:val="00DB2766"/>
    <w:rsid w:val="00DC0BA1"/>
    <w:rsid w:val="00DC3324"/>
    <w:rsid w:val="00DC61E9"/>
    <w:rsid w:val="00DC727C"/>
    <w:rsid w:val="00DC7333"/>
    <w:rsid w:val="00DD34E6"/>
    <w:rsid w:val="00DD6E42"/>
    <w:rsid w:val="00DD70D3"/>
    <w:rsid w:val="00DE44D2"/>
    <w:rsid w:val="00DE7CD2"/>
    <w:rsid w:val="00DF29D1"/>
    <w:rsid w:val="00DF5D49"/>
    <w:rsid w:val="00DF73A6"/>
    <w:rsid w:val="00E06D5A"/>
    <w:rsid w:val="00E10903"/>
    <w:rsid w:val="00E15AD9"/>
    <w:rsid w:val="00E279A6"/>
    <w:rsid w:val="00E305DA"/>
    <w:rsid w:val="00E319ED"/>
    <w:rsid w:val="00E32A52"/>
    <w:rsid w:val="00E350CE"/>
    <w:rsid w:val="00E362D4"/>
    <w:rsid w:val="00E41FEC"/>
    <w:rsid w:val="00E46D71"/>
    <w:rsid w:val="00E500F0"/>
    <w:rsid w:val="00E5221C"/>
    <w:rsid w:val="00E52B0B"/>
    <w:rsid w:val="00E5719E"/>
    <w:rsid w:val="00E57793"/>
    <w:rsid w:val="00E57E18"/>
    <w:rsid w:val="00E63351"/>
    <w:rsid w:val="00E70C67"/>
    <w:rsid w:val="00E81065"/>
    <w:rsid w:val="00E81CC8"/>
    <w:rsid w:val="00E81E3D"/>
    <w:rsid w:val="00E8508C"/>
    <w:rsid w:val="00E8548D"/>
    <w:rsid w:val="00E94187"/>
    <w:rsid w:val="00E9539F"/>
    <w:rsid w:val="00E97218"/>
    <w:rsid w:val="00E9768C"/>
    <w:rsid w:val="00EA40CA"/>
    <w:rsid w:val="00EB3A53"/>
    <w:rsid w:val="00EB5C0B"/>
    <w:rsid w:val="00EC2ACB"/>
    <w:rsid w:val="00EC36F6"/>
    <w:rsid w:val="00EC38DD"/>
    <w:rsid w:val="00EC5FF7"/>
    <w:rsid w:val="00ED134C"/>
    <w:rsid w:val="00ED2215"/>
    <w:rsid w:val="00ED2F49"/>
    <w:rsid w:val="00ED4630"/>
    <w:rsid w:val="00EE34F4"/>
    <w:rsid w:val="00EE4A01"/>
    <w:rsid w:val="00EE6F09"/>
    <w:rsid w:val="00EF194E"/>
    <w:rsid w:val="00EF3545"/>
    <w:rsid w:val="00EF739A"/>
    <w:rsid w:val="00F04D13"/>
    <w:rsid w:val="00F14BE6"/>
    <w:rsid w:val="00F14C4A"/>
    <w:rsid w:val="00F209B0"/>
    <w:rsid w:val="00F25CB4"/>
    <w:rsid w:val="00F26337"/>
    <w:rsid w:val="00F26A6C"/>
    <w:rsid w:val="00F27E3B"/>
    <w:rsid w:val="00F308E2"/>
    <w:rsid w:val="00F35A72"/>
    <w:rsid w:val="00F36CF6"/>
    <w:rsid w:val="00F40808"/>
    <w:rsid w:val="00F40E54"/>
    <w:rsid w:val="00F45F1B"/>
    <w:rsid w:val="00F470FD"/>
    <w:rsid w:val="00F53D98"/>
    <w:rsid w:val="00F553FB"/>
    <w:rsid w:val="00F55ED1"/>
    <w:rsid w:val="00F717FA"/>
    <w:rsid w:val="00F72863"/>
    <w:rsid w:val="00F77AC9"/>
    <w:rsid w:val="00F808D6"/>
    <w:rsid w:val="00F94F20"/>
    <w:rsid w:val="00F96181"/>
    <w:rsid w:val="00FA32AE"/>
    <w:rsid w:val="00FA4D7F"/>
    <w:rsid w:val="00FA74E3"/>
    <w:rsid w:val="00FB21AC"/>
    <w:rsid w:val="00FB2C4E"/>
    <w:rsid w:val="00FB3144"/>
    <w:rsid w:val="00FC22B1"/>
    <w:rsid w:val="00FC4A74"/>
    <w:rsid w:val="00FC56E2"/>
    <w:rsid w:val="00FD361D"/>
    <w:rsid w:val="00FD422A"/>
    <w:rsid w:val="00FD4CB5"/>
    <w:rsid w:val="00FE27D7"/>
    <w:rsid w:val="00FF5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F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5EE"/>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ED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34C"/>
  </w:style>
  <w:style w:type="paragraph" w:styleId="Footer">
    <w:name w:val="footer"/>
    <w:basedOn w:val="Normal"/>
    <w:link w:val="FooterChar"/>
    <w:uiPriority w:val="99"/>
    <w:unhideWhenUsed/>
    <w:rsid w:val="00ED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34C"/>
  </w:style>
  <w:style w:type="paragraph" w:styleId="BalloonText">
    <w:name w:val="Balloon Text"/>
    <w:basedOn w:val="Normal"/>
    <w:link w:val="BalloonTextChar"/>
    <w:uiPriority w:val="99"/>
    <w:semiHidden/>
    <w:unhideWhenUsed/>
    <w:rsid w:val="00ED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4C"/>
    <w:rPr>
      <w:rFonts w:ascii="Tahoma" w:hAnsi="Tahoma" w:cs="Tahoma"/>
      <w:sz w:val="16"/>
      <w:szCs w:val="16"/>
    </w:rPr>
  </w:style>
  <w:style w:type="character" w:styleId="CommentReference">
    <w:name w:val="annotation reference"/>
    <w:basedOn w:val="DefaultParagraphFont"/>
    <w:uiPriority w:val="99"/>
    <w:semiHidden/>
    <w:unhideWhenUsed/>
    <w:rsid w:val="000039C8"/>
    <w:rPr>
      <w:sz w:val="16"/>
      <w:szCs w:val="16"/>
    </w:rPr>
  </w:style>
  <w:style w:type="paragraph" w:styleId="CommentText">
    <w:name w:val="annotation text"/>
    <w:basedOn w:val="Normal"/>
    <w:link w:val="CommentTextChar"/>
    <w:uiPriority w:val="99"/>
    <w:semiHidden/>
    <w:unhideWhenUsed/>
    <w:rsid w:val="000039C8"/>
    <w:rPr>
      <w:sz w:val="20"/>
      <w:szCs w:val="20"/>
    </w:rPr>
  </w:style>
  <w:style w:type="character" w:customStyle="1" w:styleId="CommentTextChar">
    <w:name w:val="Comment Text Char"/>
    <w:basedOn w:val="DefaultParagraphFont"/>
    <w:link w:val="CommentText"/>
    <w:uiPriority w:val="99"/>
    <w:semiHidden/>
    <w:rsid w:val="000039C8"/>
    <w:rPr>
      <w:lang w:eastAsia="en-US"/>
    </w:rPr>
  </w:style>
  <w:style w:type="paragraph" w:styleId="CommentSubject">
    <w:name w:val="annotation subject"/>
    <w:basedOn w:val="CommentText"/>
    <w:next w:val="CommentText"/>
    <w:link w:val="CommentSubjectChar"/>
    <w:uiPriority w:val="99"/>
    <w:semiHidden/>
    <w:unhideWhenUsed/>
    <w:rsid w:val="000039C8"/>
    <w:rPr>
      <w:b/>
      <w:bCs/>
    </w:rPr>
  </w:style>
  <w:style w:type="character" w:customStyle="1" w:styleId="CommentSubjectChar">
    <w:name w:val="Comment Subject Char"/>
    <w:basedOn w:val="CommentTextChar"/>
    <w:link w:val="CommentSubject"/>
    <w:uiPriority w:val="99"/>
    <w:semiHidden/>
    <w:rsid w:val="000039C8"/>
    <w:rPr>
      <w:b/>
      <w:bCs/>
      <w:lang w:eastAsia="en-US"/>
    </w:rPr>
  </w:style>
  <w:style w:type="paragraph" w:styleId="NormalWeb">
    <w:name w:val="Normal (Web)"/>
    <w:basedOn w:val="Normal"/>
    <w:uiPriority w:val="99"/>
    <w:semiHidden/>
    <w:unhideWhenUsed/>
    <w:rsid w:val="00A470AC"/>
    <w:rPr>
      <w:rFonts w:ascii="Times New Roman" w:hAnsi="Times New Roman"/>
      <w:sz w:val="24"/>
      <w:szCs w:val="24"/>
    </w:rPr>
  </w:style>
  <w:style w:type="paragraph" w:styleId="Revision">
    <w:name w:val="Revision"/>
    <w:hidden/>
    <w:uiPriority w:val="99"/>
    <w:semiHidden/>
    <w:rsid w:val="003658A9"/>
    <w:rPr>
      <w:sz w:val="22"/>
      <w:szCs w:val="22"/>
      <w:lang w:eastAsia="en-US"/>
    </w:rPr>
  </w:style>
  <w:style w:type="paragraph" w:styleId="FootnoteText">
    <w:name w:val="footnote text"/>
    <w:basedOn w:val="Normal"/>
    <w:link w:val="FootnoteTextChar"/>
    <w:uiPriority w:val="99"/>
    <w:semiHidden/>
    <w:unhideWhenUsed/>
    <w:rsid w:val="00922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96"/>
    <w:rPr>
      <w:lang w:eastAsia="en-US"/>
    </w:rPr>
  </w:style>
  <w:style w:type="character" w:styleId="FootnoteReference">
    <w:name w:val="footnote reference"/>
    <w:basedOn w:val="DefaultParagraphFont"/>
    <w:uiPriority w:val="99"/>
    <w:semiHidden/>
    <w:unhideWhenUsed/>
    <w:rsid w:val="00922196"/>
    <w:rPr>
      <w:vertAlign w:val="superscript"/>
    </w:rPr>
  </w:style>
  <w:style w:type="paragraph" w:styleId="ListParagraph">
    <w:name w:val="List Paragraph"/>
    <w:basedOn w:val="Normal"/>
    <w:uiPriority w:val="34"/>
    <w:qFormat/>
    <w:rsid w:val="00BE1E3E"/>
    <w:pPr>
      <w:ind w:left="720"/>
      <w:contextualSpacing/>
    </w:pPr>
  </w:style>
  <w:style w:type="paragraph" w:styleId="BodyText">
    <w:name w:val="Body Text"/>
    <w:basedOn w:val="Normal"/>
    <w:link w:val="BodyTextChar"/>
    <w:autoRedefine/>
    <w:semiHidden/>
    <w:rsid w:val="00BE1E3E"/>
    <w:pPr>
      <w:numPr>
        <w:ilvl w:val="1"/>
        <w:numId w:val="25"/>
      </w:numPr>
      <w:overflowPunct w:val="0"/>
      <w:autoSpaceDE w:val="0"/>
      <w:autoSpaceDN w:val="0"/>
      <w:adjustRightInd w:val="0"/>
      <w:spacing w:before="240" w:after="0" w:line="240" w:lineRule="auto"/>
      <w:textAlignment w:val="baseline"/>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BE1E3E"/>
    <w:rPr>
      <w:rFonts w:ascii="Times New Roman" w:eastAsia="Times New Roman" w:hAnsi="Times New Roman"/>
      <w:sz w:val="24"/>
      <w:szCs w:val="24"/>
      <w:lang w:val="en-US" w:eastAsia="en-US"/>
    </w:rPr>
  </w:style>
  <w:style w:type="paragraph" w:styleId="NoSpacing">
    <w:name w:val="No Spacing"/>
    <w:uiPriority w:val="1"/>
    <w:qFormat/>
    <w:rsid w:val="00DC727C"/>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0F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5EE"/>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ED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34C"/>
  </w:style>
  <w:style w:type="paragraph" w:styleId="Footer">
    <w:name w:val="footer"/>
    <w:basedOn w:val="Normal"/>
    <w:link w:val="FooterChar"/>
    <w:uiPriority w:val="99"/>
    <w:unhideWhenUsed/>
    <w:rsid w:val="00ED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34C"/>
  </w:style>
  <w:style w:type="paragraph" w:styleId="BalloonText">
    <w:name w:val="Balloon Text"/>
    <w:basedOn w:val="Normal"/>
    <w:link w:val="BalloonTextChar"/>
    <w:uiPriority w:val="99"/>
    <w:semiHidden/>
    <w:unhideWhenUsed/>
    <w:rsid w:val="00ED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4C"/>
    <w:rPr>
      <w:rFonts w:ascii="Tahoma" w:hAnsi="Tahoma" w:cs="Tahoma"/>
      <w:sz w:val="16"/>
      <w:szCs w:val="16"/>
    </w:rPr>
  </w:style>
  <w:style w:type="character" w:styleId="CommentReference">
    <w:name w:val="annotation reference"/>
    <w:basedOn w:val="DefaultParagraphFont"/>
    <w:uiPriority w:val="99"/>
    <w:semiHidden/>
    <w:unhideWhenUsed/>
    <w:rsid w:val="000039C8"/>
    <w:rPr>
      <w:sz w:val="16"/>
      <w:szCs w:val="16"/>
    </w:rPr>
  </w:style>
  <w:style w:type="paragraph" w:styleId="CommentText">
    <w:name w:val="annotation text"/>
    <w:basedOn w:val="Normal"/>
    <w:link w:val="CommentTextChar"/>
    <w:uiPriority w:val="99"/>
    <w:semiHidden/>
    <w:unhideWhenUsed/>
    <w:rsid w:val="000039C8"/>
    <w:rPr>
      <w:sz w:val="20"/>
      <w:szCs w:val="20"/>
    </w:rPr>
  </w:style>
  <w:style w:type="character" w:customStyle="1" w:styleId="CommentTextChar">
    <w:name w:val="Comment Text Char"/>
    <w:basedOn w:val="DefaultParagraphFont"/>
    <w:link w:val="CommentText"/>
    <w:uiPriority w:val="99"/>
    <w:semiHidden/>
    <w:rsid w:val="000039C8"/>
    <w:rPr>
      <w:lang w:eastAsia="en-US"/>
    </w:rPr>
  </w:style>
  <w:style w:type="paragraph" w:styleId="CommentSubject">
    <w:name w:val="annotation subject"/>
    <w:basedOn w:val="CommentText"/>
    <w:next w:val="CommentText"/>
    <w:link w:val="CommentSubjectChar"/>
    <w:uiPriority w:val="99"/>
    <w:semiHidden/>
    <w:unhideWhenUsed/>
    <w:rsid w:val="000039C8"/>
    <w:rPr>
      <w:b/>
      <w:bCs/>
    </w:rPr>
  </w:style>
  <w:style w:type="character" w:customStyle="1" w:styleId="CommentSubjectChar">
    <w:name w:val="Comment Subject Char"/>
    <w:basedOn w:val="CommentTextChar"/>
    <w:link w:val="CommentSubject"/>
    <w:uiPriority w:val="99"/>
    <w:semiHidden/>
    <w:rsid w:val="000039C8"/>
    <w:rPr>
      <w:b/>
      <w:bCs/>
      <w:lang w:eastAsia="en-US"/>
    </w:rPr>
  </w:style>
  <w:style w:type="paragraph" w:styleId="NormalWeb">
    <w:name w:val="Normal (Web)"/>
    <w:basedOn w:val="Normal"/>
    <w:uiPriority w:val="99"/>
    <w:semiHidden/>
    <w:unhideWhenUsed/>
    <w:rsid w:val="00A470AC"/>
    <w:rPr>
      <w:rFonts w:ascii="Times New Roman" w:hAnsi="Times New Roman"/>
      <w:sz w:val="24"/>
      <w:szCs w:val="24"/>
    </w:rPr>
  </w:style>
  <w:style w:type="paragraph" w:styleId="Revision">
    <w:name w:val="Revision"/>
    <w:hidden/>
    <w:uiPriority w:val="99"/>
    <w:semiHidden/>
    <w:rsid w:val="003658A9"/>
    <w:rPr>
      <w:sz w:val="22"/>
      <w:szCs w:val="22"/>
      <w:lang w:eastAsia="en-US"/>
    </w:rPr>
  </w:style>
  <w:style w:type="paragraph" w:styleId="FootnoteText">
    <w:name w:val="footnote text"/>
    <w:basedOn w:val="Normal"/>
    <w:link w:val="FootnoteTextChar"/>
    <w:uiPriority w:val="99"/>
    <w:semiHidden/>
    <w:unhideWhenUsed/>
    <w:rsid w:val="00922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96"/>
    <w:rPr>
      <w:lang w:eastAsia="en-US"/>
    </w:rPr>
  </w:style>
  <w:style w:type="character" w:styleId="FootnoteReference">
    <w:name w:val="footnote reference"/>
    <w:basedOn w:val="DefaultParagraphFont"/>
    <w:uiPriority w:val="99"/>
    <w:semiHidden/>
    <w:unhideWhenUsed/>
    <w:rsid w:val="00922196"/>
    <w:rPr>
      <w:vertAlign w:val="superscript"/>
    </w:rPr>
  </w:style>
  <w:style w:type="paragraph" w:styleId="ListParagraph">
    <w:name w:val="List Paragraph"/>
    <w:basedOn w:val="Normal"/>
    <w:uiPriority w:val="34"/>
    <w:qFormat/>
    <w:rsid w:val="00BE1E3E"/>
    <w:pPr>
      <w:ind w:left="720"/>
      <w:contextualSpacing/>
    </w:pPr>
  </w:style>
  <w:style w:type="paragraph" w:styleId="BodyText">
    <w:name w:val="Body Text"/>
    <w:basedOn w:val="Normal"/>
    <w:link w:val="BodyTextChar"/>
    <w:autoRedefine/>
    <w:semiHidden/>
    <w:rsid w:val="00BE1E3E"/>
    <w:pPr>
      <w:numPr>
        <w:ilvl w:val="1"/>
        <w:numId w:val="25"/>
      </w:numPr>
      <w:overflowPunct w:val="0"/>
      <w:autoSpaceDE w:val="0"/>
      <w:autoSpaceDN w:val="0"/>
      <w:adjustRightInd w:val="0"/>
      <w:spacing w:before="240" w:after="0" w:line="240" w:lineRule="auto"/>
      <w:textAlignment w:val="baseline"/>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BE1E3E"/>
    <w:rPr>
      <w:rFonts w:ascii="Times New Roman" w:eastAsia="Times New Roman" w:hAnsi="Times New Roman"/>
      <w:sz w:val="24"/>
      <w:szCs w:val="24"/>
      <w:lang w:val="en-US" w:eastAsia="en-US"/>
    </w:rPr>
  </w:style>
  <w:style w:type="paragraph" w:styleId="NoSpacing">
    <w:name w:val="No Spacing"/>
    <w:uiPriority w:val="1"/>
    <w:qFormat/>
    <w:rsid w:val="00DC727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764">
      <w:bodyDiv w:val="1"/>
      <w:marLeft w:val="0"/>
      <w:marRight w:val="0"/>
      <w:marTop w:val="0"/>
      <w:marBottom w:val="0"/>
      <w:divBdr>
        <w:top w:val="none" w:sz="0" w:space="0" w:color="auto"/>
        <w:left w:val="none" w:sz="0" w:space="0" w:color="auto"/>
        <w:bottom w:val="none" w:sz="0" w:space="0" w:color="auto"/>
        <w:right w:val="none" w:sz="0" w:space="0" w:color="auto"/>
      </w:divBdr>
      <w:divsChild>
        <w:div w:id="2017075656">
          <w:marLeft w:val="0"/>
          <w:marRight w:val="0"/>
          <w:marTop w:val="0"/>
          <w:marBottom w:val="0"/>
          <w:divBdr>
            <w:top w:val="none" w:sz="0" w:space="0" w:color="auto"/>
            <w:left w:val="none" w:sz="0" w:space="0" w:color="auto"/>
            <w:bottom w:val="none" w:sz="0" w:space="0" w:color="auto"/>
            <w:right w:val="none" w:sz="0" w:space="0" w:color="auto"/>
          </w:divBdr>
          <w:divsChild>
            <w:div w:id="1241256891">
              <w:marLeft w:val="0"/>
              <w:marRight w:val="0"/>
              <w:marTop w:val="0"/>
              <w:marBottom w:val="0"/>
              <w:divBdr>
                <w:top w:val="single" w:sz="6" w:space="5" w:color="E5E5E5"/>
                <w:left w:val="single" w:sz="6" w:space="11" w:color="E5E5E5"/>
                <w:bottom w:val="none" w:sz="0" w:space="0" w:color="auto"/>
                <w:right w:val="none" w:sz="0" w:space="0" w:color="auto"/>
              </w:divBdr>
              <w:divsChild>
                <w:div w:id="1725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4194">
      <w:bodyDiv w:val="1"/>
      <w:marLeft w:val="0"/>
      <w:marRight w:val="0"/>
      <w:marTop w:val="0"/>
      <w:marBottom w:val="0"/>
      <w:divBdr>
        <w:top w:val="none" w:sz="0" w:space="0" w:color="auto"/>
        <w:left w:val="none" w:sz="0" w:space="0" w:color="auto"/>
        <w:bottom w:val="none" w:sz="0" w:space="0" w:color="auto"/>
        <w:right w:val="none" w:sz="0" w:space="0" w:color="auto"/>
      </w:divBdr>
      <w:divsChild>
        <w:div w:id="1019426527">
          <w:marLeft w:val="0"/>
          <w:marRight w:val="0"/>
          <w:marTop w:val="0"/>
          <w:marBottom w:val="0"/>
          <w:divBdr>
            <w:top w:val="none" w:sz="0" w:space="0" w:color="auto"/>
            <w:left w:val="none" w:sz="0" w:space="0" w:color="auto"/>
            <w:bottom w:val="none" w:sz="0" w:space="0" w:color="auto"/>
            <w:right w:val="none" w:sz="0" w:space="0" w:color="auto"/>
          </w:divBdr>
          <w:divsChild>
            <w:div w:id="490146595">
              <w:marLeft w:val="0"/>
              <w:marRight w:val="0"/>
              <w:marTop w:val="0"/>
              <w:marBottom w:val="0"/>
              <w:divBdr>
                <w:top w:val="none" w:sz="0" w:space="0" w:color="auto"/>
                <w:left w:val="none" w:sz="0" w:space="0" w:color="auto"/>
                <w:bottom w:val="none" w:sz="0" w:space="0" w:color="auto"/>
                <w:right w:val="none" w:sz="0" w:space="0" w:color="auto"/>
              </w:divBdr>
              <w:divsChild>
                <w:div w:id="369495011">
                  <w:marLeft w:val="0"/>
                  <w:marRight w:val="0"/>
                  <w:marTop w:val="0"/>
                  <w:marBottom w:val="0"/>
                  <w:divBdr>
                    <w:top w:val="none" w:sz="0" w:space="0" w:color="auto"/>
                    <w:left w:val="none" w:sz="0" w:space="0" w:color="auto"/>
                    <w:bottom w:val="none" w:sz="0" w:space="0" w:color="auto"/>
                    <w:right w:val="none" w:sz="0" w:space="0" w:color="auto"/>
                  </w:divBdr>
                  <w:divsChild>
                    <w:div w:id="1910453639">
                      <w:marLeft w:val="0"/>
                      <w:marRight w:val="0"/>
                      <w:marTop w:val="0"/>
                      <w:marBottom w:val="0"/>
                      <w:divBdr>
                        <w:top w:val="none" w:sz="0" w:space="0" w:color="auto"/>
                        <w:left w:val="none" w:sz="0" w:space="0" w:color="auto"/>
                        <w:bottom w:val="none" w:sz="0" w:space="0" w:color="auto"/>
                        <w:right w:val="none" w:sz="0" w:space="0" w:color="auto"/>
                      </w:divBdr>
                      <w:divsChild>
                        <w:div w:id="1361006524">
                          <w:marLeft w:val="0"/>
                          <w:marRight w:val="0"/>
                          <w:marTop w:val="0"/>
                          <w:marBottom w:val="0"/>
                          <w:divBdr>
                            <w:top w:val="single" w:sz="6" w:space="0" w:color="828282"/>
                            <w:left w:val="single" w:sz="6" w:space="0" w:color="828282"/>
                            <w:bottom w:val="single" w:sz="6" w:space="0" w:color="828282"/>
                            <w:right w:val="single" w:sz="6" w:space="0" w:color="828282"/>
                          </w:divBdr>
                          <w:divsChild>
                            <w:div w:id="250435762">
                              <w:marLeft w:val="0"/>
                              <w:marRight w:val="0"/>
                              <w:marTop w:val="0"/>
                              <w:marBottom w:val="0"/>
                              <w:divBdr>
                                <w:top w:val="none" w:sz="0" w:space="0" w:color="auto"/>
                                <w:left w:val="none" w:sz="0" w:space="0" w:color="auto"/>
                                <w:bottom w:val="none" w:sz="0" w:space="0" w:color="auto"/>
                                <w:right w:val="none" w:sz="0" w:space="0" w:color="auto"/>
                              </w:divBdr>
                              <w:divsChild>
                                <w:div w:id="897863846">
                                  <w:marLeft w:val="0"/>
                                  <w:marRight w:val="0"/>
                                  <w:marTop w:val="0"/>
                                  <w:marBottom w:val="0"/>
                                  <w:divBdr>
                                    <w:top w:val="none" w:sz="0" w:space="0" w:color="auto"/>
                                    <w:left w:val="none" w:sz="0" w:space="0" w:color="auto"/>
                                    <w:bottom w:val="none" w:sz="0" w:space="0" w:color="auto"/>
                                    <w:right w:val="none" w:sz="0" w:space="0" w:color="auto"/>
                                  </w:divBdr>
                                  <w:divsChild>
                                    <w:div w:id="1930769733">
                                      <w:marLeft w:val="0"/>
                                      <w:marRight w:val="0"/>
                                      <w:marTop w:val="0"/>
                                      <w:marBottom w:val="0"/>
                                      <w:divBdr>
                                        <w:top w:val="none" w:sz="0" w:space="0" w:color="auto"/>
                                        <w:left w:val="none" w:sz="0" w:space="0" w:color="auto"/>
                                        <w:bottom w:val="none" w:sz="0" w:space="0" w:color="auto"/>
                                        <w:right w:val="none" w:sz="0" w:space="0" w:color="auto"/>
                                      </w:divBdr>
                                      <w:divsChild>
                                        <w:div w:id="95488918">
                                          <w:marLeft w:val="0"/>
                                          <w:marRight w:val="0"/>
                                          <w:marTop w:val="0"/>
                                          <w:marBottom w:val="0"/>
                                          <w:divBdr>
                                            <w:top w:val="none" w:sz="0" w:space="0" w:color="auto"/>
                                            <w:left w:val="none" w:sz="0" w:space="0" w:color="auto"/>
                                            <w:bottom w:val="none" w:sz="0" w:space="0" w:color="auto"/>
                                            <w:right w:val="none" w:sz="0" w:space="0" w:color="auto"/>
                                          </w:divBdr>
                                          <w:divsChild>
                                            <w:div w:id="1232621991">
                                              <w:marLeft w:val="0"/>
                                              <w:marRight w:val="0"/>
                                              <w:marTop w:val="0"/>
                                              <w:marBottom w:val="0"/>
                                              <w:divBdr>
                                                <w:top w:val="none" w:sz="0" w:space="0" w:color="auto"/>
                                                <w:left w:val="none" w:sz="0" w:space="0" w:color="auto"/>
                                                <w:bottom w:val="none" w:sz="0" w:space="0" w:color="auto"/>
                                                <w:right w:val="none" w:sz="0" w:space="0" w:color="auto"/>
                                              </w:divBdr>
                                              <w:divsChild>
                                                <w:div w:id="1643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266791">
      <w:bodyDiv w:val="1"/>
      <w:marLeft w:val="0"/>
      <w:marRight w:val="0"/>
      <w:marTop w:val="0"/>
      <w:marBottom w:val="0"/>
      <w:divBdr>
        <w:top w:val="none" w:sz="0" w:space="0" w:color="auto"/>
        <w:left w:val="none" w:sz="0" w:space="0" w:color="auto"/>
        <w:bottom w:val="none" w:sz="0" w:space="0" w:color="auto"/>
        <w:right w:val="none" w:sz="0" w:space="0" w:color="auto"/>
      </w:divBdr>
      <w:divsChild>
        <w:div w:id="29020980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5976877">
                  <w:marLeft w:val="0"/>
                  <w:marRight w:val="0"/>
                  <w:marTop w:val="0"/>
                  <w:marBottom w:val="0"/>
                  <w:divBdr>
                    <w:top w:val="none" w:sz="0" w:space="0" w:color="auto"/>
                    <w:left w:val="none" w:sz="0" w:space="0" w:color="auto"/>
                    <w:bottom w:val="none" w:sz="0" w:space="0" w:color="auto"/>
                    <w:right w:val="none" w:sz="0" w:space="0" w:color="auto"/>
                  </w:divBdr>
                  <w:divsChild>
                    <w:div w:id="290552563">
                      <w:marLeft w:val="0"/>
                      <w:marRight w:val="0"/>
                      <w:marTop w:val="0"/>
                      <w:marBottom w:val="0"/>
                      <w:divBdr>
                        <w:top w:val="none" w:sz="0" w:space="0" w:color="auto"/>
                        <w:left w:val="none" w:sz="0" w:space="0" w:color="auto"/>
                        <w:bottom w:val="none" w:sz="0" w:space="0" w:color="auto"/>
                        <w:right w:val="none" w:sz="0" w:space="0" w:color="auto"/>
                      </w:divBdr>
                      <w:divsChild>
                        <w:div w:id="1956058000">
                          <w:marLeft w:val="0"/>
                          <w:marRight w:val="0"/>
                          <w:marTop w:val="0"/>
                          <w:marBottom w:val="0"/>
                          <w:divBdr>
                            <w:top w:val="single" w:sz="6" w:space="0" w:color="828282"/>
                            <w:left w:val="single" w:sz="6" w:space="0" w:color="828282"/>
                            <w:bottom w:val="single" w:sz="6" w:space="0" w:color="828282"/>
                            <w:right w:val="single" w:sz="6" w:space="0" w:color="828282"/>
                          </w:divBdr>
                          <w:divsChild>
                            <w:div w:id="426460645">
                              <w:marLeft w:val="0"/>
                              <w:marRight w:val="0"/>
                              <w:marTop w:val="0"/>
                              <w:marBottom w:val="0"/>
                              <w:divBdr>
                                <w:top w:val="none" w:sz="0" w:space="0" w:color="auto"/>
                                <w:left w:val="none" w:sz="0" w:space="0" w:color="auto"/>
                                <w:bottom w:val="none" w:sz="0" w:space="0" w:color="auto"/>
                                <w:right w:val="none" w:sz="0" w:space="0" w:color="auto"/>
                              </w:divBdr>
                              <w:divsChild>
                                <w:div w:id="1141966012">
                                  <w:marLeft w:val="0"/>
                                  <w:marRight w:val="0"/>
                                  <w:marTop w:val="0"/>
                                  <w:marBottom w:val="0"/>
                                  <w:divBdr>
                                    <w:top w:val="none" w:sz="0" w:space="0" w:color="auto"/>
                                    <w:left w:val="none" w:sz="0" w:space="0" w:color="auto"/>
                                    <w:bottom w:val="none" w:sz="0" w:space="0" w:color="auto"/>
                                    <w:right w:val="none" w:sz="0" w:space="0" w:color="auto"/>
                                  </w:divBdr>
                                  <w:divsChild>
                                    <w:div w:id="2033602137">
                                      <w:marLeft w:val="0"/>
                                      <w:marRight w:val="0"/>
                                      <w:marTop w:val="0"/>
                                      <w:marBottom w:val="0"/>
                                      <w:divBdr>
                                        <w:top w:val="none" w:sz="0" w:space="0" w:color="auto"/>
                                        <w:left w:val="none" w:sz="0" w:space="0" w:color="auto"/>
                                        <w:bottom w:val="none" w:sz="0" w:space="0" w:color="auto"/>
                                        <w:right w:val="none" w:sz="0" w:space="0" w:color="auto"/>
                                      </w:divBdr>
                                      <w:divsChild>
                                        <w:div w:id="1883245335">
                                          <w:marLeft w:val="0"/>
                                          <w:marRight w:val="0"/>
                                          <w:marTop w:val="0"/>
                                          <w:marBottom w:val="0"/>
                                          <w:divBdr>
                                            <w:top w:val="none" w:sz="0" w:space="0" w:color="auto"/>
                                            <w:left w:val="none" w:sz="0" w:space="0" w:color="auto"/>
                                            <w:bottom w:val="none" w:sz="0" w:space="0" w:color="auto"/>
                                            <w:right w:val="none" w:sz="0" w:space="0" w:color="auto"/>
                                          </w:divBdr>
                                          <w:divsChild>
                                            <w:div w:id="783500609">
                                              <w:marLeft w:val="0"/>
                                              <w:marRight w:val="0"/>
                                              <w:marTop w:val="0"/>
                                              <w:marBottom w:val="0"/>
                                              <w:divBdr>
                                                <w:top w:val="none" w:sz="0" w:space="0" w:color="auto"/>
                                                <w:left w:val="none" w:sz="0" w:space="0" w:color="auto"/>
                                                <w:bottom w:val="none" w:sz="0" w:space="0" w:color="auto"/>
                                                <w:right w:val="none" w:sz="0" w:space="0" w:color="auto"/>
                                              </w:divBdr>
                                              <w:divsChild>
                                                <w:div w:id="19063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391914">
      <w:bodyDiv w:val="1"/>
      <w:marLeft w:val="0"/>
      <w:marRight w:val="0"/>
      <w:marTop w:val="0"/>
      <w:marBottom w:val="0"/>
      <w:divBdr>
        <w:top w:val="none" w:sz="0" w:space="0" w:color="auto"/>
        <w:left w:val="none" w:sz="0" w:space="0" w:color="auto"/>
        <w:bottom w:val="none" w:sz="0" w:space="0" w:color="auto"/>
        <w:right w:val="none" w:sz="0" w:space="0" w:color="auto"/>
      </w:divBdr>
      <w:divsChild>
        <w:div w:id="2090303391">
          <w:marLeft w:val="0"/>
          <w:marRight w:val="0"/>
          <w:marTop w:val="0"/>
          <w:marBottom w:val="0"/>
          <w:divBdr>
            <w:top w:val="none" w:sz="0" w:space="0" w:color="auto"/>
            <w:left w:val="none" w:sz="0" w:space="0" w:color="auto"/>
            <w:bottom w:val="none" w:sz="0" w:space="0" w:color="auto"/>
            <w:right w:val="none" w:sz="0" w:space="0" w:color="auto"/>
          </w:divBdr>
          <w:divsChild>
            <w:div w:id="18363919">
              <w:marLeft w:val="0"/>
              <w:marRight w:val="0"/>
              <w:marTop w:val="0"/>
              <w:marBottom w:val="0"/>
              <w:divBdr>
                <w:top w:val="none" w:sz="0" w:space="0" w:color="auto"/>
                <w:left w:val="none" w:sz="0" w:space="0" w:color="auto"/>
                <w:bottom w:val="none" w:sz="0" w:space="0" w:color="auto"/>
                <w:right w:val="none" w:sz="0" w:space="0" w:color="auto"/>
              </w:divBdr>
              <w:divsChild>
                <w:div w:id="795217734">
                  <w:marLeft w:val="0"/>
                  <w:marRight w:val="0"/>
                  <w:marTop w:val="0"/>
                  <w:marBottom w:val="0"/>
                  <w:divBdr>
                    <w:top w:val="none" w:sz="0" w:space="0" w:color="auto"/>
                    <w:left w:val="none" w:sz="0" w:space="0" w:color="auto"/>
                    <w:bottom w:val="none" w:sz="0" w:space="0" w:color="auto"/>
                    <w:right w:val="none" w:sz="0" w:space="0" w:color="auto"/>
                  </w:divBdr>
                  <w:divsChild>
                    <w:div w:id="618685091">
                      <w:marLeft w:val="0"/>
                      <w:marRight w:val="0"/>
                      <w:marTop w:val="0"/>
                      <w:marBottom w:val="0"/>
                      <w:divBdr>
                        <w:top w:val="none" w:sz="0" w:space="0" w:color="auto"/>
                        <w:left w:val="none" w:sz="0" w:space="0" w:color="auto"/>
                        <w:bottom w:val="none" w:sz="0" w:space="0" w:color="auto"/>
                        <w:right w:val="none" w:sz="0" w:space="0" w:color="auto"/>
                      </w:divBdr>
                      <w:divsChild>
                        <w:div w:id="2011251240">
                          <w:marLeft w:val="0"/>
                          <w:marRight w:val="0"/>
                          <w:marTop w:val="0"/>
                          <w:marBottom w:val="0"/>
                          <w:divBdr>
                            <w:top w:val="single" w:sz="6" w:space="0" w:color="828282"/>
                            <w:left w:val="single" w:sz="6" w:space="0" w:color="828282"/>
                            <w:bottom w:val="single" w:sz="6" w:space="0" w:color="828282"/>
                            <w:right w:val="single" w:sz="6" w:space="0" w:color="828282"/>
                          </w:divBdr>
                          <w:divsChild>
                            <w:div w:id="1095905099">
                              <w:marLeft w:val="0"/>
                              <w:marRight w:val="0"/>
                              <w:marTop w:val="0"/>
                              <w:marBottom w:val="0"/>
                              <w:divBdr>
                                <w:top w:val="none" w:sz="0" w:space="0" w:color="auto"/>
                                <w:left w:val="none" w:sz="0" w:space="0" w:color="auto"/>
                                <w:bottom w:val="none" w:sz="0" w:space="0" w:color="auto"/>
                                <w:right w:val="none" w:sz="0" w:space="0" w:color="auto"/>
                              </w:divBdr>
                              <w:divsChild>
                                <w:div w:id="1189489739">
                                  <w:marLeft w:val="0"/>
                                  <w:marRight w:val="0"/>
                                  <w:marTop w:val="0"/>
                                  <w:marBottom w:val="0"/>
                                  <w:divBdr>
                                    <w:top w:val="none" w:sz="0" w:space="0" w:color="auto"/>
                                    <w:left w:val="none" w:sz="0" w:space="0" w:color="auto"/>
                                    <w:bottom w:val="none" w:sz="0" w:space="0" w:color="auto"/>
                                    <w:right w:val="none" w:sz="0" w:space="0" w:color="auto"/>
                                  </w:divBdr>
                                  <w:divsChild>
                                    <w:div w:id="1146891576">
                                      <w:marLeft w:val="0"/>
                                      <w:marRight w:val="0"/>
                                      <w:marTop w:val="0"/>
                                      <w:marBottom w:val="0"/>
                                      <w:divBdr>
                                        <w:top w:val="none" w:sz="0" w:space="0" w:color="auto"/>
                                        <w:left w:val="none" w:sz="0" w:space="0" w:color="auto"/>
                                        <w:bottom w:val="none" w:sz="0" w:space="0" w:color="auto"/>
                                        <w:right w:val="none" w:sz="0" w:space="0" w:color="auto"/>
                                      </w:divBdr>
                                      <w:divsChild>
                                        <w:div w:id="1205022178">
                                          <w:marLeft w:val="0"/>
                                          <w:marRight w:val="0"/>
                                          <w:marTop w:val="0"/>
                                          <w:marBottom w:val="0"/>
                                          <w:divBdr>
                                            <w:top w:val="none" w:sz="0" w:space="0" w:color="auto"/>
                                            <w:left w:val="none" w:sz="0" w:space="0" w:color="auto"/>
                                            <w:bottom w:val="none" w:sz="0" w:space="0" w:color="auto"/>
                                            <w:right w:val="none" w:sz="0" w:space="0" w:color="auto"/>
                                          </w:divBdr>
                                          <w:divsChild>
                                            <w:div w:id="168495306">
                                              <w:marLeft w:val="0"/>
                                              <w:marRight w:val="0"/>
                                              <w:marTop w:val="0"/>
                                              <w:marBottom w:val="0"/>
                                              <w:divBdr>
                                                <w:top w:val="none" w:sz="0" w:space="0" w:color="auto"/>
                                                <w:left w:val="none" w:sz="0" w:space="0" w:color="auto"/>
                                                <w:bottom w:val="none" w:sz="0" w:space="0" w:color="auto"/>
                                                <w:right w:val="none" w:sz="0" w:space="0" w:color="auto"/>
                                              </w:divBdr>
                                              <w:divsChild>
                                                <w:div w:id="4948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927337">
      <w:bodyDiv w:val="1"/>
      <w:marLeft w:val="0"/>
      <w:marRight w:val="0"/>
      <w:marTop w:val="0"/>
      <w:marBottom w:val="0"/>
      <w:divBdr>
        <w:top w:val="none" w:sz="0" w:space="0" w:color="auto"/>
        <w:left w:val="none" w:sz="0" w:space="0" w:color="auto"/>
        <w:bottom w:val="none" w:sz="0" w:space="0" w:color="auto"/>
        <w:right w:val="none" w:sz="0" w:space="0" w:color="auto"/>
      </w:divBdr>
      <w:divsChild>
        <w:div w:id="356854885">
          <w:marLeft w:val="0"/>
          <w:marRight w:val="0"/>
          <w:marTop w:val="0"/>
          <w:marBottom w:val="0"/>
          <w:divBdr>
            <w:top w:val="none" w:sz="0" w:space="0" w:color="auto"/>
            <w:left w:val="none" w:sz="0" w:space="0" w:color="auto"/>
            <w:bottom w:val="none" w:sz="0" w:space="0" w:color="auto"/>
            <w:right w:val="none" w:sz="0" w:space="0" w:color="auto"/>
          </w:divBdr>
          <w:divsChild>
            <w:div w:id="389693512">
              <w:marLeft w:val="0"/>
              <w:marRight w:val="0"/>
              <w:marTop w:val="0"/>
              <w:marBottom w:val="0"/>
              <w:divBdr>
                <w:top w:val="none" w:sz="0" w:space="0" w:color="auto"/>
                <w:left w:val="none" w:sz="0" w:space="0" w:color="auto"/>
                <w:bottom w:val="none" w:sz="0" w:space="0" w:color="auto"/>
                <w:right w:val="none" w:sz="0" w:space="0" w:color="auto"/>
              </w:divBdr>
              <w:divsChild>
                <w:div w:id="1992098343">
                  <w:marLeft w:val="0"/>
                  <w:marRight w:val="0"/>
                  <w:marTop w:val="0"/>
                  <w:marBottom w:val="0"/>
                  <w:divBdr>
                    <w:top w:val="none" w:sz="0" w:space="0" w:color="auto"/>
                    <w:left w:val="none" w:sz="0" w:space="0" w:color="auto"/>
                    <w:bottom w:val="none" w:sz="0" w:space="0" w:color="auto"/>
                    <w:right w:val="none" w:sz="0" w:space="0" w:color="auto"/>
                  </w:divBdr>
                  <w:divsChild>
                    <w:div w:id="966862377">
                      <w:marLeft w:val="0"/>
                      <w:marRight w:val="0"/>
                      <w:marTop w:val="0"/>
                      <w:marBottom w:val="0"/>
                      <w:divBdr>
                        <w:top w:val="none" w:sz="0" w:space="0" w:color="auto"/>
                        <w:left w:val="none" w:sz="0" w:space="0" w:color="auto"/>
                        <w:bottom w:val="none" w:sz="0" w:space="0" w:color="auto"/>
                        <w:right w:val="none" w:sz="0" w:space="0" w:color="auto"/>
                      </w:divBdr>
                      <w:divsChild>
                        <w:div w:id="1453092029">
                          <w:marLeft w:val="0"/>
                          <w:marRight w:val="0"/>
                          <w:marTop w:val="0"/>
                          <w:marBottom w:val="0"/>
                          <w:divBdr>
                            <w:top w:val="single" w:sz="6" w:space="0" w:color="828282"/>
                            <w:left w:val="single" w:sz="6" w:space="0" w:color="828282"/>
                            <w:bottom w:val="single" w:sz="6" w:space="0" w:color="828282"/>
                            <w:right w:val="single" w:sz="6" w:space="0" w:color="828282"/>
                          </w:divBdr>
                          <w:divsChild>
                            <w:div w:id="1586066742">
                              <w:marLeft w:val="0"/>
                              <w:marRight w:val="0"/>
                              <w:marTop w:val="0"/>
                              <w:marBottom w:val="0"/>
                              <w:divBdr>
                                <w:top w:val="none" w:sz="0" w:space="0" w:color="auto"/>
                                <w:left w:val="none" w:sz="0" w:space="0" w:color="auto"/>
                                <w:bottom w:val="none" w:sz="0" w:space="0" w:color="auto"/>
                                <w:right w:val="none" w:sz="0" w:space="0" w:color="auto"/>
                              </w:divBdr>
                              <w:divsChild>
                                <w:div w:id="1782869979">
                                  <w:marLeft w:val="0"/>
                                  <w:marRight w:val="0"/>
                                  <w:marTop w:val="0"/>
                                  <w:marBottom w:val="0"/>
                                  <w:divBdr>
                                    <w:top w:val="none" w:sz="0" w:space="0" w:color="auto"/>
                                    <w:left w:val="none" w:sz="0" w:space="0" w:color="auto"/>
                                    <w:bottom w:val="none" w:sz="0" w:space="0" w:color="auto"/>
                                    <w:right w:val="none" w:sz="0" w:space="0" w:color="auto"/>
                                  </w:divBdr>
                                  <w:divsChild>
                                    <w:div w:id="767314301">
                                      <w:marLeft w:val="0"/>
                                      <w:marRight w:val="0"/>
                                      <w:marTop w:val="0"/>
                                      <w:marBottom w:val="0"/>
                                      <w:divBdr>
                                        <w:top w:val="none" w:sz="0" w:space="0" w:color="auto"/>
                                        <w:left w:val="none" w:sz="0" w:space="0" w:color="auto"/>
                                        <w:bottom w:val="none" w:sz="0" w:space="0" w:color="auto"/>
                                        <w:right w:val="none" w:sz="0" w:space="0" w:color="auto"/>
                                      </w:divBdr>
                                      <w:divsChild>
                                        <w:div w:id="826478734">
                                          <w:marLeft w:val="0"/>
                                          <w:marRight w:val="0"/>
                                          <w:marTop w:val="0"/>
                                          <w:marBottom w:val="0"/>
                                          <w:divBdr>
                                            <w:top w:val="none" w:sz="0" w:space="0" w:color="auto"/>
                                            <w:left w:val="none" w:sz="0" w:space="0" w:color="auto"/>
                                            <w:bottom w:val="none" w:sz="0" w:space="0" w:color="auto"/>
                                            <w:right w:val="none" w:sz="0" w:space="0" w:color="auto"/>
                                          </w:divBdr>
                                          <w:divsChild>
                                            <w:div w:id="336155451">
                                              <w:marLeft w:val="0"/>
                                              <w:marRight w:val="0"/>
                                              <w:marTop w:val="0"/>
                                              <w:marBottom w:val="0"/>
                                              <w:divBdr>
                                                <w:top w:val="none" w:sz="0" w:space="0" w:color="auto"/>
                                                <w:left w:val="none" w:sz="0" w:space="0" w:color="auto"/>
                                                <w:bottom w:val="none" w:sz="0" w:space="0" w:color="auto"/>
                                                <w:right w:val="none" w:sz="0" w:space="0" w:color="auto"/>
                                              </w:divBdr>
                                              <w:divsChild>
                                                <w:div w:id="19266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075573">
      <w:bodyDiv w:val="1"/>
      <w:marLeft w:val="0"/>
      <w:marRight w:val="0"/>
      <w:marTop w:val="0"/>
      <w:marBottom w:val="0"/>
      <w:divBdr>
        <w:top w:val="none" w:sz="0" w:space="0" w:color="auto"/>
        <w:left w:val="none" w:sz="0" w:space="0" w:color="auto"/>
        <w:bottom w:val="none" w:sz="0" w:space="0" w:color="auto"/>
        <w:right w:val="none" w:sz="0" w:space="0" w:color="auto"/>
      </w:divBdr>
      <w:divsChild>
        <w:div w:id="1714111438">
          <w:marLeft w:val="0"/>
          <w:marRight w:val="0"/>
          <w:marTop w:val="0"/>
          <w:marBottom w:val="0"/>
          <w:divBdr>
            <w:top w:val="none" w:sz="0" w:space="0" w:color="auto"/>
            <w:left w:val="none" w:sz="0" w:space="0" w:color="auto"/>
            <w:bottom w:val="none" w:sz="0" w:space="0" w:color="auto"/>
            <w:right w:val="none" w:sz="0" w:space="0" w:color="auto"/>
          </w:divBdr>
          <w:divsChild>
            <w:div w:id="1002319821">
              <w:marLeft w:val="0"/>
              <w:marRight w:val="0"/>
              <w:marTop w:val="0"/>
              <w:marBottom w:val="0"/>
              <w:divBdr>
                <w:top w:val="none" w:sz="0" w:space="0" w:color="auto"/>
                <w:left w:val="none" w:sz="0" w:space="0" w:color="auto"/>
                <w:bottom w:val="none" w:sz="0" w:space="0" w:color="auto"/>
                <w:right w:val="none" w:sz="0" w:space="0" w:color="auto"/>
              </w:divBdr>
              <w:divsChild>
                <w:div w:id="488375107">
                  <w:marLeft w:val="0"/>
                  <w:marRight w:val="0"/>
                  <w:marTop w:val="0"/>
                  <w:marBottom w:val="0"/>
                  <w:divBdr>
                    <w:top w:val="none" w:sz="0" w:space="0" w:color="auto"/>
                    <w:left w:val="none" w:sz="0" w:space="0" w:color="auto"/>
                    <w:bottom w:val="none" w:sz="0" w:space="0" w:color="auto"/>
                    <w:right w:val="none" w:sz="0" w:space="0" w:color="auto"/>
                  </w:divBdr>
                  <w:divsChild>
                    <w:div w:id="58409472">
                      <w:marLeft w:val="0"/>
                      <w:marRight w:val="0"/>
                      <w:marTop w:val="0"/>
                      <w:marBottom w:val="0"/>
                      <w:divBdr>
                        <w:top w:val="none" w:sz="0" w:space="0" w:color="auto"/>
                        <w:left w:val="none" w:sz="0" w:space="0" w:color="auto"/>
                        <w:bottom w:val="none" w:sz="0" w:space="0" w:color="auto"/>
                        <w:right w:val="none" w:sz="0" w:space="0" w:color="auto"/>
                      </w:divBdr>
                      <w:divsChild>
                        <w:div w:id="338656989">
                          <w:marLeft w:val="0"/>
                          <w:marRight w:val="0"/>
                          <w:marTop w:val="0"/>
                          <w:marBottom w:val="0"/>
                          <w:divBdr>
                            <w:top w:val="single" w:sz="6" w:space="0" w:color="828282"/>
                            <w:left w:val="single" w:sz="6" w:space="0" w:color="828282"/>
                            <w:bottom w:val="single" w:sz="6" w:space="0" w:color="828282"/>
                            <w:right w:val="single" w:sz="6" w:space="0" w:color="828282"/>
                          </w:divBdr>
                          <w:divsChild>
                            <w:div w:id="582572045">
                              <w:marLeft w:val="0"/>
                              <w:marRight w:val="0"/>
                              <w:marTop w:val="0"/>
                              <w:marBottom w:val="0"/>
                              <w:divBdr>
                                <w:top w:val="none" w:sz="0" w:space="0" w:color="auto"/>
                                <w:left w:val="none" w:sz="0" w:space="0" w:color="auto"/>
                                <w:bottom w:val="none" w:sz="0" w:space="0" w:color="auto"/>
                                <w:right w:val="none" w:sz="0" w:space="0" w:color="auto"/>
                              </w:divBdr>
                              <w:divsChild>
                                <w:div w:id="1035545407">
                                  <w:marLeft w:val="0"/>
                                  <w:marRight w:val="0"/>
                                  <w:marTop w:val="0"/>
                                  <w:marBottom w:val="0"/>
                                  <w:divBdr>
                                    <w:top w:val="none" w:sz="0" w:space="0" w:color="auto"/>
                                    <w:left w:val="none" w:sz="0" w:space="0" w:color="auto"/>
                                    <w:bottom w:val="none" w:sz="0" w:space="0" w:color="auto"/>
                                    <w:right w:val="none" w:sz="0" w:space="0" w:color="auto"/>
                                  </w:divBdr>
                                  <w:divsChild>
                                    <w:div w:id="247156283">
                                      <w:marLeft w:val="0"/>
                                      <w:marRight w:val="0"/>
                                      <w:marTop w:val="0"/>
                                      <w:marBottom w:val="0"/>
                                      <w:divBdr>
                                        <w:top w:val="none" w:sz="0" w:space="0" w:color="auto"/>
                                        <w:left w:val="none" w:sz="0" w:space="0" w:color="auto"/>
                                        <w:bottom w:val="none" w:sz="0" w:space="0" w:color="auto"/>
                                        <w:right w:val="none" w:sz="0" w:space="0" w:color="auto"/>
                                      </w:divBdr>
                                      <w:divsChild>
                                        <w:div w:id="1148594279">
                                          <w:marLeft w:val="0"/>
                                          <w:marRight w:val="0"/>
                                          <w:marTop w:val="0"/>
                                          <w:marBottom w:val="0"/>
                                          <w:divBdr>
                                            <w:top w:val="none" w:sz="0" w:space="0" w:color="auto"/>
                                            <w:left w:val="none" w:sz="0" w:space="0" w:color="auto"/>
                                            <w:bottom w:val="none" w:sz="0" w:space="0" w:color="auto"/>
                                            <w:right w:val="none" w:sz="0" w:space="0" w:color="auto"/>
                                          </w:divBdr>
                                          <w:divsChild>
                                            <w:div w:id="1216425772">
                                              <w:marLeft w:val="0"/>
                                              <w:marRight w:val="0"/>
                                              <w:marTop w:val="0"/>
                                              <w:marBottom w:val="0"/>
                                              <w:divBdr>
                                                <w:top w:val="none" w:sz="0" w:space="0" w:color="auto"/>
                                                <w:left w:val="none" w:sz="0" w:space="0" w:color="auto"/>
                                                <w:bottom w:val="none" w:sz="0" w:space="0" w:color="auto"/>
                                                <w:right w:val="none" w:sz="0" w:space="0" w:color="auto"/>
                                              </w:divBdr>
                                              <w:divsChild>
                                                <w:div w:id="1869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049351">
      <w:bodyDiv w:val="1"/>
      <w:marLeft w:val="0"/>
      <w:marRight w:val="0"/>
      <w:marTop w:val="0"/>
      <w:marBottom w:val="0"/>
      <w:divBdr>
        <w:top w:val="none" w:sz="0" w:space="0" w:color="auto"/>
        <w:left w:val="none" w:sz="0" w:space="0" w:color="auto"/>
        <w:bottom w:val="none" w:sz="0" w:space="0" w:color="auto"/>
        <w:right w:val="none" w:sz="0" w:space="0" w:color="auto"/>
      </w:divBdr>
      <w:divsChild>
        <w:div w:id="915362387">
          <w:marLeft w:val="0"/>
          <w:marRight w:val="0"/>
          <w:marTop w:val="0"/>
          <w:marBottom w:val="0"/>
          <w:divBdr>
            <w:top w:val="none" w:sz="0" w:space="0" w:color="auto"/>
            <w:left w:val="none" w:sz="0" w:space="0" w:color="auto"/>
            <w:bottom w:val="none" w:sz="0" w:space="0" w:color="auto"/>
            <w:right w:val="none" w:sz="0" w:space="0" w:color="auto"/>
          </w:divBdr>
          <w:divsChild>
            <w:div w:id="1369331366">
              <w:marLeft w:val="0"/>
              <w:marRight w:val="0"/>
              <w:marTop w:val="0"/>
              <w:marBottom w:val="0"/>
              <w:divBdr>
                <w:top w:val="single" w:sz="6" w:space="5" w:color="E5E5E5"/>
                <w:left w:val="single" w:sz="6" w:space="11" w:color="E5E5E5"/>
                <w:bottom w:val="none" w:sz="0" w:space="0" w:color="auto"/>
                <w:right w:val="none" w:sz="0" w:space="0" w:color="auto"/>
              </w:divBdr>
              <w:divsChild>
                <w:div w:id="1005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20362">
      <w:bodyDiv w:val="1"/>
      <w:marLeft w:val="0"/>
      <w:marRight w:val="0"/>
      <w:marTop w:val="0"/>
      <w:marBottom w:val="0"/>
      <w:divBdr>
        <w:top w:val="none" w:sz="0" w:space="0" w:color="auto"/>
        <w:left w:val="none" w:sz="0" w:space="0" w:color="auto"/>
        <w:bottom w:val="none" w:sz="0" w:space="0" w:color="auto"/>
        <w:right w:val="none" w:sz="0" w:space="0" w:color="auto"/>
      </w:divBdr>
      <w:divsChild>
        <w:div w:id="1746485732">
          <w:marLeft w:val="0"/>
          <w:marRight w:val="0"/>
          <w:marTop w:val="0"/>
          <w:marBottom w:val="0"/>
          <w:divBdr>
            <w:top w:val="single" w:sz="6" w:space="0" w:color="0075A5"/>
            <w:left w:val="none" w:sz="0" w:space="0" w:color="auto"/>
            <w:bottom w:val="none" w:sz="0" w:space="0" w:color="auto"/>
            <w:right w:val="none" w:sz="0" w:space="0" w:color="auto"/>
          </w:divBdr>
          <w:divsChild>
            <w:div w:id="989943847">
              <w:marLeft w:val="0"/>
              <w:marRight w:val="0"/>
              <w:marTop w:val="0"/>
              <w:marBottom w:val="0"/>
              <w:divBdr>
                <w:top w:val="none" w:sz="0" w:space="0" w:color="auto"/>
                <w:left w:val="none" w:sz="0" w:space="0" w:color="auto"/>
                <w:bottom w:val="none" w:sz="0" w:space="0" w:color="auto"/>
                <w:right w:val="none" w:sz="0" w:space="0" w:color="auto"/>
              </w:divBdr>
              <w:divsChild>
                <w:div w:id="1357341848">
                  <w:marLeft w:val="2475"/>
                  <w:marRight w:val="0"/>
                  <w:marTop w:val="0"/>
                  <w:marBottom w:val="0"/>
                  <w:divBdr>
                    <w:top w:val="none" w:sz="0" w:space="0" w:color="auto"/>
                    <w:left w:val="none" w:sz="0" w:space="0" w:color="auto"/>
                    <w:bottom w:val="none" w:sz="0" w:space="0" w:color="auto"/>
                    <w:right w:val="none" w:sz="0" w:space="0" w:color="auto"/>
                  </w:divBdr>
                  <w:divsChild>
                    <w:div w:id="17350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3147">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201554959">
              <w:marLeft w:val="0"/>
              <w:marRight w:val="0"/>
              <w:marTop w:val="0"/>
              <w:marBottom w:val="0"/>
              <w:divBdr>
                <w:top w:val="none" w:sz="0" w:space="0" w:color="auto"/>
                <w:left w:val="none" w:sz="0" w:space="0" w:color="auto"/>
                <w:bottom w:val="none" w:sz="0" w:space="0" w:color="auto"/>
                <w:right w:val="none" w:sz="0" w:space="0" w:color="auto"/>
              </w:divBdr>
              <w:divsChild>
                <w:div w:id="1759668425">
                  <w:marLeft w:val="0"/>
                  <w:marRight w:val="0"/>
                  <w:marTop w:val="0"/>
                  <w:marBottom w:val="0"/>
                  <w:divBdr>
                    <w:top w:val="none" w:sz="0" w:space="0" w:color="auto"/>
                    <w:left w:val="none" w:sz="0" w:space="0" w:color="auto"/>
                    <w:bottom w:val="none" w:sz="0" w:space="0" w:color="auto"/>
                    <w:right w:val="none" w:sz="0" w:space="0" w:color="auto"/>
                  </w:divBdr>
                  <w:divsChild>
                    <w:div w:id="1465661500">
                      <w:marLeft w:val="0"/>
                      <w:marRight w:val="0"/>
                      <w:marTop w:val="0"/>
                      <w:marBottom w:val="0"/>
                      <w:divBdr>
                        <w:top w:val="none" w:sz="0" w:space="0" w:color="auto"/>
                        <w:left w:val="none" w:sz="0" w:space="0" w:color="auto"/>
                        <w:bottom w:val="none" w:sz="0" w:space="0" w:color="auto"/>
                        <w:right w:val="none" w:sz="0" w:space="0" w:color="auto"/>
                      </w:divBdr>
                      <w:divsChild>
                        <w:div w:id="828668075">
                          <w:marLeft w:val="0"/>
                          <w:marRight w:val="0"/>
                          <w:marTop w:val="0"/>
                          <w:marBottom w:val="0"/>
                          <w:divBdr>
                            <w:top w:val="single" w:sz="6" w:space="0" w:color="828282"/>
                            <w:left w:val="single" w:sz="6" w:space="0" w:color="828282"/>
                            <w:bottom w:val="single" w:sz="6" w:space="0" w:color="828282"/>
                            <w:right w:val="single" w:sz="6" w:space="0" w:color="828282"/>
                          </w:divBdr>
                          <w:divsChild>
                            <w:div w:id="2043092768">
                              <w:marLeft w:val="0"/>
                              <w:marRight w:val="0"/>
                              <w:marTop w:val="0"/>
                              <w:marBottom w:val="0"/>
                              <w:divBdr>
                                <w:top w:val="none" w:sz="0" w:space="0" w:color="auto"/>
                                <w:left w:val="none" w:sz="0" w:space="0" w:color="auto"/>
                                <w:bottom w:val="none" w:sz="0" w:space="0" w:color="auto"/>
                                <w:right w:val="none" w:sz="0" w:space="0" w:color="auto"/>
                              </w:divBdr>
                              <w:divsChild>
                                <w:div w:id="1645887816">
                                  <w:marLeft w:val="0"/>
                                  <w:marRight w:val="0"/>
                                  <w:marTop w:val="0"/>
                                  <w:marBottom w:val="0"/>
                                  <w:divBdr>
                                    <w:top w:val="none" w:sz="0" w:space="0" w:color="auto"/>
                                    <w:left w:val="none" w:sz="0" w:space="0" w:color="auto"/>
                                    <w:bottom w:val="none" w:sz="0" w:space="0" w:color="auto"/>
                                    <w:right w:val="none" w:sz="0" w:space="0" w:color="auto"/>
                                  </w:divBdr>
                                  <w:divsChild>
                                    <w:div w:id="1010520826">
                                      <w:marLeft w:val="0"/>
                                      <w:marRight w:val="0"/>
                                      <w:marTop w:val="0"/>
                                      <w:marBottom w:val="0"/>
                                      <w:divBdr>
                                        <w:top w:val="none" w:sz="0" w:space="0" w:color="auto"/>
                                        <w:left w:val="none" w:sz="0" w:space="0" w:color="auto"/>
                                        <w:bottom w:val="none" w:sz="0" w:space="0" w:color="auto"/>
                                        <w:right w:val="none" w:sz="0" w:space="0" w:color="auto"/>
                                      </w:divBdr>
                                      <w:divsChild>
                                        <w:div w:id="275917235">
                                          <w:marLeft w:val="0"/>
                                          <w:marRight w:val="0"/>
                                          <w:marTop w:val="0"/>
                                          <w:marBottom w:val="0"/>
                                          <w:divBdr>
                                            <w:top w:val="none" w:sz="0" w:space="0" w:color="auto"/>
                                            <w:left w:val="none" w:sz="0" w:space="0" w:color="auto"/>
                                            <w:bottom w:val="none" w:sz="0" w:space="0" w:color="auto"/>
                                            <w:right w:val="none" w:sz="0" w:space="0" w:color="auto"/>
                                          </w:divBdr>
                                          <w:divsChild>
                                            <w:div w:id="277494361">
                                              <w:marLeft w:val="0"/>
                                              <w:marRight w:val="0"/>
                                              <w:marTop w:val="0"/>
                                              <w:marBottom w:val="0"/>
                                              <w:divBdr>
                                                <w:top w:val="none" w:sz="0" w:space="0" w:color="auto"/>
                                                <w:left w:val="none" w:sz="0" w:space="0" w:color="auto"/>
                                                <w:bottom w:val="none" w:sz="0" w:space="0" w:color="auto"/>
                                                <w:right w:val="none" w:sz="0" w:space="0" w:color="auto"/>
                                              </w:divBdr>
                                              <w:divsChild>
                                                <w:div w:id="553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256975">
      <w:bodyDiv w:val="1"/>
      <w:marLeft w:val="0"/>
      <w:marRight w:val="0"/>
      <w:marTop w:val="0"/>
      <w:marBottom w:val="0"/>
      <w:divBdr>
        <w:top w:val="none" w:sz="0" w:space="0" w:color="auto"/>
        <w:left w:val="none" w:sz="0" w:space="0" w:color="auto"/>
        <w:bottom w:val="none" w:sz="0" w:space="0" w:color="auto"/>
        <w:right w:val="none" w:sz="0" w:space="0" w:color="auto"/>
      </w:divBdr>
      <w:divsChild>
        <w:div w:id="1356149616">
          <w:marLeft w:val="0"/>
          <w:marRight w:val="0"/>
          <w:marTop w:val="0"/>
          <w:marBottom w:val="0"/>
          <w:divBdr>
            <w:top w:val="single" w:sz="6" w:space="0" w:color="0075A5"/>
            <w:left w:val="none" w:sz="0" w:space="0" w:color="auto"/>
            <w:bottom w:val="none" w:sz="0" w:space="0" w:color="auto"/>
            <w:right w:val="none" w:sz="0" w:space="0" w:color="auto"/>
          </w:divBdr>
          <w:divsChild>
            <w:div w:id="1281306292">
              <w:marLeft w:val="0"/>
              <w:marRight w:val="0"/>
              <w:marTop w:val="0"/>
              <w:marBottom w:val="0"/>
              <w:divBdr>
                <w:top w:val="none" w:sz="0" w:space="0" w:color="auto"/>
                <w:left w:val="none" w:sz="0" w:space="0" w:color="auto"/>
                <w:bottom w:val="none" w:sz="0" w:space="0" w:color="auto"/>
                <w:right w:val="none" w:sz="0" w:space="0" w:color="auto"/>
              </w:divBdr>
              <w:divsChild>
                <w:div w:id="1644848184">
                  <w:marLeft w:val="2475"/>
                  <w:marRight w:val="0"/>
                  <w:marTop w:val="0"/>
                  <w:marBottom w:val="0"/>
                  <w:divBdr>
                    <w:top w:val="none" w:sz="0" w:space="0" w:color="auto"/>
                    <w:left w:val="none" w:sz="0" w:space="0" w:color="auto"/>
                    <w:bottom w:val="none" w:sz="0" w:space="0" w:color="auto"/>
                    <w:right w:val="none" w:sz="0" w:space="0" w:color="auto"/>
                  </w:divBdr>
                  <w:divsChild>
                    <w:div w:id="186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C10C-3FE2-41D9-8A85-A80F2A39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1860</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Kuenzle</dc:creator>
  <cp:lastModifiedBy>van Meurs, Tina</cp:lastModifiedBy>
  <cp:revision>2</cp:revision>
  <cp:lastPrinted>2015-04-28T08:02:00Z</cp:lastPrinted>
  <dcterms:created xsi:type="dcterms:W3CDTF">2015-05-04T04:39:00Z</dcterms:created>
  <dcterms:modified xsi:type="dcterms:W3CDTF">2015-05-04T04:39:00Z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A4337534</vt:lpwstr>
  </property>
  <property fmtid="{D5CDD505-2E9C-101B-9397-08002B2CF9AE}" pid="3" name="Objective-Title">
    <vt:lpwstr>Draft ES for CW re CETs - 20141128</vt:lpwstr>
  </property>
  <property fmtid="{D5CDD505-2E9C-101B-9397-08002B2CF9AE}" pid="4" name="Objective-Comment">
    <vt:lpwstr>
    </vt:lpwstr>
  </property>
  <property fmtid="{D5CDD505-2E9C-101B-9397-08002B2CF9AE}" pid="5" name="Objective-CreationStamp">
    <vt:filetime>2014-11-28T00:08:19Z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2015-04-29T05:11:01Z</vt:filetime>
  </property>
  <property fmtid="{D5CDD505-2E9C-101B-9397-08002B2CF9AE}" pid="9" name="Objective-ModificationStamp">
    <vt:filetime>2015-04-29T05:11:03Z</vt:filetime>
  </property>
  <property fmtid="{D5CDD505-2E9C-101B-9397-08002B2CF9AE}" pid="10" name="Objective-Owner">
    <vt:lpwstr>Anastasia Zafeirakopoulos</vt:lpwstr>
  </property>
  <property fmtid="{D5CDD505-2E9C-101B-9397-08002B2CF9AE}" pid="11" name="Objective-Path">
    <vt:lpwstr>BCS:ASIC:REGULATION &amp; COMPLIANCE:Assessments, Surveillance &amp; Supervision:Market &amp; Participant Supervision:Legal &amp; Policy:09e. Relief Applications and waivers - 2014:ASX Contingent equity transaction - CW Rule 4.1.1(1):</vt:lpwstr>
  </property>
  <property fmtid="{D5CDD505-2E9C-101B-9397-08002B2CF9AE}" pid="12" name="Objective-Parent">
    <vt:lpwstr>ASX Contingent equity transaction - CW Rule 4.1.1(1)</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34</vt:i4>
  </property>
  <property fmtid="{D5CDD505-2E9C-101B-9397-08002B2CF9AE}" pid="16" name="Objective-VersionComment">
    <vt:lpwstr>AMcP 29042015</vt:lpwstr>
  </property>
  <property fmtid="{D5CDD505-2E9C-101B-9397-08002B2CF9AE}" pid="17" name="Objective-FileNumber">
    <vt:lpwstr>2014 - 000739</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