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5C" w:rsidRPr="00BA61EE" w:rsidRDefault="00A078A4" w:rsidP="005B495C">
      <w:pPr>
        <w:jc w:val="center"/>
        <w:rPr>
          <w:rFonts w:ascii="Times New Roman" w:hAnsi="Times New Roman"/>
          <w:b/>
          <w:sz w:val="24"/>
          <w:szCs w:val="24"/>
          <w:u w:val="single"/>
        </w:rPr>
      </w:pPr>
      <w:r w:rsidRPr="00BA61EE">
        <w:rPr>
          <w:rFonts w:ascii="Times New Roman" w:hAnsi="Times New Roman"/>
          <w:b/>
          <w:sz w:val="24"/>
          <w:szCs w:val="24"/>
          <w:u w:val="single"/>
        </w:rPr>
        <w:t>EXPLANATORY STATEMENT</w:t>
      </w:r>
    </w:p>
    <w:p w:rsidR="005B495C" w:rsidRPr="00BA61EE" w:rsidRDefault="00A078A4" w:rsidP="005B495C">
      <w:pPr>
        <w:jc w:val="center"/>
        <w:rPr>
          <w:rFonts w:ascii="Times New Roman" w:hAnsi="Times New Roman"/>
          <w:b/>
          <w:sz w:val="24"/>
          <w:szCs w:val="24"/>
          <w:u w:val="single"/>
        </w:rPr>
      </w:pPr>
      <w:r w:rsidRPr="00BA61EE">
        <w:rPr>
          <w:rFonts w:ascii="Times New Roman" w:hAnsi="Times New Roman"/>
          <w:b/>
          <w:sz w:val="24"/>
          <w:szCs w:val="24"/>
          <w:u w:val="single"/>
        </w:rPr>
        <w:t>Sele</w:t>
      </w:r>
      <w:r w:rsidR="00E46A7F">
        <w:rPr>
          <w:rFonts w:ascii="Times New Roman" w:hAnsi="Times New Roman"/>
          <w:b/>
          <w:sz w:val="24"/>
          <w:szCs w:val="24"/>
          <w:u w:val="single"/>
        </w:rPr>
        <w:t>ct Legislative Instrument No. 59</w:t>
      </w:r>
      <w:r w:rsidRPr="00BA61EE">
        <w:rPr>
          <w:rFonts w:ascii="Times New Roman" w:hAnsi="Times New Roman"/>
          <w:b/>
          <w:sz w:val="24"/>
          <w:szCs w:val="24"/>
          <w:u w:val="single"/>
        </w:rPr>
        <w:t>, 2015</w:t>
      </w:r>
    </w:p>
    <w:p w:rsidR="005B495C" w:rsidRPr="00BA61EE" w:rsidRDefault="00A078A4" w:rsidP="00F420C7">
      <w:pPr>
        <w:rPr>
          <w:rFonts w:ascii="Times New Roman" w:hAnsi="Times New Roman"/>
          <w:sz w:val="24"/>
          <w:szCs w:val="24"/>
        </w:rPr>
      </w:pPr>
      <w:r w:rsidRPr="00BA61EE">
        <w:rPr>
          <w:rFonts w:ascii="Times New Roman" w:hAnsi="Times New Roman"/>
          <w:sz w:val="24"/>
          <w:szCs w:val="24"/>
        </w:rPr>
        <w:t>(Issued by the Authority of the Parliamentary Secretary to the Minister for the Environment)</w:t>
      </w:r>
    </w:p>
    <w:p w:rsidR="005B495C" w:rsidRPr="00BA61EE" w:rsidRDefault="00A078A4" w:rsidP="00F420C7">
      <w:pPr>
        <w:rPr>
          <w:rFonts w:ascii="Times New Roman" w:hAnsi="Times New Roman"/>
          <w:i/>
          <w:sz w:val="24"/>
          <w:szCs w:val="24"/>
        </w:rPr>
      </w:pPr>
      <w:r w:rsidRPr="00BA61EE">
        <w:rPr>
          <w:rFonts w:ascii="Times New Roman" w:hAnsi="Times New Roman"/>
          <w:sz w:val="24"/>
          <w:szCs w:val="24"/>
        </w:rPr>
        <w:t>Subject-</w:t>
      </w:r>
      <w:r w:rsidRPr="00BA61EE">
        <w:rPr>
          <w:rFonts w:ascii="Times New Roman" w:hAnsi="Times New Roman"/>
          <w:sz w:val="24"/>
          <w:szCs w:val="24"/>
        </w:rPr>
        <w:tab/>
      </w:r>
      <w:r w:rsidRPr="00BA61EE">
        <w:rPr>
          <w:rFonts w:ascii="Times New Roman" w:hAnsi="Times New Roman"/>
          <w:sz w:val="24"/>
          <w:szCs w:val="24"/>
        </w:rPr>
        <w:tab/>
      </w:r>
      <w:r w:rsidRPr="00BA61EE">
        <w:rPr>
          <w:rFonts w:ascii="Times New Roman" w:hAnsi="Times New Roman"/>
          <w:i/>
          <w:sz w:val="24"/>
          <w:szCs w:val="24"/>
        </w:rPr>
        <w:t>Water Act 2007</w:t>
      </w:r>
    </w:p>
    <w:p w:rsidR="005B495C" w:rsidRPr="00BA61EE" w:rsidRDefault="00A078A4" w:rsidP="00D06221">
      <w:pPr>
        <w:ind w:right="-144"/>
        <w:rPr>
          <w:rFonts w:ascii="Times New Roman" w:hAnsi="Times New Roman"/>
          <w:i/>
          <w:sz w:val="24"/>
          <w:szCs w:val="24"/>
        </w:rPr>
      </w:pPr>
      <w:r w:rsidRPr="00BA61EE">
        <w:rPr>
          <w:rFonts w:ascii="Times New Roman" w:hAnsi="Times New Roman"/>
          <w:i/>
          <w:sz w:val="24"/>
          <w:szCs w:val="24"/>
        </w:rPr>
        <w:tab/>
      </w:r>
      <w:r w:rsidRPr="00BA61EE">
        <w:rPr>
          <w:rFonts w:ascii="Times New Roman" w:hAnsi="Times New Roman"/>
          <w:i/>
          <w:sz w:val="24"/>
          <w:szCs w:val="24"/>
        </w:rPr>
        <w:tab/>
      </w:r>
      <w:r w:rsidRPr="00BA61EE">
        <w:rPr>
          <w:rFonts w:ascii="Times New Roman" w:hAnsi="Times New Roman"/>
          <w:i/>
          <w:sz w:val="24"/>
          <w:szCs w:val="24"/>
        </w:rPr>
        <w:tab/>
        <w:t xml:space="preserve">Water Amendment (Interactions with State Laws) Regulation 2015 (No.1) </w:t>
      </w:r>
    </w:p>
    <w:p w:rsidR="005B495C" w:rsidRPr="00BA61EE" w:rsidRDefault="00A078A4" w:rsidP="00F420C7">
      <w:pPr>
        <w:rPr>
          <w:rFonts w:ascii="Times New Roman" w:hAnsi="Times New Roman"/>
          <w:sz w:val="24"/>
          <w:szCs w:val="24"/>
        </w:rPr>
      </w:pPr>
      <w:r w:rsidRPr="00BA61EE">
        <w:rPr>
          <w:rFonts w:ascii="Times New Roman" w:hAnsi="Times New Roman"/>
          <w:sz w:val="24"/>
          <w:szCs w:val="24"/>
        </w:rPr>
        <w:t xml:space="preserve">Section 256 of the </w:t>
      </w:r>
      <w:r w:rsidRPr="00BA61EE">
        <w:rPr>
          <w:rFonts w:ascii="Times New Roman" w:hAnsi="Times New Roman"/>
          <w:i/>
          <w:sz w:val="24"/>
          <w:szCs w:val="24"/>
        </w:rPr>
        <w:t>Water Act 2007</w:t>
      </w:r>
      <w:r w:rsidRPr="00BA61EE">
        <w:rPr>
          <w:rFonts w:ascii="Times New Roman" w:hAnsi="Times New Roman"/>
          <w:sz w:val="24"/>
          <w:szCs w:val="24"/>
        </w:rPr>
        <w:t xml:space="preserve"> (the ‘Act’) allows the Governor-General to make regulations prescribing matters that are required or permitted by the Act to be prescribed, or that are necessary or convenient to be prescribed for carrying out or giving effect to the Act.</w:t>
      </w:r>
    </w:p>
    <w:p w:rsidR="005B495C" w:rsidRPr="00BA61EE" w:rsidRDefault="00A078A4" w:rsidP="00F420C7">
      <w:pPr>
        <w:rPr>
          <w:rFonts w:ascii="Times New Roman" w:hAnsi="Times New Roman"/>
          <w:sz w:val="24"/>
          <w:szCs w:val="24"/>
        </w:rPr>
      </w:pPr>
      <w:r w:rsidRPr="00BA61EE">
        <w:rPr>
          <w:rFonts w:ascii="Times New Roman" w:hAnsi="Times New Roman"/>
          <w:sz w:val="24"/>
          <w:szCs w:val="24"/>
        </w:rPr>
        <w:t xml:space="preserve">The relevant Basin States (New South Wales, Victoria, Queensland, and South Australia) have each passed laws referring to the Commonwealth Parliament, for the purposes </w:t>
      </w:r>
      <w:r>
        <w:rPr>
          <w:rFonts w:ascii="Times New Roman" w:hAnsi="Times New Roman"/>
          <w:sz w:val="24"/>
          <w:szCs w:val="24"/>
        </w:rPr>
        <w:t>of paragraph </w:t>
      </w:r>
      <w:r w:rsidRPr="00BA61EE">
        <w:rPr>
          <w:rFonts w:ascii="Times New Roman" w:hAnsi="Times New Roman"/>
          <w:sz w:val="24"/>
          <w:szCs w:val="24"/>
        </w:rPr>
        <w:t xml:space="preserve">51(xxxvii) of the Constitution, the power to enact the referred provisions, Parts 1A, 2A, 4, 4A 10A and 11A of the Act as originally enacted, and to make express amendments to these provisions. </w:t>
      </w:r>
    </w:p>
    <w:p w:rsidR="005B495C" w:rsidRPr="00BA61EE" w:rsidRDefault="00A078A4" w:rsidP="00F420C7">
      <w:pPr>
        <w:rPr>
          <w:rFonts w:ascii="Times New Roman" w:hAnsi="Times New Roman"/>
          <w:sz w:val="24"/>
          <w:szCs w:val="24"/>
        </w:rPr>
      </w:pPr>
      <w:r w:rsidRPr="00BA61EE">
        <w:rPr>
          <w:rFonts w:ascii="Times New Roman" w:hAnsi="Times New Roman"/>
          <w:sz w:val="24"/>
          <w:szCs w:val="24"/>
        </w:rPr>
        <w:t>Subsection 250E(1) of the Act, a referred provision under Part 11A, provides that regulations may modify the operation of Commonwealth water legislation so that:</w:t>
      </w:r>
    </w:p>
    <w:p w:rsidR="005B495C" w:rsidRPr="00BA61EE" w:rsidRDefault="00A078A4" w:rsidP="00F420C7">
      <w:pPr>
        <w:ind w:left="992" w:hanging="272"/>
        <w:rPr>
          <w:rFonts w:ascii="Times New Roman" w:hAnsi="Times New Roman"/>
          <w:sz w:val="24"/>
          <w:szCs w:val="24"/>
        </w:rPr>
      </w:pPr>
      <w:r w:rsidRPr="00BA61EE">
        <w:rPr>
          <w:rFonts w:ascii="Times New Roman" w:hAnsi="Times New Roman"/>
          <w:sz w:val="24"/>
          <w:szCs w:val="24"/>
        </w:rPr>
        <w:t>(a) provisions of the Commonwealth water legislation do not apply to a matter that is dealt with by a law of a referring State specified in the regulations; or</w:t>
      </w:r>
    </w:p>
    <w:p w:rsidR="005B495C" w:rsidRPr="00BA61EE" w:rsidRDefault="00A078A4" w:rsidP="00F420C7">
      <w:pPr>
        <w:ind w:left="992" w:hanging="272"/>
        <w:rPr>
          <w:rFonts w:ascii="Times New Roman" w:hAnsi="Times New Roman"/>
          <w:sz w:val="24"/>
          <w:szCs w:val="24"/>
        </w:rPr>
      </w:pPr>
      <w:r w:rsidRPr="00BA61EE">
        <w:rPr>
          <w:rFonts w:ascii="Times New Roman" w:hAnsi="Times New Roman"/>
          <w:sz w:val="24"/>
          <w:szCs w:val="24"/>
        </w:rPr>
        <w:t>(b) no inconsistency arises between the operation of a provision of the Commonwealth water legislation and the operation of a law of a referring State specified in the regulations.</w:t>
      </w:r>
    </w:p>
    <w:p w:rsidR="005B495C" w:rsidRPr="00BA61EE" w:rsidRDefault="00A078A4" w:rsidP="00A53687">
      <w:pPr>
        <w:spacing w:line="240" w:lineRule="auto"/>
        <w:rPr>
          <w:rFonts w:ascii="Times New Roman" w:hAnsi="Times New Roman"/>
          <w:sz w:val="24"/>
          <w:szCs w:val="24"/>
        </w:rPr>
      </w:pPr>
      <w:r w:rsidRPr="00BA61EE">
        <w:rPr>
          <w:rFonts w:ascii="Times New Roman" w:hAnsi="Times New Roman"/>
          <w:sz w:val="24"/>
          <w:szCs w:val="24"/>
        </w:rPr>
        <w:t xml:space="preserve">The Act defines ‘Commonwealth water legislation’ to mean the Act, the regulations and other instruments made under the Act, including the </w:t>
      </w:r>
      <w:r w:rsidRPr="00BA61EE">
        <w:rPr>
          <w:rFonts w:ascii="Times New Roman" w:hAnsi="Times New Roman"/>
          <w:i/>
          <w:sz w:val="24"/>
          <w:szCs w:val="24"/>
        </w:rPr>
        <w:t>Basin Plan 2012</w:t>
      </w:r>
      <w:r w:rsidRPr="00BA61EE">
        <w:rPr>
          <w:rFonts w:ascii="Times New Roman" w:hAnsi="Times New Roman"/>
          <w:sz w:val="24"/>
          <w:szCs w:val="24"/>
        </w:rPr>
        <w:t xml:space="preserve"> (‘Basin Plan’). </w:t>
      </w:r>
    </w:p>
    <w:p w:rsidR="00841A2E" w:rsidRPr="00BA61EE" w:rsidRDefault="00A078A4" w:rsidP="00841A2E">
      <w:pPr>
        <w:rPr>
          <w:rFonts w:ascii="Times New Roman" w:hAnsi="Times New Roman"/>
          <w:sz w:val="24"/>
          <w:szCs w:val="24"/>
        </w:rPr>
      </w:pPr>
      <w:r w:rsidRPr="00BA61EE">
        <w:rPr>
          <w:rFonts w:ascii="Times New Roman" w:hAnsi="Times New Roman"/>
          <w:sz w:val="24"/>
          <w:szCs w:val="24"/>
        </w:rPr>
        <w:t xml:space="preserve">The </w:t>
      </w:r>
      <w:r w:rsidRPr="00BA61EE">
        <w:rPr>
          <w:rFonts w:ascii="Times New Roman" w:hAnsi="Times New Roman"/>
          <w:i/>
          <w:sz w:val="24"/>
          <w:szCs w:val="24"/>
        </w:rPr>
        <w:t>Water Amendment (Interactions with State Laws) Regulation 2015 (No.1)</w:t>
      </w:r>
      <w:r>
        <w:rPr>
          <w:rFonts w:ascii="Times New Roman" w:hAnsi="Times New Roman"/>
          <w:sz w:val="24"/>
          <w:szCs w:val="24"/>
        </w:rPr>
        <w:t xml:space="preserve"> (</w:t>
      </w:r>
      <w:r w:rsidRPr="00BA61EE">
        <w:rPr>
          <w:rFonts w:ascii="Times New Roman" w:hAnsi="Times New Roman"/>
          <w:sz w:val="24"/>
          <w:szCs w:val="24"/>
        </w:rPr>
        <w:t xml:space="preserve">‘Regulation’) amends the </w:t>
      </w:r>
      <w:r w:rsidRPr="00BA61EE">
        <w:rPr>
          <w:rFonts w:ascii="Times New Roman" w:hAnsi="Times New Roman"/>
          <w:i/>
          <w:sz w:val="24"/>
          <w:szCs w:val="24"/>
        </w:rPr>
        <w:t>Water Regulations 2008</w:t>
      </w:r>
      <w:r w:rsidRPr="00BA61EE">
        <w:rPr>
          <w:rFonts w:ascii="Times New Roman" w:hAnsi="Times New Roman"/>
          <w:sz w:val="24"/>
          <w:szCs w:val="24"/>
        </w:rPr>
        <w:t xml:space="preserve"> (‘Principal Regulations’) to extend transitional recognition of the </w:t>
      </w:r>
      <w:r w:rsidRPr="00BA61EE">
        <w:rPr>
          <w:rFonts w:ascii="Times New Roman" w:hAnsi="Times New Roman"/>
          <w:i/>
          <w:sz w:val="24"/>
          <w:szCs w:val="24"/>
        </w:rPr>
        <w:t xml:space="preserve">Water Sharing Plan for the Peel Valley Regulated, Unregulated, Alluvium and Fractured Rock Water Sources 2010 </w:t>
      </w:r>
      <w:r w:rsidRPr="00BA61EE">
        <w:rPr>
          <w:rFonts w:ascii="Times New Roman" w:hAnsi="Times New Roman"/>
          <w:sz w:val="24"/>
          <w:szCs w:val="24"/>
        </w:rPr>
        <w:t xml:space="preserve">(the ‘Peel Valley WSP’) until 30 June 2019. </w:t>
      </w:r>
    </w:p>
    <w:p w:rsidR="00841A2E" w:rsidRPr="00BA61EE" w:rsidRDefault="00A078A4" w:rsidP="00F420C7">
      <w:pPr>
        <w:rPr>
          <w:rFonts w:ascii="Times New Roman" w:hAnsi="Times New Roman"/>
          <w:sz w:val="24"/>
          <w:szCs w:val="24"/>
        </w:rPr>
      </w:pPr>
      <w:r w:rsidRPr="00BA61EE">
        <w:rPr>
          <w:rFonts w:ascii="Times New Roman" w:hAnsi="Times New Roman"/>
          <w:sz w:val="24"/>
          <w:szCs w:val="24"/>
        </w:rPr>
        <w:t>The Regulation is a referred regulation, and is th</w:t>
      </w:r>
      <w:bookmarkStart w:id="0" w:name="_GoBack"/>
      <w:bookmarkEnd w:id="0"/>
      <w:r w:rsidRPr="00BA61EE">
        <w:rPr>
          <w:rFonts w:ascii="Times New Roman" w:hAnsi="Times New Roman"/>
          <w:sz w:val="24"/>
          <w:szCs w:val="24"/>
        </w:rPr>
        <w:t xml:space="preserve">e fourth regulation to extend transitional coverage for state water resource planning arrangements. </w:t>
      </w:r>
      <w:r w:rsidRPr="00BA61EE">
        <w:rPr>
          <w:rFonts w:ascii="Times New Roman" w:hAnsi="Times New Roman"/>
          <w:sz w:val="24"/>
          <w:szCs w:val="24"/>
          <w:lang w:eastAsia="en-AU"/>
        </w:rPr>
        <w:t xml:space="preserve">The first regulation, the </w:t>
      </w:r>
      <w:r w:rsidRPr="00BA61EE">
        <w:rPr>
          <w:rFonts w:ascii="Times New Roman" w:hAnsi="Times New Roman"/>
          <w:i/>
          <w:iCs/>
          <w:sz w:val="24"/>
          <w:szCs w:val="24"/>
          <w:lang w:eastAsia="en-AU"/>
        </w:rPr>
        <w:t>Water Amendment (Interactions with State Laws and Water Information) Regulation 2013</w:t>
      </w:r>
      <w:r w:rsidRPr="00BA61EE">
        <w:rPr>
          <w:rFonts w:ascii="Times New Roman" w:hAnsi="Times New Roman"/>
          <w:sz w:val="24"/>
          <w:szCs w:val="24"/>
          <w:lang w:eastAsia="en-AU"/>
        </w:rPr>
        <w:t xml:space="preserve">, was made in November 2013. The second regulation, the </w:t>
      </w:r>
      <w:r w:rsidRPr="00BA61EE">
        <w:rPr>
          <w:rFonts w:ascii="Times New Roman" w:hAnsi="Times New Roman"/>
          <w:i/>
          <w:iCs/>
          <w:sz w:val="24"/>
          <w:szCs w:val="24"/>
          <w:lang w:eastAsia="en-AU"/>
        </w:rPr>
        <w:t>Water Amendment (Interactions with State Laws) Regulation 2014 (No 1)</w:t>
      </w:r>
      <w:r w:rsidRPr="00BA61EE">
        <w:rPr>
          <w:rFonts w:ascii="Times New Roman" w:hAnsi="Times New Roman"/>
          <w:sz w:val="24"/>
          <w:szCs w:val="24"/>
          <w:lang w:eastAsia="en-AU"/>
        </w:rPr>
        <w:t xml:space="preserve"> was made in June 2014. The third regulation, the </w:t>
      </w:r>
      <w:r w:rsidRPr="00BA61EE">
        <w:rPr>
          <w:rFonts w:ascii="Times New Roman" w:hAnsi="Times New Roman"/>
          <w:i/>
          <w:sz w:val="24"/>
          <w:szCs w:val="24"/>
          <w:lang w:eastAsia="en-AU"/>
        </w:rPr>
        <w:t>Water</w:t>
      </w:r>
      <w:r w:rsidRPr="00BA61EE">
        <w:rPr>
          <w:rFonts w:ascii="Times New Roman" w:hAnsi="Times New Roman"/>
          <w:i/>
          <w:iCs/>
          <w:sz w:val="24"/>
          <w:szCs w:val="24"/>
          <w:lang w:eastAsia="en-AU"/>
        </w:rPr>
        <w:t xml:space="preserve"> Amendment (Interactions with Australian Capital Territory Water Resource Plans) Regulation 2014</w:t>
      </w:r>
      <w:r w:rsidRPr="00BA61EE">
        <w:rPr>
          <w:rFonts w:ascii="Times New Roman" w:hAnsi="Times New Roman"/>
          <w:sz w:val="24"/>
          <w:szCs w:val="24"/>
          <w:lang w:eastAsia="en-AU"/>
        </w:rPr>
        <w:t xml:space="preserve"> was made in November 2014.</w:t>
      </w:r>
    </w:p>
    <w:p w:rsidR="001E74E5" w:rsidRPr="00BA61EE" w:rsidRDefault="00A078A4">
      <w:pPr>
        <w:spacing w:line="240" w:lineRule="auto"/>
        <w:rPr>
          <w:rFonts w:ascii="Times New Roman" w:hAnsi="Times New Roman"/>
          <w:sz w:val="24"/>
          <w:szCs w:val="24"/>
        </w:rPr>
      </w:pPr>
      <w:r w:rsidRPr="00BA61EE">
        <w:rPr>
          <w:rFonts w:ascii="Times New Roman" w:hAnsi="Times New Roman"/>
          <w:sz w:val="24"/>
          <w:szCs w:val="24"/>
        </w:rPr>
        <w:t xml:space="preserve">Consistent with the requirements of the </w:t>
      </w:r>
      <w:r w:rsidRPr="006D7633">
        <w:rPr>
          <w:rFonts w:ascii="Times New Roman" w:hAnsi="Times New Roman"/>
          <w:i/>
          <w:sz w:val="24"/>
          <w:szCs w:val="24"/>
        </w:rPr>
        <w:t>2008 I</w:t>
      </w:r>
      <w:r w:rsidRPr="00BA61EE">
        <w:rPr>
          <w:rFonts w:ascii="Times New Roman" w:hAnsi="Times New Roman"/>
          <w:i/>
          <w:sz w:val="24"/>
          <w:szCs w:val="24"/>
        </w:rPr>
        <w:t>ntergovernmental Agreement on Murray-Darling Basin Reform – Referral</w:t>
      </w:r>
      <w:r w:rsidRPr="00BA61EE">
        <w:rPr>
          <w:rFonts w:ascii="Times New Roman" w:hAnsi="Times New Roman"/>
          <w:sz w:val="24"/>
          <w:szCs w:val="24"/>
        </w:rPr>
        <w:t>, the NSW Government was consulted and agreed to the Regulation being made.</w:t>
      </w:r>
    </w:p>
    <w:p w:rsidR="005B495C" w:rsidRPr="00BA61EE" w:rsidRDefault="00A078A4" w:rsidP="00F420C7">
      <w:pPr>
        <w:pStyle w:val="Heading3"/>
        <w:rPr>
          <w:rFonts w:ascii="Times New Roman" w:hAnsi="Times New Roman" w:cs="Times New Roman"/>
          <w:b w:val="0"/>
          <w:i w:val="0"/>
          <w:sz w:val="24"/>
          <w:szCs w:val="24"/>
          <w:u w:val="single"/>
        </w:rPr>
      </w:pPr>
      <w:r w:rsidRPr="00BA61EE">
        <w:rPr>
          <w:rFonts w:ascii="Times New Roman" w:hAnsi="Times New Roman" w:cs="Times New Roman"/>
          <w:b w:val="0"/>
          <w:i w:val="0"/>
          <w:sz w:val="24"/>
          <w:szCs w:val="24"/>
          <w:u w:val="single"/>
        </w:rPr>
        <w:lastRenderedPageBreak/>
        <w:t xml:space="preserve">Transitional measures under the Act </w:t>
      </w:r>
    </w:p>
    <w:p w:rsidR="00A008EF" w:rsidRPr="00BA61EE" w:rsidRDefault="00A078A4" w:rsidP="00A008EF">
      <w:pPr>
        <w:spacing w:after="0"/>
        <w:rPr>
          <w:rFonts w:ascii="Times New Roman" w:hAnsi="Times New Roman"/>
          <w:sz w:val="24"/>
          <w:szCs w:val="24"/>
        </w:rPr>
      </w:pPr>
      <w:r w:rsidRPr="00BA61EE">
        <w:rPr>
          <w:rFonts w:ascii="Times New Roman" w:hAnsi="Times New Roman"/>
          <w:sz w:val="24"/>
          <w:szCs w:val="24"/>
        </w:rPr>
        <w:t>The Basin Plan, other than the water trading rules in Chapt</w:t>
      </w:r>
      <w:r>
        <w:rPr>
          <w:rFonts w:ascii="Times New Roman" w:hAnsi="Times New Roman"/>
          <w:sz w:val="24"/>
          <w:szCs w:val="24"/>
        </w:rPr>
        <w:t>er 12, commenced on 24 November </w:t>
      </w:r>
      <w:r w:rsidRPr="00BA61EE">
        <w:rPr>
          <w:rFonts w:ascii="Times New Roman" w:hAnsi="Times New Roman"/>
          <w:sz w:val="24"/>
          <w:szCs w:val="24"/>
        </w:rPr>
        <w:t xml:space="preserve">2012. The water trading rules commenced on 1 July 2014.  The long-term </w:t>
      </w:r>
      <w:r w:rsidR="00833A41">
        <w:rPr>
          <w:rFonts w:ascii="Times New Roman" w:hAnsi="Times New Roman"/>
          <w:sz w:val="24"/>
          <w:szCs w:val="24"/>
        </w:rPr>
        <w:t xml:space="preserve">sustainable </w:t>
      </w:r>
      <w:r w:rsidRPr="00BA61EE">
        <w:rPr>
          <w:rFonts w:ascii="Times New Roman" w:hAnsi="Times New Roman"/>
          <w:sz w:val="24"/>
          <w:szCs w:val="24"/>
        </w:rPr>
        <w:t>average diversion limits (SDLs) in the Basin Plan take effect on 1 July 2019.</w:t>
      </w:r>
      <w:r w:rsidRPr="00BA61EE">
        <w:rPr>
          <w:rFonts w:ascii="Times New Roman" w:hAnsi="Times New Roman"/>
          <w:sz w:val="24"/>
          <w:szCs w:val="24"/>
        </w:rPr>
        <w:br/>
      </w:r>
    </w:p>
    <w:p w:rsidR="00ED3976" w:rsidRPr="00BA61EE" w:rsidRDefault="00A078A4" w:rsidP="00F420C7">
      <w:pPr>
        <w:spacing w:after="0"/>
        <w:rPr>
          <w:rFonts w:ascii="Times New Roman" w:hAnsi="Times New Roman"/>
          <w:sz w:val="24"/>
          <w:szCs w:val="24"/>
        </w:rPr>
      </w:pPr>
      <w:r w:rsidRPr="00BA61EE">
        <w:rPr>
          <w:rFonts w:ascii="Times New Roman" w:hAnsi="Times New Roman"/>
          <w:sz w:val="24"/>
          <w:szCs w:val="24"/>
        </w:rPr>
        <w:t>Part 11A of the Act provides, as a transitional measure, for the continuing operation of relevant Basin State plans for a defined period after the Basin Plan first takes effect by recognising:</w:t>
      </w:r>
    </w:p>
    <w:p w:rsidR="00ED3976" w:rsidRPr="00BA61EE" w:rsidRDefault="00E46A7F" w:rsidP="00F420C7">
      <w:pPr>
        <w:spacing w:after="0"/>
        <w:rPr>
          <w:rFonts w:ascii="Times New Roman" w:hAnsi="Times New Roman"/>
          <w:sz w:val="24"/>
          <w:szCs w:val="24"/>
        </w:rPr>
      </w:pPr>
    </w:p>
    <w:p w:rsidR="00A008EF" w:rsidRPr="00BA61EE" w:rsidRDefault="00A078A4" w:rsidP="00A008EF">
      <w:pPr>
        <w:numPr>
          <w:ilvl w:val="0"/>
          <w:numId w:val="24"/>
        </w:numPr>
        <w:spacing w:line="240" w:lineRule="auto"/>
        <w:ind w:left="738"/>
        <w:rPr>
          <w:rFonts w:ascii="Times New Roman" w:hAnsi="Times New Roman"/>
          <w:sz w:val="24"/>
          <w:szCs w:val="24"/>
          <w:lang w:val="en-US"/>
        </w:rPr>
      </w:pPr>
      <w:r w:rsidRPr="00BA61EE">
        <w:rPr>
          <w:rFonts w:ascii="Times New Roman" w:hAnsi="Times New Roman"/>
          <w:sz w:val="24"/>
          <w:szCs w:val="24"/>
          <w:u w:val="single"/>
          <w:lang w:val="en-US"/>
        </w:rPr>
        <w:t>Transitional water resource plans</w:t>
      </w:r>
      <w:r w:rsidRPr="00BA61EE">
        <w:rPr>
          <w:rFonts w:ascii="Times New Roman" w:hAnsi="Times New Roman"/>
          <w:sz w:val="24"/>
          <w:szCs w:val="24"/>
          <w:lang w:val="en-US"/>
        </w:rPr>
        <w:t xml:space="preserve"> – State plans that were made before 25 January 2007. Recognition of transitional plans expires on the date specified in the Act or the Principal Regulations, and</w:t>
      </w:r>
    </w:p>
    <w:p w:rsidR="00A008EF" w:rsidRPr="00BA61EE" w:rsidRDefault="00A078A4" w:rsidP="00A008EF">
      <w:pPr>
        <w:numPr>
          <w:ilvl w:val="0"/>
          <w:numId w:val="24"/>
        </w:numPr>
        <w:spacing w:line="240" w:lineRule="auto"/>
        <w:ind w:left="738"/>
        <w:rPr>
          <w:rFonts w:ascii="Times New Roman" w:hAnsi="Times New Roman"/>
          <w:sz w:val="24"/>
          <w:szCs w:val="24"/>
        </w:rPr>
      </w:pPr>
      <w:r w:rsidRPr="00BA61EE">
        <w:rPr>
          <w:rFonts w:ascii="Times New Roman" w:hAnsi="Times New Roman"/>
          <w:sz w:val="24"/>
          <w:szCs w:val="24"/>
          <w:u w:val="single"/>
          <w:lang w:val="en-US"/>
        </w:rPr>
        <w:t>Interim water resource plans</w:t>
      </w:r>
      <w:r w:rsidRPr="00BA61EE">
        <w:rPr>
          <w:rFonts w:ascii="Times New Roman" w:hAnsi="Times New Roman"/>
          <w:sz w:val="24"/>
          <w:szCs w:val="24"/>
          <w:lang w:val="en-US"/>
        </w:rPr>
        <w:t xml:space="preserve"> - State plans that were made on or after 25 January 2007, but prior to the commencement of the Basin Plan. Recognition of these plans expires on the later of 31 December 2014 or five years after the plan was made.</w:t>
      </w:r>
    </w:p>
    <w:p w:rsidR="00ED3976" w:rsidRPr="00BA61EE" w:rsidRDefault="00E46A7F" w:rsidP="00F420C7">
      <w:pPr>
        <w:spacing w:after="0"/>
        <w:rPr>
          <w:rFonts w:ascii="Times New Roman" w:hAnsi="Times New Roman"/>
          <w:sz w:val="24"/>
          <w:szCs w:val="24"/>
        </w:rPr>
      </w:pPr>
    </w:p>
    <w:p w:rsidR="00841A2E" w:rsidRPr="00BA61EE" w:rsidRDefault="00A078A4" w:rsidP="00841A2E">
      <w:pPr>
        <w:spacing w:after="0"/>
        <w:rPr>
          <w:rFonts w:ascii="Times New Roman" w:hAnsi="Times New Roman"/>
          <w:sz w:val="24"/>
          <w:szCs w:val="24"/>
        </w:rPr>
      </w:pPr>
      <w:r w:rsidRPr="00BA61EE">
        <w:rPr>
          <w:rFonts w:ascii="Times New Roman" w:hAnsi="Times New Roman"/>
          <w:sz w:val="24"/>
          <w:szCs w:val="24"/>
        </w:rPr>
        <w:t xml:space="preserve">Provisions of State plans that are inconsistent with the Basin Plan override the Basin Plan to the extent of the inconsistency. Transitional plans cease to be recognised under the Act on the date specified in Act and the Principal Regulations, if the transitional plan has not ceased to have effect under state law before that date. </w:t>
      </w:r>
    </w:p>
    <w:p w:rsidR="00A76750" w:rsidRPr="00BA61EE" w:rsidRDefault="00E46A7F" w:rsidP="00F420C7">
      <w:pPr>
        <w:spacing w:after="0"/>
        <w:rPr>
          <w:rFonts w:ascii="Times New Roman" w:hAnsi="Times New Roman"/>
          <w:sz w:val="24"/>
          <w:szCs w:val="24"/>
        </w:rPr>
      </w:pPr>
    </w:p>
    <w:p w:rsidR="00841A2E" w:rsidRPr="00BA61EE" w:rsidRDefault="00A078A4" w:rsidP="00841A2E">
      <w:pPr>
        <w:pStyle w:val="Heading3"/>
        <w:spacing w:after="0"/>
        <w:rPr>
          <w:rFonts w:ascii="Times New Roman" w:hAnsi="Times New Roman" w:cs="Times New Roman"/>
          <w:b w:val="0"/>
          <w:i w:val="0"/>
          <w:sz w:val="24"/>
          <w:szCs w:val="24"/>
          <w:u w:val="single"/>
        </w:rPr>
      </w:pPr>
      <w:r w:rsidRPr="00BA61EE">
        <w:rPr>
          <w:rFonts w:ascii="Times New Roman" w:hAnsi="Times New Roman" w:cs="Times New Roman"/>
          <w:b w:val="0"/>
          <w:i w:val="0"/>
          <w:sz w:val="24"/>
          <w:szCs w:val="24"/>
          <w:u w:val="single"/>
        </w:rPr>
        <w:t>Modified operation - provisions relating to transitional water resource plans</w:t>
      </w:r>
      <w:r w:rsidRPr="00BA61EE">
        <w:rPr>
          <w:rFonts w:ascii="Times New Roman" w:hAnsi="Times New Roman" w:cs="Times New Roman"/>
          <w:b w:val="0"/>
          <w:i w:val="0"/>
          <w:sz w:val="24"/>
          <w:szCs w:val="24"/>
          <w:u w:val="single"/>
        </w:rPr>
        <w:br/>
      </w:r>
    </w:p>
    <w:p w:rsidR="00841A2E" w:rsidRPr="00BA61EE" w:rsidRDefault="00A078A4" w:rsidP="00841A2E">
      <w:pPr>
        <w:rPr>
          <w:rFonts w:ascii="Times New Roman" w:hAnsi="Times New Roman"/>
          <w:sz w:val="24"/>
          <w:szCs w:val="24"/>
        </w:rPr>
      </w:pPr>
      <w:r w:rsidRPr="00BA61EE">
        <w:rPr>
          <w:rFonts w:ascii="Times New Roman" w:hAnsi="Times New Roman"/>
          <w:sz w:val="24"/>
          <w:szCs w:val="24"/>
        </w:rPr>
        <w:t xml:space="preserve">In November 2013, the first regulation amended the Principal Regulations to provide for extended transitional recognition for a number of State plans. This Regulation also modified the operation of section 54 of the Act by providing that the section does not apply in relation to a State area specified Part 2 of Schedule 5 of the  Principal Regulations until after the day specified. </w:t>
      </w:r>
    </w:p>
    <w:p w:rsidR="00841A2E" w:rsidRPr="00BA61EE" w:rsidRDefault="00A078A4" w:rsidP="00841A2E">
      <w:pPr>
        <w:rPr>
          <w:rFonts w:ascii="Times New Roman" w:hAnsi="Times New Roman"/>
          <w:sz w:val="24"/>
          <w:szCs w:val="24"/>
        </w:rPr>
      </w:pPr>
      <w:r w:rsidRPr="00BA61EE">
        <w:rPr>
          <w:rFonts w:ascii="Times New Roman" w:hAnsi="Times New Roman"/>
          <w:sz w:val="24"/>
          <w:szCs w:val="24"/>
        </w:rPr>
        <w:t>The Regulation is the fourth regulation to modify the operation of the provisions of the Act relating to State plans discussed above for the purposes of section 250E of the Act. The Regulation provides for an extended period of recognition for all State plans listed in the Regulation.</w:t>
      </w:r>
    </w:p>
    <w:p w:rsidR="00002E42" w:rsidRPr="00BA61EE" w:rsidRDefault="00A078A4" w:rsidP="00F420C7">
      <w:pPr>
        <w:spacing w:after="0"/>
        <w:rPr>
          <w:rFonts w:ascii="Times New Roman" w:hAnsi="Times New Roman"/>
          <w:sz w:val="24"/>
          <w:szCs w:val="24"/>
        </w:rPr>
      </w:pPr>
      <w:r w:rsidRPr="00BA61EE">
        <w:rPr>
          <w:rFonts w:ascii="Times New Roman" w:hAnsi="Times New Roman"/>
          <w:sz w:val="24"/>
          <w:szCs w:val="24"/>
        </w:rPr>
        <w:t>The effect of the Regulation is that the Basin Plan will not apply to any matters that are dealt with by provisions of these State plans which are inconsistent with the Basin Plan, with the exception of the Basin Plan water trading rules, which will apply from 1 July 2014 or from the original expiry date for the transitional or interim water resource plans.</w:t>
      </w:r>
    </w:p>
    <w:p w:rsidR="001E74E5" w:rsidRPr="00BA61EE" w:rsidRDefault="00A078A4">
      <w:pPr>
        <w:spacing w:line="240" w:lineRule="auto"/>
        <w:rPr>
          <w:rFonts w:ascii="Times New Roman" w:hAnsi="Times New Roman"/>
          <w:b/>
          <w:sz w:val="24"/>
          <w:szCs w:val="24"/>
        </w:rPr>
      </w:pPr>
      <w:r w:rsidRPr="00BA61EE">
        <w:rPr>
          <w:rFonts w:ascii="Times New Roman" w:hAnsi="Times New Roman"/>
          <w:sz w:val="24"/>
          <w:szCs w:val="24"/>
        </w:rPr>
        <w:br/>
      </w:r>
      <w:r w:rsidRPr="00BA61EE">
        <w:rPr>
          <w:rFonts w:ascii="Times New Roman" w:hAnsi="Times New Roman"/>
          <w:b/>
          <w:sz w:val="24"/>
          <w:szCs w:val="24"/>
        </w:rPr>
        <w:t>Regulation Impact Statement</w:t>
      </w:r>
    </w:p>
    <w:p w:rsidR="00F8512C" w:rsidRPr="00BA61EE" w:rsidRDefault="00A078A4" w:rsidP="00F420C7">
      <w:pPr>
        <w:rPr>
          <w:rFonts w:ascii="Times New Roman" w:hAnsi="Times New Roman"/>
          <w:sz w:val="24"/>
          <w:szCs w:val="24"/>
        </w:rPr>
      </w:pPr>
      <w:r w:rsidRPr="00BA61EE">
        <w:rPr>
          <w:rFonts w:ascii="Times New Roman" w:hAnsi="Times New Roman"/>
          <w:sz w:val="24"/>
          <w:szCs w:val="24"/>
        </w:rPr>
        <w:t>The Deregulation Unit of the Department of the Environment has advised that a Regulation Impact Statement was not required, as the Regulation is likely to be of minor impact.</w:t>
      </w:r>
    </w:p>
    <w:p w:rsidR="00BA61EE" w:rsidRDefault="00E46A7F" w:rsidP="00F420C7">
      <w:pPr>
        <w:rPr>
          <w:rFonts w:ascii="Times New Roman" w:hAnsi="Times New Roman"/>
          <w:b/>
          <w:sz w:val="24"/>
          <w:szCs w:val="24"/>
        </w:rPr>
      </w:pPr>
    </w:p>
    <w:p w:rsidR="00BA61EE" w:rsidRDefault="00E46A7F" w:rsidP="00F420C7">
      <w:pPr>
        <w:rPr>
          <w:rFonts w:ascii="Times New Roman" w:hAnsi="Times New Roman"/>
          <w:b/>
          <w:sz w:val="24"/>
          <w:szCs w:val="24"/>
        </w:rPr>
      </w:pPr>
    </w:p>
    <w:p w:rsidR="00F8512C" w:rsidRPr="00BA61EE" w:rsidRDefault="00A078A4" w:rsidP="00F420C7">
      <w:pPr>
        <w:rPr>
          <w:rFonts w:ascii="Times New Roman" w:hAnsi="Times New Roman"/>
          <w:sz w:val="24"/>
          <w:szCs w:val="24"/>
        </w:rPr>
      </w:pPr>
      <w:r w:rsidRPr="00BA61EE">
        <w:rPr>
          <w:rFonts w:ascii="Times New Roman" w:hAnsi="Times New Roman"/>
          <w:b/>
          <w:sz w:val="24"/>
          <w:szCs w:val="24"/>
        </w:rPr>
        <w:lastRenderedPageBreak/>
        <w:t>Details of the Regulation</w:t>
      </w:r>
    </w:p>
    <w:p w:rsidR="00F8512C" w:rsidRPr="00BA61EE" w:rsidRDefault="00A078A4" w:rsidP="00F420C7">
      <w:pPr>
        <w:rPr>
          <w:rFonts w:ascii="Times New Roman" w:hAnsi="Times New Roman"/>
          <w:sz w:val="24"/>
          <w:szCs w:val="24"/>
        </w:rPr>
      </w:pPr>
      <w:r w:rsidRPr="00BA61EE">
        <w:rPr>
          <w:rFonts w:ascii="Times New Roman" w:hAnsi="Times New Roman"/>
          <w:sz w:val="24"/>
          <w:szCs w:val="24"/>
        </w:rPr>
        <w:t>The Act does not specify any conditions that need to be satisfied before the power to make the Regulation may be exercised.</w:t>
      </w:r>
    </w:p>
    <w:p w:rsidR="00F8512C" w:rsidRPr="00BA61EE" w:rsidRDefault="00A078A4" w:rsidP="00F420C7">
      <w:pPr>
        <w:rPr>
          <w:rFonts w:ascii="Times New Roman" w:hAnsi="Times New Roman"/>
          <w:sz w:val="24"/>
          <w:szCs w:val="24"/>
        </w:rPr>
      </w:pPr>
      <w:r w:rsidRPr="00BA61EE">
        <w:rPr>
          <w:rFonts w:ascii="Times New Roman" w:hAnsi="Times New Roman"/>
          <w:sz w:val="24"/>
          <w:szCs w:val="24"/>
        </w:rPr>
        <w:t xml:space="preserve">The Regulation is a legislative instrument for the purposes of the </w:t>
      </w:r>
      <w:r w:rsidRPr="00BA61EE">
        <w:rPr>
          <w:rFonts w:ascii="Times New Roman" w:hAnsi="Times New Roman"/>
          <w:i/>
          <w:sz w:val="24"/>
          <w:szCs w:val="24"/>
        </w:rPr>
        <w:t>Legislative Instruments Act 2003</w:t>
      </w:r>
      <w:r w:rsidRPr="00BA61EE">
        <w:rPr>
          <w:rFonts w:ascii="Times New Roman" w:hAnsi="Times New Roman"/>
          <w:sz w:val="24"/>
          <w:szCs w:val="24"/>
        </w:rPr>
        <w:t>, and commences on the day after it is registered on the Federal Register of Instruments.</w:t>
      </w:r>
    </w:p>
    <w:p w:rsidR="00F8512C" w:rsidRPr="00BA61EE" w:rsidRDefault="00A078A4" w:rsidP="00F420C7">
      <w:pPr>
        <w:rPr>
          <w:rFonts w:ascii="Times New Roman" w:hAnsi="Times New Roman"/>
          <w:sz w:val="24"/>
          <w:szCs w:val="24"/>
        </w:rPr>
      </w:pPr>
      <w:r w:rsidRPr="00BA61EE">
        <w:rPr>
          <w:rFonts w:ascii="Times New Roman" w:hAnsi="Times New Roman"/>
          <w:sz w:val="24"/>
          <w:szCs w:val="24"/>
        </w:rPr>
        <w:t xml:space="preserve">Details of the regulation are set out in the </w:t>
      </w:r>
      <w:r w:rsidRPr="00BA61EE">
        <w:rPr>
          <w:rFonts w:ascii="Times New Roman" w:hAnsi="Times New Roman"/>
          <w:sz w:val="24"/>
          <w:szCs w:val="24"/>
          <w:u w:val="single"/>
        </w:rPr>
        <w:t>Attachment</w:t>
      </w:r>
      <w:r w:rsidRPr="00BA61EE">
        <w:rPr>
          <w:rFonts w:ascii="Times New Roman" w:hAnsi="Times New Roman"/>
          <w:sz w:val="24"/>
          <w:szCs w:val="24"/>
        </w:rPr>
        <w:t>.</w:t>
      </w:r>
    </w:p>
    <w:p w:rsidR="00F8512C" w:rsidRPr="00BA61EE" w:rsidRDefault="00E46A7F" w:rsidP="00F8512C">
      <w:pPr>
        <w:rPr>
          <w:rFonts w:ascii="Times New Roman" w:hAnsi="Times New Roman"/>
          <w:sz w:val="24"/>
          <w:szCs w:val="24"/>
        </w:rPr>
      </w:pPr>
    </w:p>
    <w:p w:rsidR="00F8512C" w:rsidRPr="00BA61EE" w:rsidRDefault="00A078A4" w:rsidP="00F8512C">
      <w:pPr>
        <w:ind w:firstLine="720"/>
        <w:jc w:val="right"/>
        <w:rPr>
          <w:rFonts w:ascii="Times New Roman" w:hAnsi="Times New Roman"/>
          <w:sz w:val="24"/>
          <w:szCs w:val="24"/>
        </w:rPr>
      </w:pPr>
      <w:r w:rsidRPr="00BA61EE">
        <w:rPr>
          <w:rFonts w:ascii="Times New Roman" w:hAnsi="Times New Roman"/>
          <w:sz w:val="24"/>
          <w:szCs w:val="24"/>
          <w:u w:val="single"/>
        </w:rPr>
        <w:t>Authority</w:t>
      </w:r>
      <w:r w:rsidRPr="00BA61EE">
        <w:rPr>
          <w:rFonts w:ascii="Times New Roman" w:hAnsi="Times New Roman"/>
          <w:sz w:val="24"/>
          <w:szCs w:val="24"/>
        </w:rPr>
        <w:t xml:space="preserve">: </w:t>
      </w:r>
      <w:r w:rsidRPr="00BA61EE">
        <w:rPr>
          <w:rFonts w:ascii="Times New Roman" w:hAnsi="Times New Roman"/>
          <w:sz w:val="24"/>
          <w:szCs w:val="24"/>
        </w:rPr>
        <w:tab/>
        <w:t xml:space="preserve">Section 256 of the </w:t>
      </w:r>
      <w:r w:rsidRPr="00BA61EE">
        <w:rPr>
          <w:rFonts w:ascii="Times New Roman" w:hAnsi="Times New Roman"/>
          <w:i/>
          <w:sz w:val="24"/>
          <w:szCs w:val="24"/>
        </w:rPr>
        <w:t>Water Act 2007</w:t>
      </w:r>
    </w:p>
    <w:p w:rsidR="00F8512C" w:rsidRPr="00BA61EE" w:rsidRDefault="00E46A7F" w:rsidP="00303A25">
      <w:pPr>
        <w:spacing w:line="240" w:lineRule="auto"/>
        <w:rPr>
          <w:rFonts w:ascii="Times New Roman" w:hAnsi="Times New Roman"/>
          <w:sz w:val="24"/>
          <w:szCs w:val="24"/>
        </w:rPr>
        <w:sectPr w:rsidR="00F8512C" w:rsidRPr="00BA61EE" w:rsidSect="005B495C">
          <w:headerReference w:type="default" r:id="rId8"/>
          <w:footerReference w:type="default" r:id="rId9"/>
          <w:headerReference w:type="first" r:id="rId10"/>
          <w:pgSz w:w="11906" w:h="16838"/>
          <w:pgMar w:top="1418" w:right="1276" w:bottom="567" w:left="1418" w:header="425" w:footer="425" w:gutter="0"/>
          <w:pgNumType w:start="1"/>
          <w:cols w:space="708"/>
          <w:titlePg/>
          <w:docGrid w:linePitch="360"/>
        </w:sectPr>
      </w:pPr>
    </w:p>
    <w:p w:rsidR="005B495C" w:rsidRPr="00BA61EE" w:rsidRDefault="00A078A4" w:rsidP="00303A25">
      <w:pPr>
        <w:spacing w:line="240" w:lineRule="auto"/>
        <w:rPr>
          <w:rFonts w:ascii="Times New Roman" w:hAnsi="Times New Roman"/>
          <w:b/>
          <w:sz w:val="24"/>
          <w:szCs w:val="24"/>
        </w:rPr>
      </w:pPr>
      <w:r w:rsidRPr="00BA61EE">
        <w:rPr>
          <w:rFonts w:ascii="Times New Roman" w:hAnsi="Times New Roman"/>
          <w:b/>
          <w:sz w:val="24"/>
          <w:szCs w:val="24"/>
        </w:rPr>
        <w:lastRenderedPageBreak/>
        <w:t>Statement of Compatibility with Human Rights</w:t>
      </w:r>
    </w:p>
    <w:p w:rsidR="005B495C" w:rsidRPr="00BA61EE" w:rsidRDefault="00A078A4" w:rsidP="00303A25">
      <w:pPr>
        <w:spacing w:line="240" w:lineRule="auto"/>
        <w:rPr>
          <w:rFonts w:ascii="Times New Roman" w:hAnsi="Times New Roman"/>
          <w:sz w:val="24"/>
          <w:szCs w:val="24"/>
          <w:u w:val="single"/>
        </w:rPr>
      </w:pPr>
      <w:r w:rsidRPr="00BA61EE">
        <w:rPr>
          <w:rFonts w:ascii="Times New Roman" w:hAnsi="Times New Roman"/>
          <w:sz w:val="24"/>
          <w:szCs w:val="24"/>
        </w:rPr>
        <w:t xml:space="preserve">This Statement of Compatibility has been prepared in accordance with Part 3 of the </w:t>
      </w:r>
      <w:r w:rsidRPr="00BA61EE">
        <w:rPr>
          <w:rFonts w:ascii="Times New Roman" w:hAnsi="Times New Roman"/>
          <w:i/>
          <w:sz w:val="24"/>
          <w:szCs w:val="24"/>
        </w:rPr>
        <w:t xml:space="preserve">Human Rights (Parliamentary Scrutiny) Act 2011 </w:t>
      </w:r>
      <w:r w:rsidRPr="00BA61EE">
        <w:rPr>
          <w:rFonts w:ascii="Times New Roman" w:hAnsi="Times New Roman"/>
          <w:sz w:val="24"/>
          <w:szCs w:val="24"/>
        </w:rPr>
        <w:t>(‘Human Rights Act’).</w:t>
      </w:r>
    </w:p>
    <w:p w:rsidR="005B495C" w:rsidRPr="00BA61EE" w:rsidRDefault="00A078A4" w:rsidP="00303A25">
      <w:pPr>
        <w:spacing w:line="240" w:lineRule="auto"/>
        <w:rPr>
          <w:rFonts w:ascii="Times New Roman" w:hAnsi="Times New Roman"/>
          <w:i/>
          <w:sz w:val="24"/>
          <w:szCs w:val="24"/>
          <w:u w:val="single"/>
        </w:rPr>
      </w:pPr>
      <w:r w:rsidRPr="00BA61EE">
        <w:rPr>
          <w:rFonts w:ascii="Times New Roman" w:hAnsi="Times New Roman"/>
          <w:i/>
          <w:sz w:val="24"/>
          <w:szCs w:val="24"/>
          <w:u w:val="single"/>
        </w:rPr>
        <w:t>Water Amendment (Interaction</w:t>
      </w:r>
      <w:r w:rsidR="005465E7">
        <w:rPr>
          <w:rFonts w:ascii="Times New Roman" w:hAnsi="Times New Roman"/>
          <w:i/>
          <w:sz w:val="24"/>
          <w:szCs w:val="24"/>
          <w:u w:val="single"/>
        </w:rPr>
        <w:t>s</w:t>
      </w:r>
      <w:r w:rsidRPr="00BA61EE">
        <w:rPr>
          <w:rFonts w:ascii="Times New Roman" w:hAnsi="Times New Roman"/>
          <w:i/>
          <w:sz w:val="24"/>
          <w:szCs w:val="24"/>
          <w:u w:val="single"/>
        </w:rPr>
        <w:t xml:space="preserve"> with State Laws) Regulation 2015 (No. 1)</w:t>
      </w:r>
    </w:p>
    <w:p w:rsidR="005B495C" w:rsidRPr="00BA61EE" w:rsidRDefault="00A078A4" w:rsidP="00303A25">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r w:rsidRPr="00BA61EE">
        <w:rPr>
          <w:rFonts w:ascii="Times New Roman" w:hAnsi="Times New Roman"/>
          <w:i/>
          <w:sz w:val="24"/>
          <w:szCs w:val="24"/>
        </w:rPr>
        <w:t xml:space="preserve"> </w:t>
      </w:r>
    </w:p>
    <w:p w:rsidR="005B495C" w:rsidRPr="00BA61EE" w:rsidRDefault="00A078A4" w:rsidP="00303A25">
      <w:pPr>
        <w:spacing w:line="240" w:lineRule="auto"/>
        <w:rPr>
          <w:rFonts w:ascii="Times New Roman" w:hAnsi="Times New Roman"/>
          <w:sz w:val="24"/>
          <w:szCs w:val="24"/>
          <w:u w:val="single"/>
        </w:rPr>
      </w:pPr>
      <w:r w:rsidRPr="00BA61EE">
        <w:rPr>
          <w:rFonts w:ascii="Times New Roman" w:hAnsi="Times New Roman"/>
          <w:sz w:val="24"/>
          <w:szCs w:val="24"/>
          <w:u w:val="single"/>
        </w:rPr>
        <w:t>Overview of the Legislative Instrument</w:t>
      </w:r>
    </w:p>
    <w:p w:rsidR="005B495C" w:rsidRPr="00BA61EE" w:rsidRDefault="00A078A4" w:rsidP="007D6C57">
      <w:pPr>
        <w:spacing w:line="240" w:lineRule="auto"/>
        <w:rPr>
          <w:rFonts w:ascii="Times New Roman" w:hAnsi="Times New Roman"/>
          <w:sz w:val="24"/>
          <w:szCs w:val="24"/>
        </w:rPr>
      </w:pPr>
      <w:r w:rsidRPr="00BA61EE">
        <w:rPr>
          <w:rFonts w:ascii="Times New Roman" w:hAnsi="Times New Roman"/>
          <w:sz w:val="24"/>
          <w:szCs w:val="24"/>
        </w:rPr>
        <w:t xml:space="preserve">This legislative instrument amends the </w:t>
      </w:r>
      <w:r w:rsidRPr="00BA61EE">
        <w:rPr>
          <w:rFonts w:ascii="Times New Roman" w:hAnsi="Times New Roman"/>
          <w:i/>
          <w:sz w:val="24"/>
          <w:szCs w:val="24"/>
        </w:rPr>
        <w:t xml:space="preserve">Water Regulations 2008 </w:t>
      </w:r>
      <w:r w:rsidRPr="00BA61EE">
        <w:rPr>
          <w:rFonts w:ascii="Times New Roman" w:hAnsi="Times New Roman"/>
          <w:sz w:val="24"/>
          <w:szCs w:val="24"/>
        </w:rPr>
        <w:t xml:space="preserve">(‘Principal Regulations’) to provide for an extended period of recognition for the Peel Valley WSP (other than the provisions relating to water trading rules) as a transitional water resource plan. </w:t>
      </w:r>
    </w:p>
    <w:p w:rsidR="005B495C" w:rsidRPr="00BA61EE" w:rsidRDefault="00A078A4" w:rsidP="00303A25">
      <w:pPr>
        <w:spacing w:line="240" w:lineRule="auto"/>
        <w:rPr>
          <w:rFonts w:ascii="Times New Roman" w:hAnsi="Times New Roman"/>
          <w:sz w:val="24"/>
          <w:szCs w:val="24"/>
          <w:u w:val="single"/>
        </w:rPr>
      </w:pPr>
      <w:r w:rsidRPr="00BA61EE">
        <w:rPr>
          <w:rFonts w:ascii="Times New Roman" w:hAnsi="Times New Roman"/>
          <w:sz w:val="24"/>
          <w:szCs w:val="24"/>
          <w:u w:val="single"/>
        </w:rPr>
        <w:t>Human rights implications</w:t>
      </w:r>
    </w:p>
    <w:p w:rsidR="005B495C" w:rsidRPr="00BA61EE" w:rsidRDefault="00A078A4" w:rsidP="00303A25">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(the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rsidR="00290A64" w:rsidRPr="00BA61EE" w:rsidRDefault="00A078A4" w:rsidP="00303A25">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sidRPr="00BA61EE">
        <w:rPr>
          <w:rFonts w:ascii="Times New Roman" w:hAnsi="Times New Roman"/>
          <w:sz w:val="24"/>
          <w:szCs w:val="24"/>
        </w:rPr>
        <w:t xml:space="preserve">(the ‘Act’). The overall framework of the Act supports access to sufficient, safe, acceptable and physically accessible water for personal and domestic uses. This is reflected in the Act by section 20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(the ‘Basin Plan’) and is supported by subsection 22(1) which sets out the specific content required to be included in the Basin Plan, such as a water quality and salinity management plan (Item 10). These sections, together with subsection 86A(1)(a) which requires regard to be given to critical human water needs and water quality, support the human right to water. </w:t>
      </w:r>
    </w:p>
    <w:p w:rsidR="005B495C" w:rsidRPr="00BA61EE" w:rsidRDefault="00A078A4" w:rsidP="00303A25">
      <w:pPr>
        <w:spacing w:line="240" w:lineRule="auto"/>
        <w:rPr>
          <w:rFonts w:ascii="Times New Roman" w:hAnsi="Times New Roman"/>
          <w:sz w:val="24"/>
          <w:szCs w:val="24"/>
        </w:rPr>
      </w:pPr>
      <w:r w:rsidRPr="00BA61EE">
        <w:rPr>
          <w:rFonts w:ascii="Times New Roman" w:hAnsi="Times New Roman"/>
          <w:sz w:val="24"/>
          <w:szCs w:val="24"/>
        </w:rPr>
        <w:t xml:space="preserve">These amendments to the Principal Regulations deal with minor administrative and machinery matters which are provided for in the Act and required to support implementation of the Basin Plan. </w:t>
      </w:r>
    </w:p>
    <w:p w:rsidR="005B495C" w:rsidRPr="00BA61EE" w:rsidRDefault="00A078A4" w:rsidP="00303A25">
      <w:pPr>
        <w:spacing w:line="240" w:lineRule="auto"/>
        <w:rPr>
          <w:rFonts w:ascii="Times New Roman" w:hAnsi="Times New Roman"/>
          <w:sz w:val="24"/>
          <w:szCs w:val="24"/>
        </w:rPr>
      </w:pPr>
      <w:r w:rsidRPr="00BA61EE">
        <w:rPr>
          <w:rFonts w:ascii="Times New Roman" w:hAnsi="Times New Roman"/>
          <w:sz w:val="24"/>
          <w:szCs w:val="24"/>
        </w:rPr>
        <w:t xml:space="preserve">The extended recognition of the State plans as transitional water resource plans provides the Basin State with the time required to undertake comprehensive water management and planning, required to prepare water resource plans for accreditation under the Act. </w:t>
      </w:r>
    </w:p>
    <w:p w:rsidR="002D57FA" w:rsidRDefault="00A078A4" w:rsidP="00303A25">
      <w:pPr>
        <w:spacing w:line="240" w:lineRule="auto"/>
        <w:rPr>
          <w:rFonts w:ascii="Times New Roman" w:hAnsi="Times New Roman"/>
          <w:sz w:val="24"/>
          <w:szCs w:val="24"/>
        </w:rPr>
      </w:pPr>
      <w:r w:rsidRPr="00BA61EE">
        <w:rPr>
          <w:rFonts w:ascii="Times New Roman" w:hAnsi="Times New Roman"/>
          <w:sz w:val="24"/>
          <w:szCs w:val="24"/>
        </w:rPr>
        <w:t xml:space="preserve">The Principal Regulations, incorporating these amendments, will continue to support access to sufficient, safe, acceptable and physically accessible water for personal and domestic uses. The 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 Plan. </w:t>
      </w:r>
    </w:p>
    <w:p w:rsidR="004D03B2" w:rsidRPr="00BA61EE" w:rsidRDefault="00E46A7F" w:rsidP="00303A25">
      <w:pPr>
        <w:spacing w:line="240" w:lineRule="auto"/>
        <w:rPr>
          <w:rFonts w:ascii="Times New Roman" w:hAnsi="Times New Roman"/>
          <w:sz w:val="24"/>
          <w:szCs w:val="24"/>
        </w:rPr>
      </w:pPr>
    </w:p>
    <w:p w:rsidR="00B62992" w:rsidRPr="00BA61EE" w:rsidRDefault="00A078A4" w:rsidP="00303A25">
      <w:pPr>
        <w:spacing w:line="240" w:lineRule="auto"/>
        <w:rPr>
          <w:rFonts w:ascii="Times New Roman" w:hAnsi="Times New Roman"/>
          <w:sz w:val="24"/>
          <w:szCs w:val="24"/>
          <w:u w:val="single"/>
        </w:rPr>
      </w:pPr>
      <w:r w:rsidRPr="00BA61EE">
        <w:rPr>
          <w:rFonts w:ascii="Times New Roman" w:hAnsi="Times New Roman"/>
          <w:sz w:val="24"/>
          <w:szCs w:val="24"/>
          <w:u w:val="single"/>
        </w:rPr>
        <w:lastRenderedPageBreak/>
        <w:t>Conclusion</w:t>
      </w:r>
    </w:p>
    <w:p w:rsidR="00B62992" w:rsidRPr="00BA61EE" w:rsidRDefault="00A078A4" w:rsidP="00F8512C">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rsidR="0033048F" w:rsidRPr="00BA61EE" w:rsidRDefault="00A078A4" w:rsidP="0033048F">
      <w:pPr>
        <w:tabs>
          <w:tab w:val="left" w:pos="6560"/>
        </w:tabs>
        <w:rPr>
          <w:rFonts w:ascii="Times New Roman" w:hAnsi="Times New Roman"/>
          <w:sz w:val="24"/>
          <w:szCs w:val="24"/>
        </w:rPr>
      </w:pPr>
      <w:r w:rsidRPr="00BA61EE">
        <w:rPr>
          <w:rFonts w:ascii="Times New Roman" w:hAnsi="Times New Roman"/>
          <w:sz w:val="24"/>
          <w:szCs w:val="24"/>
        </w:rPr>
        <w:tab/>
      </w:r>
    </w:p>
    <w:p w:rsidR="00A2156A" w:rsidRPr="00BA61EE" w:rsidRDefault="00E46A7F" w:rsidP="00A2156A">
      <w:pPr>
        <w:rPr>
          <w:rFonts w:ascii="Times New Roman" w:hAnsi="Times New Roman"/>
          <w:sz w:val="24"/>
          <w:szCs w:val="24"/>
        </w:rPr>
      </w:pPr>
    </w:p>
    <w:p w:rsidR="00B62992" w:rsidRPr="00BA61EE" w:rsidRDefault="00E46A7F" w:rsidP="00A2156A">
      <w:pPr>
        <w:rPr>
          <w:rFonts w:ascii="Times New Roman" w:hAnsi="Times New Roman"/>
          <w:sz w:val="24"/>
          <w:szCs w:val="24"/>
        </w:rPr>
        <w:sectPr w:rsidR="00B62992" w:rsidRPr="00BA61EE" w:rsidSect="005B495C">
          <w:pgSz w:w="11906" w:h="16838"/>
          <w:pgMar w:top="1418" w:right="1276" w:bottom="567" w:left="1418" w:header="425" w:footer="425" w:gutter="0"/>
          <w:pgNumType w:start="1"/>
          <w:cols w:space="708"/>
          <w:titlePg/>
          <w:docGrid w:linePitch="360"/>
        </w:sectPr>
      </w:pPr>
    </w:p>
    <w:p w:rsidR="005B495C" w:rsidRPr="00BA61EE" w:rsidRDefault="00A078A4" w:rsidP="005B495C">
      <w:pPr>
        <w:spacing w:after="0" w:line="240" w:lineRule="auto"/>
        <w:jc w:val="right"/>
        <w:rPr>
          <w:rFonts w:ascii="Times New Roman" w:hAnsi="Times New Roman"/>
          <w:b/>
          <w:sz w:val="24"/>
          <w:szCs w:val="24"/>
          <w:u w:val="single"/>
        </w:rPr>
      </w:pPr>
      <w:r w:rsidRPr="00BA61EE">
        <w:rPr>
          <w:rFonts w:ascii="Times New Roman" w:hAnsi="Times New Roman"/>
          <w:b/>
          <w:sz w:val="24"/>
          <w:szCs w:val="24"/>
          <w:u w:val="single"/>
        </w:rPr>
        <w:lastRenderedPageBreak/>
        <w:t>ATTACHMENT</w:t>
      </w:r>
    </w:p>
    <w:p w:rsidR="005B495C" w:rsidRPr="00BA61EE" w:rsidRDefault="00E46A7F" w:rsidP="005B495C">
      <w:pPr>
        <w:spacing w:after="0" w:line="240" w:lineRule="auto"/>
        <w:rPr>
          <w:rFonts w:ascii="Times New Roman" w:hAnsi="Times New Roman"/>
          <w:b/>
          <w:sz w:val="24"/>
          <w:szCs w:val="24"/>
          <w:u w:val="single"/>
        </w:rPr>
      </w:pPr>
    </w:p>
    <w:p w:rsidR="005B495C" w:rsidRPr="00BA61EE" w:rsidRDefault="00E46A7F" w:rsidP="005B495C">
      <w:pPr>
        <w:pStyle w:val="Header"/>
        <w:jc w:val="right"/>
        <w:rPr>
          <w:b/>
          <w:i w:val="0"/>
          <w:sz w:val="24"/>
          <w:szCs w:val="24"/>
          <w:u w:val="single"/>
        </w:rPr>
      </w:pPr>
    </w:p>
    <w:p w:rsidR="005B495C" w:rsidRPr="00BA61EE" w:rsidRDefault="00A078A4" w:rsidP="005B495C">
      <w:pPr>
        <w:pStyle w:val="Header"/>
        <w:jc w:val="left"/>
        <w:rPr>
          <w:b/>
          <w:sz w:val="24"/>
          <w:szCs w:val="24"/>
          <w:u w:val="single"/>
        </w:rPr>
      </w:pPr>
      <w:r w:rsidRPr="00BA61EE">
        <w:rPr>
          <w:b/>
          <w:i w:val="0"/>
          <w:sz w:val="24"/>
          <w:szCs w:val="24"/>
          <w:u w:val="single"/>
        </w:rPr>
        <w:t xml:space="preserve">Details of the </w:t>
      </w:r>
      <w:r w:rsidRPr="00BA61EE">
        <w:rPr>
          <w:b/>
          <w:sz w:val="24"/>
          <w:szCs w:val="24"/>
          <w:u w:val="single"/>
        </w:rPr>
        <w:t>Water Amendment (Interactions with State Laws) Regulation 2015 (No.1)</w:t>
      </w:r>
    </w:p>
    <w:p w:rsidR="005B495C" w:rsidRPr="00BA61EE" w:rsidRDefault="00E46A7F" w:rsidP="005B495C">
      <w:pPr>
        <w:spacing w:after="0" w:line="240" w:lineRule="auto"/>
        <w:rPr>
          <w:rFonts w:ascii="Times New Roman" w:hAnsi="Times New Roman"/>
          <w:sz w:val="24"/>
          <w:szCs w:val="24"/>
        </w:rPr>
      </w:pPr>
    </w:p>
    <w:p w:rsidR="005B495C" w:rsidRPr="00BA61EE" w:rsidRDefault="00A078A4" w:rsidP="005B495C">
      <w:pPr>
        <w:spacing w:line="240" w:lineRule="auto"/>
        <w:rPr>
          <w:rFonts w:ascii="Times New Roman" w:hAnsi="Times New Roman"/>
          <w:sz w:val="24"/>
          <w:szCs w:val="24"/>
          <w:u w:val="single"/>
        </w:rPr>
      </w:pPr>
      <w:r w:rsidRPr="00BA61EE">
        <w:rPr>
          <w:rFonts w:ascii="Times New Roman" w:hAnsi="Times New Roman"/>
          <w:sz w:val="24"/>
          <w:szCs w:val="24"/>
          <w:u w:val="single"/>
        </w:rPr>
        <w:t>Section 1 - Name of Regulation</w:t>
      </w:r>
    </w:p>
    <w:p w:rsidR="005B495C" w:rsidRPr="00BA61EE" w:rsidRDefault="00A078A4" w:rsidP="005B495C">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title of the Regulation is the </w:t>
      </w:r>
      <w:r w:rsidRPr="00BA61EE">
        <w:rPr>
          <w:rFonts w:ascii="Times New Roman" w:hAnsi="Times New Roman"/>
          <w:i/>
          <w:sz w:val="24"/>
          <w:szCs w:val="24"/>
        </w:rPr>
        <w:t xml:space="preserve">Water Amendment (Interactions with State Laws) Regulation 2015 (No.1) </w:t>
      </w:r>
      <w:r w:rsidRPr="00BA61EE">
        <w:rPr>
          <w:rFonts w:ascii="Times New Roman" w:hAnsi="Times New Roman"/>
          <w:sz w:val="24"/>
          <w:szCs w:val="24"/>
        </w:rPr>
        <w:t>(‘Regulation’).</w:t>
      </w:r>
    </w:p>
    <w:p w:rsidR="005B495C" w:rsidRPr="00BA61EE" w:rsidRDefault="00A078A4" w:rsidP="005B495C">
      <w:pPr>
        <w:spacing w:line="240" w:lineRule="auto"/>
        <w:rPr>
          <w:rFonts w:ascii="Times New Roman" w:hAnsi="Times New Roman"/>
          <w:sz w:val="24"/>
          <w:szCs w:val="24"/>
          <w:u w:val="single"/>
        </w:rPr>
      </w:pPr>
      <w:r w:rsidRPr="00BA61EE">
        <w:rPr>
          <w:rFonts w:ascii="Times New Roman" w:hAnsi="Times New Roman"/>
          <w:sz w:val="24"/>
          <w:szCs w:val="24"/>
          <w:u w:val="single"/>
        </w:rPr>
        <w:t>Section 2 - Commencement</w:t>
      </w:r>
    </w:p>
    <w:p w:rsidR="005B495C" w:rsidRPr="00BA61EE" w:rsidRDefault="00A078A4" w:rsidP="005B495C">
      <w:pPr>
        <w:spacing w:line="240" w:lineRule="auto"/>
        <w:rPr>
          <w:rFonts w:ascii="Times New Roman" w:hAnsi="Times New Roman"/>
          <w:sz w:val="24"/>
          <w:szCs w:val="24"/>
        </w:rPr>
      </w:pPr>
      <w:r w:rsidRPr="00BA61EE">
        <w:rPr>
          <w:rFonts w:ascii="Times New Roman" w:hAnsi="Times New Roman"/>
          <w:sz w:val="24"/>
          <w:szCs w:val="24"/>
        </w:rPr>
        <w:t>This section provides that the Regulation commences on the day after it is registered.</w:t>
      </w:r>
    </w:p>
    <w:p w:rsidR="005B495C" w:rsidRPr="00BA61EE" w:rsidRDefault="00A078A4" w:rsidP="005B495C">
      <w:pPr>
        <w:spacing w:line="240" w:lineRule="auto"/>
        <w:rPr>
          <w:rFonts w:ascii="Times New Roman" w:hAnsi="Times New Roman"/>
          <w:i/>
          <w:sz w:val="24"/>
          <w:szCs w:val="24"/>
          <w:u w:val="single"/>
        </w:rPr>
      </w:pPr>
      <w:r w:rsidRPr="00BA61EE">
        <w:rPr>
          <w:rFonts w:ascii="Times New Roman" w:hAnsi="Times New Roman"/>
          <w:sz w:val="24"/>
          <w:szCs w:val="24"/>
          <w:u w:val="single"/>
        </w:rPr>
        <w:t>Section 3 - Authority</w:t>
      </w:r>
    </w:p>
    <w:p w:rsidR="005B495C" w:rsidRPr="00BA61EE" w:rsidRDefault="00A078A4" w:rsidP="005B495C">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Regulation is made under the </w:t>
      </w:r>
      <w:r w:rsidRPr="00BA61EE">
        <w:rPr>
          <w:rFonts w:ascii="Times New Roman" w:hAnsi="Times New Roman"/>
          <w:i/>
          <w:sz w:val="24"/>
          <w:szCs w:val="24"/>
        </w:rPr>
        <w:t>Water Act 2007</w:t>
      </w:r>
      <w:r w:rsidRPr="00BA61EE">
        <w:rPr>
          <w:rFonts w:ascii="Times New Roman" w:hAnsi="Times New Roman"/>
          <w:sz w:val="24"/>
          <w:szCs w:val="24"/>
        </w:rPr>
        <w:t xml:space="preserve"> (‘Act’).</w:t>
      </w:r>
    </w:p>
    <w:p w:rsidR="005B495C" w:rsidRPr="00BA61EE" w:rsidRDefault="00A078A4" w:rsidP="005B495C">
      <w:pPr>
        <w:spacing w:line="240" w:lineRule="auto"/>
        <w:rPr>
          <w:rFonts w:ascii="Times New Roman" w:hAnsi="Times New Roman"/>
          <w:i/>
          <w:sz w:val="24"/>
          <w:szCs w:val="24"/>
          <w:u w:val="single"/>
        </w:rPr>
      </w:pPr>
      <w:r w:rsidRPr="00BA61EE">
        <w:rPr>
          <w:rFonts w:ascii="Times New Roman" w:hAnsi="Times New Roman"/>
          <w:sz w:val="24"/>
          <w:szCs w:val="24"/>
          <w:u w:val="single"/>
        </w:rPr>
        <w:t>Section 4 - Schedule(s)</w:t>
      </w:r>
    </w:p>
    <w:p w:rsidR="005B495C" w:rsidRPr="00BA61EE" w:rsidRDefault="00A078A4" w:rsidP="005B495C">
      <w:pPr>
        <w:spacing w:line="240" w:lineRule="auto"/>
        <w:rPr>
          <w:rFonts w:ascii="Times New Roman" w:hAnsi="Times New Roman"/>
          <w:sz w:val="24"/>
          <w:szCs w:val="24"/>
        </w:rPr>
      </w:pPr>
      <w:r w:rsidRPr="00BA61EE">
        <w:rPr>
          <w:rFonts w:ascii="Times New Roman" w:hAnsi="Times New Roman"/>
          <w:sz w:val="24"/>
          <w:szCs w:val="24"/>
        </w:rPr>
        <w:t>This section provides that each instrument that is specified in a Schedule is amended or repealed as set out in the applicable items in the Schedule concerned, and any other item in a Schedule has effect according to its terms.</w:t>
      </w:r>
    </w:p>
    <w:p w:rsidR="005B495C" w:rsidRPr="00BA61EE" w:rsidRDefault="00A078A4" w:rsidP="005B495C">
      <w:pPr>
        <w:spacing w:line="240" w:lineRule="auto"/>
        <w:rPr>
          <w:rFonts w:ascii="Times New Roman" w:hAnsi="Times New Roman"/>
          <w:sz w:val="24"/>
          <w:szCs w:val="24"/>
          <w:u w:val="single"/>
        </w:rPr>
      </w:pPr>
      <w:r w:rsidRPr="00BA61EE">
        <w:rPr>
          <w:rFonts w:ascii="Times New Roman" w:hAnsi="Times New Roman"/>
          <w:sz w:val="24"/>
          <w:szCs w:val="24"/>
          <w:u w:val="single"/>
        </w:rPr>
        <w:t>Schedule 1 – Amendments</w:t>
      </w:r>
    </w:p>
    <w:p w:rsidR="005B495C" w:rsidRPr="00BA61EE" w:rsidRDefault="00A078A4" w:rsidP="005B495C">
      <w:pPr>
        <w:spacing w:line="240" w:lineRule="auto"/>
        <w:rPr>
          <w:rFonts w:ascii="Times New Roman" w:hAnsi="Times New Roman"/>
          <w:i/>
          <w:sz w:val="24"/>
          <w:szCs w:val="24"/>
          <w:u w:val="single"/>
        </w:rPr>
      </w:pPr>
      <w:r w:rsidRPr="00BA61EE">
        <w:rPr>
          <w:rFonts w:ascii="Times New Roman" w:hAnsi="Times New Roman"/>
          <w:i/>
          <w:sz w:val="24"/>
          <w:szCs w:val="24"/>
          <w:u w:val="single"/>
        </w:rPr>
        <w:t>Water Regulations 2008 (‘Principal Regulations’)</w:t>
      </w:r>
    </w:p>
    <w:p w:rsidR="00C42C27" w:rsidRPr="00BA61EE" w:rsidRDefault="00A078A4" w:rsidP="005B495C">
      <w:pPr>
        <w:spacing w:line="240" w:lineRule="auto"/>
        <w:rPr>
          <w:rFonts w:ascii="Times New Roman" w:hAnsi="Times New Roman"/>
          <w:b/>
          <w:sz w:val="24"/>
          <w:szCs w:val="24"/>
        </w:rPr>
      </w:pPr>
      <w:r w:rsidRPr="00BA61EE">
        <w:rPr>
          <w:rFonts w:ascii="Times New Roman" w:hAnsi="Times New Roman"/>
          <w:b/>
          <w:sz w:val="24"/>
          <w:szCs w:val="24"/>
        </w:rPr>
        <w:t>Item [1] – Clause 1AA of Part 1 of Schedule 5 (after table item 15)</w:t>
      </w:r>
    </w:p>
    <w:p w:rsidR="00BB575E" w:rsidRPr="00BA61EE" w:rsidRDefault="00A078A4" w:rsidP="00E13EA0">
      <w:pPr>
        <w:spacing w:line="240" w:lineRule="auto"/>
        <w:rPr>
          <w:rFonts w:ascii="Times New Roman" w:hAnsi="Times New Roman"/>
          <w:sz w:val="24"/>
          <w:szCs w:val="24"/>
        </w:rPr>
      </w:pPr>
      <w:r w:rsidRPr="00BA61EE">
        <w:rPr>
          <w:rFonts w:ascii="Times New Roman" w:hAnsi="Times New Roman"/>
          <w:sz w:val="24"/>
          <w:szCs w:val="24"/>
        </w:rPr>
        <w:t xml:space="preserve">This item inserts a new item in the table at clause 1AA of Part 1 of Schedule 5 of the Principal Regulations recognising the </w:t>
      </w:r>
      <w:r w:rsidRPr="00BA61EE">
        <w:rPr>
          <w:rFonts w:ascii="Times New Roman" w:hAnsi="Times New Roman"/>
          <w:i/>
          <w:sz w:val="24"/>
          <w:szCs w:val="24"/>
        </w:rPr>
        <w:t xml:space="preserve">Water Sharing Plan for the Peel Valley Regulated, Unregulated, Alluvium and Fractured Rock Water Sources 2010 </w:t>
      </w:r>
      <w:r w:rsidRPr="00BA61EE">
        <w:rPr>
          <w:rFonts w:ascii="Times New Roman" w:hAnsi="Times New Roman"/>
          <w:sz w:val="24"/>
          <w:szCs w:val="24"/>
        </w:rPr>
        <w:t>(‘Peel Valley WSP’) as a transitional water resource plan for the purposes of regulation 11A.02.  The table in this item specifies the following for the Peel Valley WSP:</w:t>
      </w:r>
    </w:p>
    <w:p w:rsidR="00BB575E" w:rsidRPr="00BA61EE" w:rsidRDefault="00A078A4" w:rsidP="00BB575E">
      <w:pPr>
        <w:pStyle w:val="ListParagraph"/>
        <w:numPr>
          <w:ilvl w:val="0"/>
          <w:numId w:val="25"/>
        </w:numPr>
        <w:spacing w:after="0" w:line="240" w:lineRule="auto"/>
        <w:rPr>
          <w:rFonts w:ascii="Times New Roman" w:hAnsi="Times New Roman"/>
          <w:sz w:val="24"/>
          <w:szCs w:val="24"/>
        </w:rPr>
      </w:pPr>
      <w:r w:rsidRPr="00BA61EE">
        <w:rPr>
          <w:rFonts w:ascii="Times New Roman" w:hAnsi="Times New Roman"/>
          <w:sz w:val="24"/>
          <w:szCs w:val="24"/>
        </w:rPr>
        <w:t xml:space="preserve">the start date for extended transitional recognition is </w:t>
      </w:r>
      <w:r>
        <w:rPr>
          <w:rFonts w:ascii="Times New Roman" w:hAnsi="Times New Roman"/>
          <w:sz w:val="24"/>
          <w:szCs w:val="24"/>
        </w:rPr>
        <w:t>the date the regulation commences,</w:t>
      </w:r>
    </w:p>
    <w:p w:rsidR="00BB575E" w:rsidRPr="00BA61EE" w:rsidRDefault="00A078A4" w:rsidP="00BB575E">
      <w:pPr>
        <w:pStyle w:val="ListParagraph"/>
        <w:numPr>
          <w:ilvl w:val="0"/>
          <w:numId w:val="25"/>
        </w:numPr>
        <w:spacing w:after="0" w:line="240" w:lineRule="auto"/>
        <w:rPr>
          <w:rFonts w:ascii="Times New Roman" w:hAnsi="Times New Roman"/>
          <w:sz w:val="24"/>
          <w:szCs w:val="24"/>
        </w:rPr>
      </w:pPr>
      <w:r w:rsidRPr="00BA61EE">
        <w:rPr>
          <w:rFonts w:ascii="Times New Roman" w:hAnsi="Times New Roman"/>
          <w:sz w:val="24"/>
          <w:szCs w:val="24"/>
        </w:rPr>
        <w:t>the end date for extended transitional recognition is 30 June 2019, and</w:t>
      </w:r>
    </w:p>
    <w:p w:rsidR="001E74E5" w:rsidRPr="00BA61EE" w:rsidRDefault="00A078A4">
      <w:pPr>
        <w:pStyle w:val="ListParagraph"/>
        <w:numPr>
          <w:ilvl w:val="0"/>
          <w:numId w:val="25"/>
        </w:numPr>
        <w:spacing w:after="0" w:line="240" w:lineRule="auto"/>
        <w:rPr>
          <w:rFonts w:ascii="Times New Roman" w:hAnsi="Times New Roman"/>
          <w:sz w:val="24"/>
          <w:szCs w:val="24"/>
        </w:rPr>
      </w:pPr>
      <w:r w:rsidRPr="00BA61EE">
        <w:rPr>
          <w:rFonts w:ascii="Times New Roman" w:hAnsi="Times New Roman"/>
          <w:sz w:val="24"/>
          <w:szCs w:val="24"/>
        </w:rPr>
        <w:t>the accredi</w:t>
      </w:r>
      <w:r>
        <w:rPr>
          <w:rFonts w:ascii="Times New Roman" w:hAnsi="Times New Roman"/>
          <w:sz w:val="24"/>
          <w:szCs w:val="24"/>
        </w:rPr>
        <w:t>tation date is 26 September 2014</w:t>
      </w:r>
      <w:r w:rsidRPr="00BA61EE">
        <w:rPr>
          <w:rFonts w:ascii="Times New Roman" w:hAnsi="Times New Roman"/>
          <w:sz w:val="24"/>
          <w:szCs w:val="24"/>
        </w:rPr>
        <w:t xml:space="preserve">. </w:t>
      </w:r>
      <w:r w:rsidRPr="00BA61EE">
        <w:rPr>
          <w:rFonts w:ascii="Times New Roman" w:hAnsi="Times New Roman"/>
          <w:sz w:val="24"/>
          <w:szCs w:val="24"/>
        </w:rPr>
        <w:br/>
      </w:r>
    </w:p>
    <w:p w:rsidR="001E74E5" w:rsidRPr="00BA61EE" w:rsidRDefault="00A078A4">
      <w:pPr>
        <w:rPr>
          <w:rFonts w:ascii="Times New Roman" w:hAnsi="Times New Roman"/>
          <w:sz w:val="24"/>
          <w:szCs w:val="24"/>
        </w:rPr>
      </w:pPr>
      <w:r w:rsidRPr="00BA61EE">
        <w:rPr>
          <w:rFonts w:ascii="Times New Roman" w:hAnsi="Times New Roman"/>
          <w:sz w:val="24"/>
          <w:szCs w:val="24"/>
        </w:rPr>
        <w:t xml:space="preserve">The accreditation day preserves the original date that the transitional or interim plan was taken to have been accredited under the Act or sets a modified accreditation date where a plan has been amended and has been assessed </w:t>
      </w:r>
      <w:r>
        <w:rPr>
          <w:rFonts w:ascii="Times New Roman" w:hAnsi="Times New Roman"/>
          <w:sz w:val="24"/>
          <w:szCs w:val="24"/>
        </w:rPr>
        <w:t xml:space="preserve">as being </w:t>
      </w:r>
      <w:r w:rsidRPr="00BA61EE">
        <w:rPr>
          <w:rFonts w:ascii="Times New Roman" w:hAnsi="Times New Roman"/>
          <w:sz w:val="24"/>
          <w:szCs w:val="24"/>
        </w:rPr>
        <w:t>no less consistent with the Basin Plan by the Murray-Darling Basin Authority. The accreditation day identifies the version of the plan that is recognised.</w:t>
      </w:r>
    </w:p>
    <w:p w:rsidR="00A87AD5" w:rsidRPr="00BA61EE" w:rsidRDefault="00E46A7F" w:rsidP="005B495C">
      <w:pPr>
        <w:rPr>
          <w:rFonts w:ascii="Times New Roman" w:hAnsi="Times New Roman"/>
          <w:sz w:val="24"/>
          <w:szCs w:val="24"/>
          <w:u w:val="single"/>
        </w:rPr>
      </w:pPr>
    </w:p>
    <w:sectPr w:rsidR="00A87AD5" w:rsidRPr="00BA61EE" w:rsidSect="005B495C">
      <w:headerReference w:type="even" r:id="rId11"/>
      <w:headerReference w:type="default" r:id="rId12"/>
      <w:head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07" w:rsidRDefault="007A2507" w:rsidP="001E6E32">
      <w:pPr>
        <w:spacing w:after="0" w:line="240" w:lineRule="auto"/>
      </w:pPr>
      <w:r>
        <w:separator/>
      </w:r>
    </w:p>
  </w:endnote>
  <w:endnote w:type="continuationSeparator" w:id="0">
    <w:p w:rsidR="007A2507" w:rsidRDefault="007A2507" w:rsidP="001E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526E35">
    <w:pPr>
      <w:pStyle w:val="Footer"/>
      <w:jc w:val="center"/>
    </w:pPr>
    <w:r w:rsidRPr="0041451A">
      <w:rPr>
        <w:rFonts w:ascii="Times New Roman" w:hAnsi="Times New Roman"/>
      </w:rPr>
      <w:fldChar w:fldCharType="begin"/>
    </w:r>
    <w:r w:rsidR="00A078A4" w:rsidRPr="0041451A">
      <w:rPr>
        <w:rFonts w:ascii="Times New Roman" w:hAnsi="Times New Roman"/>
      </w:rPr>
      <w:instrText xml:space="preserve"> PAGE   \* MERGEFORMAT </w:instrText>
    </w:r>
    <w:r w:rsidRPr="0041451A">
      <w:rPr>
        <w:rFonts w:ascii="Times New Roman" w:hAnsi="Times New Roman"/>
      </w:rPr>
      <w:fldChar w:fldCharType="separate"/>
    </w:r>
    <w:r w:rsidR="00E46A7F">
      <w:rPr>
        <w:rFonts w:ascii="Times New Roman" w:hAnsi="Times New Roman"/>
        <w:noProof/>
      </w:rPr>
      <w:t>2</w:t>
    </w:r>
    <w:r w:rsidRPr="0041451A">
      <w:rPr>
        <w:rFonts w:ascii="Times New Roman" w:hAnsi="Times New Roman"/>
      </w:rPr>
      <w:fldChar w:fldCharType="end"/>
    </w:r>
  </w:p>
  <w:p w:rsidR="001E74E5" w:rsidRDefault="00E46A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07" w:rsidRDefault="007A2507" w:rsidP="005B495C">
      <w:pPr>
        <w:spacing w:after="0" w:line="240" w:lineRule="auto"/>
      </w:pPr>
      <w:r>
        <w:separator/>
      </w:r>
    </w:p>
  </w:footnote>
  <w:footnote w:type="continuationSeparator" w:id="0">
    <w:p w:rsidR="007A2507" w:rsidRDefault="007A2507" w:rsidP="005B495C">
      <w:pPr>
        <w:spacing w:after="0" w:line="240" w:lineRule="auto"/>
      </w:pPr>
      <w:r>
        <w:continuationSeparator/>
      </w:r>
    </w:p>
  </w:footnote>
  <w:footnote w:id="1">
    <w:p w:rsidR="001E74E5" w:rsidRDefault="00A078A4" w:rsidP="005B495C">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E46A7F">
    <w:pPr>
      <w:pStyle w:val="Header"/>
    </w:pPr>
  </w:p>
  <w:p w:rsidR="001E74E5" w:rsidRDefault="00E46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A078A4" w:rsidP="005B495C">
    <w:pPr>
      <w:pStyle w:val="Header"/>
      <w:pBdr>
        <w:bottom w:val="single" w:sz="6" w:space="1" w:color="auto"/>
      </w:pBdr>
    </w:pPr>
    <w:r>
      <w:t>Water Amendment (Interactions with State Laws) Regulation 2015 (No.1)</w:t>
    </w:r>
  </w:p>
  <w:p w:rsidR="001E74E5" w:rsidRDefault="00E46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E46A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A078A4" w:rsidP="005B495C">
    <w:pPr>
      <w:pStyle w:val="Header"/>
      <w:jc w:val="right"/>
      <w:rPr>
        <w:b/>
        <w:i w:val="0"/>
        <w:u w:val="single"/>
      </w:rPr>
    </w:pPr>
    <w:r>
      <w:rPr>
        <w:b/>
        <w:i w:val="0"/>
        <w:u w:val="single"/>
      </w:rPr>
      <w:t>ATTACHMENT</w:t>
    </w:r>
  </w:p>
  <w:p w:rsidR="001E74E5" w:rsidRDefault="00A078A4" w:rsidP="005B495C">
    <w:pPr>
      <w:pStyle w:val="Header"/>
      <w:pBdr>
        <w:bottom w:val="single" w:sz="6" w:space="1" w:color="auto"/>
      </w:pBdr>
    </w:pPr>
    <w:r>
      <w:t xml:space="preserve">Water Amendment (Interactions with State Laws) Regulation 2013 </w:t>
    </w:r>
  </w:p>
  <w:p w:rsidR="001E74E5" w:rsidRPr="00043075" w:rsidRDefault="00E46A7F" w:rsidP="005B495C">
    <w:pPr>
      <w:pStyle w:val="Header"/>
    </w:pPr>
  </w:p>
  <w:p w:rsidR="001E74E5" w:rsidRDefault="00E46A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E5" w:rsidRDefault="00E46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A8457A"/>
    <w:multiLevelType w:val="hybridMultilevel"/>
    <w:tmpl w:val="29A289B2"/>
    <w:lvl w:ilvl="0" w:tplc="82DE0512">
      <w:start w:val="1"/>
      <w:numFmt w:val="bullet"/>
      <w:lvlText w:val=""/>
      <w:lvlJc w:val="left"/>
      <w:pPr>
        <w:ind w:left="765" w:hanging="360"/>
      </w:pPr>
      <w:rPr>
        <w:rFonts w:ascii="Symbol" w:hAnsi="Symbol" w:hint="default"/>
      </w:rPr>
    </w:lvl>
    <w:lvl w:ilvl="1" w:tplc="D9FA029E" w:tentative="1">
      <w:start w:val="1"/>
      <w:numFmt w:val="bullet"/>
      <w:lvlText w:val="o"/>
      <w:lvlJc w:val="left"/>
      <w:pPr>
        <w:ind w:left="1485" w:hanging="360"/>
      </w:pPr>
      <w:rPr>
        <w:rFonts w:ascii="Courier New" w:hAnsi="Courier New" w:cs="Courier New" w:hint="default"/>
      </w:rPr>
    </w:lvl>
    <w:lvl w:ilvl="2" w:tplc="ACB2D4E6" w:tentative="1">
      <w:start w:val="1"/>
      <w:numFmt w:val="bullet"/>
      <w:lvlText w:val=""/>
      <w:lvlJc w:val="left"/>
      <w:pPr>
        <w:ind w:left="2205" w:hanging="360"/>
      </w:pPr>
      <w:rPr>
        <w:rFonts w:ascii="Wingdings" w:hAnsi="Wingdings" w:hint="default"/>
      </w:rPr>
    </w:lvl>
    <w:lvl w:ilvl="3" w:tplc="2FD094D8" w:tentative="1">
      <w:start w:val="1"/>
      <w:numFmt w:val="bullet"/>
      <w:lvlText w:val=""/>
      <w:lvlJc w:val="left"/>
      <w:pPr>
        <w:ind w:left="2925" w:hanging="360"/>
      </w:pPr>
      <w:rPr>
        <w:rFonts w:ascii="Symbol" w:hAnsi="Symbol" w:hint="default"/>
      </w:rPr>
    </w:lvl>
    <w:lvl w:ilvl="4" w:tplc="9CF61B80" w:tentative="1">
      <w:start w:val="1"/>
      <w:numFmt w:val="bullet"/>
      <w:lvlText w:val="o"/>
      <w:lvlJc w:val="left"/>
      <w:pPr>
        <w:ind w:left="3645" w:hanging="360"/>
      </w:pPr>
      <w:rPr>
        <w:rFonts w:ascii="Courier New" w:hAnsi="Courier New" w:cs="Courier New" w:hint="default"/>
      </w:rPr>
    </w:lvl>
    <w:lvl w:ilvl="5" w:tplc="4AF64AD0" w:tentative="1">
      <w:start w:val="1"/>
      <w:numFmt w:val="bullet"/>
      <w:lvlText w:val=""/>
      <w:lvlJc w:val="left"/>
      <w:pPr>
        <w:ind w:left="4365" w:hanging="360"/>
      </w:pPr>
      <w:rPr>
        <w:rFonts w:ascii="Wingdings" w:hAnsi="Wingdings" w:hint="default"/>
      </w:rPr>
    </w:lvl>
    <w:lvl w:ilvl="6" w:tplc="84402BC2" w:tentative="1">
      <w:start w:val="1"/>
      <w:numFmt w:val="bullet"/>
      <w:lvlText w:val=""/>
      <w:lvlJc w:val="left"/>
      <w:pPr>
        <w:ind w:left="5085" w:hanging="360"/>
      </w:pPr>
      <w:rPr>
        <w:rFonts w:ascii="Symbol" w:hAnsi="Symbol" w:hint="default"/>
      </w:rPr>
    </w:lvl>
    <w:lvl w:ilvl="7" w:tplc="376ED434" w:tentative="1">
      <w:start w:val="1"/>
      <w:numFmt w:val="bullet"/>
      <w:lvlText w:val="o"/>
      <w:lvlJc w:val="left"/>
      <w:pPr>
        <w:ind w:left="5805" w:hanging="360"/>
      </w:pPr>
      <w:rPr>
        <w:rFonts w:ascii="Courier New" w:hAnsi="Courier New" w:cs="Courier New" w:hint="default"/>
      </w:rPr>
    </w:lvl>
    <w:lvl w:ilvl="8" w:tplc="881C175E" w:tentative="1">
      <w:start w:val="1"/>
      <w:numFmt w:val="bullet"/>
      <w:lvlText w:val=""/>
      <w:lvlJc w:val="left"/>
      <w:pPr>
        <w:ind w:left="6525" w:hanging="360"/>
      </w:pPr>
      <w:rPr>
        <w:rFonts w:ascii="Wingdings" w:hAnsi="Wingdings" w:hint="default"/>
      </w:rPr>
    </w:lvl>
  </w:abstractNum>
  <w:abstractNum w:abstractNumId="16">
    <w:nsid w:val="645D1606"/>
    <w:multiLevelType w:val="hybridMultilevel"/>
    <w:tmpl w:val="0F988AB0"/>
    <w:lvl w:ilvl="0" w:tplc="117644C8">
      <w:numFmt w:val="bullet"/>
      <w:lvlText w:val="-"/>
      <w:lvlJc w:val="left"/>
      <w:pPr>
        <w:ind w:left="720" w:hanging="360"/>
      </w:pPr>
      <w:rPr>
        <w:rFonts w:ascii="Calibri" w:eastAsia="Calibri" w:hAnsi="Calibri" w:cs="Times New Roman" w:hint="default"/>
      </w:rPr>
    </w:lvl>
    <w:lvl w:ilvl="1" w:tplc="FA4E1ED2">
      <w:start w:val="1"/>
      <w:numFmt w:val="decimal"/>
      <w:lvlText w:val="%2."/>
      <w:lvlJc w:val="left"/>
      <w:pPr>
        <w:tabs>
          <w:tab w:val="num" w:pos="1440"/>
        </w:tabs>
        <w:ind w:left="1440" w:hanging="360"/>
      </w:pPr>
    </w:lvl>
    <w:lvl w:ilvl="2" w:tplc="B3D23110">
      <w:start w:val="1"/>
      <w:numFmt w:val="decimal"/>
      <w:lvlText w:val="%3."/>
      <w:lvlJc w:val="left"/>
      <w:pPr>
        <w:tabs>
          <w:tab w:val="num" w:pos="2160"/>
        </w:tabs>
        <w:ind w:left="2160" w:hanging="360"/>
      </w:pPr>
    </w:lvl>
    <w:lvl w:ilvl="3" w:tplc="C1407034">
      <w:start w:val="1"/>
      <w:numFmt w:val="decimal"/>
      <w:lvlText w:val="%4."/>
      <w:lvlJc w:val="left"/>
      <w:pPr>
        <w:tabs>
          <w:tab w:val="num" w:pos="2880"/>
        </w:tabs>
        <w:ind w:left="2880" w:hanging="360"/>
      </w:pPr>
    </w:lvl>
    <w:lvl w:ilvl="4" w:tplc="D916D274">
      <w:start w:val="1"/>
      <w:numFmt w:val="decimal"/>
      <w:lvlText w:val="%5."/>
      <w:lvlJc w:val="left"/>
      <w:pPr>
        <w:tabs>
          <w:tab w:val="num" w:pos="3600"/>
        </w:tabs>
        <w:ind w:left="3600" w:hanging="360"/>
      </w:pPr>
    </w:lvl>
    <w:lvl w:ilvl="5" w:tplc="579A158E">
      <w:start w:val="1"/>
      <w:numFmt w:val="decimal"/>
      <w:lvlText w:val="%6."/>
      <w:lvlJc w:val="left"/>
      <w:pPr>
        <w:tabs>
          <w:tab w:val="num" w:pos="4320"/>
        </w:tabs>
        <w:ind w:left="4320" w:hanging="360"/>
      </w:pPr>
    </w:lvl>
    <w:lvl w:ilvl="6" w:tplc="4E4046DE">
      <w:start w:val="1"/>
      <w:numFmt w:val="decimal"/>
      <w:lvlText w:val="%7."/>
      <w:lvlJc w:val="left"/>
      <w:pPr>
        <w:tabs>
          <w:tab w:val="num" w:pos="5040"/>
        </w:tabs>
        <w:ind w:left="5040" w:hanging="360"/>
      </w:pPr>
    </w:lvl>
    <w:lvl w:ilvl="7" w:tplc="1ECA7FFA">
      <w:start w:val="1"/>
      <w:numFmt w:val="decimal"/>
      <w:lvlText w:val="%8."/>
      <w:lvlJc w:val="left"/>
      <w:pPr>
        <w:tabs>
          <w:tab w:val="num" w:pos="5760"/>
        </w:tabs>
        <w:ind w:left="5760" w:hanging="360"/>
      </w:pPr>
    </w:lvl>
    <w:lvl w:ilvl="8" w:tplc="06F2F026">
      <w:start w:val="1"/>
      <w:numFmt w:val="decimal"/>
      <w:lvlText w:val="%9."/>
      <w:lvlJc w:val="left"/>
      <w:pPr>
        <w:tabs>
          <w:tab w:val="num" w:pos="6480"/>
        </w:tabs>
        <w:ind w:left="6480" w:hanging="360"/>
      </w:pPr>
    </w:lvl>
  </w:abstractNum>
  <w:abstractNum w:abstractNumId="17">
    <w:nsid w:val="6E8D66A1"/>
    <w:multiLevelType w:val="hybridMultilevel"/>
    <w:tmpl w:val="19A40A7A"/>
    <w:lvl w:ilvl="0" w:tplc="39E8E46E">
      <w:start w:val="1"/>
      <w:numFmt w:val="bullet"/>
      <w:lvlText w:val=""/>
      <w:lvlJc w:val="left"/>
      <w:pPr>
        <w:ind w:left="720" w:hanging="360"/>
      </w:pPr>
      <w:rPr>
        <w:rFonts w:ascii="Symbol" w:hAnsi="Symbol" w:hint="default"/>
      </w:rPr>
    </w:lvl>
    <w:lvl w:ilvl="1" w:tplc="D9262EDE" w:tentative="1">
      <w:start w:val="1"/>
      <w:numFmt w:val="bullet"/>
      <w:lvlText w:val="o"/>
      <w:lvlJc w:val="left"/>
      <w:pPr>
        <w:ind w:left="1440" w:hanging="360"/>
      </w:pPr>
      <w:rPr>
        <w:rFonts w:ascii="Courier New" w:hAnsi="Courier New" w:cs="Courier New" w:hint="default"/>
      </w:rPr>
    </w:lvl>
    <w:lvl w:ilvl="2" w:tplc="7AB4C324" w:tentative="1">
      <w:start w:val="1"/>
      <w:numFmt w:val="bullet"/>
      <w:lvlText w:val=""/>
      <w:lvlJc w:val="left"/>
      <w:pPr>
        <w:ind w:left="2160" w:hanging="360"/>
      </w:pPr>
      <w:rPr>
        <w:rFonts w:ascii="Wingdings" w:hAnsi="Wingdings" w:hint="default"/>
      </w:rPr>
    </w:lvl>
    <w:lvl w:ilvl="3" w:tplc="DAD60760" w:tentative="1">
      <w:start w:val="1"/>
      <w:numFmt w:val="bullet"/>
      <w:lvlText w:val=""/>
      <w:lvlJc w:val="left"/>
      <w:pPr>
        <w:ind w:left="2880" w:hanging="360"/>
      </w:pPr>
      <w:rPr>
        <w:rFonts w:ascii="Symbol" w:hAnsi="Symbol" w:hint="default"/>
      </w:rPr>
    </w:lvl>
    <w:lvl w:ilvl="4" w:tplc="36D4E0A8" w:tentative="1">
      <w:start w:val="1"/>
      <w:numFmt w:val="bullet"/>
      <w:lvlText w:val="o"/>
      <w:lvlJc w:val="left"/>
      <w:pPr>
        <w:ind w:left="3600" w:hanging="360"/>
      </w:pPr>
      <w:rPr>
        <w:rFonts w:ascii="Courier New" w:hAnsi="Courier New" w:cs="Courier New" w:hint="default"/>
      </w:rPr>
    </w:lvl>
    <w:lvl w:ilvl="5" w:tplc="1D6AB626" w:tentative="1">
      <w:start w:val="1"/>
      <w:numFmt w:val="bullet"/>
      <w:lvlText w:val=""/>
      <w:lvlJc w:val="left"/>
      <w:pPr>
        <w:ind w:left="4320" w:hanging="360"/>
      </w:pPr>
      <w:rPr>
        <w:rFonts w:ascii="Wingdings" w:hAnsi="Wingdings" w:hint="default"/>
      </w:rPr>
    </w:lvl>
    <w:lvl w:ilvl="6" w:tplc="69928740" w:tentative="1">
      <w:start w:val="1"/>
      <w:numFmt w:val="bullet"/>
      <w:lvlText w:val=""/>
      <w:lvlJc w:val="left"/>
      <w:pPr>
        <w:ind w:left="5040" w:hanging="360"/>
      </w:pPr>
      <w:rPr>
        <w:rFonts w:ascii="Symbol" w:hAnsi="Symbol" w:hint="default"/>
      </w:rPr>
    </w:lvl>
    <w:lvl w:ilvl="7" w:tplc="3A3C7AFA" w:tentative="1">
      <w:start w:val="1"/>
      <w:numFmt w:val="bullet"/>
      <w:lvlText w:val="o"/>
      <w:lvlJc w:val="left"/>
      <w:pPr>
        <w:ind w:left="5760" w:hanging="360"/>
      </w:pPr>
      <w:rPr>
        <w:rFonts w:ascii="Courier New" w:hAnsi="Courier New" w:cs="Courier New" w:hint="default"/>
      </w:rPr>
    </w:lvl>
    <w:lvl w:ilvl="8" w:tplc="4F5ABD5A" w:tentative="1">
      <w:start w:val="1"/>
      <w:numFmt w:val="bullet"/>
      <w:lvlText w:val=""/>
      <w:lvlJc w:val="left"/>
      <w:pPr>
        <w:ind w:left="6480" w:hanging="360"/>
      </w:pPr>
      <w:rPr>
        <w:rFonts w:ascii="Wingdings" w:hAnsi="Wingdings" w:hint="default"/>
      </w:rPr>
    </w:lvl>
  </w:abstractNum>
  <w:abstractNum w:abstractNumId="18">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9">
    <w:nsid w:val="7A224945"/>
    <w:multiLevelType w:val="hybridMultilevel"/>
    <w:tmpl w:val="2B2A2DC0"/>
    <w:lvl w:ilvl="0" w:tplc="018E0184">
      <w:start w:val="1"/>
      <w:numFmt w:val="bullet"/>
      <w:lvlText w:val=""/>
      <w:lvlJc w:val="left"/>
      <w:pPr>
        <w:ind w:left="567" w:hanging="567"/>
      </w:pPr>
      <w:rPr>
        <w:rFonts w:ascii="Symbol" w:hAnsi="Symbol" w:cs="Symbol" w:hint="default"/>
      </w:rPr>
    </w:lvl>
    <w:lvl w:ilvl="1" w:tplc="6E064B00" w:tentative="1">
      <w:start w:val="1"/>
      <w:numFmt w:val="bullet"/>
      <w:lvlText w:val="o"/>
      <w:lvlJc w:val="left"/>
      <w:pPr>
        <w:ind w:left="1080" w:hanging="360"/>
      </w:pPr>
      <w:rPr>
        <w:rFonts w:ascii="Courier New" w:hAnsi="Courier New" w:cs="Courier New" w:hint="default"/>
      </w:rPr>
    </w:lvl>
    <w:lvl w:ilvl="2" w:tplc="C4E62024" w:tentative="1">
      <w:start w:val="1"/>
      <w:numFmt w:val="bullet"/>
      <w:lvlText w:val=""/>
      <w:lvlJc w:val="left"/>
      <w:pPr>
        <w:ind w:left="1800" w:hanging="360"/>
      </w:pPr>
      <w:rPr>
        <w:rFonts w:ascii="Wingdings" w:hAnsi="Wingdings" w:hint="default"/>
      </w:rPr>
    </w:lvl>
    <w:lvl w:ilvl="3" w:tplc="7F8815C6" w:tentative="1">
      <w:start w:val="1"/>
      <w:numFmt w:val="bullet"/>
      <w:lvlText w:val=""/>
      <w:lvlJc w:val="left"/>
      <w:pPr>
        <w:ind w:left="2520" w:hanging="360"/>
      </w:pPr>
      <w:rPr>
        <w:rFonts w:ascii="Symbol" w:hAnsi="Symbol" w:hint="default"/>
      </w:rPr>
    </w:lvl>
    <w:lvl w:ilvl="4" w:tplc="AF468CBE" w:tentative="1">
      <w:start w:val="1"/>
      <w:numFmt w:val="bullet"/>
      <w:lvlText w:val="o"/>
      <w:lvlJc w:val="left"/>
      <w:pPr>
        <w:ind w:left="3240" w:hanging="360"/>
      </w:pPr>
      <w:rPr>
        <w:rFonts w:ascii="Courier New" w:hAnsi="Courier New" w:cs="Courier New" w:hint="default"/>
      </w:rPr>
    </w:lvl>
    <w:lvl w:ilvl="5" w:tplc="E8DCCB1E" w:tentative="1">
      <w:start w:val="1"/>
      <w:numFmt w:val="bullet"/>
      <w:lvlText w:val=""/>
      <w:lvlJc w:val="left"/>
      <w:pPr>
        <w:ind w:left="3960" w:hanging="360"/>
      </w:pPr>
      <w:rPr>
        <w:rFonts w:ascii="Wingdings" w:hAnsi="Wingdings" w:hint="default"/>
      </w:rPr>
    </w:lvl>
    <w:lvl w:ilvl="6" w:tplc="E3C0E0C6" w:tentative="1">
      <w:start w:val="1"/>
      <w:numFmt w:val="bullet"/>
      <w:lvlText w:val=""/>
      <w:lvlJc w:val="left"/>
      <w:pPr>
        <w:ind w:left="4680" w:hanging="360"/>
      </w:pPr>
      <w:rPr>
        <w:rFonts w:ascii="Symbol" w:hAnsi="Symbol" w:hint="default"/>
      </w:rPr>
    </w:lvl>
    <w:lvl w:ilvl="7" w:tplc="B5561EA8" w:tentative="1">
      <w:start w:val="1"/>
      <w:numFmt w:val="bullet"/>
      <w:lvlText w:val="o"/>
      <w:lvlJc w:val="left"/>
      <w:pPr>
        <w:ind w:left="5400" w:hanging="360"/>
      </w:pPr>
      <w:rPr>
        <w:rFonts w:ascii="Courier New" w:hAnsi="Courier New" w:cs="Courier New" w:hint="default"/>
      </w:rPr>
    </w:lvl>
    <w:lvl w:ilvl="8" w:tplc="780ABD52"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18"/>
  </w:num>
  <w:num w:numId="17">
    <w:abstractNumId w:val="10"/>
  </w:num>
  <w:num w:numId="18">
    <w:abstractNumId w:val="14"/>
  </w:num>
  <w:num w:numId="19">
    <w:abstractNumId w:val="12"/>
  </w:num>
  <w:num w:numId="20">
    <w:abstractNumId w:val="11"/>
  </w:num>
  <w:num w:numId="21">
    <w:abstractNumId w:val="19"/>
  </w:num>
  <w:num w:numId="22">
    <w:abstractNumId w:val="17"/>
  </w:num>
  <w:num w:numId="23">
    <w:abstractNumId w:val="15"/>
  </w:num>
  <w:num w:numId="24">
    <w:abstractNumId w:val="13"/>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32"/>
    <w:rsid w:val="001E6E32"/>
    <w:rsid w:val="00507AE9"/>
    <w:rsid w:val="00526E35"/>
    <w:rsid w:val="005465E7"/>
    <w:rsid w:val="007A2507"/>
    <w:rsid w:val="00833A41"/>
    <w:rsid w:val="00A078A4"/>
    <w:rsid w:val="00E46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9364</Characters>
  <Application>Microsoft Office Word</Application>
  <DocSecurity>4</DocSecurity>
  <Lines>78</Lines>
  <Paragraphs>21</Paragraphs>
  <ScaleCrop>false</ScaleCrop>
  <Company>Office of Parliamentary Counsel</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Vikki</dc:creator>
  <cp:lastModifiedBy>Gibson, Vikki</cp:lastModifiedBy>
  <cp:revision>2</cp:revision>
  <dcterms:created xsi:type="dcterms:W3CDTF">2015-05-06T01:38:00Z</dcterms:created>
  <dcterms:modified xsi:type="dcterms:W3CDTF">2015-05-06T01:38:00Z</dcterms:modified>
</cp:coreProperties>
</file>