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EB768" w14:textId="77777777" w:rsidR="00C242E3" w:rsidRPr="00C242E3" w:rsidRDefault="00C242E3" w:rsidP="00C242E3">
      <w:pPr>
        <w:spacing w:before="100" w:beforeAutospacing="1" w:after="100" w:afterAutospacing="1" w:line="360" w:lineRule="auto"/>
        <w:jc w:val="center"/>
        <w:rPr>
          <w:rFonts w:ascii="Times New Roman" w:eastAsia="Times New Roman" w:hAnsi="Times New Roman" w:cs="Times New Roman"/>
          <w:sz w:val="24"/>
          <w:szCs w:val="24"/>
          <w:lang w:eastAsia="en-AU"/>
        </w:rPr>
      </w:pPr>
      <w:bookmarkStart w:id="0" w:name="_GoBack"/>
      <w:bookmarkEnd w:id="0"/>
      <w:r w:rsidRPr="00C242E3">
        <w:rPr>
          <w:rFonts w:ascii="Arial" w:eastAsia="Times New Roman" w:hAnsi="Arial" w:cs="Arial"/>
          <w:b/>
          <w:bCs/>
          <w:lang w:eastAsia="en-AU"/>
        </w:rPr>
        <w:t>EXPLANATORY STATEMENT</w:t>
      </w:r>
    </w:p>
    <w:p w14:paraId="713EB769" w14:textId="77777777" w:rsidR="00AE5602" w:rsidRDefault="00C242E3">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C242E3">
        <w:rPr>
          <w:rFonts w:ascii="Arial" w:eastAsia="Times New Roman" w:hAnsi="Arial" w:cs="Arial"/>
          <w:i/>
          <w:iCs/>
          <w:lang w:eastAsia="en-AU"/>
        </w:rPr>
        <w:t> </w:t>
      </w:r>
      <w:r w:rsidRPr="00C242E3">
        <w:rPr>
          <w:rFonts w:ascii="Arial" w:eastAsia="Times New Roman" w:hAnsi="Arial" w:cs="Arial"/>
          <w:lang w:eastAsia="en-AU"/>
        </w:rPr>
        <w:t>Issued by the Australian Communications and Media Authority</w:t>
      </w:r>
    </w:p>
    <w:p w14:paraId="713EB76A" w14:textId="58F149C8" w:rsidR="00AE5602" w:rsidRDefault="00C242E3">
      <w:pPr>
        <w:spacing w:before="120" w:after="120" w:line="240" w:lineRule="auto"/>
        <w:jc w:val="center"/>
        <w:rPr>
          <w:rFonts w:ascii="Times New Roman" w:eastAsia="Times New Roman" w:hAnsi="Times New Roman" w:cs="Times New Roman"/>
          <w:sz w:val="24"/>
          <w:szCs w:val="24"/>
          <w:lang w:eastAsia="en-AU"/>
        </w:rPr>
      </w:pPr>
      <w:r w:rsidRPr="00C242E3">
        <w:rPr>
          <w:rFonts w:ascii="Arial" w:eastAsia="Times New Roman" w:hAnsi="Arial" w:cs="Arial"/>
          <w:i/>
          <w:iCs/>
          <w:lang w:eastAsia="en-AU"/>
        </w:rPr>
        <w:t xml:space="preserve"> Radiocommunications (Trading Rules for Spectrum Licences) </w:t>
      </w:r>
      <w:r w:rsidR="00B42748">
        <w:rPr>
          <w:rFonts w:ascii="Arial" w:eastAsia="Times New Roman" w:hAnsi="Arial" w:cs="Arial"/>
          <w:i/>
          <w:iCs/>
          <w:lang w:eastAsia="en-AU"/>
        </w:rPr>
        <w:t xml:space="preserve">Amendment </w:t>
      </w:r>
      <w:r w:rsidRPr="00C242E3">
        <w:rPr>
          <w:rFonts w:ascii="Arial" w:eastAsia="Times New Roman" w:hAnsi="Arial" w:cs="Arial"/>
          <w:i/>
          <w:iCs/>
          <w:lang w:eastAsia="en-AU"/>
        </w:rPr>
        <w:t xml:space="preserve">Determination </w:t>
      </w:r>
      <w:r w:rsidR="00B42748" w:rsidRPr="00C242E3">
        <w:rPr>
          <w:rFonts w:ascii="Arial" w:eastAsia="Times New Roman" w:hAnsi="Arial" w:cs="Arial"/>
          <w:i/>
          <w:iCs/>
          <w:lang w:eastAsia="en-AU"/>
        </w:rPr>
        <w:t>201</w:t>
      </w:r>
      <w:r w:rsidR="009D413F">
        <w:rPr>
          <w:rFonts w:ascii="Arial" w:eastAsia="Times New Roman" w:hAnsi="Arial" w:cs="Arial"/>
          <w:i/>
          <w:iCs/>
          <w:lang w:eastAsia="en-AU"/>
        </w:rPr>
        <w:t>5</w:t>
      </w:r>
      <w:r w:rsidR="008738EB">
        <w:rPr>
          <w:rFonts w:ascii="Arial" w:eastAsia="Times New Roman" w:hAnsi="Arial" w:cs="Arial"/>
          <w:i/>
          <w:iCs/>
          <w:lang w:eastAsia="en-AU"/>
        </w:rPr>
        <w:t xml:space="preserve"> (No. 1)</w:t>
      </w:r>
    </w:p>
    <w:p w14:paraId="713EB76B" w14:textId="77777777" w:rsidR="00AE5602" w:rsidRDefault="00C242E3">
      <w:pPr>
        <w:spacing w:before="120" w:after="120" w:line="240" w:lineRule="auto"/>
        <w:jc w:val="center"/>
        <w:rPr>
          <w:rFonts w:ascii="Times New Roman" w:eastAsia="Times New Roman" w:hAnsi="Times New Roman" w:cs="Times New Roman"/>
          <w:sz w:val="24"/>
          <w:szCs w:val="24"/>
          <w:lang w:eastAsia="en-AU"/>
        </w:rPr>
      </w:pPr>
      <w:r w:rsidRPr="00C242E3">
        <w:rPr>
          <w:rFonts w:ascii="Arial" w:eastAsia="Times New Roman" w:hAnsi="Arial" w:cs="Arial"/>
          <w:lang w:eastAsia="en-AU"/>
        </w:rPr>
        <w:t> </w:t>
      </w:r>
      <w:r w:rsidRPr="00C242E3">
        <w:rPr>
          <w:rFonts w:ascii="Arial" w:eastAsia="Times New Roman" w:hAnsi="Arial" w:cs="Arial"/>
          <w:i/>
          <w:iCs/>
          <w:lang w:eastAsia="en-AU"/>
        </w:rPr>
        <w:t>Radiocommunications Act 1992</w:t>
      </w:r>
      <w:r w:rsidRPr="00C242E3">
        <w:rPr>
          <w:rFonts w:ascii="Arial" w:eastAsia="Times New Roman" w:hAnsi="Arial" w:cs="Arial"/>
          <w:lang w:eastAsia="en-AU"/>
        </w:rPr>
        <w:t> </w:t>
      </w:r>
    </w:p>
    <w:p w14:paraId="713EB76C" w14:textId="77777777" w:rsidR="00AE5602" w:rsidRPr="00C25DCD" w:rsidRDefault="00C242E3">
      <w:pPr>
        <w:spacing w:before="120" w:after="120" w:line="240" w:lineRule="auto"/>
        <w:rPr>
          <w:rFonts w:ascii="Times New Roman" w:eastAsia="Times New Roman" w:hAnsi="Times New Roman" w:cs="Times New Roman"/>
          <w:sz w:val="20"/>
          <w:szCs w:val="20"/>
          <w:lang w:eastAsia="en-AU"/>
        </w:rPr>
      </w:pPr>
      <w:r w:rsidRPr="00C25DCD">
        <w:rPr>
          <w:rFonts w:ascii="Arial" w:eastAsia="Times New Roman" w:hAnsi="Arial" w:cs="Arial"/>
          <w:b/>
          <w:bCs/>
          <w:sz w:val="20"/>
          <w:szCs w:val="20"/>
          <w:lang w:eastAsia="en-AU"/>
        </w:rPr>
        <w:t>Purpose</w:t>
      </w:r>
    </w:p>
    <w:p w14:paraId="713EB76D" w14:textId="3BA854CC" w:rsidR="00AE5602" w:rsidRPr="00C25DCD" w:rsidRDefault="00C242E3">
      <w:pPr>
        <w:spacing w:before="120" w:after="120" w:line="240" w:lineRule="auto"/>
        <w:rPr>
          <w:rFonts w:ascii="Arial" w:eastAsia="Times New Roman" w:hAnsi="Arial" w:cs="Arial"/>
          <w:sz w:val="20"/>
          <w:szCs w:val="20"/>
          <w:lang w:eastAsia="en-AU"/>
        </w:rPr>
      </w:pPr>
      <w:r w:rsidRPr="00C25DCD">
        <w:rPr>
          <w:rFonts w:ascii="Arial" w:eastAsia="Times New Roman" w:hAnsi="Arial" w:cs="Arial"/>
          <w:sz w:val="20"/>
          <w:szCs w:val="20"/>
          <w:lang w:eastAsia="en-AU"/>
        </w:rPr>
        <w:t xml:space="preserve">The purpose of the </w:t>
      </w:r>
      <w:r w:rsidRPr="00C25DCD">
        <w:rPr>
          <w:rFonts w:ascii="Arial" w:eastAsia="Times New Roman" w:hAnsi="Arial" w:cs="Arial"/>
          <w:i/>
          <w:iCs/>
          <w:sz w:val="20"/>
          <w:szCs w:val="20"/>
          <w:lang w:eastAsia="en-AU"/>
        </w:rPr>
        <w:t xml:space="preserve">Radiocommunications (Trading Rules for Spectrum Licences) Determination 2012 </w:t>
      </w:r>
      <w:r w:rsidRPr="00C25DCD">
        <w:rPr>
          <w:rFonts w:ascii="Arial" w:eastAsia="Times New Roman" w:hAnsi="Arial" w:cs="Arial"/>
          <w:sz w:val="20"/>
          <w:szCs w:val="20"/>
          <w:lang w:eastAsia="en-AU"/>
        </w:rPr>
        <w:t xml:space="preserve">(the </w:t>
      </w:r>
      <w:r w:rsidRPr="00C25DCD">
        <w:rPr>
          <w:rFonts w:ascii="Arial" w:eastAsia="Times New Roman" w:hAnsi="Arial" w:cs="Arial"/>
          <w:b/>
          <w:bCs/>
          <w:sz w:val="20"/>
          <w:szCs w:val="20"/>
          <w:lang w:eastAsia="en-AU"/>
        </w:rPr>
        <w:t>Determination</w:t>
      </w:r>
      <w:r w:rsidRPr="00C25DCD">
        <w:rPr>
          <w:rFonts w:ascii="Arial" w:eastAsia="Times New Roman" w:hAnsi="Arial" w:cs="Arial"/>
          <w:sz w:val="20"/>
          <w:szCs w:val="20"/>
          <w:lang w:eastAsia="en-AU"/>
        </w:rPr>
        <w:t xml:space="preserve">) is to set out the rules for the trading of spectrum licences.  The </w:t>
      </w:r>
      <w:r w:rsidRPr="00C25DCD">
        <w:rPr>
          <w:rFonts w:ascii="Arial" w:eastAsia="Times New Roman" w:hAnsi="Arial" w:cs="Arial"/>
          <w:i/>
          <w:iCs/>
          <w:sz w:val="20"/>
          <w:szCs w:val="20"/>
          <w:lang w:eastAsia="en-AU"/>
        </w:rPr>
        <w:t xml:space="preserve">Radiocommunications (Trading Rules for Spectrum Licences) </w:t>
      </w:r>
      <w:r w:rsidR="00C17BD4" w:rsidRPr="00C25DCD">
        <w:rPr>
          <w:rFonts w:ascii="Arial" w:eastAsia="Times New Roman" w:hAnsi="Arial" w:cs="Arial"/>
          <w:i/>
          <w:iCs/>
          <w:sz w:val="20"/>
          <w:szCs w:val="20"/>
          <w:lang w:eastAsia="en-AU"/>
        </w:rPr>
        <w:t xml:space="preserve">Amendment </w:t>
      </w:r>
      <w:r w:rsidRPr="00C25DCD">
        <w:rPr>
          <w:rFonts w:ascii="Arial" w:eastAsia="Times New Roman" w:hAnsi="Arial" w:cs="Arial"/>
          <w:i/>
          <w:iCs/>
          <w:sz w:val="20"/>
          <w:szCs w:val="20"/>
          <w:lang w:eastAsia="en-AU"/>
        </w:rPr>
        <w:t xml:space="preserve">Determination </w:t>
      </w:r>
      <w:r w:rsidR="00D919D9" w:rsidRPr="00C25DCD">
        <w:rPr>
          <w:rFonts w:ascii="Arial" w:eastAsia="Times New Roman" w:hAnsi="Arial" w:cs="Arial"/>
          <w:i/>
          <w:iCs/>
          <w:sz w:val="20"/>
          <w:szCs w:val="20"/>
          <w:lang w:eastAsia="en-AU"/>
        </w:rPr>
        <w:t>201</w:t>
      </w:r>
      <w:r w:rsidR="009D413F" w:rsidRPr="00C25DCD">
        <w:rPr>
          <w:rFonts w:ascii="Arial" w:eastAsia="Times New Roman" w:hAnsi="Arial" w:cs="Arial"/>
          <w:i/>
          <w:iCs/>
          <w:sz w:val="20"/>
          <w:szCs w:val="20"/>
          <w:lang w:eastAsia="en-AU"/>
        </w:rPr>
        <w:t>5</w:t>
      </w:r>
      <w:r w:rsidR="00D919D9" w:rsidRPr="00C25DCD">
        <w:rPr>
          <w:rFonts w:ascii="Arial" w:eastAsia="Times New Roman" w:hAnsi="Arial" w:cs="Arial"/>
          <w:i/>
          <w:iCs/>
          <w:sz w:val="20"/>
          <w:szCs w:val="20"/>
          <w:lang w:eastAsia="en-AU"/>
        </w:rPr>
        <w:t xml:space="preserve"> </w:t>
      </w:r>
      <w:r w:rsidR="008738EB">
        <w:rPr>
          <w:rFonts w:ascii="Arial" w:eastAsia="Times New Roman" w:hAnsi="Arial" w:cs="Arial"/>
          <w:i/>
          <w:iCs/>
          <w:sz w:val="20"/>
          <w:szCs w:val="20"/>
          <w:lang w:eastAsia="en-AU"/>
        </w:rPr>
        <w:t xml:space="preserve">(No. 1) </w:t>
      </w:r>
      <w:r w:rsidRPr="00C25DCD">
        <w:rPr>
          <w:rFonts w:ascii="Arial" w:eastAsia="Times New Roman" w:hAnsi="Arial" w:cs="Arial"/>
          <w:sz w:val="20"/>
          <w:szCs w:val="20"/>
          <w:lang w:eastAsia="en-AU"/>
        </w:rPr>
        <w:t xml:space="preserve">(the </w:t>
      </w:r>
      <w:r w:rsidR="00C17BD4" w:rsidRPr="00C25DCD">
        <w:rPr>
          <w:rFonts w:ascii="Arial" w:eastAsia="Times New Roman" w:hAnsi="Arial" w:cs="Arial"/>
          <w:b/>
          <w:bCs/>
          <w:sz w:val="20"/>
          <w:szCs w:val="20"/>
          <w:lang w:eastAsia="en-AU"/>
        </w:rPr>
        <w:t xml:space="preserve">Amendment </w:t>
      </w:r>
      <w:r w:rsidRPr="00C25DCD">
        <w:rPr>
          <w:rFonts w:ascii="Arial" w:eastAsia="Times New Roman" w:hAnsi="Arial" w:cs="Arial"/>
          <w:b/>
          <w:bCs/>
          <w:sz w:val="20"/>
          <w:szCs w:val="20"/>
          <w:lang w:eastAsia="en-AU"/>
        </w:rPr>
        <w:t>Determination</w:t>
      </w:r>
      <w:r w:rsidRPr="00C25DCD">
        <w:rPr>
          <w:rFonts w:ascii="Arial" w:eastAsia="Times New Roman" w:hAnsi="Arial" w:cs="Arial"/>
          <w:sz w:val="20"/>
          <w:szCs w:val="20"/>
          <w:lang w:eastAsia="en-AU"/>
        </w:rPr>
        <w:t xml:space="preserve">) provides updated rules for the trading of spectrum </w:t>
      </w:r>
      <w:proofErr w:type="gramStart"/>
      <w:r w:rsidRPr="00C25DCD">
        <w:rPr>
          <w:rFonts w:ascii="Arial" w:eastAsia="Times New Roman" w:hAnsi="Arial" w:cs="Arial"/>
          <w:sz w:val="20"/>
          <w:szCs w:val="20"/>
          <w:lang w:eastAsia="en-AU"/>
        </w:rPr>
        <w:t>licences which</w:t>
      </w:r>
      <w:proofErr w:type="gramEnd"/>
      <w:r w:rsidRPr="00C25DCD">
        <w:rPr>
          <w:rFonts w:ascii="Arial" w:eastAsia="Times New Roman" w:hAnsi="Arial" w:cs="Arial"/>
          <w:sz w:val="20"/>
          <w:szCs w:val="20"/>
          <w:lang w:eastAsia="en-AU"/>
        </w:rPr>
        <w:t xml:space="preserve"> are aimed at providing greater flexibility for spectrum licensees</w:t>
      </w:r>
      <w:r w:rsidR="00D919D9" w:rsidRPr="00C25DCD">
        <w:rPr>
          <w:rFonts w:ascii="Arial" w:eastAsia="Times New Roman" w:hAnsi="Arial" w:cs="Arial"/>
          <w:sz w:val="20"/>
          <w:szCs w:val="20"/>
          <w:lang w:eastAsia="en-AU"/>
        </w:rPr>
        <w:t xml:space="preserve"> in the </w:t>
      </w:r>
      <w:r w:rsidR="009D413F" w:rsidRPr="00C25DCD">
        <w:rPr>
          <w:rFonts w:ascii="Arial" w:eastAsia="Times New Roman" w:hAnsi="Arial" w:cs="Arial"/>
          <w:sz w:val="20"/>
          <w:szCs w:val="20"/>
          <w:lang w:eastAsia="en-AU"/>
        </w:rPr>
        <w:t>3.4</w:t>
      </w:r>
      <w:r w:rsidR="00D919D9" w:rsidRPr="00C25DCD">
        <w:rPr>
          <w:rFonts w:ascii="Arial" w:eastAsia="Times New Roman" w:hAnsi="Arial" w:cs="Arial"/>
          <w:sz w:val="20"/>
          <w:szCs w:val="20"/>
          <w:lang w:eastAsia="en-AU"/>
        </w:rPr>
        <w:t xml:space="preserve"> GHz band in particular</w:t>
      </w:r>
      <w:r w:rsidRPr="00C25DCD">
        <w:rPr>
          <w:rFonts w:ascii="Arial" w:eastAsia="Times New Roman" w:hAnsi="Arial" w:cs="Arial"/>
          <w:sz w:val="20"/>
          <w:szCs w:val="20"/>
          <w:lang w:eastAsia="en-AU"/>
        </w:rPr>
        <w:t>.   </w:t>
      </w:r>
    </w:p>
    <w:p w14:paraId="713EB76E" w14:textId="77777777" w:rsidR="00AE5602" w:rsidRPr="00C25DCD" w:rsidRDefault="00C242E3">
      <w:pPr>
        <w:spacing w:before="120" w:after="120" w:line="240" w:lineRule="auto"/>
        <w:rPr>
          <w:rFonts w:ascii="Times New Roman" w:eastAsia="Times New Roman" w:hAnsi="Times New Roman" w:cs="Times New Roman"/>
          <w:sz w:val="20"/>
          <w:szCs w:val="20"/>
          <w:lang w:eastAsia="en-AU"/>
        </w:rPr>
      </w:pPr>
      <w:r w:rsidRPr="00C25DCD">
        <w:rPr>
          <w:rFonts w:ascii="Arial" w:eastAsia="Times New Roman" w:hAnsi="Arial" w:cs="Arial"/>
          <w:b/>
          <w:bCs/>
          <w:sz w:val="20"/>
          <w:szCs w:val="20"/>
          <w:lang w:eastAsia="en-AU"/>
        </w:rPr>
        <w:t>Legislative Provisions</w:t>
      </w:r>
    </w:p>
    <w:p w14:paraId="248ADEA0" w14:textId="1EBF2FCF" w:rsidR="00C338B9" w:rsidRDefault="00C338B9" w:rsidP="00C338B9">
      <w:pPr>
        <w:jc w:val="both"/>
        <w:outlineLvl w:val="0"/>
        <w:rPr>
          <w:rFonts w:ascii="Arial" w:hAnsi="Arial" w:cs="Arial"/>
          <w:sz w:val="20"/>
          <w:szCs w:val="20"/>
        </w:rPr>
      </w:pPr>
      <w:r w:rsidRPr="003B53C7">
        <w:rPr>
          <w:rFonts w:ascii="Arial" w:hAnsi="Arial" w:cs="Arial"/>
          <w:sz w:val="20"/>
          <w:szCs w:val="20"/>
        </w:rPr>
        <w:t>The</w:t>
      </w:r>
      <w:r>
        <w:rPr>
          <w:rFonts w:ascii="Arial" w:hAnsi="Arial" w:cs="Arial"/>
          <w:sz w:val="20"/>
          <w:szCs w:val="20"/>
        </w:rPr>
        <w:t xml:space="preserve"> Amendment Determination </w:t>
      </w:r>
      <w:r w:rsidRPr="003B53C7">
        <w:rPr>
          <w:rFonts w:ascii="Arial" w:hAnsi="Arial" w:cs="Arial"/>
          <w:sz w:val="20"/>
          <w:szCs w:val="20"/>
        </w:rPr>
        <w:t>ha</w:t>
      </w:r>
      <w:r>
        <w:rPr>
          <w:rFonts w:ascii="Arial" w:hAnsi="Arial" w:cs="Arial"/>
          <w:sz w:val="20"/>
          <w:szCs w:val="20"/>
        </w:rPr>
        <w:t>s</w:t>
      </w:r>
      <w:r w:rsidRPr="003B53C7">
        <w:rPr>
          <w:rFonts w:ascii="Arial" w:hAnsi="Arial" w:cs="Arial"/>
          <w:sz w:val="20"/>
          <w:szCs w:val="20"/>
        </w:rPr>
        <w:t xml:space="preserve"> been made by the Australian Communications and Media Authority in accordance with </w:t>
      </w:r>
      <w:r>
        <w:rPr>
          <w:rFonts w:ascii="Arial" w:hAnsi="Arial" w:cs="Arial"/>
          <w:sz w:val="20"/>
          <w:szCs w:val="20"/>
        </w:rPr>
        <w:t xml:space="preserve">section 88 of the </w:t>
      </w:r>
      <w:r w:rsidRPr="003B728C">
        <w:rPr>
          <w:rFonts w:ascii="Arial" w:hAnsi="Arial" w:cs="Arial"/>
          <w:i/>
          <w:sz w:val="20"/>
          <w:szCs w:val="20"/>
        </w:rPr>
        <w:t>Radiocommunications Act 1992</w:t>
      </w:r>
      <w:r w:rsidRPr="003B728C">
        <w:rPr>
          <w:rFonts w:ascii="Arial" w:hAnsi="Arial" w:cs="Arial"/>
          <w:sz w:val="20"/>
          <w:szCs w:val="20"/>
        </w:rPr>
        <w:t xml:space="preserve"> (</w:t>
      </w:r>
      <w:r w:rsidRPr="003B728C">
        <w:rPr>
          <w:rFonts w:ascii="Arial" w:hAnsi="Arial" w:cs="Arial"/>
          <w:b/>
          <w:sz w:val="20"/>
          <w:szCs w:val="20"/>
        </w:rPr>
        <w:t>the Act</w:t>
      </w:r>
      <w:r w:rsidRPr="003B728C">
        <w:rPr>
          <w:rFonts w:ascii="Arial" w:hAnsi="Arial" w:cs="Arial"/>
          <w:sz w:val="20"/>
          <w:szCs w:val="20"/>
        </w:rPr>
        <w:t>)</w:t>
      </w:r>
      <w:r>
        <w:rPr>
          <w:rFonts w:ascii="Arial" w:hAnsi="Arial" w:cs="Arial"/>
          <w:sz w:val="20"/>
          <w:szCs w:val="20"/>
        </w:rPr>
        <w:t xml:space="preserve"> </w:t>
      </w:r>
      <w:r w:rsidRPr="003B53C7">
        <w:rPr>
          <w:rFonts w:ascii="Arial" w:hAnsi="Arial" w:cs="Arial"/>
          <w:sz w:val="20"/>
          <w:szCs w:val="20"/>
        </w:rPr>
        <w:t>and in accordance with subsection 33(3) of the</w:t>
      </w:r>
      <w:r w:rsidRPr="003B53C7">
        <w:rPr>
          <w:rFonts w:ascii="Arial" w:hAnsi="Arial" w:cs="Arial"/>
          <w:i/>
          <w:iCs/>
          <w:sz w:val="20"/>
          <w:szCs w:val="20"/>
        </w:rPr>
        <w:t xml:space="preserve"> Acts Interpretation Act 1901</w:t>
      </w:r>
      <w:r w:rsidRPr="003B53C7">
        <w:rPr>
          <w:rFonts w:ascii="Arial" w:hAnsi="Arial" w:cs="Arial"/>
          <w:sz w:val="20"/>
          <w:szCs w:val="20"/>
        </w:rPr>
        <w:t xml:space="preserve"> (</w:t>
      </w:r>
      <w:r w:rsidRPr="00865424">
        <w:rPr>
          <w:rFonts w:ascii="Arial" w:hAnsi="Arial" w:cs="Arial"/>
          <w:b/>
          <w:sz w:val="20"/>
          <w:szCs w:val="20"/>
        </w:rPr>
        <w:t>the AI</w:t>
      </w:r>
      <w:r w:rsidR="007958FA">
        <w:rPr>
          <w:rFonts w:ascii="Arial" w:hAnsi="Arial" w:cs="Arial"/>
          <w:b/>
          <w:sz w:val="20"/>
          <w:szCs w:val="20"/>
        </w:rPr>
        <w:t xml:space="preserve"> </w:t>
      </w:r>
      <w:r w:rsidRPr="00865424">
        <w:rPr>
          <w:rFonts w:ascii="Arial" w:hAnsi="Arial" w:cs="Arial"/>
          <w:b/>
          <w:sz w:val="20"/>
          <w:szCs w:val="20"/>
        </w:rPr>
        <w:t>A</w:t>
      </w:r>
      <w:r w:rsidR="007958FA">
        <w:rPr>
          <w:rFonts w:ascii="Arial" w:hAnsi="Arial" w:cs="Arial"/>
          <w:b/>
          <w:sz w:val="20"/>
          <w:szCs w:val="20"/>
        </w:rPr>
        <w:t>ct</w:t>
      </w:r>
      <w:r w:rsidRPr="003B53C7">
        <w:rPr>
          <w:rFonts w:ascii="Arial" w:hAnsi="Arial" w:cs="Arial"/>
          <w:sz w:val="20"/>
          <w:szCs w:val="20"/>
        </w:rPr>
        <w:t>).</w:t>
      </w:r>
    </w:p>
    <w:p w14:paraId="713EB76F" w14:textId="10C87AC9" w:rsidR="00AE5602" w:rsidRPr="00C25DCD" w:rsidRDefault="00C338B9">
      <w:pPr>
        <w:spacing w:before="120" w:after="0" w:line="240" w:lineRule="auto"/>
        <w:rPr>
          <w:rFonts w:ascii="Times New Roman" w:eastAsia="Times New Roman" w:hAnsi="Times New Roman" w:cs="Times New Roman"/>
          <w:sz w:val="20"/>
          <w:szCs w:val="20"/>
          <w:lang w:eastAsia="en-AU"/>
        </w:rPr>
      </w:pPr>
      <w:r>
        <w:rPr>
          <w:rFonts w:ascii="Arial" w:eastAsia="Times New Roman" w:hAnsi="Arial" w:cs="Arial"/>
          <w:sz w:val="20"/>
          <w:szCs w:val="20"/>
          <w:lang w:eastAsia="en-AU"/>
        </w:rPr>
        <w:t>S</w:t>
      </w:r>
      <w:r w:rsidR="00C242E3" w:rsidRPr="00C25DCD">
        <w:rPr>
          <w:rFonts w:ascii="Arial" w:eastAsia="Times New Roman" w:hAnsi="Arial" w:cs="Arial"/>
          <w:sz w:val="20"/>
          <w:szCs w:val="20"/>
          <w:lang w:eastAsia="en-AU"/>
        </w:rPr>
        <w:t xml:space="preserve">ection 88 of the </w:t>
      </w:r>
      <w:r w:rsidR="00C242E3" w:rsidRPr="00E56C63">
        <w:rPr>
          <w:rFonts w:ascii="Arial" w:eastAsia="Times New Roman" w:hAnsi="Arial" w:cs="Arial"/>
          <w:bCs/>
          <w:sz w:val="20"/>
          <w:szCs w:val="20"/>
          <w:lang w:eastAsia="en-AU"/>
        </w:rPr>
        <w:t>Act</w:t>
      </w:r>
      <w:r w:rsidR="00C242E3" w:rsidRPr="00C25DCD">
        <w:rPr>
          <w:rFonts w:ascii="Arial" w:eastAsia="Times New Roman" w:hAnsi="Arial" w:cs="Arial"/>
          <w:sz w:val="20"/>
          <w:szCs w:val="20"/>
          <w:lang w:eastAsia="en-AU"/>
        </w:rPr>
        <w:t xml:space="preserve"> provides that the Australian Communications and Media Authority (the </w:t>
      </w:r>
      <w:r w:rsidR="00C242E3" w:rsidRPr="00C25DCD">
        <w:rPr>
          <w:rFonts w:ascii="Arial" w:eastAsia="Times New Roman" w:hAnsi="Arial" w:cs="Arial"/>
          <w:b/>
          <w:bCs/>
          <w:sz w:val="20"/>
          <w:szCs w:val="20"/>
          <w:lang w:eastAsia="en-AU"/>
        </w:rPr>
        <w:t>ACMA</w:t>
      </w:r>
      <w:r w:rsidR="00C242E3" w:rsidRPr="00C25DCD">
        <w:rPr>
          <w:rFonts w:ascii="Arial" w:eastAsia="Times New Roman" w:hAnsi="Arial" w:cs="Arial"/>
          <w:sz w:val="20"/>
          <w:szCs w:val="20"/>
          <w:lang w:eastAsia="en-AU"/>
        </w:rPr>
        <w:t xml:space="preserve">) may determine rules for the assignment of spectrum licences and the circumstances in which licences </w:t>
      </w:r>
      <w:proofErr w:type="gramStart"/>
      <w:r w:rsidR="00C242E3" w:rsidRPr="00C25DCD">
        <w:rPr>
          <w:rFonts w:ascii="Arial" w:eastAsia="Times New Roman" w:hAnsi="Arial" w:cs="Arial"/>
          <w:sz w:val="20"/>
          <w:szCs w:val="20"/>
          <w:lang w:eastAsia="en-AU"/>
        </w:rPr>
        <w:t>can be varied, issued or cancelled as the result of an assignment</w:t>
      </w:r>
      <w:proofErr w:type="gramEnd"/>
      <w:r w:rsidR="00C242E3" w:rsidRPr="00C25DCD">
        <w:rPr>
          <w:rFonts w:ascii="Arial" w:eastAsia="Times New Roman" w:hAnsi="Arial" w:cs="Arial"/>
          <w:sz w:val="20"/>
          <w:szCs w:val="20"/>
          <w:lang w:eastAsia="en-AU"/>
        </w:rPr>
        <w:t>.</w:t>
      </w:r>
    </w:p>
    <w:p w14:paraId="228E49B7" w14:textId="77777777" w:rsidR="00C338B9" w:rsidRDefault="00C338B9" w:rsidP="00C338B9">
      <w:pPr>
        <w:jc w:val="both"/>
        <w:outlineLvl w:val="0"/>
        <w:rPr>
          <w:rFonts w:ascii="Arial" w:hAnsi="Arial" w:cs="Arial"/>
          <w:sz w:val="20"/>
          <w:szCs w:val="20"/>
        </w:rPr>
      </w:pPr>
    </w:p>
    <w:p w14:paraId="6224383C" w14:textId="761B3B7F" w:rsidR="00C338B9" w:rsidRPr="003B53C7" w:rsidRDefault="00C338B9" w:rsidP="00C338B9">
      <w:pPr>
        <w:jc w:val="both"/>
        <w:outlineLvl w:val="0"/>
        <w:rPr>
          <w:rFonts w:ascii="Arial" w:hAnsi="Arial" w:cs="Arial"/>
          <w:sz w:val="20"/>
          <w:szCs w:val="20"/>
        </w:rPr>
      </w:pPr>
      <w:r w:rsidRPr="003B53C7">
        <w:rPr>
          <w:rFonts w:ascii="Arial" w:hAnsi="Arial" w:cs="Arial"/>
          <w:sz w:val="20"/>
          <w:szCs w:val="20"/>
        </w:rPr>
        <w:t>Subsection 33(3) of the AI</w:t>
      </w:r>
      <w:r w:rsidR="007958FA">
        <w:rPr>
          <w:rFonts w:ascii="Arial" w:hAnsi="Arial" w:cs="Arial"/>
          <w:sz w:val="20"/>
          <w:szCs w:val="20"/>
        </w:rPr>
        <w:t xml:space="preserve"> </w:t>
      </w:r>
      <w:r w:rsidRPr="003B53C7">
        <w:rPr>
          <w:rFonts w:ascii="Arial" w:hAnsi="Arial" w:cs="Arial"/>
          <w:sz w:val="20"/>
          <w:szCs w:val="20"/>
        </w:rPr>
        <w:t>A</w:t>
      </w:r>
      <w:r w:rsidR="007958FA">
        <w:rPr>
          <w:rFonts w:ascii="Arial" w:hAnsi="Arial" w:cs="Arial"/>
          <w:sz w:val="20"/>
          <w:szCs w:val="20"/>
        </w:rPr>
        <w:t>ct</w:t>
      </w:r>
      <w:r w:rsidRPr="003B53C7">
        <w:rPr>
          <w:rFonts w:ascii="Arial" w:hAnsi="Arial" w:cs="Arial"/>
          <w:sz w:val="20"/>
          <w:szCs w:val="20"/>
        </w:rPr>
        <w:t xml:space="preserve">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713EB770" w14:textId="2B78A102" w:rsidR="00AE5602" w:rsidRPr="00C25DCD" w:rsidRDefault="00C242E3">
      <w:pPr>
        <w:spacing w:before="120" w:after="0" w:line="240" w:lineRule="auto"/>
        <w:rPr>
          <w:rFonts w:ascii="Times New Roman" w:eastAsia="Times New Roman" w:hAnsi="Times New Roman" w:cs="Times New Roman"/>
          <w:sz w:val="20"/>
          <w:szCs w:val="20"/>
          <w:lang w:eastAsia="en-AU"/>
        </w:rPr>
      </w:pPr>
      <w:r w:rsidRPr="00C25DCD">
        <w:rPr>
          <w:rFonts w:ascii="Arial" w:eastAsia="Times New Roman" w:hAnsi="Arial" w:cs="Arial"/>
          <w:sz w:val="20"/>
          <w:szCs w:val="20"/>
          <w:lang w:eastAsia="en-AU"/>
        </w:rPr>
        <w:t xml:space="preserve">The </w:t>
      </w:r>
      <w:r w:rsidR="00C17BD4" w:rsidRPr="00C25DCD">
        <w:rPr>
          <w:rFonts w:ascii="Arial" w:eastAsia="Times New Roman" w:hAnsi="Arial" w:cs="Arial"/>
          <w:sz w:val="20"/>
          <w:szCs w:val="20"/>
          <w:lang w:eastAsia="en-AU"/>
        </w:rPr>
        <w:t xml:space="preserve">Amendment </w:t>
      </w:r>
      <w:r w:rsidRPr="00C25DCD">
        <w:rPr>
          <w:rFonts w:ascii="Arial" w:eastAsia="Times New Roman" w:hAnsi="Arial" w:cs="Arial"/>
          <w:sz w:val="20"/>
          <w:szCs w:val="20"/>
          <w:lang w:eastAsia="en-AU"/>
        </w:rPr>
        <w:t xml:space="preserve">Determination is a legislative instrument for the purposes of the </w:t>
      </w:r>
      <w:r w:rsidRPr="00C25DCD">
        <w:rPr>
          <w:rFonts w:ascii="Arial" w:eastAsia="Times New Roman" w:hAnsi="Arial" w:cs="Arial"/>
          <w:i/>
          <w:iCs/>
          <w:sz w:val="20"/>
          <w:szCs w:val="20"/>
          <w:lang w:eastAsia="en-AU"/>
        </w:rPr>
        <w:t>Legislative Instruments Act 2003</w:t>
      </w:r>
      <w:r w:rsidR="00C338B9">
        <w:rPr>
          <w:rFonts w:ascii="Arial" w:eastAsia="Times New Roman" w:hAnsi="Arial" w:cs="Arial"/>
          <w:i/>
          <w:iCs/>
          <w:sz w:val="20"/>
          <w:szCs w:val="20"/>
          <w:lang w:eastAsia="en-AU"/>
        </w:rPr>
        <w:t xml:space="preserve"> </w:t>
      </w:r>
      <w:r w:rsidR="00C338B9">
        <w:rPr>
          <w:rFonts w:ascii="Arial" w:eastAsia="Times New Roman" w:hAnsi="Arial" w:cs="Arial"/>
          <w:iCs/>
          <w:sz w:val="20"/>
          <w:szCs w:val="20"/>
          <w:lang w:eastAsia="en-AU"/>
        </w:rPr>
        <w:t xml:space="preserve">(the </w:t>
      </w:r>
      <w:r w:rsidR="00C338B9" w:rsidRPr="00E56C63">
        <w:rPr>
          <w:rFonts w:ascii="Arial" w:eastAsia="Times New Roman" w:hAnsi="Arial" w:cs="Arial"/>
          <w:b/>
          <w:iCs/>
          <w:sz w:val="20"/>
          <w:szCs w:val="20"/>
          <w:lang w:eastAsia="en-AU"/>
        </w:rPr>
        <w:t>LI Act</w:t>
      </w:r>
      <w:r w:rsidR="00C338B9">
        <w:rPr>
          <w:rFonts w:ascii="Arial" w:eastAsia="Times New Roman" w:hAnsi="Arial" w:cs="Arial"/>
          <w:iCs/>
          <w:sz w:val="20"/>
          <w:szCs w:val="20"/>
          <w:lang w:eastAsia="en-AU"/>
        </w:rPr>
        <w:t>)</w:t>
      </w:r>
      <w:r w:rsidRPr="00C25DCD">
        <w:rPr>
          <w:rFonts w:ascii="Arial" w:eastAsia="Times New Roman" w:hAnsi="Arial" w:cs="Arial"/>
          <w:sz w:val="20"/>
          <w:szCs w:val="20"/>
          <w:lang w:eastAsia="en-AU"/>
        </w:rPr>
        <w:t>.</w:t>
      </w:r>
    </w:p>
    <w:p w14:paraId="713EB771" w14:textId="77777777" w:rsidR="00AE5602" w:rsidRPr="00C25DCD" w:rsidRDefault="00C242E3">
      <w:pPr>
        <w:spacing w:before="120" w:after="120" w:line="240" w:lineRule="auto"/>
        <w:rPr>
          <w:rFonts w:ascii="Times New Roman" w:eastAsia="Times New Roman" w:hAnsi="Times New Roman" w:cs="Times New Roman"/>
          <w:sz w:val="20"/>
          <w:szCs w:val="20"/>
          <w:lang w:eastAsia="en-AU"/>
        </w:rPr>
      </w:pPr>
      <w:r w:rsidRPr="00C25DCD">
        <w:rPr>
          <w:rFonts w:ascii="Arial" w:eastAsia="Times New Roman" w:hAnsi="Arial" w:cs="Arial"/>
          <w:b/>
          <w:bCs/>
          <w:sz w:val="20"/>
          <w:szCs w:val="20"/>
          <w:lang w:eastAsia="en-AU"/>
        </w:rPr>
        <w:t>Background</w:t>
      </w:r>
    </w:p>
    <w:p w14:paraId="713EB772" w14:textId="566C3833" w:rsidR="00AE5602" w:rsidRPr="00C25DCD" w:rsidRDefault="007B75F2">
      <w:pPr>
        <w:spacing w:after="120" w:line="240" w:lineRule="auto"/>
        <w:rPr>
          <w:rFonts w:ascii="Arial" w:hAnsi="Arial" w:cs="Arial"/>
          <w:sz w:val="20"/>
          <w:szCs w:val="20"/>
        </w:rPr>
      </w:pPr>
      <w:r w:rsidRPr="00C25DCD">
        <w:rPr>
          <w:rFonts w:ascii="Arial" w:hAnsi="Arial" w:cs="Arial"/>
          <w:sz w:val="20"/>
          <w:szCs w:val="20"/>
        </w:rPr>
        <w:t xml:space="preserve">The frequency range </w:t>
      </w:r>
      <w:r w:rsidR="009D413F" w:rsidRPr="00C25DCD">
        <w:rPr>
          <w:rFonts w:ascii="Arial" w:hAnsi="Arial" w:cs="Arial"/>
          <w:sz w:val="20"/>
          <w:szCs w:val="20"/>
        </w:rPr>
        <w:t>3425-3492.5</w:t>
      </w:r>
      <w:r w:rsidRPr="00C25DCD">
        <w:rPr>
          <w:rFonts w:ascii="Arial" w:hAnsi="Arial" w:cs="Arial"/>
          <w:sz w:val="20"/>
          <w:szCs w:val="20"/>
        </w:rPr>
        <w:t xml:space="preserve"> MHz </w:t>
      </w:r>
      <w:r w:rsidR="009D413F" w:rsidRPr="00C25DCD">
        <w:rPr>
          <w:rFonts w:ascii="Arial" w:hAnsi="Arial" w:cs="Arial"/>
          <w:sz w:val="20"/>
          <w:szCs w:val="20"/>
        </w:rPr>
        <w:t>and 3542.5-3575 MHz (</w:t>
      </w:r>
      <w:r w:rsidR="009D413F" w:rsidRPr="00E56C63">
        <w:rPr>
          <w:rFonts w:ascii="Arial" w:hAnsi="Arial" w:cs="Arial"/>
          <w:b/>
          <w:sz w:val="20"/>
          <w:szCs w:val="20"/>
        </w:rPr>
        <w:t>the 3.4</w:t>
      </w:r>
      <w:r w:rsidRPr="00E56C63">
        <w:rPr>
          <w:rFonts w:ascii="Arial" w:hAnsi="Arial" w:cs="Arial"/>
          <w:b/>
          <w:sz w:val="20"/>
          <w:szCs w:val="20"/>
        </w:rPr>
        <w:t xml:space="preserve"> GHz band</w:t>
      </w:r>
      <w:r w:rsidRPr="00C25DCD">
        <w:rPr>
          <w:rFonts w:ascii="Arial" w:hAnsi="Arial" w:cs="Arial"/>
          <w:sz w:val="20"/>
          <w:szCs w:val="20"/>
        </w:rPr>
        <w:t xml:space="preserve">) </w:t>
      </w:r>
      <w:proofErr w:type="gramStart"/>
      <w:r w:rsidRPr="00C25DCD">
        <w:rPr>
          <w:rFonts w:ascii="Arial" w:hAnsi="Arial" w:cs="Arial"/>
          <w:sz w:val="20"/>
          <w:szCs w:val="20"/>
        </w:rPr>
        <w:t>is currently allocated</w:t>
      </w:r>
      <w:proofErr w:type="gramEnd"/>
      <w:r w:rsidRPr="00C25DCD">
        <w:rPr>
          <w:rFonts w:ascii="Arial" w:hAnsi="Arial" w:cs="Arial"/>
          <w:sz w:val="20"/>
          <w:szCs w:val="20"/>
        </w:rPr>
        <w:t xml:space="preserve"> </w:t>
      </w:r>
      <w:r w:rsidR="009D413F" w:rsidRPr="00C25DCD">
        <w:rPr>
          <w:rFonts w:ascii="Arial" w:hAnsi="Arial" w:cs="Arial"/>
          <w:sz w:val="20"/>
          <w:szCs w:val="20"/>
        </w:rPr>
        <w:t>via the issue of spectrum licences in various metropolitan, highly populated regional centres and regional areas</w:t>
      </w:r>
      <w:r w:rsidRPr="00C25DCD">
        <w:rPr>
          <w:rFonts w:ascii="Arial" w:hAnsi="Arial" w:cs="Arial"/>
          <w:sz w:val="20"/>
          <w:szCs w:val="20"/>
        </w:rPr>
        <w:t xml:space="preserve">. Existing spectrum licences in the band are due to expire on </w:t>
      </w:r>
      <w:r w:rsidR="009D413F" w:rsidRPr="00C25DCD">
        <w:rPr>
          <w:rFonts w:ascii="Arial" w:hAnsi="Arial" w:cs="Arial"/>
          <w:sz w:val="20"/>
          <w:szCs w:val="20"/>
        </w:rPr>
        <w:t>13 December</w:t>
      </w:r>
      <w:r w:rsidRPr="00C25DCD">
        <w:rPr>
          <w:rFonts w:ascii="Arial" w:hAnsi="Arial" w:cs="Arial"/>
          <w:sz w:val="20"/>
          <w:szCs w:val="20"/>
        </w:rPr>
        <w:t xml:space="preserve"> 2015. The ACMA reviews the technical frameworks for a spectrum-licensed band as licences approach expiry. This helps to ensure the framework remains current and </w:t>
      </w:r>
      <w:r w:rsidR="00C338B9">
        <w:rPr>
          <w:rFonts w:ascii="Arial" w:hAnsi="Arial" w:cs="Arial"/>
          <w:sz w:val="20"/>
          <w:szCs w:val="20"/>
        </w:rPr>
        <w:t>suitable for the management of</w:t>
      </w:r>
      <w:r w:rsidRPr="00C25DCD">
        <w:rPr>
          <w:rFonts w:ascii="Arial" w:hAnsi="Arial" w:cs="Arial"/>
          <w:sz w:val="20"/>
          <w:szCs w:val="20"/>
        </w:rPr>
        <w:t xml:space="preserve"> interference across the tenure period of a spectrum licences in a particular band, which may </w:t>
      </w:r>
      <w:r w:rsidR="003E6F3E" w:rsidRPr="00C25DCD">
        <w:rPr>
          <w:rFonts w:ascii="Arial" w:hAnsi="Arial" w:cs="Arial"/>
          <w:sz w:val="20"/>
          <w:szCs w:val="20"/>
        </w:rPr>
        <w:t xml:space="preserve">be </w:t>
      </w:r>
      <w:r w:rsidRPr="00C25DCD">
        <w:rPr>
          <w:rFonts w:ascii="Arial" w:hAnsi="Arial" w:cs="Arial"/>
          <w:sz w:val="20"/>
          <w:szCs w:val="20"/>
        </w:rPr>
        <w:t xml:space="preserve">up to 15 years. </w:t>
      </w:r>
    </w:p>
    <w:p w14:paraId="713EB773" w14:textId="77777777" w:rsidR="00AE5602" w:rsidRPr="00C25DCD" w:rsidRDefault="008D6CA8">
      <w:pPr>
        <w:spacing w:after="80" w:line="240" w:lineRule="auto"/>
        <w:rPr>
          <w:rFonts w:ascii="Arial" w:hAnsi="Arial" w:cs="Arial"/>
          <w:iCs/>
          <w:sz w:val="20"/>
          <w:szCs w:val="20"/>
        </w:rPr>
      </w:pPr>
      <w:r w:rsidRPr="00C25DCD">
        <w:rPr>
          <w:rFonts w:ascii="Arial" w:hAnsi="Arial" w:cs="Arial"/>
          <w:iCs/>
          <w:sz w:val="20"/>
          <w:szCs w:val="20"/>
        </w:rPr>
        <w:t xml:space="preserve">The ACMA established a Technical Liaison Group </w:t>
      </w:r>
      <w:r w:rsidR="004E69A9" w:rsidRPr="00C25DCD">
        <w:rPr>
          <w:rFonts w:ascii="Arial" w:hAnsi="Arial" w:cs="Arial"/>
          <w:iCs/>
          <w:sz w:val="20"/>
          <w:szCs w:val="20"/>
        </w:rPr>
        <w:t>(</w:t>
      </w:r>
      <w:r w:rsidR="004E69A9" w:rsidRPr="00E56C63">
        <w:rPr>
          <w:rFonts w:ascii="Arial" w:hAnsi="Arial" w:cs="Arial"/>
          <w:b/>
          <w:iCs/>
          <w:sz w:val="20"/>
          <w:szCs w:val="20"/>
        </w:rPr>
        <w:t>TLG</w:t>
      </w:r>
      <w:r w:rsidR="004E69A9" w:rsidRPr="00C25DCD">
        <w:rPr>
          <w:rFonts w:ascii="Arial" w:hAnsi="Arial" w:cs="Arial"/>
          <w:iCs/>
          <w:sz w:val="20"/>
          <w:szCs w:val="20"/>
        </w:rPr>
        <w:t xml:space="preserve">) </w:t>
      </w:r>
      <w:r w:rsidRPr="00C25DCD">
        <w:rPr>
          <w:rFonts w:ascii="Arial" w:hAnsi="Arial" w:cs="Arial"/>
          <w:iCs/>
          <w:sz w:val="20"/>
          <w:szCs w:val="20"/>
        </w:rPr>
        <w:t xml:space="preserve">to assist in the review of the technical framework for the </w:t>
      </w:r>
      <w:r w:rsidR="009D413F" w:rsidRPr="00C25DCD">
        <w:rPr>
          <w:rFonts w:ascii="Arial" w:hAnsi="Arial" w:cs="Arial"/>
          <w:iCs/>
          <w:sz w:val="20"/>
          <w:szCs w:val="20"/>
        </w:rPr>
        <w:t>3.4</w:t>
      </w:r>
      <w:r w:rsidRPr="00C25DCD">
        <w:rPr>
          <w:rFonts w:ascii="Arial" w:hAnsi="Arial" w:cs="Arial"/>
          <w:iCs/>
          <w:sz w:val="20"/>
          <w:szCs w:val="20"/>
        </w:rPr>
        <w:t xml:space="preserve"> GHz band in </w:t>
      </w:r>
      <w:r w:rsidR="009D413F" w:rsidRPr="00C25DCD">
        <w:rPr>
          <w:rFonts w:ascii="Arial" w:hAnsi="Arial" w:cs="Arial"/>
          <w:iCs/>
          <w:sz w:val="20"/>
          <w:szCs w:val="20"/>
        </w:rPr>
        <w:t>July 2014</w:t>
      </w:r>
      <w:r w:rsidRPr="00C25DCD">
        <w:rPr>
          <w:rFonts w:ascii="Arial" w:hAnsi="Arial" w:cs="Arial"/>
          <w:iCs/>
          <w:sz w:val="20"/>
          <w:szCs w:val="20"/>
        </w:rPr>
        <w:t xml:space="preserve">. The TLG process involved consideration by the TLG of several iterations of proposed changes to the technical conditions that </w:t>
      </w:r>
      <w:proofErr w:type="gramStart"/>
      <w:r w:rsidRPr="00C25DCD">
        <w:rPr>
          <w:rFonts w:ascii="Arial" w:hAnsi="Arial" w:cs="Arial"/>
          <w:iCs/>
          <w:sz w:val="20"/>
          <w:szCs w:val="20"/>
        </w:rPr>
        <w:t>spectrum licensed</w:t>
      </w:r>
      <w:proofErr w:type="gramEnd"/>
      <w:r w:rsidRPr="00C25DCD">
        <w:rPr>
          <w:rFonts w:ascii="Arial" w:hAnsi="Arial" w:cs="Arial"/>
          <w:iCs/>
          <w:sz w:val="20"/>
          <w:szCs w:val="20"/>
        </w:rPr>
        <w:t xml:space="preserve"> devices would operate under in accordance with the Act. </w:t>
      </w:r>
    </w:p>
    <w:p w14:paraId="713EB774" w14:textId="10B4E38F" w:rsidR="00AE5602" w:rsidRPr="00C25DCD" w:rsidRDefault="008D6CA8">
      <w:pPr>
        <w:spacing w:after="80" w:line="240" w:lineRule="auto"/>
        <w:rPr>
          <w:rFonts w:ascii="Arial" w:hAnsi="Arial" w:cs="Arial"/>
          <w:iCs/>
          <w:sz w:val="20"/>
          <w:szCs w:val="20"/>
        </w:rPr>
      </w:pPr>
      <w:r w:rsidRPr="00C25DCD">
        <w:rPr>
          <w:rFonts w:ascii="Arial" w:hAnsi="Arial" w:cs="Arial"/>
          <w:iCs/>
          <w:sz w:val="20"/>
          <w:szCs w:val="20"/>
        </w:rPr>
        <w:t xml:space="preserve">One of the regulatory issues considered by the TLG was the technical parameters of technologies and the need for updated trading rules to reflect the newer technologies capable of operating in the band.  As a result, the TLG recommended </w:t>
      </w:r>
      <w:r w:rsidR="003E052F" w:rsidRPr="00C25DCD">
        <w:rPr>
          <w:rFonts w:ascii="Arial" w:hAnsi="Arial" w:cs="Arial"/>
          <w:iCs/>
          <w:sz w:val="20"/>
          <w:szCs w:val="20"/>
        </w:rPr>
        <w:t xml:space="preserve">that the </w:t>
      </w:r>
      <w:r w:rsidR="00C25DCD" w:rsidRPr="00560B49">
        <w:rPr>
          <w:rFonts w:ascii="Arial" w:hAnsi="Arial" w:cs="Arial"/>
          <w:iCs/>
          <w:sz w:val="20"/>
          <w:szCs w:val="20"/>
        </w:rPr>
        <w:t>minimum contiguous bandwidth (</w:t>
      </w:r>
      <w:r w:rsidR="00C25DCD" w:rsidRPr="00E56C63">
        <w:rPr>
          <w:rFonts w:ascii="Arial" w:hAnsi="Arial" w:cs="Arial"/>
          <w:b/>
          <w:iCs/>
          <w:sz w:val="20"/>
          <w:szCs w:val="20"/>
        </w:rPr>
        <w:t>MCB</w:t>
      </w:r>
      <w:r w:rsidR="00C25DCD" w:rsidRPr="00560B49">
        <w:rPr>
          <w:rFonts w:ascii="Arial" w:hAnsi="Arial" w:cs="Arial"/>
          <w:iCs/>
          <w:sz w:val="20"/>
          <w:szCs w:val="20"/>
        </w:rPr>
        <w:t xml:space="preserve">) </w:t>
      </w:r>
      <w:proofErr w:type="gramStart"/>
      <w:r w:rsidR="003E052F" w:rsidRPr="00C25DCD">
        <w:rPr>
          <w:rFonts w:ascii="Arial" w:hAnsi="Arial" w:cs="Arial"/>
          <w:iCs/>
          <w:sz w:val="20"/>
          <w:szCs w:val="20"/>
        </w:rPr>
        <w:t>be increased</w:t>
      </w:r>
      <w:proofErr w:type="gramEnd"/>
      <w:r w:rsidR="003E052F" w:rsidRPr="00C25DCD">
        <w:rPr>
          <w:rFonts w:ascii="Arial" w:hAnsi="Arial" w:cs="Arial"/>
          <w:iCs/>
          <w:sz w:val="20"/>
          <w:szCs w:val="20"/>
        </w:rPr>
        <w:t xml:space="preserve"> from 2</w:t>
      </w:r>
      <w:r w:rsidRPr="00C25DCD">
        <w:rPr>
          <w:rFonts w:ascii="Arial" w:hAnsi="Arial" w:cs="Arial"/>
          <w:iCs/>
          <w:sz w:val="20"/>
          <w:szCs w:val="20"/>
        </w:rPr>
        <w:t xml:space="preserve">.5 MHz to </w:t>
      </w:r>
      <w:r w:rsidR="009D413F" w:rsidRPr="00C25DCD">
        <w:rPr>
          <w:rFonts w:ascii="Arial" w:hAnsi="Arial" w:cs="Arial"/>
          <w:iCs/>
          <w:sz w:val="20"/>
          <w:szCs w:val="20"/>
        </w:rPr>
        <w:t>10</w:t>
      </w:r>
      <w:r w:rsidRPr="00C25DCD">
        <w:rPr>
          <w:rFonts w:ascii="Arial" w:hAnsi="Arial" w:cs="Arial"/>
          <w:iCs/>
          <w:sz w:val="20"/>
          <w:szCs w:val="20"/>
        </w:rPr>
        <w:t xml:space="preserve"> MHz to better align with the bandwidth of both existing and expected technologies. </w:t>
      </w:r>
    </w:p>
    <w:p w14:paraId="713EB775" w14:textId="068A8F10" w:rsidR="00255E26" w:rsidRDefault="00255E26">
      <w:pPr>
        <w:spacing w:before="120" w:after="120" w:line="240" w:lineRule="auto"/>
        <w:rPr>
          <w:rFonts w:ascii="Arial" w:hAnsi="Arial" w:cs="Arial"/>
          <w:iCs/>
          <w:sz w:val="20"/>
          <w:szCs w:val="20"/>
        </w:rPr>
      </w:pPr>
      <w:r w:rsidRPr="00C25DCD">
        <w:rPr>
          <w:rFonts w:ascii="Arial" w:hAnsi="Arial" w:cs="Arial"/>
          <w:iCs/>
          <w:sz w:val="20"/>
          <w:szCs w:val="20"/>
        </w:rPr>
        <w:t xml:space="preserve">The 27500–28350 MHz (28 GHz) and 31000–31300 MHz (31 GHz) bands were, until February 2014, subject to spectrum licensing. The bands </w:t>
      </w:r>
      <w:r w:rsidR="00DD459E" w:rsidRPr="00C25DCD">
        <w:rPr>
          <w:rFonts w:ascii="Arial" w:hAnsi="Arial" w:cs="Arial"/>
          <w:iCs/>
          <w:sz w:val="20"/>
          <w:szCs w:val="20"/>
        </w:rPr>
        <w:t>are now subject to</w:t>
      </w:r>
      <w:r w:rsidRPr="00C25DCD">
        <w:rPr>
          <w:rFonts w:ascii="Arial" w:hAnsi="Arial" w:cs="Arial"/>
          <w:iCs/>
          <w:sz w:val="20"/>
          <w:szCs w:val="20"/>
        </w:rPr>
        <w:t xml:space="preserve"> apparatus licensing. The Determination </w:t>
      </w:r>
      <w:r w:rsidR="00C338B9">
        <w:rPr>
          <w:rFonts w:ascii="Arial" w:hAnsi="Arial" w:cs="Arial"/>
          <w:iCs/>
          <w:sz w:val="20"/>
          <w:szCs w:val="20"/>
        </w:rPr>
        <w:t>also</w:t>
      </w:r>
      <w:r w:rsidR="00C338B9" w:rsidRPr="00C25DCD">
        <w:rPr>
          <w:rFonts w:ascii="Arial" w:hAnsi="Arial" w:cs="Arial"/>
          <w:iCs/>
          <w:sz w:val="20"/>
          <w:szCs w:val="20"/>
        </w:rPr>
        <w:t xml:space="preserve"> </w:t>
      </w:r>
      <w:r w:rsidRPr="00C25DCD">
        <w:rPr>
          <w:rFonts w:ascii="Arial" w:hAnsi="Arial" w:cs="Arial"/>
          <w:iCs/>
          <w:sz w:val="20"/>
          <w:szCs w:val="20"/>
        </w:rPr>
        <w:t>includes definitions for minimum contiguous bandwidths for these bands, which are no longer required</w:t>
      </w:r>
      <w:r w:rsidR="007958FA">
        <w:rPr>
          <w:rFonts w:ascii="Arial" w:hAnsi="Arial" w:cs="Arial"/>
          <w:iCs/>
          <w:sz w:val="20"/>
          <w:szCs w:val="20"/>
        </w:rPr>
        <w:t xml:space="preserve"> and need to </w:t>
      </w:r>
      <w:proofErr w:type="gramStart"/>
      <w:r w:rsidR="007958FA">
        <w:rPr>
          <w:rFonts w:ascii="Arial" w:hAnsi="Arial" w:cs="Arial"/>
          <w:iCs/>
          <w:sz w:val="20"/>
          <w:szCs w:val="20"/>
        </w:rPr>
        <w:t>be removed</w:t>
      </w:r>
      <w:proofErr w:type="gramEnd"/>
      <w:r w:rsidRPr="00C25DCD">
        <w:rPr>
          <w:rFonts w:ascii="Arial" w:hAnsi="Arial" w:cs="Arial"/>
          <w:iCs/>
          <w:sz w:val="20"/>
          <w:szCs w:val="20"/>
        </w:rPr>
        <w:t>.</w:t>
      </w:r>
    </w:p>
    <w:p w14:paraId="495198AF" w14:textId="77777777" w:rsidR="007958FA" w:rsidRDefault="007958FA">
      <w:pPr>
        <w:spacing w:before="120" w:after="120" w:line="240" w:lineRule="auto"/>
        <w:rPr>
          <w:rFonts w:ascii="Arial" w:hAnsi="Arial" w:cs="Arial"/>
          <w:iCs/>
          <w:sz w:val="20"/>
          <w:szCs w:val="20"/>
        </w:rPr>
      </w:pPr>
    </w:p>
    <w:p w14:paraId="5A5B5A53" w14:textId="77777777" w:rsidR="007958FA" w:rsidRPr="00C25DCD" w:rsidRDefault="007958FA">
      <w:pPr>
        <w:spacing w:before="120" w:after="120" w:line="240" w:lineRule="auto"/>
        <w:rPr>
          <w:rFonts w:ascii="Arial" w:hAnsi="Arial" w:cs="Arial"/>
          <w:iCs/>
          <w:sz w:val="20"/>
          <w:szCs w:val="20"/>
        </w:rPr>
      </w:pPr>
    </w:p>
    <w:p w14:paraId="713EB776" w14:textId="77777777" w:rsidR="00AE5602" w:rsidRPr="00C25DCD" w:rsidRDefault="00C242E3">
      <w:pPr>
        <w:spacing w:before="120" w:after="120" w:line="240" w:lineRule="auto"/>
        <w:rPr>
          <w:rFonts w:ascii="Times New Roman" w:eastAsia="Times New Roman" w:hAnsi="Times New Roman" w:cs="Times New Roman"/>
          <w:sz w:val="20"/>
          <w:szCs w:val="20"/>
          <w:lang w:eastAsia="en-AU"/>
        </w:rPr>
      </w:pPr>
      <w:r w:rsidRPr="00C25DCD">
        <w:rPr>
          <w:rFonts w:ascii="Arial" w:eastAsia="Times New Roman" w:hAnsi="Arial" w:cs="Arial"/>
          <w:b/>
          <w:bCs/>
          <w:sz w:val="20"/>
          <w:szCs w:val="20"/>
          <w:lang w:eastAsia="en-AU"/>
        </w:rPr>
        <w:lastRenderedPageBreak/>
        <w:t>Operation</w:t>
      </w:r>
    </w:p>
    <w:p w14:paraId="713EB777" w14:textId="5F8B3462" w:rsidR="00AE5602" w:rsidRPr="00C25DCD" w:rsidRDefault="008D6CA8">
      <w:pPr>
        <w:spacing w:before="120" w:after="120" w:line="240" w:lineRule="auto"/>
        <w:rPr>
          <w:rFonts w:ascii="Arial" w:hAnsi="Arial" w:cs="Arial"/>
          <w:iCs/>
          <w:sz w:val="20"/>
          <w:szCs w:val="20"/>
        </w:rPr>
      </w:pPr>
      <w:r w:rsidRPr="00C25DCD">
        <w:rPr>
          <w:rFonts w:ascii="Arial" w:eastAsia="Times New Roman" w:hAnsi="Arial" w:cs="Arial"/>
          <w:sz w:val="20"/>
          <w:szCs w:val="20"/>
          <w:lang w:eastAsia="en-AU"/>
        </w:rPr>
        <w:t xml:space="preserve">The Determination sets out the rules for the trading of spectrum licences. </w:t>
      </w:r>
      <w:r w:rsidR="002659F3" w:rsidRPr="00C25DCD">
        <w:rPr>
          <w:rFonts w:ascii="Arial" w:hAnsi="Arial" w:cs="Arial"/>
          <w:iCs/>
          <w:sz w:val="20"/>
          <w:szCs w:val="20"/>
        </w:rPr>
        <w:t xml:space="preserve">The ACMA specifies the </w:t>
      </w:r>
      <w:r w:rsidR="00C25DCD">
        <w:rPr>
          <w:rFonts w:ascii="Arial" w:hAnsi="Arial" w:cs="Arial"/>
          <w:iCs/>
          <w:sz w:val="20"/>
          <w:szCs w:val="20"/>
        </w:rPr>
        <w:t>MCB</w:t>
      </w:r>
      <w:r w:rsidR="002659F3" w:rsidRPr="00C25DCD">
        <w:rPr>
          <w:rFonts w:ascii="Arial" w:hAnsi="Arial" w:cs="Arial"/>
          <w:iCs/>
          <w:sz w:val="20"/>
          <w:szCs w:val="20"/>
        </w:rPr>
        <w:t xml:space="preserve"> in the Determination as the smallest contiguous bandwidth that </w:t>
      </w:r>
      <w:proofErr w:type="gramStart"/>
      <w:r w:rsidR="002659F3" w:rsidRPr="00C25DCD">
        <w:rPr>
          <w:rFonts w:ascii="Arial" w:hAnsi="Arial" w:cs="Arial"/>
          <w:iCs/>
          <w:sz w:val="20"/>
          <w:szCs w:val="20"/>
        </w:rPr>
        <w:t xml:space="preserve">can generally be </w:t>
      </w:r>
      <w:r w:rsidR="00C338B9">
        <w:rPr>
          <w:rFonts w:ascii="Arial" w:hAnsi="Arial" w:cs="Arial"/>
          <w:iCs/>
          <w:sz w:val="20"/>
          <w:szCs w:val="20"/>
        </w:rPr>
        <w:t>traded</w:t>
      </w:r>
      <w:proofErr w:type="gramEnd"/>
      <w:r w:rsidR="002659F3" w:rsidRPr="00C25DCD">
        <w:rPr>
          <w:rFonts w:ascii="Arial" w:hAnsi="Arial" w:cs="Arial"/>
          <w:iCs/>
          <w:sz w:val="20"/>
          <w:szCs w:val="20"/>
        </w:rPr>
        <w:t xml:space="preserve">, and </w:t>
      </w:r>
      <w:r w:rsidR="00C338B9">
        <w:rPr>
          <w:rFonts w:ascii="Arial" w:hAnsi="Arial" w:cs="Arial"/>
          <w:iCs/>
          <w:sz w:val="20"/>
          <w:szCs w:val="20"/>
        </w:rPr>
        <w:t xml:space="preserve">so </w:t>
      </w:r>
      <w:r w:rsidR="002659F3" w:rsidRPr="00C25DCD">
        <w:rPr>
          <w:rFonts w:ascii="Arial" w:hAnsi="Arial" w:cs="Arial"/>
          <w:iCs/>
          <w:sz w:val="20"/>
          <w:szCs w:val="20"/>
        </w:rPr>
        <w:t xml:space="preserve">ensures that the potential for fragmentation in the </w:t>
      </w:r>
      <w:r w:rsidR="00C338B9">
        <w:rPr>
          <w:rFonts w:ascii="Arial" w:hAnsi="Arial" w:cs="Arial"/>
          <w:iCs/>
          <w:sz w:val="20"/>
          <w:szCs w:val="20"/>
        </w:rPr>
        <w:t xml:space="preserve">various spectrum </w:t>
      </w:r>
      <w:r w:rsidR="002659F3" w:rsidRPr="00C25DCD">
        <w:rPr>
          <w:rFonts w:ascii="Arial" w:hAnsi="Arial" w:cs="Arial"/>
          <w:iCs/>
          <w:sz w:val="20"/>
          <w:szCs w:val="20"/>
        </w:rPr>
        <w:t>band</w:t>
      </w:r>
      <w:r w:rsidR="00C338B9">
        <w:rPr>
          <w:rFonts w:ascii="Arial" w:hAnsi="Arial" w:cs="Arial"/>
          <w:iCs/>
          <w:sz w:val="20"/>
          <w:szCs w:val="20"/>
        </w:rPr>
        <w:t>s</w:t>
      </w:r>
      <w:r w:rsidR="002659F3" w:rsidRPr="00C25DCD">
        <w:rPr>
          <w:rFonts w:ascii="Arial" w:hAnsi="Arial" w:cs="Arial"/>
          <w:iCs/>
          <w:sz w:val="20"/>
          <w:szCs w:val="20"/>
        </w:rPr>
        <w:t xml:space="preserve"> is reduced.</w:t>
      </w:r>
    </w:p>
    <w:p w14:paraId="713EB778" w14:textId="5EB3A7A8" w:rsidR="00AE5602" w:rsidRPr="00C25DCD" w:rsidRDefault="008D6CA8">
      <w:pPr>
        <w:spacing w:before="120" w:after="120" w:line="240" w:lineRule="auto"/>
        <w:rPr>
          <w:rFonts w:ascii="Arial" w:hAnsi="Arial" w:cs="Arial"/>
          <w:sz w:val="20"/>
          <w:szCs w:val="20"/>
        </w:rPr>
      </w:pPr>
      <w:r w:rsidRPr="00C25DCD">
        <w:rPr>
          <w:rFonts w:ascii="Arial" w:hAnsi="Arial" w:cs="Arial"/>
          <w:sz w:val="20"/>
          <w:szCs w:val="20"/>
        </w:rPr>
        <w:t xml:space="preserve">When spectrum licences </w:t>
      </w:r>
      <w:proofErr w:type="gramStart"/>
      <w:r w:rsidRPr="00C25DCD">
        <w:rPr>
          <w:rFonts w:ascii="Arial" w:hAnsi="Arial" w:cs="Arial"/>
          <w:sz w:val="20"/>
          <w:szCs w:val="20"/>
        </w:rPr>
        <w:t>were first issued</w:t>
      </w:r>
      <w:proofErr w:type="gramEnd"/>
      <w:r w:rsidRPr="00C25DCD">
        <w:rPr>
          <w:rFonts w:ascii="Arial" w:hAnsi="Arial" w:cs="Arial"/>
          <w:sz w:val="20"/>
          <w:szCs w:val="20"/>
        </w:rPr>
        <w:t xml:space="preserve"> </w:t>
      </w:r>
      <w:r w:rsidR="00C338B9">
        <w:rPr>
          <w:rFonts w:ascii="Arial" w:hAnsi="Arial" w:cs="Arial"/>
          <w:sz w:val="20"/>
          <w:szCs w:val="20"/>
        </w:rPr>
        <w:t xml:space="preserve">in the 3.4 GHz band </w:t>
      </w:r>
      <w:r w:rsidRPr="00C25DCD">
        <w:rPr>
          <w:rFonts w:ascii="Arial" w:hAnsi="Arial" w:cs="Arial"/>
          <w:sz w:val="20"/>
          <w:szCs w:val="20"/>
        </w:rPr>
        <w:t xml:space="preserve">in </w:t>
      </w:r>
      <w:r w:rsidR="009D413F" w:rsidRPr="00C25DCD">
        <w:rPr>
          <w:rFonts w:ascii="Arial" w:hAnsi="Arial" w:cs="Arial"/>
          <w:sz w:val="20"/>
          <w:szCs w:val="20"/>
        </w:rPr>
        <w:t>December</w:t>
      </w:r>
      <w:r w:rsidRPr="00C25DCD">
        <w:rPr>
          <w:rFonts w:ascii="Arial" w:hAnsi="Arial" w:cs="Arial"/>
          <w:sz w:val="20"/>
          <w:szCs w:val="20"/>
        </w:rPr>
        <w:t xml:space="preserve"> 2000, the MCB defined for the band was set at </w:t>
      </w:r>
      <w:r w:rsidR="00AB1213" w:rsidRPr="00C25DCD">
        <w:rPr>
          <w:rFonts w:ascii="Arial" w:hAnsi="Arial" w:cs="Arial"/>
          <w:sz w:val="20"/>
          <w:szCs w:val="20"/>
        </w:rPr>
        <w:t>2</w:t>
      </w:r>
      <w:r w:rsidR="009D413F" w:rsidRPr="00C25DCD">
        <w:rPr>
          <w:rFonts w:ascii="Arial" w:hAnsi="Arial" w:cs="Arial"/>
          <w:sz w:val="20"/>
          <w:szCs w:val="20"/>
        </w:rPr>
        <w:t>.5</w:t>
      </w:r>
      <w:r w:rsidRPr="00C25DCD">
        <w:rPr>
          <w:rFonts w:ascii="Arial" w:hAnsi="Arial" w:cs="Arial"/>
          <w:sz w:val="20"/>
          <w:szCs w:val="20"/>
        </w:rPr>
        <w:t xml:space="preserve"> MHz. This </w:t>
      </w:r>
      <w:r w:rsidR="003E052F" w:rsidRPr="00C25DCD">
        <w:rPr>
          <w:rFonts w:ascii="Arial" w:hAnsi="Arial" w:cs="Arial"/>
          <w:sz w:val="20"/>
          <w:szCs w:val="20"/>
        </w:rPr>
        <w:t>was suitable for</w:t>
      </w:r>
      <w:r w:rsidRPr="00C25DCD">
        <w:rPr>
          <w:rFonts w:ascii="Arial" w:hAnsi="Arial" w:cs="Arial"/>
          <w:sz w:val="20"/>
          <w:szCs w:val="20"/>
        </w:rPr>
        <w:t xml:space="preserve"> the main technolog</w:t>
      </w:r>
      <w:r w:rsidR="009D413F" w:rsidRPr="00C25DCD">
        <w:rPr>
          <w:rFonts w:ascii="Arial" w:hAnsi="Arial" w:cs="Arial"/>
          <w:sz w:val="20"/>
          <w:szCs w:val="20"/>
        </w:rPr>
        <w:t>y used in the band at th</w:t>
      </w:r>
      <w:r w:rsidR="00C338B9">
        <w:rPr>
          <w:rFonts w:ascii="Arial" w:hAnsi="Arial" w:cs="Arial"/>
          <w:sz w:val="20"/>
          <w:szCs w:val="20"/>
        </w:rPr>
        <w:t>at</w:t>
      </w:r>
      <w:r w:rsidR="009D413F" w:rsidRPr="00C25DCD">
        <w:rPr>
          <w:rFonts w:ascii="Arial" w:hAnsi="Arial" w:cs="Arial"/>
          <w:sz w:val="20"/>
          <w:szCs w:val="20"/>
        </w:rPr>
        <w:t xml:space="preserve"> time</w:t>
      </w:r>
      <w:r w:rsidRPr="00C25DCD">
        <w:rPr>
          <w:rFonts w:ascii="Arial" w:hAnsi="Arial" w:cs="Arial"/>
          <w:sz w:val="20"/>
          <w:szCs w:val="20"/>
        </w:rPr>
        <w:t xml:space="preserve">. </w:t>
      </w:r>
    </w:p>
    <w:p w14:paraId="713EB779" w14:textId="77777777" w:rsidR="00AE5602" w:rsidRPr="00C25DCD" w:rsidRDefault="003E052F">
      <w:pPr>
        <w:spacing w:before="120" w:after="120" w:line="240" w:lineRule="auto"/>
        <w:rPr>
          <w:rFonts w:ascii="Arial" w:hAnsi="Arial" w:cs="Arial"/>
          <w:sz w:val="20"/>
          <w:szCs w:val="20"/>
        </w:rPr>
      </w:pPr>
      <w:r w:rsidRPr="00C25DCD">
        <w:rPr>
          <w:rFonts w:ascii="Arial" w:hAnsi="Arial" w:cs="Arial"/>
          <w:sz w:val="20"/>
          <w:szCs w:val="20"/>
        </w:rPr>
        <w:t>However, o</w:t>
      </w:r>
      <w:r w:rsidR="00AB1213" w:rsidRPr="00C25DCD">
        <w:rPr>
          <w:rFonts w:ascii="Arial" w:hAnsi="Arial" w:cs="Arial"/>
          <w:sz w:val="20"/>
          <w:szCs w:val="20"/>
        </w:rPr>
        <w:t>ver time t</w:t>
      </w:r>
      <w:r w:rsidR="009D413F" w:rsidRPr="00C25DCD">
        <w:rPr>
          <w:rFonts w:ascii="Arial" w:hAnsi="Arial" w:cs="Arial"/>
          <w:sz w:val="20"/>
          <w:szCs w:val="20"/>
        </w:rPr>
        <w:t>here has been</w:t>
      </w:r>
      <w:r w:rsidR="00DD459E" w:rsidRPr="00C25DCD">
        <w:rPr>
          <w:rFonts w:ascii="Arial" w:hAnsi="Arial" w:cs="Arial"/>
          <w:sz w:val="20"/>
          <w:szCs w:val="20"/>
        </w:rPr>
        <w:t xml:space="preserve"> a change</w:t>
      </w:r>
      <w:r w:rsidR="009D413F" w:rsidRPr="00C25DCD">
        <w:rPr>
          <w:rFonts w:ascii="Arial" w:hAnsi="Arial" w:cs="Arial"/>
          <w:sz w:val="20"/>
          <w:szCs w:val="20"/>
        </w:rPr>
        <w:t xml:space="preserve"> </w:t>
      </w:r>
      <w:r w:rsidR="00AB1213" w:rsidRPr="00C25DCD">
        <w:rPr>
          <w:rFonts w:ascii="Arial" w:hAnsi="Arial" w:cs="Arial"/>
          <w:sz w:val="20"/>
          <w:szCs w:val="20"/>
        </w:rPr>
        <w:t xml:space="preserve">in the most likely technology to </w:t>
      </w:r>
      <w:proofErr w:type="gramStart"/>
      <w:r w:rsidR="00AB1213" w:rsidRPr="00C25DCD">
        <w:rPr>
          <w:rFonts w:ascii="Arial" w:hAnsi="Arial" w:cs="Arial"/>
          <w:sz w:val="20"/>
          <w:szCs w:val="20"/>
        </w:rPr>
        <w:t>be deployed</w:t>
      </w:r>
      <w:proofErr w:type="gramEnd"/>
      <w:r w:rsidR="00AB1213" w:rsidRPr="00C25DCD">
        <w:rPr>
          <w:rFonts w:ascii="Arial" w:hAnsi="Arial" w:cs="Arial"/>
          <w:sz w:val="20"/>
          <w:szCs w:val="20"/>
        </w:rPr>
        <w:t xml:space="preserve"> in the band. </w:t>
      </w:r>
      <w:r w:rsidR="008D6CA8" w:rsidRPr="00C25DCD">
        <w:rPr>
          <w:rFonts w:ascii="Arial" w:hAnsi="Arial" w:cs="Arial"/>
          <w:sz w:val="20"/>
          <w:szCs w:val="20"/>
        </w:rPr>
        <w:t xml:space="preserve">Consequently, one of the outcomes of the ACMA’s review of the technical framework for the </w:t>
      </w:r>
      <w:r w:rsidR="009D413F" w:rsidRPr="00C25DCD">
        <w:rPr>
          <w:rFonts w:ascii="Arial" w:hAnsi="Arial" w:cs="Arial"/>
          <w:sz w:val="20"/>
          <w:szCs w:val="20"/>
        </w:rPr>
        <w:t>3.4</w:t>
      </w:r>
      <w:r w:rsidR="008D6CA8" w:rsidRPr="00C25DCD">
        <w:rPr>
          <w:rFonts w:ascii="Arial" w:hAnsi="Arial" w:cs="Arial"/>
          <w:sz w:val="20"/>
          <w:szCs w:val="20"/>
        </w:rPr>
        <w:t xml:space="preserve"> GHz </w:t>
      </w:r>
      <w:r w:rsidR="00AB1213" w:rsidRPr="00C25DCD">
        <w:rPr>
          <w:rFonts w:ascii="Arial" w:hAnsi="Arial" w:cs="Arial"/>
          <w:sz w:val="20"/>
          <w:szCs w:val="20"/>
        </w:rPr>
        <w:t>band wa</w:t>
      </w:r>
      <w:r w:rsidR="008D6CA8" w:rsidRPr="00C25DCD">
        <w:rPr>
          <w:rFonts w:ascii="Arial" w:hAnsi="Arial" w:cs="Arial"/>
          <w:sz w:val="20"/>
          <w:szCs w:val="20"/>
        </w:rPr>
        <w:t>s to</w:t>
      </w:r>
      <w:r w:rsidR="002659F3" w:rsidRPr="00C25DCD">
        <w:rPr>
          <w:rFonts w:ascii="Arial" w:hAnsi="Arial" w:cs="Arial"/>
          <w:sz w:val="20"/>
          <w:szCs w:val="20"/>
        </w:rPr>
        <w:t xml:space="preserve"> optimise the MCB for </w:t>
      </w:r>
      <w:r w:rsidR="00AB1213" w:rsidRPr="00C25DCD">
        <w:rPr>
          <w:rFonts w:ascii="Arial" w:hAnsi="Arial" w:cs="Arial"/>
          <w:sz w:val="20"/>
          <w:szCs w:val="20"/>
        </w:rPr>
        <w:t xml:space="preserve">time division duplex </w:t>
      </w:r>
      <w:r w:rsidR="002659F3" w:rsidRPr="00C25DCD">
        <w:rPr>
          <w:rFonts w:ascii="Arial" w:hAnsi="Arial" w:cs="Arial"/>
          <w:sz w:val="20"/>
          <w:szCs w:val="20"/>
        </w:rPr>
        <w:t xml:space="preserve">fixed </w:t>
      </w:r>
      <w:r w:rsidR="00AB1213" w:rsidRPr="00C25DCD">
        <w:rPr>
          <w:rFonts w:ascii="Arial" w:hAnsi="Arial" w:cs="Arial"/>
          <w:sz w:val="20"/>
          <w:szCs w:val="20"/>
        </w:rPr>
        <w:t xml:space="preserve">and mobile broadband </w:t>
      </w:r>
      <w:r w:rsidR="002659F3" w:rsidRPr="00C25DCD">
        <w:rPr>
          <w:rFonts w:ascii="Arial" w:hAnsi="Arial" w:cs="Arial"/>
          <w:sz w:val="20"/>
          <w:szCs w:val="20"/>
        </w:rPr>
        <w:t>services</w:t>
      </w:r>
      <w:r w:rsidR="00AB1213" w:rsidRPr="00C25DCD">
        <w:rPr>
          <w:rFonts w:ascii="Arial" w:hAnsi="Arial" w:cs="Arial"/>
          <w:sz w:val="20"/>
          <w:szCs w:val="20"/>
        </w:rPr>
        <w:t>.</w:t>
      </w:r>
      <w:r w:rsidR="008D6CA8" w:rsidRPr="00C25DCD">
        <w:rPr>
          <w:rFonts w:ascii="Arial" w:hAnsi="Arial" w:cs="Arial"/>
          <w:sz w:val="20"/>
          <w:szCs w:val="20"/>
        </w:rPr>
        <w:t xml:space="preserve"> </w:t>
      </w:r>
      <w:r w:rsidR="00AB1213" w:rsidRPr="00C25DCD">
        <w:rPr>
          <w:rFonts w:ascii="Arial" w:hAnsi="Arial" w:cs="Arial"/>
          <w:sz w:val="20"/>
          <w:szCs w:val="20"/>
        </w:rPr>
        <w:t xml:space="preserve">The outcome of the review was that a 10 MHz MCB </w:t>
      </w:r>
      <w:proofErr w:type="gramStart"/>
      <w:r w:rsidR="00AB1213" w:rsidRPr="00C25DCD">
        <w:rPr>
          <w:rFonts w:ascii="Arial" w:hAnsi="Arial" w:cs="Arial"/>
          <w:sz w:val="20"/>
          <w:szCs w:val="20"/>
        </w:rPr>
        <w:t>should be adopted</w:t>
      </w:r>
      <w:proofErr w:type="gramEnd"/>
      <w:r w:rsidR="00AB1213" w:rsidRPr="00C25DCD">
        <w:rPr>
          <w:rFonts w:ascii="Arial" w:hAnsi="Arial" w:cs="Arial"/>
          <w:sz w:val="20"/>
          <w:szCs w:val="20"/>
        </w:rPr>
        <w:t xml:space="preserve"> for the 3.4 GHz band.</w:t>
      </w:r>
    </w:p>
    <w:p w14:paraId="713EB77A" w14:textId="6871A825" w:rsidR="00AB1213" w:rsidRPr="00C25DCD" w:rsidRDefault="00AB1213">
      <w:pPr>
        <w:spacing w:before="120" w:after="120" w:line="240" w:lineRule="auto"/>
        <w:rPr>
          <w:rFonts w:ascii="Arial" w:hAnsi="Arial" w:cs="Arial"/>
          <w:iCs/>
          <w:sz w:val="20"/>
          <w:szCs w:val="20"/>
        </w:rPr>
      </w:pPr>
      <w:proofErr w:type="gramStart"/>
      <w:r w:rsidRPr="00C25DCD">
        <w:rPr>
          <w:rFonts w:ascii="Arial" w:hAnsi="Arial" w:cs="Arial"/>
          <w:iCs/>
          <w:sz w:val="20"/>
          <w:szCs w:val="20"/>
        </w:rPr>
        <w:t>Also</w:t>
      </w:r>
      <w:proofErr w:type="gramEnd"/>
      <w:r w:rsidRPr="00C25DCD">
        <w:rPr>
          <w:rFonts w:ascii="Arial" w:hAnsi="Arial" w:cs="Arial"/>
          <w:iCs/>
          <w:sz w:val="20"/>
          <w:szCs w:val="20"/>
        </w:rPr>
        <w:t xml:space="preserve">, since the 28 GHz and 31 GHz bands are no longer subject to spectrum licensing, the Determination no longer needs to define </w:t>
      </w:r>
      <w:r w:rsidR="00C338B9">
        <w:rPr>
          <w:rFonts w:ascii="Arial" w:hAnsi="Arial" w:cs="Arial"/>
          <w:iCs/>
          <w:sz w:val="20"/>
          <w:szCs w:val="20"/>
        </w:rPr>
        <w:t>a</w:t>
      </w:r>
      <w:r w:rsidR="00C338B9" w:rsidRPr="00C25DCD">
        <w:rPr>
          <w:rFonts w:ascii="Arial" w:hAnsi="Arial" w:cs="Arial"/>
          <w:iCs/>
          <w:sz w:val="20"/>
          <w:szCs w:val="20"/>
        </w:rPr>
        <w:t xml:space="preserve"> </w:t>
      </w:r>
      <w:r w:rsidRPr="00C25DCD">
        <w:rPr>
          <w:rFonts w:ascii="Arial" w:hAnsi="Arial" w:cs="Arial"/>
          <w:iCs/>
          <w:sz w:val="20"/>
          <w:szCs w:val="20"/>
        </w:rPr>
        <w:t xml:space="preserve">MCB for them. </w:t>
      </w:r>
    </w:p>
    <w:p w14:paraId="713EB77B" w14:textId="1CDF10B1" w:rsidR="00AE5602" w:rsidRPr="00C25DCD" w:rsidRDefault="002659F3">
      <w:pPr>
        <w:spacing w:before="120" w:after="120" w:line="240" w:lineRule="auto"/>
        <w:rPr>
          <w:rFonts w:ascii="Arial" w:hAnsi="Arial" w:cs="Arial"/>
          <w:sz w:val="20"/>
          <w:szCs w:val="20"/>
        </w:rPr>
      </w:pPr>
      <w:r w:rsidRPr="00C25DCD">
        <w:rPr>
          <w:rFonts w:ascii="Arial" w:hAnsi="Arial" w:cs="Arial"/>
          <w:iCs/>
          <w:sz w:val="20"/>
          <w:szCs w:val="20"/>
        </w:rPr>
        <w:t>The Amendment</w:t>
      </w:r>
      <w:r w:rsidR="008D6CA8" w:rsidRPr="00C25DCD">
        <w:rPr>
          <w:rFonts w:ascii="Arial" w:hAnsi="Arial" w:cs="Arial"/>
          <w:iCs/>
          <w:sz w:val="20"/>
          <w:szCs w:val="20"/>
        </w:rPr>
        <w:t xml:space="preserve"> Determination </w:t>
      </w:r>
      <w:r w:rsidRPr="00C25DCD">
        <w:rPr>
          <w:rFonts w:ascii="Arial" w:hAnsi="Arial" w:cs="Arial"/>
          <w:iCs/>
          <w:sz w:val="20"/>
          <w:szCs w:val="20"/>
        </w:rPr>
        <w:t>changes</w:t>
      </w:r>
      <w:r w:rsidR="008D6CA8" w:rsidRPr="00C25DCD">
        <w:rPr>
          <w:rFonts w:ascii="Arial" w:hAnsi="Arial" w:cs="Arial"/>
          <w:sz w:val="20"/>
          <w:szCs w:val="20"/>
        </w:rPr>
        <w:t xml:space="preserve"> the</w:t>
      </w:r>
      <w:r w:rsidRPr="00C25DCD">
        <w:rPr>
          <w:rFonts w:ascii="Arial" w:hAnsi="Arial" w:cs="Arial"/>
          <w:sz w:val="20"/>
          <w:szCs w:val="20"/>
        </w:rPr>
        <w:t xml:space="preserve"> MCB for the </w:t>
      </w:r>
      <w:r w:rsidR="00AB1213" w:rsidRPr="00C25DCD">
        <w:rPr>
          <w:rFonts w:ascii="Arial" w:hAnsi="Arial" w:cs="Arial"/>
          <w:sz w:val="20"/>
          <w:szCs w:val="20"/>
        </w:rPr>
        <w:t>3.4</w:t>
      </w:r>
      <w:r w:rsidRPr="00C25DCD">
        <w:rPr>
          <w:rFonts w:ascii="Arial" w:hAnsi="Arial" w:cs="Arial"/>
          <w:sz w:val="20"/>
          <w:szCs w:val="20"/>
        </w:rPr>
        <w:t xml:space="preserve"> </w:t>
      </w:r>
      <w:r w:rsidR="00AB1213" w:rsidRPr="00C25DCD">
        <w:rPr>
          <w:rFonts w:ascii="Arial" w:hAnsi="Arial" w:cs="Arial"/>
          <w:sz w:val="20"/>
          <w:szCs w:val="20"/>
        </w:rPr>
        <w:t>GHz band from 2</w:t>
      </w:r>
      <w:r w:rsidRPr="00C25DCD">
        <w:rPr>
          <w:rFonts w:ascii="Arial" w:hAnsi="Arial" w:cs="Arial"/>
          <w:sz w:val="20"/>
          <w:szCs w:val="20"/>
        </w:rPr>
        <w:t>.5 </w:t>
      </w:r>
      <w:r w:rsidR="008D6CA8" w:rsidRPr="00C25DCD">
        <w:rPr>
          <w:rFonts w:ascii="Arial" w:hAnsi="Arial" w:cs="Arial"/>
          <w:sz w:val="20"/>
          <w:szCs w:val="20"/>
        </w:rPr>
        <w:t xml:space="preserve">MHz to </w:t>
      </w:r>
      <w:r w:rsidR="00AB1213" w:rsidRPr="00C25DCD">
        <w:rPr>
          <w:rFonts w:ascii="Arial" w:hAnsi="Arial" w:cs="Arial"/>
          <w:sz w:val="20"/>
          <w:szCs w:val="20"/>
        </w:rPr>
        <w:t>10</w:t>
      </w:r>
      <w:r w:rsidR="008D6CA8" w:rsidRPr="00C25DCD">
        <w:rPr>
          <w:rFonts w:ascii="Arial" w:hAnsi="Arial" w:cs="Arial"/>
          <w:sz w:val="20"/>
          <w:szCs w:val="20"/>
        </w:rPr>
        <w:t xml:space="preserve"> MHz.</w:t>
      </w:r>
      <w:r w:rsidR="00AB1213" w:rsidRPr="00C25DCD">
        <w:rPr>
          <w:rFonts w:ascii="Arial" w:hAnsi="Arial" w:cs="Arial"/>
          <w:sz w:val="20"/>
          <w:szCs w:val="20"/>
        </w:rPr>
        <w:t xml:space="preserve"> It also removes the MCBs for</w:t>
      </w:r>
      <w:r w:rsidR="00C338B9">
        <w:rPr>
          <w:rFonts w:ascii="Arial" w:hAnsi="Arial" w:cs="Arial"/>
          <w:sz w:val="20"/>
          <w:szCs w:val="20"/>
        </w:rPr>
        <w:t>,</w:t>
      </w:r>
      <w:r w:rsidR="00AB1213" w:rsidRPr="00C25DCD">
        <w:rPr>
          <w:rFonts w:ascii="Arial" w:hAnsi="Arial" w:cs="Arial"/>
          <w:sz w:val="20"/>
          <w:szCs w:val="20"/>
        </w:rPr>
        <w:t xml:space="preserve"> and reference</w:t>
      </w:r>
      <w:r w:rsidR="00C25DCD">
        <w:rPr>
          <w:rFonts w:ascii="Arial" w:hAnsi="Arial" w:cs="Arial"/>
          <w:sz w:val="20"/>
          <w:szCs w:val="20"/>
        </w:rPr>
        <w:t>s</w:t>
      </w:r>
      <w:r w:rsidR="00AB1213" w:rsidRPr="00C25DCD">
        <w:rPr>
          <w:rFonts w:ascii="Arial" w:hAnsi="Arial" w:cs="Arial"/>
          <w:sz w:val="20"/>
          <w:szCs w:val="20"/>
        </w:rPr>
        <w:t xml:space="preserve"> to</w:t>
      </w:r>
      <w:r w:rsidR="00C338B9">
        <w:rPr>
          <w:rFonts w:ascii="Arial" w:hAnsi="Arial" w:cs="Arial"/>
          <w:sz w:val="20"/>
          <w:szCs w:val="20"/>
        </w:rPr>
        <w:t>,</w:t>
      </w:r>
      <w:r w:rsidR="00AB1213" w:rsidRPr="00C25DCD">
        <w:rPr>
          <w:rFonts w:ascii="Arial" w:hAnsi="Arial" w:cs="Arial"/>
          <w:sz w:val="20"/>
          <w:szCs w:val="20"/>
        </w:rPr>
        <w:t xml:space="preserve"> the 28 GHz and 31 GHz bands.</w:t>
      </w:r>
    </w:p>
    <w:p w14:paraId="713EB77C" w14:textId="77777777" w:rsidR="00AE5602" w:rsidRPr="00C25DCD" w:rsidRDefault="00623830">
      <w:pPr>
        <w:spacing w:before="120" w:after="120" w:line="240" w:lineRule="auto"/>
        <w:rPr>
          <w:rFonts w:ascii="Times New Roman" w:eastAsia="Times New Roman" w:hAnsi="Times New Roman" w:cs="Times New Roman"/>
          <w:sz w:val="20"/>
          <w:szCs w:val="20"/>
          <w:lang w:eastAsia="en-AU"/>
        </w:rPr>
      </w:pPr>
      <w:r w:rsidRPr="00C25DCD">
        <w:rPr>
          <w:rFonts w:ascii="Arial" w:eastAsia="Times New Roman" w:hAnsi="Arial" w:cs="Arial"/>
          <w:b/>
          <w:bCs/>
          <w:sz w:val="20"/>
          <w:szCs w:val="20"/>
          <w:lang w:eastAsia="en-AU"/>
        </w:rPr>
        <w:t>Consultation</w:t>
      </w:r>
    </w:p>
    <w:p w14:paraId="713EB77D" w14:textId="77777777" w:rsidR="00AB1213" w:rsidRPr="00C25DCD" w:rsidRDefault="00623830">
      <w:pPr>
        <w:spacing w:before="120" w:after="120" w:line="240" w:lineRule="auto"/>
        <w:rPr>
          <w:rFonts w:ascii="Arial" w:eastAsia="Times New Roman" w:hAnsi="Arial" w:cs="Arial"/>
          <w:sz w:val="20"/>
          <w:szCs w:val="20"/>
          <w:lang w:eastAsia="en-AU"/>
        </w:rPr>
      </w:pPr>
      <w:r w:rsidRPr="00C25DCD">
        <w:rPr>
          <w:rFonts w:ascii="Arial" w:eastAsia="Times New Roman" w:hAnsi="Arial" w:cs="Arial"/>
          <w:sz w:val="20"/>
          <w:szCs w:val="20"/>
          <w:lang w:eastAsia="en-AU"/>
        </w:rPr>
        <w:t xml:space="preserve">The ACMA has consulted extensively with stakeholders about its plans to update the spectrum licensed technical framework for the </w:t>
      </w:r>
      <w:r w:rsidR="009D413F" w:rsidRPr="00C25DCD">
        <w:rPr>
          <w:rFonts w:ascii="Arial" w:eastAsia="Times New Roman" w:hAnsi="Arial" w:cs="Arial"/>
          <w:sz w:val="20"/>
          <w:szCs w:val="20"/>
          <w:lang w:eastAsia="en-AU"/>
        </w:rPr>
        <w:t>3.4</w:t>
      </w:r>
      <w:r w:rsidRPr="00C25DCD">
        <w:rPr>
          <w:rFonts w:ascii="Arial" w:eastAsia="Times New Roman" w:hAnsi="Arial" w:cs="Arial"/>
          <w:sz w:val="20"/>
          <w:szCs w:val="20"/>
          <w:lang w:eastAsia="en-AU"/>
        </w:rPr>
        <w:t xml:space="preserve"> GHz band. </w:t>
      </w:r>
    </w:p>
    <w:p w14:paraId="713EB77E" w14:textId="67B905EA" w:rsidR="00AB1213" w:rsidRPr="00C25DCD" w:rsidRDefault="00C25DCD" w:rsidP="00AB1213">
      <w:pPr>
        <w:spacing w:before="120" w:after="120" w:line="240" w:lineRule="auto"/>
        <w:rPr>
          <w:rFonts w:ascii="Arial" w:eastAsia="Times New Roman" w:hAnsi="Arial" w:cs="Arial"/>
          <w:sz w:val="20"/>
          <w:szCs w:val="20"/>
          <w:lang w:eastAsia="en-AU"/>
        </w:rPr>
      </w:pPr>
      <w:r>
        <w:rPr>
          <w:rFonts w:ascii="Arial" w:eastAsia="Times New Roman" w:hAnsi="Arial" w:cs="Arial"/>
          <w:sz w:val="20"/>
          <w:szCs w:val="20"/>
          <w:lang w:eastAsia="en-AU"/>
        </w:rPr>
        <w:t>T</w:t>
      </w:r>
      <w:r w:rsidR="00AB1213" w:rsidRPr="00C25DCD">
        <w:rPr>
          <w:rFonts w:ascii="Arial" w:eastAsia="Times New Roman" w:hAnsi="Arial" w:cs="Arial"/>
          <w:sz w:val="20"/>
          <w:szCs w:val="20"/>
          <w:lang w:eastAsia="en-AU"/>
        </w:rPr>
        <w:t xml:space="preserve">he ACMA established </w:t>
      </w:r>
      <w:r>
        <w:rPr>
          <w:rFonts w:ascii="Arial" w:eastAsia="Times New Roman" w:hAnsi="Arial" w:cs="Arial"/>
          <w:sz w:val="20"/>
          <w:szCs w:val="20"/>
          <w:lang w:eastAsia="en-AU"/>
        </w:rPr>
        <w:t xml:space="preserve">a TLG </w:t>
      </w:r>
      <w:r w:rsidR="00AB1213" w:rsidRPr="00C25DCD">
        <w:rPr>
          <w:rFonts w:ascii="Arial" w:eastAsia="Times New Roman" w:hAnsi="Arial" w:cs="Arial"/>
          <w:sz w:val="20"/>
          <w:szCs w:val="20"/>
          <w:lang w:eastAsia="en-AU"/>
        </w:rPr>
        <w:t xml:space="preserve">to support the review of the technical framework in the 3.4 GHz band. Incumbent and prospective licensees for the 3.4 GHz band </w:t>
      </w:r>
      <w:proofErr w:type="gramStart"/>
      <w:r w:rsidR="00AB1213" w:rsidRPr="00C25DCD">
        <w:rPr>
          <w:rFonts w:ascii="Arial" w:eastAsia="Times New Roman" w:hAnsi="Arial" w:cs="Arial"/>
          <w:sz w:val="20"/>
          <w:szCs w:val="20"/>
          <w:lang w:eastAsia="en-AU"/>
        </w:rPr>
        <w:t>were invited</w:t>
      </w:r>
      <w:proofErr w:type="gramEnd"/>
      <w:r w:rsidR="00AB1213" w:rsidRPr="00C25DCD">
        <w:rPr>
          <w:rFonts w:ascii="Arial" w:eastAsia="Times New Roman" w:hAnsi="Arial" w:cs="Arial"/>
          <w:sz w:val="20"/>
          <w:szCs w:val="20"/>
          <w:lang w:eastAsia="en-AU"/>
        </w:rPr>
        <w:t xml:space="preserve"> to participate in the TLG process. The TLG’s role was to consider and provide advice to the ACMA on technical aspects required for the development or review of the technical framework.</w:t>
      </w:r>
    </w:p>
    <w:p w14:paraId="713EB77F" w14:textId="6B4C705A" w:rsidR="00AB1213" w:rsidRPr="00C25DCD" w:rsidRDefault="00AB1213" w:rsidP="00AB1213">
      <w:pPr>
        <w:spacing w:before="120" w:after="120" w:line="240" w:lineRule="auto"/>
        <w:rPr>
          <w:sz w:val="20"/>
          <w:szCs w:val="20"/>
        </w:rPr>
      </w:pPr>
      <w:r w:rsidRPr="00C25DCD">
        <w:rPr>
          <w:rFonts w:ascii="Arial" w:eastAsia="Times New Roman" w:hAnsi="Arial" w:cs="Arial"/>
          <w:sz w:val="20"/>
          <w:szCs w:val="20"/>
          <w:lang w:eastAsia="en-AU"/>
        </w:rPr>
        <w:t xml:space="preserve">The ACMA developed a discussion </w:t>
      </w:r>
      <w:proofErr w:type="gramStart"/>
      <w:r w:rsidRPr="00C25DCD">
        <w:rPr>
          <w:rFonts w:ascii="Arial" w:eastAsia="Times New Roman" w:hAnsi="Arial" w:cs="Arial"/>
          <w:sz w:val="20"/>
          <w:szCs w:val="20"/>
          <w:lang w:eastAsia="en-AU"/>
        </w:rPr>
        <w:t>paper which</w:t>
      </w:r>
      <w:proofErr w:type="gramEnd"/>
      <w:r w:rsidRPr="00C25DCD">
        <w:rPr>
          <w:rFonts w:ascii="Arial" w:eastAsia="Times New Roman" w:hAnsi="Arial" w:cs="Arial"/>
          <w:sz w:val="20"/>
          <w:szCs w:val="20"/>
          <w:lang w:eastAsia="en-AU"/>
        </w:rPr>
        <w:t xml:space="preserve"> outlined the proposed approach to the spectrum licensing framework for the 3.4 GHz band.  This paper </w:t>
      </w:r>
      <w:proofErr w:type="gramStart"/>
      <w:r w:rsidRPr="00C25DCD">
        <w:rPr>
          <w:rFonts w:ascii="Arial" w:eastAsia="Times New Roman" w:hAnsi="Arial" w:cs="Arial"/>
          <w:sz w:val="20"/>
          <w:szCs w:val="20"/>
          <w:lang w:eastAsia="en-AU"/>
        </w:rPr>
        <w:t>was provided</w:t>
      </w:r>
      <w:proofErr w:type="gramEnd"/>
      <w:r w:rsidRPr="00C25DCD">
        <w:rPr>
          <w:rFonts w:ascii="Arial" w:eastAsia="Times New Roman" w:hAnsi="Arial" w:cs="Arial"/>
          <w:sz w:val="20"/>
          <w:szCs w:val="20"/>
          <w:lang w:eastAsia="en-AU"/>
        </w:rPr>
        <w:t xml:space="preserve"> </w:t>
      </w:r>
      <w:r w:rsidR="00C25DCD">
        <w:rPr>
          <w:rFonts w:ascii="Arial" w:eastAsia="Times New Roman" w:hAnsi="Arial" w:cs="Arial"/>
          <w:sz w:val="20"/>
          <w:szCs w:val="20"/>
          <w:lang w:eastAsia="en-AU"/>
        </w:rPr>
        <w:t xml:space="preserve">by the ACMA </w:t>
      </w:r>
      <w:r w:rsidRPr="00C25DCD">
        <w:rPr>
          <w:rFonts w:ascii="Arial" w:eastAsia="Times New Roman" w:hAnsi="Arial" w:cs="Arial"/>
          <w:sz w:val="20"/>
          <w:szCs w:val="20"/>
          <w:lang w:eastAsia="en-AU"/>
        </w:rPr>
        <w:t xml:space="preserve">for comment to TLG members and is available on the ACMA website at </w:t>
      </w:r>
      <w:hyperlink r:id="rId13" w:history="1"/>
      <w:hyperlink r:id="rId14" w:history="1">
        <w:r w:rsidR="007958FA" w:rsidRPr="007958FA">
          <w:rPr>
            <w:rStyle w:val="Hyperlink"/>
            <w:rFonts w:ascii="Arial" w:eastAsia="Times New Roman" w:hAnsi="Arial" w:cs="Arial"/>
            <w:sz w:val="20"/>
            <w:szCs w:val="20"/>
            <w:lang w:eastAsia="en-AU"/>
          </w:rPr>
          <w:t>www.acma.gov.au</w:t>
        </w:r>
      </w:hyperlink>
      <w:r w:rsidRPr="00C25DCD">
        <w:rPr>
          <w:rFonts w:ascii="Arial" w:eastAsia="Times New Roman" w:hAnsi="Arial" w:cs="Arial"/>
          <w:sz w:val="20"/>
          <w:szCs w:val="20"/>
          <w:lang w:eastAsia="en-AU"/>
        </w:rPr>
        <w:t>.</w:t>
      </w:r>
      <w:r w:rsidRPr="00C25DCD">
        <w:rPr>
          <w:sz w:val="20"/>
          <w:szCs w:val="20"/>
        </w:rPr>
        <w:t xml:space="preserve"> </w:t>
      </w:r>
    </w:p>
    <w:p w14:paraId="713EB780" w14:textId="6E7F0F86" w:rsidR="00AB1213" w:rsidRPr="00C25DCD" w:rsidRDefault="00AB1213" w:rsidP="00AB1213">
      <w:pPr>
        <w:spacing w:before="120" w:after="120" w:line="240" w:lineRule="auto"/>
        <w:rPr>
          <w:rFonts w:ascii="Arial" w:eastAsia="Times New Roman" w:hAnsi="Arial" w:cs="Arial"/>
          <w:sz w:val="20"/>
          <w:szCs w:val="20"/>
          <w:lang w:eastAsia="en-AU"/>
        </w:rPr>
      </w:pPr>
      <w:r w:rsidRPr="00C25DCD">
        <w:rPr>
          <w:rFonts w:ascii="Arial" w:eastAsia="Times New Roman" w:hAnsi="Arial" w:cs="Arial"/>
          <w:sz w:val="20"/>
          <w:szCs w:val="20"/>
          <w:lang w:eastAsia="en-AU"/>
        </w:rPr>
        <w:t>The ACMA took into account the views expressed by TLG members when preparing the Amendment Determination. The draft Amendment Determination</w:t>
      </w:r>
      <w:r w:rsidR="00C25DCD">
        <w:rPr>
          <w:rFonts w:ascii="Arial" w:eastAsia="Times New Roman" w:hAnsi="Arial" w:cs="Arial"/>
          <w:sz w:val="20"/>
          <w:szCs w:val="20"/>
          <w:lang w:eastAsia="en-AU"/>
        </w:rPr>
        <w:t>, along with other proposed changes to the 3.4 GHz band technical framework,</w:t>
      </w:r>
      <w:r w:rsidRPr="00C25DCD">
        <w:rPr>
          <w:rFonts w:ascii="Arial" w:eastAsia="Times New Roman" w:hAnsi="Arial" w:cs="Arial"/>
          <w:sz w:val="20"/>
          <w:szCs w:val="20"/>
          <w:lang w:eastAsia="en-AU"/>
        </w:rPr>
        <w:t xml:space="preserve"> w</w:t>
      </w:r>
      <w:r w:rsidR="00C338B9">
        <w:rPr>
          <w:rFonts w:ascii="Arial" w:eastAsia="Times New Roman" w:hAnsi="Arial" w:cs="Arial"/>
          <w:sz w:val="20"/>
          <w:szCs w:val="20"/>
          <w:lang w:eastAsia="en-AU"/>
        </w:rPr>
        <w:t>ere</w:t>
      </w:r>
      <w:r w:rsidRPr="00C25DCD">
        <w:rPr>
          <w:rFonts w:ascii="Arial" w:eastAsia="Times New Roman" w:hAnsi="Arial" w:cs="Arial"/>
          <w:sz w:val="20"/>
          <w:szCs w:val="20"/>
          <w:lang w:eastAsia="en-AU"/>
        </w:rPr>
        <w:t xml:space="preserve"> also available for public comment from 18 December 2014 to 6 February 2015 in order to give all interested parties a further opportunity to comment on the draft instrument</w:t>
      </w:r>
      <w:r w:rsidR="00C338B9">
        <w:rPr>
          <w:rFonts w:ascii="Arial" w:eastAsia="Times New Roman" w:hAnsi="Arial" w:cs="Arial"/>
          <w:sz w:val="20"/>
          <w:szCs w:val="20"/>
          <w:lang w:eastAsia="en-AU"/>
        </w:rPr>
        <w:t>s</w:t>
      </w:r>
      <w:r w:rsidRPr="00C25DCD">
        <w:rPr>
          <w:rFonts w:ascii="Arial" w:eastAsia="Times New Roman" w:hAnsi="Arial" w:cs="Arial"/>
          <w:sz w:val="20"/>
          <w:szCs w:val="20"/>
          <w:lang w:eastAsia="en-AU"/>
        </w:rPr>
        <w:t xml:space="preserve">.  </w:t>
      </w:r>
    </w:p>
    <w:p w14:paraId="713EB781" w14:textId="1B134D24" w:rsidR="00AE5602" w:rsidRPr="00C25DCD" w:rsidRDefault="00623830" w:rsidP="00AB1213">
      <w:pPr>
        <w:spacing w:before="120" w:after="120" w:line="240" w:lineRule="auto"/>
        <w:rPr>
          <w:rFonts w:ascii="Arial" w:eastAsia="Times New Roman" w:hAnsi="Arial" w:cs="Arial"/>
          <w:sz w:val="20"/>
          <w:szCs w:val="20"/>
          <w:lang w:eastAsia="en-AU"/>
        </w:rPr>
      </w:pPr>
      <w:r w:rsidRPr="00C25DCD">
        <w:rPr>
          <w:rFonts w:ascii="Arial" w:hAnsi="Arial" w:cs="Arial"/>
          <w:sz w:val="20"/>
          <w:szCs w:val="20"/>
        </w:rPr>
        <w:t xml:space="preserve">The ACMA received </w:t>
      </w:r>
      <w:r w:rsidR="00AB1213" w:rsidRPr="00C25DCD">
        <w:rPr>
          <w:rFonts w:ascii="Arial" w:hAnsi="Arial" w:cs="Arial"/>
          <w:sz w:val="20"/>
          <w:szCs w:val="20"/>
        </w:rPr>
        <w:t>five</w:t>
      </w:r>
      <w:r w:rsidR="007A19B0" w:rsidRPr="00C25DCD">
        <w:rPr>
          <w:rFonts w:ascii="Arial" w:hAnsi="Arial" w:cs="Arial"/>
          <w:sz w:val="20"/>
          <w:szCs w:val="20"/>
        </w:rPr>
        <w:t xml:space="preserve"> </w:t>
      </w:r>
      <w:r w:rsidRPr="00C25DCD">
        <w:rPr>
          <w:rFonts w:ascii="Arial" w:hAnsi="Arial" w:cs="Arial"/>
          <w:sz w:val="20"/>
          <w:szCs w:val="20"/>
        </w:rPr>
        <w:t xml:space="preserve">submissions in response to its consultation process. </w:t>
      </w:r>
      <w:r w:rsidR="00C25DCD">
        <w:rPr>
          <w:rFonts w:ascii="Arial" w:hAnsi="Arial" w:cs="Arial"/>
          <w:sz w:val="20"/>
          <w:szCs w:val="20"/>
        </w:rPr>
        <w:t>The submissions commented on various aspects of the proposed changes to the 3</w:t>
      </w:r>
      <w:r w:rsidR="005E75F4">
        <w:rPr>
          <w:rFonts w:ascii="Arial" w:hAnsi="Arial" w:cs="Arial"/>
          <w:sz w:val="20"/>
          <w:szCs w:val="20"/>
        </w:rPr>
        <w:t>.4 GHz band technical framework.</w:t>
      </w:r>
      <w:r w:rsidR="00C25DCD">
        <w:rPr>
          <w:rFonts w:ascii="Arial" w:hAnsi="Arial" w:cs="Arial"/>
          <w:sz w:val="20"/>
          <w:szCs w:val="20"/>
        </w:rPr>
        <w:t xml:space="preserve"> </w:t>
      </w:r>
      <w:r w:rsidR="005E75F4">
        <w:rPr>
          <w:rFonts w:ascii="Arial" w:hAnsi="Arial" w:cs="Arial"/>
          <w:sz w:val="20"/>
          <w:szCs w:val="20"/>
        </w:rPr>
        <w:t>H</w:t>
      </w:r>
      <w:r w:rsidR="00C25DCD">
        <w:rPr>
          <w:rFonts w:ascii="Arial" w:hAnsi="Arial" w:cs="Arial"/>
          <w:sz w:val="20"/>
          <w:szCs w:val="20"/>
        </w:rPr>
        <w:t>owever, n</w:t>
      </w:r>
      <w:r w:rsidR="00AB1213" w:rsidRPr="00C25DCD">
        <w:rPr>
          <w:rFonts w:ascii="Arial" w:hAnsi="Arial" w:cs="Arial"/>
          <w:sz w:val="20"/>
          <w:szCs w:val="20"/>
        </w:rPr>
        <w:t>o submissions comment</w:t>
      </w:r>
      <w:r w:rsidR="005E75F4">
        <w:rPr>
          <w:rFonts w:ascii="Arial" w:hAnsi="Arial" w:cs="Arial"/>
          <w:sz w:val="20"/>
          <w:szCs w:val="20"/>
        </w:rPr>
        <w:t>ed</w:t>
      </w:r>
      <w:r w:rsidR="00AB1213" w:rsidRPr="00C25DCD">
        <w:rPr>
          <w:rFonts w:ascii="Arial" w:hAnsi="Arial" w:cs="Arial"/>
          <w:sz w:val="20"/>
          <w:szCs w:val="20"/>
        </w:rPr>
        <w:t xml:space="preserve"> on the proposed changes</w:t>
      </w:r>
      <w:r w:rsidR="00C25DCD">
        <w:rPr>
          <w:rFonts w:ascii="Arial" w:hAnsi="Arial" w:cs="Arial"/>
          <w:sz w:val="20"/>
          <w:szCs w:val="20"/>
        </w:rPr>
        <w:t xml:space="preserve"> to the </w:t>
      </w:r>
      <w:r w:rsidR="00251547">
        <w:rPr>
          <w:rFonts w:ascii="Arial" w:hAnsi="Arial" w:cs="Arial"/>
          <w:sz w:val="20"/>
          <w:szCs w:val="20"/>
        </w:rPr>
        <w:t xml:space="preserve">Amendment </w:t>
      </w:r>
      <w:r w:rsidR="00C25DCD">
        <w:rPr>
          <w:rFonts w:ascii="Arial" w:hAnsi="Arial" w:cs="Arial"/>
          <w:sz w:val="20"/>
          <w:szCs w:val="20"/>
        </w:rPr>
        <w:t>Determination</w:t>
      </w:r>
      <w:r w:rsidRPr="00C25DCD">
        <w:rPr>
          <w:rFonts w:ascii="Arial" w:hAnsi="Arial" w:cs="Arial"/>
          <w:sz w:val="20"/>
          <w:szCs w:val="20"/>
        </w:rPr>
        <w:t>.</w:t>
      </w:r>
      <w:r w:rsidR="00AB1213" w:rsidRPr="00C25DCD">
        <w:rPr>
          <w:rFonts w:ascii="Arial" w:hAnsi="Arial" w:cs="Arial"/>
          <w:sz w:val="20"/>
          <w:szCs w:val="20"/>
        </w:rPr>
        <w:t xml:space="preserve"> </w:t>
      </w:r>
      <w:r w:rsidRPr="00C25DCD">
        <w:rPr>
          <w:rFonts w:ascii="Arial" w:eastAsia="Times New Roman" w:hAnsi="Arial" w:cs="Arial"/>
          <w:sz w:val="20"/>
          <w:szCs w:val="20"/>
          <w:lang w:eastAsia="en-AU"/>
        </w:rPr>
        <w:t xml:space="preserve">All written submissions from this consultation process are available on the ACMA’s website at </w:t>
      </w:r>
      <w:hyperlink r:id="rId15" w:history="1">
        <w:r w:rsidRPr="00C25DCD">
          <w:rPr>
            <w:rFonts w:ascii="Arial" w:eastAsia="Times New Roman" w:hAnsi="Arial" w:cs="Arial"/>
            <w:color w:val="0000FF"/>
            <w:sz w:val="20"/>
            <w:szCs w:val="20"/>
            <w:u w:val="single"/>
            <w:lang w:eastAsia="en-AU"/>
          </w:rPr>
          <w:t>www.acma.gov.au</w:t>
        </w:r>
      </w:hyperlink>
      <w:r w:rsidRPr="00C25DCD">
        <w:rPr>
          <w:rFonts w:ascii="Arial" w:eastAsia="Times New Roman" w:hAnsi="Arial" w:cs="Arial"/>
          <w:sz w:val="20"/>
          <w:szCs w:val="20"/>
          <w:lang w:eastAsia="en-AU"/>
        </w:rPr>
        <w:t>.</w:t>
      </w:r>
    </w:p>
    <w:p w14:paraId="713EB782" w14:textId="77777777" w:rsidR="00AE5602" w:rsidRPr="00C25DCD" w:rsidRDefault="00C242E3">
      <w:pPr>
        <w:spacing w:before="120" w:after="120" w:line="240" w:lineRule="auto"/>
        <w:rPr>
          <w:rFonts w:ascii="Times New Roman" w:eastAsia="Times New Roman" w:hAnsi="Times New Roman" w:cs="Times New Roman"/>
          <w:sz w:val="20"/>
          <w:szCs w:val="20"/>
          <w:lang w:eastAsia="en-AU"/>
        </w:rPr>
      </w:pPr>
      <w:r w:rsidRPr="00C25DCD">
        <w:rPr>
          <w:rFonts w:ascii="Arial" w:eastAsia="Times New Roman" w:hAnsi="Arial" w:cs="Arial"/>
          <w:b/>
          <w:bCs/>
          <w:sz w:val="20"/>
          <w:szCs w:val="20"/>
          <w:lang w:eastAsia="en-AU"/>
        </w:rPr>
        <w:t>Statement of compatibility with human rights</w:t>
      </w:r>
    </w:p>
    <w:p w14:paraId="2E6F0DE6" w14:textId="1B837800" w:rsidR="00C338B9" w:rsidRDefault="0026514F">
      <w:pPr>
        <w:spacing w:before="120" w:after="120" w:line="240" w:lineRule="auto"/>
        <w:rPr>
          <w:rFonts w:ascii="Arial" w:eastAsia="Times New Roman" w:hAnsi="Arial" w:cs="Arial"/>
          <w:sz w:val="20"/>
          <w:szCs w:val="20"/>
          <w:lang w:eastAsia="en-AU"/>
        </w:rPr>
      </w:pPr>
      <w:r w:rsidRPr="00C25DCD">
        <w:rPr>
          <w:rFonts w:ascii="Arial" w:eastAsia="Times New Roman" w:hAnsi="Arial" w:cs="Arial"/>
          <w:sz w:val="20"/>
          <w:szCs w:val="20"/>
          <w:lang w:eastAsia="en-AU"/>
        </w:rPr>
        <w:t xml:space="preserve">Subsection 9(1) of the </w:t>
      </w:r>
      <w:r w:rsidRPr="00E56C63">
        <w:rPr>
          <w:rFonts w:ascii="Arial" w:eastAsia="Times New Roman" w:hAnsi="Arial" w:cs="Arial"/>
          <w:i/>
          <w:sz w:val="20"/>
          <w:szCs w:val="20"/>
          <w:lang w:eastAsia="en-AU"/>
        </w:rPr>
        <w:t>Human Rights (Parliamentary Scrutiny) Act 2011</w:t>
      </w:r>
      <w:r w:rsidRPr="00C25DCD">
        <w:rPr>
          <w:rFonts w:ascii="Arial" w:eastAsia="Times New Roman" w:hAnsi="Arial" w:cs="Arial"/>
          <w:sz w:val="20"/>
          <w:szCs w:val="20"/>
          <w:lang w:eastAsia="en-AU"/>
        </w:rPr>
        <w:t xml:space="preserve"> requires the rule</w:t>
      </w:r>
      <w:r w:rsidR="00C338B9">
        <w:rPr>
          <w:rFonts w:ascii="Arial" w:eastAsia="Times New Roman" w:hAnsi="Arial" w:cs="Arial"/>
          <w:sz w:val="20"/>
          <w:szCs w:val="20"/>
          <w:lang w:eastAsia="en-AU"/>
        </w:rPr>
        <w:t>-</w:t>
      </w:r>
      <w:r w:rsidRPr="00C25DCD">
        <w:rPr>
          <w:rFonts w:ascii="Arial" w:eastAsia="Times New Roman" w:hAnsi="Arial" w:cs="Arial"/>
          <w:sz w:val="20"/>
          <w:szCs w:val="20"/>
          <w:lang w:eastAsia="en-AU"/>
        </w:rPr>
        <w:t xml:space="preserve">maker in relation to a legislative instrument to which section 42 (disallowance) of the LI Act applies to cause a statement of compatibility </w:t>
      </w:r>
      <w:r w:rsidR="00C338B9">
        <w:rPr>
          <w:rFonts w:ascii="Arial" w:eastAsia="Times New Roman" w:hAnsi="Arial" w:cs="Arial"/>
          <w:sz w:val="20"/>
          <w:szCs w:val="20"/>
          <w:lang w:eastAsia="en-AU"/>
        </w:rPr>
        <w:t xml:space="preserve">with human rights </w:t>
      </w:r>
      <w:r w:rsidRPr="00C25DCD">
        <w:rPr>
          <w:rFonts w:ascii="Arial" w:eastAsia="Times New Roman" w:hAnsi="Arial" w:cs="Arial"/>
          <w:sz w:val="20"/>
          <w:szCs w:val="20"/>
          <w:lang w:eastAsia="en-AU"/>
        </w:rPr>
        <w:t xml:space="preserve">to be prepared in respect of that legislative instrument. </w:t>
      </w:r>
      <w:r w:rsidR="007D356D" w:rsidRPr="007D356D">
        <w:rPr>
          <w:rFonts w:ascii="Arial" w:eastAsia="Times New Roman" w:hAnsi="Arial" w:cs="Arial"/>
          <w:sz w:val="20"/>
          <w:szCs w:val="20"/>
          <w:lang w:eastAsia="en-AU"/>
        </w:rPr>
        <w:t>T</w:t>
      </w:r>
      <w:r w:rsidR="007D356D">
        <w:rPr>
          <w:rFonts w:ascii="Arial" w:eastAsia="Times New Roman" w:hAnsi="Arial" w:cs="Arial"/>
          <w:sz w:val="20"/>
          <w:szCs w:val="20"/>
          <w:lang w:eastAsia="en-AU"/>
        </w:rPr>
        <w:t>his statement is in Attachment A</w:t>
      </w:r>
      <w:r w:rsidR="007D356D" w:rsidRPr="007D356D">
        <w:rPr>
          <w:rFonts w:ascii="Arial" w:eastAsia="Times New Roman" w:hAnsi="Arial" w:cs="Arial"/>
          <w:sz w:val="20"/>
          <w:szCs w:val="20"/>
          <w:lang w:eastAsia="en-AU"/>
        </w:rPr>
        <w:t>.</w:t>
      </w:r>
      <w:r w:rsidR="007D356D" w:rsidRPr="007D356D" w:rsidDel="007D356D">
        <w:rPr>
          <w:rFonts w:ascii="Arial" w:eastAsia="Times New Roman" w:hAnsi="Arial" w:cs="Arial"/>
          <w:sz w:val="20"/>
          <w:szCs w:val="20"/>
          <w:lang w:eastAsia="en-AU"/>
        </w:rPr>
        <w:t xml:space="preserve"> </w:t>
      </w:r>
    </w:p>
    <w:p w14:paraId="713EB786" w14:textId="7574F0B1" w:rsidR="00AE5602" w:rsidRPr="00C25DCD" w:rsidRDefault="00C242E3">
      <w:pPr>
        <w:spacing w:before="120" w:after="120" w:line="240" w:lineRule="auto"/>
        <w:rPr>
          <w:rFonts w:ascii="Times New Roman" w:eastAsia="Times New Roman" w:hAnsi="Times New Roman" w:cs="Times New Roman"/>
          <w:sz w:val="20"/>
          <w:szCs w:val="20"/>
          <w:lang w:eastAsia="en-AU"/>
        </w:rPr>
      </w:pPr>
      <w:r w:rsidRPr="00C25DCD">
        <w:rPr>
          <w:rFonts w:ascii="Arial" w:eastAsia="Times New Roman" w:hAnsi="Arial" w:cs="Arial"/>
          <w:b/>
          <w:bCs/>
          <w:sz w:val="20"/>
          <w:szCs w:val="20"/>
          <w:lang w:eastAsia="en-AU"/>
        </w:rPr>
        <w:t xml:space="preserve">Regulatory Impact </w:t>
      </w:r>
    </w:p>
    <w:p w14:paraId="713EB787" w14:textId="04BD4660" w:rsidR="00AB1213" w:rsidRPr="00C25DCD" w:rsidRDefault="00AB1213">
      <w:pPr>
        <w:spacing w:before="120" w:after="120" w:line="240" w:lineRule="auto"/>
        <w:rPr>
          <w:rFonts w:ascii="Arial" w:eastAsia="Times New Roman" w:hAnsi="Arial" w:cs="Arial"/>
          <w:sz w:val="20"/>
          <w:szCs w:val="20"/>
          <w:lang w:eastAsia="en-AU"/>
        </w:rPr>
      </w:pPr>
      <w:r w:rsidRPr="00C25DCD">
        <w:rPr>
          <w:rFonts w:ascii="Arial" w:eastAsia="Times New Roman" w:hAnsi="Arial" w:cs="Arial"/>
          <w:sz w:val="20"/>
          <w:szCs w:val="20"/>
          <w:lang w:eastAsia="en-AU"/>
        </w:rPr>
        <w:t xml:space="preserve">Prior to releasing the draft </w:t>
      </w:r>
      <w:r w:rsidR="0003449A">
        <w:rPr>
          <w:rFonts w:ascii="Arial" w:eastAsia="Times New Roman" w:hAnsi="Arial" w:cs="Arial"/>
          <w:sz w:val="20"/>
          <w:szCs w:val="20"/>
          <w:lang w:eastAsia="en-AU"/>
        </w:rPr>
        <w:t>Amendment Determination</w:t>
      </w:r>
      <w:r w:rsidR="0003449A" w:rsidRPr="0014723B">
        <w:rPr>
          <w:rFonts w:ascii="Arial" w:eastAsia="Times New Roman" w:hAnsi="Arial" w:cs="Arial"/>
          <w:sz w:val="20"/>
          <w:szCs w:val="20"/>
          <w:lang w:eastAsia="en-AU"/>
        </w:rPr>
        <w:t xml:space="preserve"> </w:t>
      </w:r>
      <w:r w:rsidRPr="00C25DCD">
        <w:rPr>
          <w:rFonts w:ascii="Arial" w:eastAsia="Times New Roman" w:hAnsi="Arial" w:cs="Arial"/>
          <w:sz w:val="20"/>
          <w:szCs w:val="20"/>
          <w:lang w:eastAsia="en-AU"/>
        </w:rPr>
        <w:t xml:space="preserve">for comment, the ACMA consulted </w:t>
      </w:r>
      <w:proofErr w:type="gramStart"/>
      <w:r w:rsidRPr="00C25DCD">
        <w:rPr>
          <w:rFonts w:ascii="Arial" w:eastAsia="Times New Roman" w:hAnsi="Arial" w:cs="Arial"/>
          <w:sz w:val="20"/>
          <w:szCs w:val="20"/>
          <w:lang w:eastAsia="en-AU"/>
        </w:rPr>
        <w:t xml:space="preserve">with the Office of Best Practice Regulation (the </w:t>
      </w:r>
      <w:r w:rsidRPr="00E56C63">
        <w:rPr>
          <w:rFonts w:ascii="Arial" w:eastAsia="Times New Roman" w:hAnsi="Arial" w:cs="Arial"/>
          <w:b/>
          <w:sz w:val="20"/>
          <w:szCs w:val="20"/>
          <w:lang w:eastAsia="en-AU"/>
        </w:rPr>
        <w:t>OBPR</w:t>
      </w:r>
      <w:r w:rsidRPr="00C25DCD">
        <w:rPr>
          <w:rFonts w:ascii="Arial" w:eastAsia="Times New Roman" w:hAnsi="Arial" w:cs="Arial"/>
          <w:sz w:val="20"/>
          <w:szCs w:val="20"/>
          <w:lang w:eastAsia="en-AU"/>
        </w:rPr>
        <w:t>) on the requirement for a regulation impact statement (</w:t>
      </w:r>
      <w:r w:rsidRPr="00E56C63">
        <w:rPr>
          <w:rFonts w:ascii="Arial" w:eastAsia="Times New Roman" w:hAnsi="Arial" w:cs="Arial"/>
          <w:b/>
          <w:sz w:val="20"/>
          <w:szCs w:val="20"/>
          <w:lang w:eastAsia="en-AU"/>
        </w:rPr>
        <w:t>RIS</w:t>
      </w:r>
      <w:r w:rsidRPr="00C25DCD">
        <w:rPr>
          <w:rFonts w:ascii="Arial" w:eastAsia="Times New Roman" w:hAnsi="Arial" w:cs="Arial"/>
          <w:sz w:val="20"/>
          <w:szCs w:val="20"/>
          <w:lang w:eastAsia="en-AU"/>
        </w:rPr>
        <w:t>) for this legislative instrument</w:t>
      </w:r>
      <w:proofErr w:type="gramEnd"/>
      <w:r w:rsidRPr="00C25DCD">
        <w:rPr>
          <w:rFonts w:ascii="Arial" w:eastAsia="Times New Roman" w:hAnsi="Arial" w:cs="Arial"/>
          <w:sz w:val="20"/>
          <w:szCs w:val="20"/>
          <w:lang w:eastAsia="en-AU"/>
        </w:rPr>
        <w:t xml:space="preserve">. The OBPR advised that the </w:t>
      </w:r>
      <w:r w:rsidR="0003449A">
        <w:rPr>
          <w:rFonts w:ascii="Arial" w:eastAsia="Times New Roman" w:hAnsi="Arial" w:cs="Arial"/>
          <w:sz w:val="20"/>
          <w:szCs w:val="20"/>
          <w:lang w:eastAsia="en-AU"/>
        </w:rPr>
        <w:t>Amendment Determination</w:t>
      </w:r>
      <w:r w:rsidR="0003449A" w:rsidRPr="0014723B">
        <w:rPr>
          <w:rFonts w:ascii="Arial" w:eastAsia="Times New Roman" w:hAnsi="Arial" w:cs="Arial"/>
          <w:sz w:val="20"/>
          <w:szCs w:val="20"/>
          <w:lang w:eastAsia="en-AU"/>
        </w:rPr>
        <w:t xml:space="preserve"> </w:t>
      </w:r>
      <w:r w:rsidRPr="00C25DCD">
        <w:rPr>
          <w:rFonts w:ascii="Arial" w:eastAsia="Times New Roman" w:hAnsi="Arial" w:cs="Arial"/>
          <w:sz w:val="20"/>
          <w:szCs w:val="20"/>
          <w:lang w:eastAsia="en-AU"/>
        </w:rPr>
        <w:t>d</w:t>
      </w:r>
      <w:r w:rsidR="00C338B9">
        <w:rPr>
          <w:rFonts w:ascii="Arial" w:eastAsia="Times New Roman" w:hAnsi="Arial" w:cs="Arial"/>
          <w:sz w:val="20"/>
          <w:szCs w:val="20"/>
          <w:lang w:eastAsia="en-AU"/>
        </w:rPr>
        <w:t>id</w:t>
      </w:r>
      <w:r w:rsidRPr="00C25DCD">
        <w:rPr>
          <w:rFonts w:ascii="Arial" w:eastAsia="Times New Roman" w:hAnsi="Arial" w:cs="Arial"/>
          <w:sz w:val="20"/>
          <w:szCs w:val="20"/>
          <w:lang w:eastAsia="en-AU"/>
        </w:rPr>
        <w:t xml:space="preserve"> not warrant the preparation of a RIS because the instrument is likely to have only minor and machinery impacts. The reference for the OBPR’s assessment is ID 18035.</w:t>
      </w:r>
    </w:p>
    <w:p w14:paraId="713EB788" w14:textId="77777777" w:rsidR="00AE5602" w:rsidRPr="00C25DCD" w:rsidRDefault="00C242E3">
      <w:pPr>
        <w:spacing w:before="120" w:after="120" w:line="240" w:lineRule="auto"/>
        <w:rPr>
          <w:rFonts w:ascii="Times New Roman" w:eastAsia="Times New Roman" w:hAnsi="Times New Roman" w:cs="Times New Roman"/>
          <w:sz w:val="20"/>
          <w:szCs w:val="20"/>
          <w:lang w:eastAsia="en-AU"/>
        </w:rPr>
      </w:pPr>
      <w:r w:rsidRPr="00C25DCD">
        <w:rPr>
          <w:rFonts w:ascii="Arial" w:eastAsia="Times New Roman" w:hAnsi="Arial" w:cs="Arial"/>
          <w:b/>
          <w:bCs/>
          <w:sz w:val="20"/>
          <w:szCs w:val="20"/>
          <w:lang w:eastAsia="en-AU"/>
        </w:rPr>
        <w:t xml:space="preserve">Detailed Description of the </w:t>
      </w:r>
      <w:r w:rsidR="0026514F" w:rsidRPr="00C25DCD">
        <w:rPr>
          <w:rFonts w:ascii="Arial" w:eastAsia="Times New Roman" w:hAnsi="Arial" w:cs="Arial"/>
          <w:b/>
          <w:bCs/>
          <w:sz w:val="20"/>
          <w:szCs w:val="20"/>
          <w:lang w:eastAsia="en-AU"/>
        </w:rPr>
        <w:t xml:space="preserve">Amendment </w:t>
      </w:r>
      <w:r w:rsidRPr="00C25DCD">
        <w:rPr>
          <w:rFonts w:ascii="Arial" w:eastAsia="Times New Roman" w:hAnsi="Arial" w:cs="Arial"/>
          <w:b/>
          <w:bCs/>
          <w:sz w:val="20"/>
          <w:szCs w:val="20"/>
          <w:lang w:eastAsia="en-AU"/>
        </w:rPr>
        <w:t>Determination</w:t>
      </w:r>
    </w:p>
    <w:p w14:paraId="713EB789" w14:textId="77777777" w:rsidR="00AE5602" w:rsidRPr="00C25DCD" w:rsidRDefault="00C242E3">
      <w:pPr>
        <w:spacing w:before="120" w:after="120" w:line="240" w:lineRule="auto"/>
        <w:rPr>
          <w:rFonts w:ascii="Times New Roman" w:eastAsia="Times New Roman" w:hAnsi="Times New Roman" w:cs="Times New Roman"/>
          <w:sz w:val="20"/>
          <w:szCs w:val="20"/>
          <w:lang w:eastAsia="en-AU"/>
        </w:rPr>
      </w:pPr>
      <w:r w:rsidRPr="00C25DCD">
        <w:rPr>
          <w:rFonts w:ascii="Arial" w:eastAsia="Times New Roman" w:hAnsi="Arial" w:cs="Arial"/>
          <w:b/>
          <w:bCs/>
          <w:sz w:val="20"/>
          <w:szCs w:val="20"/>
          <w:lang w:eastAsia="en-AU"/>
        </w:rPr>
        <w:t>Section 1 – Title</w:t>
      </w:r>
    </w:p>
    <w:p w14:paraId="713EB78A" w14:textId="149593A9" w:rsidR="00AE5602" w:rsidRDefault="00C242E3">
      <w:pPr>
        <w:spacing w:before="120" w:after="120" w:line="240" w:lineRule="auto"/>
        <w:rPr>
          <w:rFonts w:ascii="Arial" w:eastAsia="Times New Roman" w:hAnsi="Arial" w:cs="Arial"/>
          <w:i/>
          <w:iCs/>
          <w:sz w:val="20"/>
          <w:szCs w:val="20"/>
          <w:lang w:eastAsia="en-AU"/>
        </w:rPr>
      </w:pPr>
      <w:r w:rsidRPr="00C25DCD">
        <w:rPr>
          <w:rFonts w:ascii="Arial" w:eastAsia="Times New Roman" w:hAnsi="Arial" w:cs="Arial"/>
          <w:sz w:val="20"/>
          <w:szCs w:val="20"/>
          <w:lang w:eastAsia="en-AU"/>
        </w:rPr>
        <w:t xml:space="preserve">This section provides that the name of the </w:t>
      </w:r>
      <w:r w:rsidR="00F6464C">
        <w:rPr>
          <w:rFonts w:ascii="Arial" w:eastAsia="Times New Roman" w:hAnsi="Arial" w:cs="Arial"/>
          <w:sz w:val="20"/>
          <w:szCs w:val="20"/>
          <w:lang w:eastAsia="en-AU"/>
        </w:rPr>
        <w:t xml:space="preserve">Amendment </w:t>
      </w:r>
      <w:r w:rsidRPr="00C25DCD">
        <w:rPr>
          <w:rFonts w:ascii="Arial" w:eastAsia="Times New Roman" w:hAnsi="Arial" w:cs="Arial"/>
          <w:sz w:val="20"/>
          <w:szCs w:val="20"/>
          <w:lang w:eastAsia="en-AU"/>
        </w:rPr>
        <w:t xml:space="preserve">Determination is the </w:t>
      </w:r>
      <w:r w:rsidRPr="00C25DCD">
        <w:rPr>
          <w:rFonts w:ascii="Arial" w:eastAsia="Times New Roman" w:hAnsi="Arial" w:cs="Arial"/>
          <w:i/>
          <w:iCs/>
          <w:sz w:val="20"/>
          <w:szCs w:val="20"/>
          <w:lang w:eastAsia="en-AU"/>
        </w:rPr>
        <w:t xml:space="preserve">Radiocommunications (Trading Rules for Spectrum Licences) </w:t>
      </w:r>
      <w:r w:rsidR="00C17BD4" w:rsidRPr="00C25DCD">
        <w:rPr>
          <w:rFonts w:ascii="Arial" w:eastAsia="Times New Roman" w:hAnsi="Arial" w:cs="Arial"/>
          <w:i/>
          <w:iCs/>
          <w:sz w:val="20"/>
          <w:szCs w:val="20"/>
          <w:lang w:eastAsia="en-AU"/>
        </w:rPr>
        <w:t xml:space="preserve">Amendment </w:t>
      </w:r>
      <w:r w:rsidRPr="00C25DCD">
        <w:rPr>
          <w:rFonts w:ascii="Arial" w:eastAsia="Times New Roman" w:hAnsi="Arial" w:cs="Arial"/>
          <w:i/>
          <w:iCs/>
          <w:sz w:val="20"/>
          <w:szCs w:val="20"/>
          <w:lang w:eastAsia="en-AU"/>
        </w:rPr>
        <w:t>Determination 201</w:t>
      </w:r>
      <w:r w:rsidR="0026514F" w:rsidRPr="00C25DCD">
        <w:rPr>
          <w:rFonts w:ascii="Arial" w:eastAsia="Times New Roman" w:hAnsi="Arial" w:cs="Arial"/>
          <w:i/>
          <w:iCs/>
          <w:sz w:val="20"/>
          <w:szCs w:val="20"/>
          <w:lang w:eastAsia="en-AU"/>
        </w:rPr>
        <w:t>5</w:t>
      </w:r>
      <w:r w:rsidR="00FF7779">
        <w:rPr>
          <w:rFonts w:ascii="Arial" w:eastAsia="Times New Roman" w:hAnsi="Arial" w:cs="Arial"/>
          <w:i/>
          <w:iCs/>
          <w:sz w:val="20"/>
          <w:szCs w:val="20"/>
          <w:lang w:eastAsia="en-AU"/>
        </w:rPr>
        <w:t xml:space="preserve"> (No. 1)</w:t>
      </w:r>
      <w:r w:rsidRPr="00C25DCD">
        <w:rPr>
          <w:rFonts w:ascii="Arial" w:eastAsia="Times New Roman" w:hAnsi="Arial" w:cs="Arial"/>
          <w:i/>
          <w:iCs/>
          <w:sz w:val="20"/>
          <w:szCs w:val="20"/>
          <w:lang w:eastAsia="en-AU"/>
        </w:rPr>
        <w:t xml:space="preserve">. </w:t>
      </w:r>
    </w:p>
    <w:p w14:paraId="58F8E3D7" w14:textId="77777777" w:rsidR="007958FA" w:rsidRPr="00C25DCD" w:rsidRDefault="007958FA">
      <w:pPr>
        <w:spacing w:before="120" w:after="120" w:line="240" w:lineRule="auto"/>
        <w:rPr>
          <w:rFonts w:ascii="Times New Roman" w:eastAsia="Times New Roman" w:hAnsi="Times New Roman" w:cs="Times New Roman"/>
          <w:sz w:val="20"/>
          <w:szCs w:val="20"/>
          <w:lang w:eastAsia="en-AU"/>
        </w:rPr>
      </w:pPr>
    </w:p>
    <w:p w14:paraId="713EB78B" w14:textId="6C4171EA" w:rsidR="00AE5602" w:rsidRPr="00C25DCD" w:rsidRDefault="00F6464C">
      <w:pPr>
        <w:spacing w:before="120" w:after="120" w:line="240" w:lineRule="auto"/>
        <w:rPr>
          <w:rFonts w:ascii="Times New Roman" w:eastAsia="Times New Roman" w:hAnsi="Times New Roman" w:cs="Times New Roman"/>
          <w:sz w:val="20"/>
          <w:szCs w:val="20"/>
          <w:lang w:eastAsia="en-AU"/>
        </w:rPr>
      </w:pPr>
      <w:r>
        <w:rPr>
          <w:rFonts w:ascii="Arial" w:eastAsia="Times New Roman" w:hAnsi="Arial" w:cs="Arial"/>
          <w:b/>
          <w:bCs/>
          <w:sz w:val="20"/>
          <w:szCs w:val="20"/>
          <w:lang w:eastAsia="en-AU"/>
        </w:rPr>
        <w:t xml:space="preserve">Section 2 </w:t>
      </w:r>
      <w:r w:rsidR="007958FA">
        <w:rPr>
          <w:rFonts w:ascii="Arial" w:eastAsia="Times New Roman" w:hAnsi="Arial" w:cs="Arial"/>
          <w:b/>
          <w:bCs/>
          <w:sz w:val="20"/>
          <w:szCs w:val="20"/>
          <w:lang w:eastAsia="en-AU"/>
        </w:rPr>
        <w:t xml:space="preserve">– </w:t>
      </w:r>
      <w:r w:rsidR="00C242E3" w:rsidRPr="00C25DCD">
        <w:rPr>
          <w:rFonts w:ascii="Arial" w:eastAsia="Times New Roman" w:hAnsi="Arial" w:cs="Arial"/>
          <w:b/>
          <w:bCs/>
          <w:sz w:val="20"/>
          <w:szCs w:val="20"/>
          <w:lang w:eastAsia="en-AU"/>
        </w:rPr>
        <w:t>Commencement</w:t>
      </w:r>
      <w:r>
        <w:rPr>
          <w:rFonts w:ascii="Arial" w:eastAsia="Times New Roman" w:hAnsi="Arial" w:cs="Arial"/>
          <w:b/>
          <w:bCs/>
          <w:sz w:val="20"/>
          <w:szCs w:val="20"/>
          <w:lang w:eastAsia="en-AU"/>
        </w:rPr>
        <w:t xml:space="preserve"> </w:t>
      </w:r>
      <w:r w:rsidR="00C242E3" w:rsidRPr="00C25DCD">
        <w:rPr>
          <w:rFonts w:ascii="Arial" w:eastAsia="Times New Roman" w:hAnsi="Arial" w:cs="Arial"/>
          <w:b/>
          <w:bCs/>
          <w:sz w:val="20"/>
          <w:szCs w:val="20"/>
          <w:lang w:eastAsia="en-AU"/>
        </w:rPr>
        <w:t xml:space="preserve"> </w:t>
      </w:r>
    </w:p>
    <w:p w14:paraId="713EB78C" w14:textId="494E779C" w:rsidR="00AE5602" w:rsidRPr="00C25DCD" w:rsidRDefault="00C242E3">
      <w:pPr>
        <w:spacing w:before="120" w:after="100" w:afterAutospacing="1" w:line="240" w:lineRule="auto"/>
        <w:rPr>
          <w:rFonts w:ascii="Arial" w:eastAsia="Times New Roman" w:hAnsi="Arial" w:cs="Arial"/>
          <w:sz w:val="20"/>
          <w:szCs w:val="20"/>
          <w:lang w:eastAsia="en-AU"/>
        </w:rPr>
      </w:pPr>
      <w:r w:rsidRPr="00C25DCD">
        <w:rPr>
          <w:rFonts w:ascii="Arial" w:eastAsia="Times New Roman" w:hAnsi="Arial" w:cs="Arial"/>
          <w:sz w:val="20"/>
          <w:szCs w:val="20"/>
          <w:lang w:eastAsia="en-AU"/>
        </w:rPr>
        <w:t xml:space="preserve">This section states that the </w:t>
      </w:r>
      <w:r w:rsidR="00FF7779">
        <w:rPr>
          <w:rFonts w:ascii="Arial" w:eastAsia="Times New Roman" w:hAnsi="Arial" w:cs="Arial"/>
          <w:sz w:val="20"/>
          <w:szCs w:val="20"/>
          <w:lang w:eastAsia="en-AU"/>
        </w:rPr>
        <w:t xml:space="preserve">Amendment </w:t>
      </w:r>
      <w:r w:rsidRPr="00C25DCD">
        <w:rPr>
          <w:rFonts w:ascii="Arial" w:eastAsia="Times New Roman" w:hAnsi="Arial" w:cs="Arial"/>
          <w:sz w:val="20"/>
          <w:szCs w:val="20"/>
          <w:lang w:eastAsia="en-AU"/>
        </w:rPr>
        <w:t xml:space="preserve">Determination will commence on the day after it </w:t>
      </w:r>
      <w:proofErr w:type="gramStart"/>
      <w:r w:rsidRPr="00C25DCD">
        <w:rPr>
          <w:rFonts w:ascii="Arial" w:eastAsia="Times New Roman" w:hAnsi="Arial" w:cs="Arial"/>
          <w:sz w:val="20"/>
          <w:szCs w:val="20"/>
          <w:lang w:eastAsia="en-AU"/>
        </w:rPr>
        <w:t>is registered</w:t>
      </w:r>
      <w:proofErr w:type="gramEnd"/>
      <w:r w:rsidRPr="00C25DCD">
        <w:rPr>
          <w:rFonts w:ascii="Arial" w:eastAsia="Times New Roman" w:hAnsi="Arial" w:cs="Arial"/>
          <w:sz w:val="20"/>
          <w:szCs w:val="20"/>
          <w:lang w:eastAsia="en-AU"/>
        </w:rPr>
        <w:t xml:space="preserve"> on the Federal Register of Legislative Instruments.</w:t>
      </w:r>
      <w:r w:rsidR="00B42748" w:rsidRPr="00C25DCD">
        <w:rPr>
          <w:rFonts w:ascii="Arial" w:eastAsia="Times New Roman" w:hAnsi="Arial" w:cs="Arial"/>
          <w:sz w:val="20"/>
          <w:szCs w:val="20"/>
          <w:lang w:eastAsia="en-AU"/>
        </w:rPr>
        <w:t xml:space="preserve"> </w:t>
      </w:r>
    </w:p>
    <w:p w14:paraId="713EB78D" w14:textId="77777777" w:rsidR="00AE5602" w:rsidRPr="00C25DCD" w:rsidRDefault="00C242E3">
      <w:pPr>
        <w:spacing w:before="120" w:after="120" w:line="240" w:lineRule="auto"/>
        <w:rPr>
          <w:rFonts w:ascii="Arial" w:eastAsia="Times New Roman" w:hAnsi="Arial" w:cs="Arial"/>
          <w:b/>
          <w:bCs/>
          <w:sz w:val="20"/>
          <w:szCs w:val="20"/>
          <w:lang w:eastAsia="en-AU"/>
        </w:rPr>
      </w:pPr>
      <w:r w:rsidRPr="00C25DCD">
        <w:rPr>
          <w:rFonts w:ascii="Arial" w:eastAsia="Times New Roman" w:hAnsi="Arial" w:cs="Arial"/>
          <w:b/>
          <w:bCs/>
          <w:sz w:val="20"/>
          <w:szCs w:val="20"/>
          <w:lang w:eastAsia="en-AU"/>
        </w:rPr>
        <w:t xml:space="preserve">Section 3 – </w:t>
      </w:r>
      <w:r w:rsidR="002659F3" w:rsidRPr="00C25DCD">
        <w:rPr>
          <w:rFonts w:ascii="Arial" w:eastAsia="Times New Roman" w:hAnsi="Arial" w:cs="Arial"/>
          <w:b/>
          <w:bCs/>
          <w:sz w:val="20"/>
          <w:szCs w:val="20"/>
          <w:lang w:eastAsia="en-AU"/>
        </w:rPr>
        <w:t xml:space="preserve">Amendment of </w:t>
      </w:r>
      <w:r w:rsidR="0011588D" w:rsidRPr="00C25DCD">
        <w:rPr>
          <w:rFonts w:ascii="Arial" w:eastAsia="Times New Roman" w:hAnsi="Arial" w:cs="Arial"/>
          <w:b/>
          <w:bCs/>
          <w:i/>
          <w:sz w:val="20"/>
          <w:szCs w:val="20"/>
          <w:lang w:eastAsia="en-AU"/>
        </w:rPr>
        <w:t>Radiocommunications (Trading Rules for Spectrum Licences) Determination 2012</w:t>
      </w:r>
    </w:p>
    <w:p w14:paraId="713EB78E" w14:textId="45B40F7A" w:rsidR="00AE5602" w:rsidRPr="00C25DCD" w:rsidRDefault="00C242E3">
      <w:pPr>
        <w:spacing w:before="120" w:after="120" w:line="240" w:lineRule="auto"/>
        <w:rPr>
          <w:rFonts w:ascii="Times New Roman" w:eastAsia="Times New Roman" w:hAnsi="Times New Roman" w:cs="Times New Roman"/>
          <w:sz w:val="20"/>
          <w:szCs w:val="20"/>
          <w:lang w:eastAsia="en-AU"/>
        </w:rPr>
      </w:pPr>
      <w:r w:rsidRPr="00C25DCD">
        <w:rPr>
          <w:rFonts w:ascii="Arial" w:eastAsia="Times New Roman" w:hAnsi="Arial" w:cs="Arial"/>
          <w:sz w:val="20"/>
          <w:szCs w:val="20"/>
          <w:lang w:eastAsia="en-AU"/>
        </w:rPr>
        <w:t xml:space="preserve">This section </w:t>
      </w:r>
      <w:r w:rsidR="002659F3" w:rsidRPr="00C25DCD">
        <w:rPr>
          <w:rFonts w:ascii="Arial" w:eastAsia="Times New Roman" w:hAnsi="Arial" w:cs="Arial"/>
          <w:sz w:val="20"/>
          <w:szCs w:val="20"/>
          <w:lang w:eastAsia="en-AU"/>
        </w:rPr>
        <w:t xml:space="preserve">specifies that Schedule 1 </w:t>
      </w:r>
      <w:proofErr w:type="gramStart"/>
      <w:r w:rsidR="00FF7779">
        <w:rPr>
          <w:rFonts w:ascii="Arial" w:eastAsia="Times New Roman" w:hAnsi="Arial" w:cs="Arial"/>
          <w:sz w:val="20"/>
          <w:szCs w:val="20"/>
          <w:lang w:eastAsia="en-AU"/>
        </w:rPr>
        <w:t>amends</w:t>
      </w:r>
      <w:proofErr w:type="gramEnd"/>
      <w:r w:rsidR="002659F3" w:rsidRPr="00C25DCD">
        <w:rPr>
          <w:rFonts w:ascii="Arial" w:eastAsia="Times New Roman" w:hAnsi="Arial" w:cs="Arial"/>
          <w:sz w:val="20"/>
          <w:szCs w:val="20"/>
          <w:lang w:eastAsia="en-AU"/>
        </w:rPr>
        <w:t xml:space="preserve"> the </w:t>
      </w:r>
      <w:r w:rsidRPr="00C25DCD">
        <w:rPr>
          <w:rFonts w:ascii="Arial" w:eastAsia="Times New Roman" w:hAnsi="Arial" w:cs="Arial"/>
          <w:i/>
          <w:iCs/>
          <w:sz w:val="20"/>
          <w:szCs w:val="20"/>
          <w:lang w:eastAsia="en-AU"/>
        </w:rPr>
        <w:t xml:space="preserve">Radiocommunications (Trading Rules for Spectrum Licences) Determination </w:t>
      </w:r>
      <w:r w:rsidR="002659F3" w:rsidRPr="00C25DCD">
        <w:rPr>
          <w:rFonts w:ascii="Arial" w:eastAsia="Times New Roman" w:hAnsi="Arial" w:cs="Arial"/>
          <w:i/>
          <w:iCs/>
          <w:sz w:val="20"/>
          <w:szCs w:val="20"/>
          <w:lang w:eastAsia="en-AU"/>
        </w:rPr>
        <w:t>2012</w:t>
      </w:r>
      <w:r w:rsidRPr="00C25DCD">
        <w:rPr>
          <w:rFonts w:ascii="Arial" w:eastAsia="Times New Roman" w:hAnsi="Arial" w:cs="Arial"/>
          <w:sz w:val="20"/>
          <w:szCs w:val="20"/>
          <w:lang w:eastAsia="en-AU"/>
        </w:rPr>
        <w:t xml:space="preserve">.  </w:t>
      </w:r>
    </w:p>
    <w:p w14:paraId="713EB78F" w14:textId="77777777" w:rsidR="00AE5602" w:rsidRPr="00C25DCD" w:rsidRDefault="00C242E3">
      <w:pPr>
        <w:spacing w:before="120" w:after="120" w:line="240" w:lineRule="auto"/>
        <w:rPr>
          <w:rFonts w:ascii="Times New Roman" w:eastAsia="Times New Roman" w:hAnsi="Times New Roman" w:cs="Times New Roman"/>
          <w:sz w:val="20"/>
          <w:szCs w:val="20"/>
          <w:lang w:eastAsia="en-AU"/>
        </w:rPr>
      </w:pPr>
      <w:r w:rsidRPr="00C25DCD">
        <w:rPr>
          <w:rFonts w:ascii="Arial" w:eastAsia="Times New Roman" w:hAnsi="Arial" w:cs="Arial"/>
          <w:b/>
          <w:bCs/>
          <w:color w:val="000000"/>
          <w:sz w:val="20"/>
          <w:szCs w:val="20"/>
          <w:lang w:val="en-US" w:eastAsia="en-AU"/>
        </w:rPr>
        <w:t xml:space="preserve">Schedule 1 – </w:t>
      </w:r>
      <w:r w:rsidR="00C17BD4" w:rsidRPr="00C25DCD">
        <w:rPr>
          <w:rFonts w:ascii="Arial" w:eastAsia="Times New Roman" w:hAnsi="Arial" w:cs="Arial"/>
          <w:b/>
          <w:bCs/>
          <w:color w:val="000000"/>
          <w:sz w:val="20"/>
          <w:szCs w:val="20"/>
          <w:lang w:val="en-US" w:eastAsia="en-AU"/>
        </w:rPr>
        <w:t>Amendments</w:t>
      </w:r>
    </w:p>
    <w:p w14:paraId="713EB790" w14:textId="5725871A" w:rsidR="00AE5602" w:rsidRPr="00C25DCD" w:rsidRDefault="00C242E3">
      <w:pPr>
        <w:spacing w:before="120" w:after="120" w:line="240" w:lineRule="auto"/>
        <w:rPr>
          <w:rFonts w:ascii="Arial" w:eastAsia="Times New Roman" w:hAnsi="Arial" w:cs="Arial"/>
          <w:color w:val="000000"/>
          <w:sz w:val="20"/>
          <w:szCs w:val="20"/>
          <w:lang w:val="en-US" w:eastAsia="en-AU"/>
        </w:rPr>
      </w:pPr>
      <w:r w:rsidRPr="00C25DCD">
        <w:rPr>
          <w:rFonts w:ascii="Arial" w:eastAsia="Times New Roman" w:hAnsi="Arial" w:cs="Arial"/>
          <w:color w:val="000000"/>
          <w:sz w:val="20"/>
          <w:szCs w:val="20"/>
          <w:lang w:val="en-US" w:eastAsia="en-AU"/>
        </w:rPr>
        <w:t xml:space="preserve">This Schedule sets out </w:t>
      </w:r>
      <w:r w:rsidR="0026514F" w:rsidRPr="00C25DCD">
        <w:rPr>
          <w:rFonts w:ascii="Arial" w:eastAsia="Times New Roman" w:hAnsi="Arial" w:cs="Arial"/>
          <w:color w:val="000000"/>
          <w:sz w:val="20"/>
          <w:szCs w:val="20"/>
          <w:lang w:val="en-US" w:eastAsia="en-AU"/>
        </w:rPr>
        <w:t>three</w:t>
      </w:r>
      <w:r w:rsidR="00C17BD4" w:rsidRPr="00C25DCD">
        <w:rPr>
          <w:rFonts w:ascii="Arial" w:eastAsia="Times New Roman" w:hAnsi="Arial" w:cs="Arial"/>
          <w:color w:val="000000"/>
          <w:sz w:val="20"/>
          <w:szCs w:val="20"/>
          <w:lang w:val="en-US" w:eastAsia="en-AU"/>
        </w:rPr>
        <w:t xml:space="preserve"> </w:t>
      </w:r>
      <w:r w:rsidRPr="00C25DCD">
        <w:rPr>
          <w:rFonts w:ascii="Arial" w:eastAsia="Times New Roman" w:hAnsi="Arial" w:cs="Arial"/>
          <w:color w:val="000000"/>
          <w:sz w:val="20"/>
          <w:szCs w:val="20"/>
          <w:lang w:val="en-US" w:eastAsia="en-AU"/>
        </w:rPr>
        <w:t>a</w:t>
      </w:r>
      <w:r w:rsidR="00C17BD4" w:rsidRPr="00C25DCD">
        <w:rPr>
          <w:rFonts w:ascii="Arial" w:eastAsia="Times New Roman" w:hAnsi="Arial" w:cs="Arial"/>
          <w:color w:val="000000"/>
          <w:sz w:val="20"/>
          <w:szCs w:val="20"/>
          <w:lang w:val="en-US" w:eastAsia="en-AU"/>
        </w:rPr>
        <w:t>mendments to the</w:t>
      </w:r>
      <w:r w:rsidRPr="00C25DCD">
        <w:rPr>
          <w:rFonts w:ascii="Arial" w:eastAsia="Times New Roman" w:hAnsi="Arial" w:cs="Arial"/>
          <w:color w:val="000000"/>
          <w:sz w:val="20"/>
          <w:szCs w:val="20"/>
          <w:lang w:val="en-US" w:eastAsia="en-AU"/>
        </w:rPr>
        <w:t xml:space="preserve"> </w:t>
      </w:r>
      <w:r w:rsidR="002A0F46" w:rsidRPr="00C25DCD">
        <w:rPr>
          <w:rFonts w:ascii="Arial" w:eastAsia="Times New Roman" w:hAnsi="Arial" w:cs="Arial"/>
          <w:i/>
          <w:color w:val="000000"/>
          <w:sz w:val="20"/>
          <w:szCs w:val="20"/>
          <w:lang w:val="en-US" w:eastAsia="en-AU"/>
        </w:rPr>
        <w:t xml:space="preserve">Radiocommunications (Trading Rules for Spectrum </w:t>
      </w:r>
      <w:proofErr w:type="spellStart"/>
      <w:r w:rsidR="002A0F46" w:rsidRPr="00C25DCD">
        <w:rPr>
          <w:rFonts w:ascii="Arial" w:eastAsia="Times New Roman" w:hAnsi="Arial" w:cs="Arial"/>
          <w:i/>
          <w:color w:val="000000"/>
          <w:sz w:val="20"/>
          <w:szCs w:val="20"/>
          <w:lang w:val="en-US" w:eastAsia="en-AU"/>
        </w:rPr>
        <w:t>Licences</w:t>
      </w:r>
      <w:proofErr w:type="spellEnd"/>
      <w:r w:rsidR="002A0F46" w:rsidRPr="00C25DCD">
        <w:rPr>
          <w:rFonts w:ascii="Arial" w:eastAsia="Times New Roman" w:hAnsi="Arial" w:cs="Arial"/>
          <w:i/>
          <w:color w:val="000000"/>
          <w:sz w:val="20"/>
          <w:szCs w:val="20"/>
          <w:lang w:val="en-US" w:eastAsia="en-AU"/>
        </w:rPr>
        <w:t>) Determination 2012</w:t>
      </w:r>
      <w:r w:rsidR="00C17BD4" w:rsidRPr="00C25DCD">
        <w:rPr>
          <w:rFonts w:ascii="Arial" w:eastAsia="Times New Roman" w:hAnsi="Arial" w:cs="Arial"/>
          <w:color w:val="000000"/>
          <w:sz w:val="20"/>
          <w:szCs w:val="20"/>
          <w:lang w:val="en-US" w:eastAsia="en-AU"/>
        </w:rPr>
        <w:t xml:space="preserve">. The </w:t>
      </w:r>
      <w:r w:rsidR="0026514F" w:rsidRPr="00C25DCD">
        <w:rPr>
          <w:rFonts w:ascii="Arial" w:eastAsia="Times New Roman" w:hAnsi="Arial" w:cs="Arial"/>
          <w:color w:val="000000"/>
          <w:sz w:val="20"/>
          <w:szCs w:val="20"/>
          <w:lang w:val="en-US" w:eastAsia="en-AU"/>
        </w:rPr>
        <w:t>first two</w:t>
      </w:r>
      <w:r w:rsidR="00C17BD4" w:rsidRPr="00C25DCD">
        <w:rPr>
          <w:rFonts w:ascii="Arial" w:eastAsia="Times New Roman" w:hAnsi="Arial" w:cs="Arial"/>
          <w:color w:val="000000"/>
          <w:sz w:val="20"/>
          <w:szCs w:val="20"/>
          <w:lang w:val="en-US" w:eastAsia="en-AU"/>
        </w:rPr>
        <w:t xml:space="preserve"> change</w:t>
      </w:r>
      <w:r w:rsidR="0026514F" w:rsidRPr="00C25DCD">
        <w:rPr>
          <w:rFonts w:ascii="Arial" w:eastAsia="Times New Roman" w:hAnsi="Arial" w:cs="Arial"/>
          <w:color w:val="000000"/>
          <w:sz w:val="20"/>
          <w:szCs w:val="20"/>
          <w:lang w:val="en-US" w:eastAsia="en-AU"/>
        </w:rPr>
        <w:t>s</w:t>
      </w:r>
      <w:r w:rsidR="00C17BD4" w:rsidRPr="00C25DCD">
        <w:rPr>
          <w:rFonts w:ascii="Arial" w:eastAsia="Times New Roman" w:hAnsi="Arial" w:cs="Arial"/>
          <w:color w:val="000000"/>
          <w:sz w:val="20"/>
          <w:szCs w:val="20"/>
          <w:lang w:val="en-US" w:eastAsia="en-AU"/>
        </w:rPr>
        <w:t xml:space="preserve"> </w:t>
      </w:r>
      <w:r w:rsidR="0026514F" w:rsidRPr="00C25DCD">
        <w:rPr>
          <w:rFonts w:ascii="Arial" w:eastAsia="Times New Roman" w:hAnsi="Arial" w:cs="Arial"/>
          <w:color w:val="000000"/>
          <w:sz w:val="20"/>
          <w:szCs w:val="20"/>
          <w:lang w:val="en-US" w:eastAsia="en-AU"/>
        </w:rPr>
        <w:t>are</w:t>
      </w:r>
      <w:r w:rsidR="00C17BD4" w:rsidRPr="00C25DCD">
        <w:rPr>
          <w:rFonts w:ascii="Arial" w:eastAsia="Times New Roman" w:hAnsi="Arial" w:cs="Arial"/>
          <w:color w:val="000000"/>
          <w:sz w:val="20"/>
          <w:szCs w:val="20"/>
          <w:lang w:val="en-US" w:eastAsia="en-AU"/>
        </w:rPr>
        <w:t xml:space="preserve"> to the number</w:t>
      </w:r>
      <w:r w:rsidR="0026514F" w:rsidRPr="00C25DCD">
        <w:rPr>
          <w:rFonts w:ascii="Arial" w:eastAsia="Times New Roman" w:hAnsi="Arial" w:cs="Arial"/>
          <w:color w:val="000000"/>
          <w:sz w:val="20"/>
          <w:szCs w:val="20"/>
          <w:lang w:val="en-US" w:eastAsia="en-AU"/>
        </w:rPr>
        <w:t>s</w:t>
      </w:r>
      <w:r w:rsidR="00C17BD4" w:rsidRPr="00C25DCD">
        <w:rPr>
          <w:rFonts w:ascii="Arial" w:eastAsia="Times New Roman" w:hAnsi="Arial" w:cs="Arial"/>
          <w:color w:val="000000"/>
          <w:sz w:val="20"/>
          <w:szCs w:val="20"/>
          <w:lang w:val="en-US" w:eastAsia="en-AU"/>
        </w:rPr>
        <w:t xml:space="preserve"> specified under the column “Minimum contiguous bandwidth (MHz)</w:t>
      </w:r>
      <w:r w:rsidR="002659F3" w:rsidRPr="00C25DCD">
        <w:rPr>
          <w:rFonts w:ascii="Arial" w:eastAsia="Times New Roman" w:hAnsi="Arial" w:cs="Arial"/>
          <w:color w:val="000000"/>
          <w:sz w:val="20"/>
          <w:szCs w:val="20"/>
          <w:lang w:val="en-US" w:eastAsia="en-AU"/>
        </w:rPr>
        <w:t>”</w:t>
      </w:r>
      <w:r w:rsidR="00C17BD4" w:rsidRPr="00C25DCD">
        <w:rPr>
          <w:rFonts w:ascii="Arial" w:eastAsia="Times New Roman" w:hAnsi="Arial" w:cs="Arial"/>
          <w:color w:val="000000"/>
          <w:sz w:val="20"/>
          <w:szCs w:val="20"/>
          <w:lang w:val="en-US" w:eastAsia="en-AU"/>
        </w:rPr>
        <w:t xml:space="preserve"> for Item</w:t>
      </w:r>
      <w:r w:rsidR="0026514F" w:rsidRPr="00C25DCD">
        <w:rPr>
          <w:rFonts w:ascii="Arial" w:eastAsia="Times New Roman" w:hAnsi="Arial" w:cs="Arial"/>
          <w:color w:val="000000"/>
          <w:sz w:val="20"/>
          <w:szCs w:val="20"/>
          <w:lang w:val="en-US" w:eastAsia="en-AU"/>
        </w:rPr>
        <w:t xml:space="preserve"> 12 and Item 13</w:t>
      </w:r>
      <w:r w:rsidR="00C17BD4" w:rsidRPr="00C25DCD">
        <w:rPr>
          <w:rFonts w:ascii="Arial" w:eastAsia="Times New Roman" w:hAnsi="Arial" w:cs="Arial"/>
          <w:color w:val="000000"/>
          <w:sz w:val="20"/>
          <w:szCs w:val="20"/>
          <w:lang w:val="en-US" w:eastAsia="en-AU"/>
        </w:rPr>
        <w:t xml:space="preserve"> in Schedule 1</w:t>
      </w:r>
      <w:r w:rsidR="00FF7779">
        <w:rPr>
          <w:rFonts w:ascii="Arial" w:eastAsia="Times New Roman" w:hAnsi="Arial" w:cs="Arial"/>
          <w:color w:val="000000"/>
          <w:sz w:val="20"/>
          <w:szCs w:val="20"/>
          <w:lang w:val="en-US" w:eastAsia="en-AU"/>
        </w:rPr>
        <w:t xml:space="preserve"> of that Determination</w:t>
      </w:r>
      <w:r w:rsidR="00C17BD4" w:rsidRPr="00C25DCD">
        <w:rPr>
          <w:rFonts w:ascii="Arial" w:eastAsia="Times New Roman" w:hAnsi="Arial" w:cs="Arial"/>
          <w:color w:val="000000"/>
          <w:sz w:val="20"/>
          <w:szCs w:val="20"/>
          <w:lang w:val="en-US" w:eastAsia="en-AU"/>
        </w:rPr>
        <w:t xml:space="preserve">. </w:t>
      </w:r>
      <w:r w:rsidR="00EB44F8" w:rsidRPr="00C25DCD">
        <w:rPr>
          <w:rFonts w:ascii="Arial" w:eastAsia="Times New Roman" w:hAnsi="Arial" w:cs="Arial"/>
          <w:color w:val="000000"/>
          <w:sz w:val="20"/>
          <w:szCs w:val="20"/>
          <w:lang w:val="en-US" w:eastAsia="en-AU"/>
        </w:rPr>
        <w:t>The third change is to remove Item 15 and Item 16.</w:t>
      </w:r>
    </w:p>
    <w:p w14:paraId="713EB791" w14:textId="77777777" w:rsidR="00AE5602" w:rsidRPr="00C25DCD" w:rsidRDefault="00C17BD4">
      <w:pPr>
        <w:spacing w:before="100" w:beforeAutospacing="1" w:after="120" w:line="240" w:lineRule="auto"/>
        <w:rPr>
          <w:rFonts w:ascii="Times New Roman" w:eastAsia="Times New Roman" w:hAnsi="Times New Roman" w:cs="Times New Roman"/>
          <w:sz w:val="20"/>
          <w:szCs w:val="20"/>
          <w:lang w:eastAsia="en-AU"/>
        </w:rPr>
      </w:pPr>
      <w:r w:rsidRPr="00C25DCD">
        <w:rPr>
          <w:rFonts w:ascii="Arial" w:eastAsia="Times New Roman" w:hAnsi="Arial" w:cs="Arial"/>
          <w:color w:val="000000"/>
          <w:sz w:val="20"/>
          <w:szCs w:val="20"/>
          <w:lang w:val="en-US" w:eastAsia="en-AU"/>
        </w:rPr>
        <w:t xml:space="preserve">The </w:t>
      </w:r>
      <w:r w:rsidR="007A1F3E" w:rsidRPr="00C25DCD">
        <w:rPr>
          <w:rFonts w:ascii="Arial" w:eastAsia="Times New Roman" w:hAnsi="Arial" w:cs="Arial"/>
          <w:color w:val="000000"/>
          <w:sz w:val="20"/>
          <w:szCs w:val="20"/>
          <w:lang w:val="en-US" w:eastAsia="en-AU"/>
        </w:rPr>
        <w:t>MCB</w:t>
      </w:r>
      <w:r w:rsidRPr="00C25DCD">
        <w:rPr>
          <w:rFonts w:ascii="Arial" w:eastAsia="Times New Roman" w:hAnsi="Arial" w:cs="Arial"/>
          <w:color w:val="000000"/>
          <w:sz w:val="20"/>
          <w:szCs w:val="20"/>
          <w:lang w:val="en-US" w:eastAsia="en-AU"/>
        </w:rPr>
        <w:t xml:space="preserve"> is the minimum bandwidth required for the provision of services in the relevant frequency band. Subsection 8 (2) of the Determination imposes a restriction on the </w:t>
      </w:r>
      <w:r w:rsidR="002659F3" w:rsidRPr="00C25DCD">
        <w:rPr>
          <w:rFonts w:ascii="Arial" w:eastAsia="Times New Roman" w:hAnsi="Arial" w:cs="Arial"/>
          <w:color w:val="000000"/>
          <w:sz w:val="20"/>
          <w:szCs w:val="20"/>
          <w:lang w:val="en-US" w:eastAsia="en-AU"/>
        </w:rPr>
        <w:t xml:space="preserve">trading </w:t>
      </w:r>
      <w:r w:rsidRPr="00C25DCD">
        <w:rPr>
          <w:rFonts w:ascii="Arial" w:eastAsia="Times New Roman" w:hAnsi="Arial" w:cs="Arial"/>
          <w:color w:val="000000"/>
          <w:sz w:val="20"/>
          <w:szCs w:val="20"/>
          <w:lang w:val="en-US" w:eastAsia="en-AU"/>
        </w:rPr>
        <w:t xml:space="preserve">of </w:t>
      </w:r>
      <w:r w:rsidR="002659F3" w:rsidRPr="00C25DCD">
        <w:rPr>
          <w:rFonts w:ascii="Arial" w:eastAsia="Times New Roman" w:hAnsi="Arial" w:cs="Arial"/>
          <w:color w:val="000000"/>
          <w:sz w:val="20"/>
          <w:szCs w:val="20"/>
          <w:lang w:val="en-US" w:eastAsia="en-AU"/>
        </w:rPr>
        <w:t xml:space="preserve">spectrum </w:t>
      </w:r>
      <w:proofErr w:type="spellStart"/>
      <w:r w:rsidRPr="00C25DCD">
        <w:rPr>
          <w:rFonts w:ascii="Arial" w:eastAsia="Times New Roman" w:hAnsi="Arial" w:cs="Arial"/>
          <w:color w:val="000000"/>
          <w:sz w:val="20"/>
          <w:szCs w:val="20"/>
          <w:lang w:val="en-US" w:eastAsia="en-AU"/>
        </w:rPr>
        <w:t>licences</w:t>
      </w:r>
      <w:proofErr w:type="spellEnd"/>
      <w:r w:rsidRPr="00C25DCD">
        <w:rPr>
          <w:rFonts w:ascii="Arial" w:eastAsia="Times New Roman" w:hAnsi="Arial" w:cs="Arial"/>
          <w:color w:val="000000"/>
          <w:sz w:val="20"/>
          <w:szCs w:val="20"/>
          <w:lang w:val="en-US" w:eastAsia="en-AU"/>
        </w:rPr>
        <w:t xml:space="preserve"> where the resulting licence has a frequency bandwidth that is less than the MCB for the frequency band of the licence as set out in </w:t>
      </w:r>
      <w:r w:rsidR="002659F3" w:rsidRPr="00C25DCD">
        <w:rPr>
          <w:rFonts w:ascii="Arial" w:eastAsia="Times New Roman" w:hAnsi="Arial" w:cs="Arial"/>
          <w:color w:val="000000"/>
          <w:sz w:val="20"/>
          <w:szCs w:val="20"/>
          <w:lang w:val="en-US" w:eastAsia="en-AU"/>
        </w:rPr>
        <w:t xml:space="preserve">the </w:t>
      </w:r>
      <w:r w:rsidRPr="00C25DCD">
        <w:rPr>
          <w:rFonts w:ascii="Arial" w:eastAsia="Times New Roman" w:hAnsi="Arial" w:cs="Arial"/>
          <w:color w:val="000000"/>
          <w:sz w:val="20"/>
          <w:szCs w:val="20"/>
          <w:lang w:val="en-US" w:eastAsia="en-AU"/>
        </w:rPr>
        <w:t>Schedule. The minimum contiguous bandwi</w:t>
      </w:r>
      <w:r w:rsidR="0026514F" w:rsidRPr="00C25DCD">
        <w:rPr>
          <w:rFonts w:ascii="Arial" w:eastAsia="Times New Roman" w:hAnsi="Arial" w:cs="Arial"/>
          <w:color w:val="000000"/>
          <w:sz w:val="20"/>
          <w:szCs w:val="20"/>
          <w:lang w:val="en-US" w:eastAsia="en-AU"/>
        </w:rPr>
        <w:t xml:space="preserve">dth for Item 12 and Item 13 </w:t>
      </w:r>
      <w:proofErr w:type="gramStart"/>
      <w:r w:rsidR="0026514F" w:rsidRPr="00C25DCD">
        <w:rPr>
          <w:rFonts w:ascii="Arial" w:eastAsia="Times New Roman" w:hAnsi="Arial" w:cs="Arial"/>
          <w:color w:val="000000"/>
          <w:sz w:val="20"/>
          <w:szCs w:val="20"/>
          <w:lang w:val="en-US" w:eastAsia="en-AU"/>
        </w:rPr>
        <w:t>is changed</w:t>
      </w:r>
      <w:proofErr w:type="gramEnd"/>
      <w:r w:rsidR="0026514F" w:rsidRPr="00C25DCD">
        <w:rPr>
          <w:rFonts w:ascii="Arial" w:eastAsia="Times New Roman" w:hAnsi="Arial" w:cs="Arial"/>
          <w:color w:val="000000"/>
          <w:sz w:val="20"/>
          <w:szCs w:val="20"/>
          <w:lang w:val="en-US" w:eastAsia="en-AU"/>
        </w:rPr>
        <w:t xml:space="preserve"> from 2.5 to 10</w:t>
      </w:r>
      <w:r w:rsidRPr="00C25DCD">
        <w:rPr>
          <w:rFonts w:ascii="Arial" w:eastAsia="Times New Roman" w:hAnsi="Arial" w:cs="Arial"/>
          <w:color w:val="000000"/>
          <w:sz w:val="20"/>
          <w:szCs w:val="20"/>
          <w:lang w:val="en-US" w:eastAsia="en-AU"/>
        </w:rPr>
        <w:t xml:space="preserve"> MHz.</w:t>
      </w:r>
      <w:r w:rsidR="00C242E3" w:rsidRPr="00C25DCD">
        <w:rPr>
          <w:rFonts w:ascii="Arial" w:eastAsia="Times New Roman" w:hAnsi="Arial" w:cs="Arial"/>
          <w:b/>
          <w:bCs/>
          <w:color w:val="000000"/>
          <w:sz w:val="20"/>
          <w:szCs w:val="20"/>
          <w:lang w:val="en-US" w:eastAsia="en-AU"/>
        </w:rPr>
        <w:t> </w:t>
      </w:r>
    </w:p>
    <w:p w14:paraId="713EB792" w14:textId="5A90D0CD" w:rsidR="00EB44F8" w:rsidRPr="00C25DCD" w:rsidRDefault="00EB44F8" w:rsidP="00EB44F8">
      <w:pPr>
        <w:spacing w:before="120" w:after="120" w:line="240" w:lineRule="auto"/>
        <w:rPr>
          <w:rFonts w:ascii="Arial" w:hAnsi="Arial" w:cs="Arial"/>
          <w:iCs/>
          <w:sz w:val="20"/>
          <w:szCs w:val="20"/>
        </w:rPr>
      </w:pPr>
      <w:proofErr w:type="gramStart"/>
      <w:r w:rsidRPr="00C25DCD">
        <w:rPr>
          <w:rFonts w:ascii="Arial" w:hAnsi="Arial" w:cs="Arial"/>
          <w:iCs/>
          <w:sz w:val="20"/>
          <w:szCs w:val="20"/>
        </w:rPr>
        <w:t>Also</w:t>
      </w:r>
      <w:proofErr w:type="gramEnd"/>
      <w:r w:rsidRPr="00C25DCD">
        <w:rPr>
          <w:rFonts w:ascii="Arial" w:hAnsi="Arial" w:cs="Arial"/>
          <w:iCs/>
          <w:sz w:val="20"/>
          <w:szCs w:val="20"/>
        </w:rPr>
        <w:t xml:space="preserve">, since the 28 GHz and 31 GHz bands are no longer subject to spectrum licensing, the Determination no longer needs to define </w:t>
      </w:r>
      <w:r w:rsidR="0003449A">
        <w:rPr>
          <w:rFonts w:ascii="Arial" w:hAnsi="Arial" w:cs="Arial"/>
          <w:iCs/>
          <w:sz w:val="20"/>
          <w:szCs w:val="20"/>
        </w:rPr>
        <w:t>the</w:t>
      </w:r>
      <w:r w:rsidRPr="00C25DCD">
        <w:rPr>
          <w:rFonts w:ascii="Arial" w:hAnsi="Arial" w:cs="Arial"/>
          <w:iCs/>
          <w:sz w:val="20"/>
          <w:szCs w:val="20"/>
        </w:rPr>
        <w:t xml:space="preserve"> MCB for them. </w:t>
      </w:r>
    </w:p>
    <w:p w14:paraId="713EB793" w14:textId="57DD7CE2" w:rsidR="007D356D" w:rsidRDefault="007D356D">
      <w:pPr>
        <w:rPr>
          <w:sz w:val="20"/>
          <w:szCs w:val="20"/>
        </w:rPr>
      </w:pPr>
      <w:r>
        <w:rPr>
          <w:sz w:val="20"/>
          <w:szCs w:val="20"/>
        </w:rPr>
        <w:br w:type="page"/>
      </w:r>
    </w:p>
    <w:p w14:paraId="6A1BCE98" w14:textId="27C29D67" w:rsidR="007D356D" w:rsidRPr="00F6193C" w:rsidRDefault="007D356D" w:rsidP="00F6193C">
      <w:pPr>
        <w:spacing w:after="0" w:line="240" w:lineRule="auto"/>
        <w:rPr>
          <w:rFonts w:ascii="Arial" w:hAnsi="Arial" w:cs="Arial"/>
          <w:b/>
        </w:rPr>
      </w:pPr>
      <w:r w:rsidRPr="00F6193C">
        <w:rPr>
          <w:rFonts w:ascii="Arial" w:hAnsi="Arial" w:cs="Arial"/>
          <w:b/>
        </w:rPr>
        <w:t xml:space="preserve">ATTACHMENT </w:t>
      </w:r>
      <w:r w:rsidR="00FF7779">
        <w:rPr>
          <w:rFonts w:ascii="Arial" w:hAnsi="Arial" w:cs="Arial"/>
          <w:b/>
        </w:rPr>
        <w:t>A</w:t>
      </w:r>
    </w:p>
    <w:p w14:paraId="47D18D16" w14:textId="77777777" w:rsidR="007D356D" w:rsidRPr="00F6193C" w:rsidRDefault="007D356D" w:rsidP="00F6193C">
      <w:pPr>
        <w:spacing w:after="0" w:line="240" w:lineRule="auto"/>
        <w:rPr>
          <w:rFonts w:ascii="Arial" w:hAnsi="Arial" w:cs="Arial"/>
        </w:rPr>
      </w:pPr>
    </w:p>
    <w:p w14:paraId="4D1E6619" w14:textId="77777777" w:rsidR="007D356D" w:rsidRPr="00F6193C" w:rsidRDefault="007D356D" w:rsidP="00F6193C">
      <w:pPr>
        <w:spacing w:after="0" w:line="240" w:lineRule="auto"/>
        <w:jc w:val="center"/>
        <w:rPr>
          <w:rFonts w:ascii="Arial" w:hAnsi="Arial" w:cs="Arial"/>
          <w:b/>
        </w:rPr>
      </w:pPr>
      <w:r w:rsidRPr="00F6193C">
        <w:rPr>
          <w:rFonts w:ascii="Arial" w:hAnsi="Arial" w:cs="Arial"/>
          <w:b/>
        </w:rPr>
        <w:t>Statement of Compatibility with Human Rights</w:t>
      </w:r>
    </w:p>
    <w:p w14:paraId="223FB682" w14:textId="77777777" w:rsidR="007D356D" w:rsidRPr="00F6193C" w:rsidRDefault="007D356D" w:rsidP="00F6193C">
      <w:pPr>
        <w:spacing w:after="0" w:line="240" w:lineRule="auto"/>
        <w:rPr>
          <w:rFonts w:ascii="Arial" w:hAnsi="Arial" w:cs="Arial"/>
        </w:rPr>
      </w:pPr>
    </w:p>
    <w:p w14:paraId="01496283" w14:textId="77777777" w:rsidR="007D356D" w:rsidRPr="00F6193C" w:rsidRDefault="007D356D" w:rsidP="00F6193C">
      <w:pPr>
        <w:spacing w:after="0" w:line="240" w:lineRule="auto"/>
        <w:jc w:val="center"/>
        <w:rPr>
          <w:rFonts w:ascii="Arial" w:hAnsi="Arial" w:cs="Arial"/>
        </w:rPr>
      </w:pPr>
      <w:r w:rsidRPr="00F6193C">
        <w:rPr>
          <w:rFonts w:ascii="Arial" w:hAnsi="Arial" w:cs="Arial"/>
        </w:rPr>
        <w:t xml:space="preserve">Prepared in accordance with Part 3 of the </w:t>
      </w:r>
      <w:r w:rsidRPr="00F6193C">
        <w:rPr>
          <w:rFonts w:ascii="Arial" w:hAnsi="Arial" w:cs="Arial"/>
          <w:i/>
        </w:rPr>
        <w:t>Human Rights (Parliamentary Scrutiny) Act 2011</w:t>
      </w:r>
    </w:p>
    <w:p w14:paraId="7754E16D" w14:textId="77777777" w:rsidR="007D356D" w:rsidRPr="00F6193C" w:rsidRDefault="007D356D" w:rsidP="00F6193C">
      <w:pPr>
        <w:spacing w:after="0" w:line="240" w:lineRule="auto"/>
        <w:rPr>
          <w:rFonts w:ascii="Arial" w:hAnsi="Arial" w:cs="Arial"/>
        </w:rPr>
      </w:pPr>
    </w:p>
    <w:p w14:paraId="0E590864" w14:textId="18214FF3" w:rsidR="007D356D" w:rsidRPr="00F6193C" w:rsidRDefault="007D356D" w:rsidP="00F6193C">
      <w:pPr>
        <w:spacing w:after="0" w:line="240" w:lineRule="auto"/>
        <w:jc w:val="center"/>
        <w:rPr>
          <w:rFonts w:ascii="Arial" w:hAnsi="Arial" w:cs="Arial"/>
          <w:i/>
        </w:rPr>
      </w:pPr>
      <w:r w:rsidRPr="00F6193C">
        <w:rPr>
          <w:rFonts w:ascii="Arial" w:hAnsi="Arial" w:cs="Arial"/>
          <w:i/>
        </w:rPr>
        <w:t>Radiocommunications (Trading Rules for Spectrum Licences) Amendment Determination 201</w:t>
      </w:r>
      <w:r w:rsidR="00003659" w:rsidRPr="00F6193C">
        <w:rPr>
          <w:rFonts w:ascii="Arial" w:hAnsi="Arial" w:cs="Arial"/>
          <w:i/>
        </w:rPr>
        <w:t>5</w:t>
      </w:r>
      <w:r w:rsidR="00FF7779">
        <w:rPr>
          <w:rFonts w:ascii="Arial" w:hAnsi="Arial" w:cs="Arial"/>
          <w:i/>
        </w:rPr>
        <w:t xml:space="preserve"> (No. 1)</w:t>
      </w:r>
    </w:p>
    <w:p w14:paraId="08A391AA" w14:textId="77777777" w:rsidR="007D356D" w:rsidRPr="00F6193C" w:rsidRDefault="007D356D" w:rsidP="00F6193C">
      <w:pPr>
        <w:spacing w:after="0" w:line="240" w:lineRule="auto"/>
        <w:rPr>
          <w:rFonts w:ascii="Arial" w:hAnsi="Arial" w:cs="Arial"/>
          <w:sz w:val="20"/>
          <w:szCs w:val="20"/>
        </w:rPr>
      </w:pPr>
    </w:p>
    <w:p w14:paraId="47A05B23" w14:textId="77777777" w:rsidR="00003659" w:rsidRPr="00F6193C" w:rsidRDefault="00003659" w:rsidP="00F6193C">
      <w:pPr>
        <w:spacing w:after="0" w:line="240" w:lineRule="auto"/>
        <w:rPr>
          <w:rFonts w:ascii="Arial" w:hAnsi="Arial" w:cs="Arial"/>
          <w:sz w:val="20"/>
          <w:szCs w:val="20"/>
        </w:rPr>
      </w:pPr>
    </w:p>
    <w:p w14:paraId="0617D61E" w14:textId="77777777" w:rsidR="007D356D" w:rsidRPr="00F6193C" w:rsidRDefault="007D356D" w:rsidP="00F6193C">
      <w:pPr>
        <w:spacing w:after="0" w:line="240" w:lineRule="auto"/>
        <w:rPr>
          <w:rFonts w:ascii="Arial" w:hAnsi="Arial" w:cs="Arial"/>
          <w:sz w:val="20"/>
          <w:szCs w:val="20"/>
        </w:rPr>
      </w:pPr>
      <w:r w:rsidRPr="00F6193C">
        <w:rPr>
          <w:rFonts w:ascii="Arial" w:hAnsi="Arial" w:cs="Arial"/>
          <w:sz w:val="20"/>
          <w:szCs w:val="20"/>
        </w:rPr>
        <w:t xml:space="preserve">This legislative instrument is compatible with the human rights and freedoms recognised or declared in the international instruments listed in section 3 of the </w:t>
      </w:r>
      <w:r w:rsidRPr="00E56C63">
        <w:rPr>
          <w:rFonts w:ascii="Arial" w:hAnsi="Arial" w:cs="Arial"/>
          <w:i/>
          <w:sz w:val="20"/>
          <w:szCs w:val="20"/>
        </w:rPr>
        <w:t>Human Rights (Parliamentary Scrutiny) Act 2011</w:t>
      </w:r>
      <w:r w:rsidRPr="00F6193C">
        <w:rPr>
          <w:rFonts w:ascii="Arial" w:hAnsi="Arial" w:cs="Arial"/>
          <w:sz w:val="20"/>
          <w:szCs w:val="20"/>
        </w:rPr>
        <w:t>.</w:t>
      </w:r>
    </w:p>
    <w:p w14:paraId="5B7DE895" w14:textId="77777777" w:rsidR="007D356D" w:rsidRPr="00F6193C" w:rsidRDefault="007D356D" w:rsidP="00F6193C">
      <w:pPr>
        <w:spacing w:after="0" w:line="240" w:lineRule="auto"/>
        <w:rPr>
          <w:rFonts w:ascii="Arial" w:hAnsi="Arial" w:cs="Arial"/>
          <w:sz w:val="20"/>
          <w:szCs w:val="20"/>
        </w:rPr>
      </w:pPr>
    </w:p>
    <w:p w14:paraId="08507200" w14:textId="77777777" w:rsidR="007D356D" w:rsidRPr="00F6193C" w:rsidRDefault="007D356D" w:rsidP="00F6193C">
      <w:pPr>
        <w:spacing w:after="0" w:line="240" w:lineRule="auto"/>
        <w:rPr>
          <w:rFonts w:ascii="Arial" w:hAnsi="Arial" w:cs="Arial"/>
          <w:b/>
          <w:sz w:val="20"/>
          <w:szCs w:val="20"/>
        </w:rPr>
      </w:pPr>
      <w:r w:rsidRPr="00F6193C">
        <w:rPr>
          <w:rFonts w:ascii="Arial" w:hAnsi="Arial" w:cs="Arial"/>
          <w:b/>
          <w:sz w:val="20"/>
          <w:szCs w:val="20"/>
        </w:rPr>
        <w:t>Overview of the Legislative Instrument</w:t>
      </w:r>
    </w:p>
    <w:p w14:paraId="1132239F" w14:textId="77777777" w:rsidR="007D356D" w:rsidRPr="00F6193C" w:rsidRDefault="007D356D" w:rsidP="00F6193C">
      <w:pPr>
        <w:spacing w:after="0" w:line="240" w:lineRule="auto"/>
        <w:rPr>
          <w:rFonts w:ascii="Arial" w:hAnsi="Arial" w:cs="Arial"/>
          <w:sz w:val="20"/>
          <w:szCs w:val="20"/>
        </w:rPr>
      </w:pPr>
    </w:p>
    <w:p w14:paraId="4B8D5863" w14:textId="701D4957" w:rsidR="007D356D" w:rsidRPr="00F6193C" w:rsidRDefault="007D356D" w:rsidP="00F6193C">
      <w:pPr>
        <w:spacing w:after="0" w:line="240" w:lineRule="auto"/>
        <w:rPr>
          <w:rFonts w:ascii="Arial" w:hAnsi="Arial" w:cs="Arial"/>
          <w:sz w:val="20"/>
          <w:szCs w:val="20"/>
        </w:rPr>
      </w:pPr>
      <w:r w:rsidRPr="00F6193C">
        <w:rPr>
          <w:rFonts w:ascii="Arial" w:hAnsi="Arial" w:cs="Arial"/>
          <w:sz w:val="20"/>
          <w:szCs w:val="20"/>
        </w:rPr>
        <w:t xml:space="preserve">Section 88 of the </w:t>
      </w:r>
      <w:r w:rsidRPr="00E56C63">
        <w:rPr>
          <w:rFonts w:ascii="Arial" w:hAnsi="Arial" w:cs="Arial"/>
          <w:i/>
          <w:sz w:val="20"/>
          <w:szCs w:val="20"/>
        </w:rPr>
        <w:t>Radiocommunications Act 1992</w:t>
      </w:r>
      <w:r w:rsidRPr="00F6193C">
        <w:rPr>
          <w:rFonts w:ascii="Arial" w:hAnsi="Arial" w:cs="Arial"/>
          <w:sz w:val="20"/>
          <w:szCs w:val="20"/>
        </w:rPr>
        <w:t xml:space="preserve"> provides that the ACMA may determine rules for the assignment of spectrum licences and the circumstances in which licences </w:t>
      </w:r>
      <w:proofErr w:type="gramStart"/>
      <w:r w:rsidRPr="00F6193C">
        <w:rPr>
          <w:rFonts w:ascii="Arial" w:hAnsi="Arial" w:cs="Arial"/>
          <w:sz w:val="20"/>
          <w:szCs w:val="20"/>
        </w:rPr>
        <w:t>can be varied, issued or cancelled as the result of an assignment</w:t>
      </w:r>
      <w:proofErr w:type="gramEnd"/>
      <w:r w:rsidRPr="00F6193C">
        <w:rPr>
          <w:rFonts w:ascii="Arial" w:hAnsi="Arial" w:cs="Arial"/>
          <w:sz w:val="20"/>
          <w:szCs w:val="20"/>
        </w:rPr>
        <w:t>.</w:t>
      </w:r>
    </w:p>
    <w:p w14:paraId="0884AEB3" w14:textId="77777777" w:rsidR="007D356D" w:rsidRPr="00F6193C" w:rsidRDefault="007D356D" w:rsidP="00F6193C">
      <w:pPr>
        <w:spacing w:after="0" w:line="240" w:lineRule="auto"/>
        <w:rPr>
          <w:rFonts w:ascii="Arial" w:hAnsi="Arial" w:cs="Arial"/>
          <w:sz w:val="20"/>
          <w:szCs w:val="20"/>
        </w:rPr>
      </w:pPr>
    </w:p>
    <w:p w14:paraId="652ECF9C" w14:textId="717495AE" w:rsidR="007D356D" w:rsidRPr="00F6193C" w:rsidRDefault="007D356D" w:rsidP="00F6193C">
      <w:pPr>
        <w:spacing w:after="0" w:line="240" w:lineRule="auto"/>
        <w:rPr>
          <w:rFonts w:ascii="Arial" w:hAnsi="Arial" w:cs="Arial"/>
          <w:sz w:val="20"/>
          <w:szCs w:val="20"/>
        </w:rPr>
      </w:pPr>
      <w:r w:rsidRPr="00F6193C">
        <w:rPr>
          <w:rFonts w:ascii="Arial" w:hAnsi="Arial" w:cs="Arial"/>
          <w:sz w:val="20"/>
          <w:szCs w:val="20"/>
        </w:rPr>
        <w:t xml:space="preserve">The purpose of the </w:t>
      </w:r>
      <w:r w:rsidRPr="00F6193C">
        <w:rPr>
          <w:rFonts w:ascii="Arial" w:hAnsi="Arial" w:cs="Arial"/>
          <w:i/>
          <w:sz w:val="20"/>
          <w:szCs w:val="20"/>
        </w:rPr>
        <w:t>Radiocommunications (Trading Rules for Spectrum Licenc</w:t>
      </w:r>
      <w:r w:rsidR="00003659" w:rsidRPr="00F6193C">
        <w:rPr>
          <w:rFonts w:ascii="Arial" w:hAnsi="Arial" w:cs="Arial"/>
          <w:i/>
          <w:sz w:val="20"/>
          <w:szCs w:val="20"/>
        </w:rPr>
        <w:t>es) Amendment Determination 2015</w:t>
      </w:r>
      <w:r w:rsidRPr="00F6193C">
        <w:rPr>
          <w:rFonts w:ascii="Arial" w:hAnsi="Arial" w:cs="Arial"/>
          <w:i/>
          <w:sz w:val="20"/>
          <w:szCs w:val="20"/>
        </w:rPr>
        <w:t xml:space="preserve"> </w:t>
      </w:r>
      <w:r w:rsidR="00FF7779">
        <w:rPr>
          <w:rFonts w:ascii="Arial" w:hAnsi="Arial" w:cs="Arial"/>
          <w:i/>
          <w:sz w:val="20"/>
          <w:szCs w:val="20"/>
        </w:rPr>
        <w:t xml:space="preserve">(No. 1) </w:t>
      </w:r>
      <w:r w:rsidRPr="00F6193C">
        <w:rPr>
          <w:rFonts w:ascii="Arial" w:hAnsi="Arial" w:cs="Arial"/>
          <w:sz w:val="20"/>
          <w:szCs w:val="20"/>
        </w:rPr>
        <w:t xml:space="preserve">(the </w:t>
      </w:r>
      <w:r w:rsidRPr="00FF7779">
        <w:rPr>
          <w:rFonts w:ascii="Arial" w:hAnsi="Arial" w:cs="Arial"/>
          <w:sz w:val="20"/>
          <w:szCs w:val="20"/>
        </w:rPr>
        <w:t>Amendment Determination</w:t>
      </w:r>
      <w:r w:rsidRPr="00F6193C">
        <w:rPr>
          <w:rFonts w:ascii="Arial" w:hAnsi="Arial" w:cs="Arial"/>
          <w:sz w:val="20"/>
          <w:szCs w:val="20"/>
        </w:rPr>
        <w:t xml:space="preserve">) is to update the rules for the trading of spectrum licences for the </w:t>
      </w:r>
      <w:r w:rsidR="007827B5">
        <w:rPr>
          <w:rFonts w:ascii="Arial" w:hAnsi="Arial" w:cs="Arial"/>
          <w:sz w:val="20"/>
          <w:szCs w:val="20"/>
        </w:rPr>
        <w:t>3.4</w:t>
      </w:r>
      <w:r w:rsidR="007827B5" w:rsidRPr="00E8597C">
        <w:rPr>
          <w:rFonts w:ascii="Arial" w:hAnsi="Arial" w:cs="Arial"/>
          <w:sz w:val="20"/>
          <w:szCs w:val="20"/>
        </w:rPr>
        <w:t xml:space="preserve"> GHz band</w:t>
      </w:r>
      <w:r w:rsidR="007827B5">
        <w:rPr>
          <w:rFonts w:ascii="Arial" w:hAnsi="Arial" w:cs="Arial"/>
          <w:sz w:val="20"/>
          <w:szCs w:val="20"/>
        </w:rPr>
        <w:t xml:space="preserve"> and remove the MCB for the 28 GHz and 31 GHz bands</w:t>
      </w:r>
      <w:r w:rsidRPr="00F6193C">
        <w:rPr>
          <w:rFonts w:ascii="Arial" w:hAnsi="Arial" w:cs="Arial"/>
          <w:sz w:val="20"/>
          <w:szCs w:val="20"/>
        </w:rPr>
        <w:t xml:space="preserve">.  Subsection 9(1) of the </w:t>
      </w:r>
      <w:r w:rsidRPr="00F6193C">
        <w:rPr>
          <w:rFonts w:ascii="Arial" w:hAnsi="Arial" w:cs="Arial"/>
          <w:i/>
          <w:sz w:val="20"/>
          <w:szCs w:val="20"/>
        </w:rPr>
        <w:t>Human Rights (Parliamentary Scrutiny) Act 2011</w:t>
      </w:r>
      <w:r w:rsidRPr="00F6193C">
        <w:rPr>
          <w:rFonts w:ascii="Arial" w:hAnsi="Arial" w:cs="Arial"/>
          <w:sz w:val="20"/>
          <w:szCs w:val="20"/>
        </w:rPr>
        <w:t xml:space="preserve"> requires the rule</w:t>
      </w:r>
      <w:r w:rsidRPr="00F6193C">
        <w:rPr>
          <w:rFonts w:ascii="MS Gothic" w:eastAsia="MS Gothic" w:hAnsi="MS Gothic" w:cs="MS Gothic"/>
          <w:sz w:val="20"/>
          <w:szCs w:val="20"/>
        </w:rPr>
        <w:t>‑</w:t>
      </w:r>
      <w:r w:rsidRPr="00F6193C">
        <w:rPr>
          <w:rFonts w:ascii="Arial" w:hAnsi="Arial" w:cs="Arial"/>
          <w:sz w:val="20"/>
          <w:szCs w:val="20"/>
        </w:rPr>
        <w:t xml:space="preserve">maker in relation to a legislative instrument to which section 42 (disallowance) of the </w:t>
      </w:r>
      <w:r w:rsidRPr="00F6193C">
        <w:rPr>
          <w:rFonts w:ascii="Arial" w:hAnsi="Arial" w:cs="Arial"/>
          <w:i/>
          <w:sz w:val="20"/>
          <w:szCs w:val="20"/>
        </w:rPr>
        <w:t>Legislative Instruments Act 2003</w:t>
      </w:r>
      <w:r w:rsidRPr="00F6193C">
        <w:rPr>
          <w:rFonts w:ascii="Arial" w:hAnsi="Arial" w:cs="Arial"/>
          <w:sz w:val="20"/>
          <w:szCs w:val="20"/>
        </w:rPr>
        <w:t xml:space="preserve"> applies, to cause a statement of compatibility</w:t>
      </w:r>
      <w:r w:rsidR="00FF7779">
        <w:rPr>
          <w:rFonts w:ascii="Arial" w:hAnsi="Arial" w:cs="Arial"/>
          <w:sz w:val="20"/>
          <w:szCs w:val="20"/>
        </w:rPr>
        <w:t xml:space="preserve"> with human rights</w:t>
      </w:r>
      <w:r w:rsidRPr="00F6193C">
        <w:rPr>
          <w:rFonts w:ascii="Arial" w:hAnsi="Arial" w:cs="Arial"/>
          <w:sz w:val="20"/>
          <w:szCs w:val="20"/>
        </w:rPr>
        <w:t xml:space="preserve"> to be prepared in respect of that legislative instrument.</w:t>
      </w:r>
    </w:p>
    <w:p w14:paraId="4FDF718E" w14:textId="77777777" w:rsidR="007D356D" w:rsidRPr="00F6193C" w:rsidRDefault="007D356D" w:rsidP="00F6193C">
      <w:pPr>
        <w:spacing w:after="0" w:line="240" w:lineRule="auto"/>
        <w:rPr>
          <w:rFonts w:ascii="Arial" w:hAnsi="Arial" w:cs="Arial"/>
          <w:sz w:val="20"/>
          <w:szCs w:val="20"/>
        </w:rPr>
      </w:pPr>
    </w:p>
    <w:p w14:paraId="4A144547" w14:textId="77777777" w:rsidR="007D356D" w:rsidRPr="00F6193C" w:rsidRDefault="007D356D" w:rsidP="00F6193C">
      <w:pPr>
        <w:spacing w:after="0" w:line="240" w:lineRule="auto"/>
        <w:rPr>
          <w:rFonts w:ascii="Arial" w:hAnsi="Arial" w:cs="Arial"/>
          <w:sz w:val="20"/>
          <w:szCs w:val="20"/>
        </w:rPr>
      </w:pPr>
      <w:r w:rsidRPr="00F6193C">
        <w:rPr>
          <w:rFonts w:ascii="Arial" w:hAnsi="Arial" w:cs="Arial"/>
          <w:sz w:val="20"/>
          <w:szCs w:val="20"/>
        </w:rPr>
        <w:t xml:space="preserve">The Amendment Determination is a legislative instrument that is subject to disallowance under section 42 of the </w:t>
      </w:r>
      <w:r w:rsidRPr="00F6193C">
        <w:rPr>
          <w:rFonts w:ascii="Arial" w:hAnsi="Arial" w:cs="Arial"/>
          <w:i/>
          <w:sz w:val="20"/>
          <w:szCs w:val="20"/>
        </w:rPr>
        <w:t>Legislative Instruments Act 2003</w:t>
      </w:r>
      <w:r w:rsidRPr="00F6193C">
        <w:rPr>
          <w:rFonts w:ascii="Arial" w:hAnsi="Arial" w:cs="Arial"/>
          <w:sz w:val="20"/>
          <w:szCs w:val="20"/>
        </w:rPr>
        <w:t>.</w:t>
      </w:r>
    </w:p>
    <w:p w14:paraId="06B295D4" w14:textId="77777777" w:rsidR="007D356D" w:rsidRPr="00F6193C" w:rsidRDefault="007D356D" w:rsidP="00F6193C">
      <w:pPr>
        <w:spacing w:after="0" w:line="240" w:lineRule="auto"/>
        <w:rPr>
          <w:rFonts w:ascii="Arial" w:hAnsi="Arial" w:cs="Arial"/>
          <w:sz w:val="20"/>
          <w:szCs w:val="20"/>
        </w:rPr>
      </w:pPr>
    </w:p>
    <w:p w14:paraId="0C2AA21D" w14:textId="77777777" w:rsidR="007D356D" w:rsidRPr="00F6193C" w:rsidRDefault="007D356D" w:rsidP="00F6193C">
      <w:pPr>
        <w:spacing w:after="0" w:line="240" w:lineRule="auto"/>
        <w:rPr>
          <w:rFonts w:ascii="Arial" w:hAnsi="Arial" w:cs="Arial"/>
          <w:b/>
          <w:sz w:val="20"/>
          <w:szCs w:val="20"/>
        </w:rPr>
      </w:pPr>
      <w:r w:rsidRPr="00F6193C">
        <w:rPr>
          <w:rFonts w:ascii="Arial" w:hAnsi="Arial" w:cs="Arial"/>
          <w:b/>
          <w:sz w:val="20"/>
          <w:szCs w:val="20"/>
        </w:rPr>
        <w:t>Human Rights Implications</w:t>
      </w:r>
    </w:p>
    <w:p w14:paraId="5A99D992" w14:textId="77777777" w:rsidR="007D356D" w:rsidRPr="00F6193C" w:rsidRDefault="007D356D" w:rsidP="00F6193C">
      <w:pPr>
        <w:spacing w:after="0" w:line="240" w:lineRule="auto"/>
        <w:rPr>
          <w:rFonts w:ascii="Arial" w:hAnsi="Arial" w:cs="Arial"/>
          <w:sz w:val="20"/>
          <w:szCs w:val="20"/>
        </w:rPr>
      </w:pPr>
    </w:p>
    <w:p w14:paraId="5B3CA83A" w14:textId="77777777" w:rsidR="007D356D" w:rsidRPr="00F6193C" w:rsidRDefault="007D356D" w:rsidP="00F6193C">
      <w:pPr>
        <w:spacing w:after="0" w:line="240" w:lineRule="auto"/>
        <w:rPr>
          <w:rFonts w:ascii="Arial" w:hAnsi="Arial" w:cs="Arial"/>
          <w:sz w:val="20"/>
          <w:szCs w:val="20"/>
        </w:rPr>
      </w:pPr>
      <w:r w:rsidRPr="00F6193C">
        <w:rPr>
          <w:rFonts w:ascii="Arial" w:hAnsi="Arial" w:cs="Arial"/>
          <w:sz w:val="20"/>
          <w:szCs w:val="20"/>
        </w:rPr>
        <w:t>The Amendment Determination does not engage any of the applicable rights or freedoms.</w:t>
      </w:r>
    </w:p>
    <w:p w14:paraId="410EB261" w14:textId="77777777" w:rsidR="007D356D" w:rsidRPr="00F6193C" w:rsidRDefault="007D356D" w:rsidP="00F6193C">
      <w:pPr>
        <w:spacing w:after="0" w:line="240" w:lineRule="auto"/>
        <w:rPr>
          <w:rFonts w:ascii="Arial" w:hAnsi="Arial" w:cs="Arial"/>
          <w:sz w:val="20"/>
          <w:szCs w:val="20"/>
        </w:rPr>
      </w:pPr>
    </w:p>
    <w:p w14:paraId="6BDE0FFF" w14:textId="07D8DF20" w:rsidR="007D356D" w:rsidRPr="00F6193C" w:rsidRDefault="007D356D" w:rsidP="00F6193C">
      <w:pPr>
        <w:spacing w:after="0" w:line="240" w:lineRule="auto"/>
        <w:rPr>
          <w:rFonts w:ascii="Arial" w:hAnsi="Arial" w:cs="Arial"/>
          <w:b/>
          <w:sz w:val="20"/>
          <w:szCs w:val="20"/>
        </w:rPr>
      </w:pPr>
      <w:r w:rsidRPr="00F6193C">
        <w:rPr>
          <w:rFonts w:ascii="Arial" w:hAnsi="Arial" w:cs="Arial"/>
          <w:b/>
          <w:sz w:val="20"/>
          <w:szCs w:val="20"/>
        </w:rPr>
        <w:t>Conclusion</w:t>
      </w:r>
    </w:p>
    <w:p w14:paraId="4118A4E5" w14:textId="77777777" w:rsidR="007D356D" w:rsidRPr="00F6193C" w:rsidRDefault="007D356D" w:rsidP="00F6193C">
      <w:pPr>
        <w:spacing w:after="0" w:line="240" w:lineRule="auto"/>
        <w:rPr>
          <w:rFonts w:ascii="Arial" w:hAnsi="Arial" w:cs="Arial"/>
          <w:sz w:val="20"/>
          <w:szCs w:val="20"/>
        </w:rPr>
      </w:pPr>
    </w:p>
    <w:p w14:paraId="697AB763" w14:textId="77777777" w:rsidR="007D356D" w:rsidRPr="00F6193C" w:rsidRDefault="007D356D" w:rsidP="00F6193C">
      <w:pPr>
        <w:spacing w:after="0" w:line="240" w:lineRule="auto"/>
        <w:rPr>
          <w:rFonts w:ascii="Arial" w:hAnsi="Arial" w:cs="Arial"/>
          <w:sz w:val="20"/>
          <w:szCs w:val="20"/>
        </w:rPr>
      </w:pPr>
      <w:r w:rsidRPr="00F6193C">
        <w:rPr>
          <w:rFonts w:ascii="Arial" w:hAnsi="Arial" w:cs="Arial"/>
          <w:sz w:val="20"/>
          <w:szCs w:val="20"/>
        </w:rPr>
        <w:t xml:space="preserve">The Amendment Determination is compatible with human </w:t>
      </w:r>
      <w:proofErr w:type="gramStart"/>
      <w:r w:rsidRPr="00F6193C">
        <w:rPr>
          <w:rFonts w:ascii="Arial" w:hAnsi="Arial" w:cs="Arial"/>
          <w:sz w:val="20"/>
          <w:szCs w:val="20"/>
        </w:rPr>
        <w:t>rights</w:t>
      </w:r>
      <w:proofErr w:type="gramEnd"/>
      <w:r w:rsidRPr="00F6193C">
        <w:rPr>
          <w:rFonts w:ascii="Arial" w:hAnsi="Arial" w:cs="Arial"/>
          <w:sz w:val="20"/>
          <w:szCs w:val="20"/>
        </w:rPr>
        <w:t xml:space="preserve"> as it does not raise any human rights issues.</w:t>
      </w:r>
    </w:p>
    <w:p w14:paraId="670CC9A2" w14:textId="77777777" w:rsidR="0026514F" w:rsidRPr="00C25DCD" w:rsidRDefault="0026514F" w:rsidP="00F6193C">
      <w:pPr>
        <w:spacing w:after="0" w:line="240" w:lineRule="auto"/>
        <w:rPr>
          <w:sz w:val="20"/>
          <w:szCs w:val="20"/>
        </w:rPr>
      </w:pPr>
    </w:p>
    <w:p w14:paraId="713EB794" w14:textId="77777777" w:rsidR="00AE5602" w:rsidRPr="00C25DCD" w:rsidRDefault="00AE5602">
      <w:pPr>
        <w:spacing w:before="100" w:beforeAutospacing="1" w:after="120" w:line="240" w:lineRule="auto"/>
        <w:rPr>
          <w:sz w:val="20"/>
          <w:szCs w:val="20"/>
        </w:rPr>
      </w:pPr>
    </w:p>
    <w:sectPr w:rsidR="00AE5602" w:rsidRPr="00C25DCD" w:rsidSect="00E56C63">
      <w:headerReference w:type="default" r:id="rId16"/>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23674" w14:textId="77777777" w:rsidR="001A1833" w:rsidRDefault="001A1833" w:rsidP="00FF7779">
      <w:pPr>
        <w:spacing w:after="0" w:line="240" w:lineRule="auto"/>
      </w:pPr>
      <w:r>
        <w:separator/>
      </w:r>
    </w:p>
  </w:endnote>
  <w:endnote w:type="continuationSeparator" w:id="0">
    <w:p w14:paraId="36A862E5" w14:textId="77777777" w:rsidR="001A1833" w:rsidRDefault="001A1833" w:rsidP="00FF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491B9" w14:textId="77777777" w:rsidR="001A1833" w:rsidRDefault="001A1833" w:rsidP="00FF7779">
      <w:pPr>
        <w:spacing w:after="0" w:line="240" w:lineRule="auto"/>
      </w:pPr>
      <w:r>
        <w:separator/>
      </w:r>
    </w:p>
  </w:footnote>
  <w:footnote w:type="continuationSeparator" w:id="0">
    <w:p w14:paraId="34B39EB2" w14:textId="77777777" w:rsidR="001A1833" w:rsidRDefault="001A1833" w:rsidP="00FF7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425071"/>
      <w:docPartObj>
        <w:docPartGallery w:val="Page Numbers (Top of Page)"/>
        <w:docPartUnique/>
      </w:docPartObj>
    </w:sdtPr>
    <w:sdtEndPr>
      <w:rPr>
        <w:noProof/>
      </w:rPr>
    </w:sdtEndPr>
    <w:sdtContent>
      <w:p w14:paraId="397A1842" w14:textId="7DA4A07C" w:rsidR="00FF7779" w:rsidRDefault="00FF7779">
        <w:pPr>
          <w:pStyle w:val="Header"/>
          <w:jc w:val="center"/>
        </w:pPr>
        <w:r>
          <w:fldChar w:fldCharType="begin"/>
        </w:r>
        <w:r>
          <w:instrText xml:space="preserve"> PAGE   \* MERGEFORMAT </w:instrText>
        </w:r>
        <w:r>
          <w:fldChar w:fldCharType="separate"/>
        </w:r>
        <w:r w:rsidR="00E56C63">
          <w:rPr>
            <w:noProof/>
          </w:rPr>
          <w:t>2</w:t>
        </w:r>
        <w:r>
          <w:rPr>
            <w:noProof/>
          </w:rPr>
          <w:fldChar w:fldCharType="end"/>
        </w:r>
      </w:p>
    </w:sdtContent>
  </w:sdt>
  <w:p w14:paraId="00EAE458" w14:textId="77777777" w:rsidR="00FF7779" w:rsidRDefault="00FF7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31247"/>
    <w:multiLevelType w:val="hybridMultilevel"/>
    <w:tmpl w:val="A7607FC6"/>
    <w:lvl w:ilvl="0" w:tplc="857C6AD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E3"/>
    <w:rsid w:val="00003659"/>
    <w:rsid w:val="000162AF"/>
    <w:rsid w:val="00022677"/>
    <w:rsid w:val="00022D5C"/>
    <w:rsid w:val="0003449A"/>
    <w:rsid w:val="00050570"/>
    <w:rsid w:val="00071903"/>
    <w:rsid w:val="000B6FA2"/>
    <w:rsid w:val="000F69D9"/>
    <w:rsid w:val="0011588D"/>
    <w:rsid w:val="00123380"/>
    <w:rsid w:val="00123638"/>
    <w:rsid w:val="001236CF"/>
    <w:rsid w:val="001758BF"/>
    <w:rsid w:val="001A1833"/>
    <w:rsid w:val="001B47E7"/>
    <w:rsid w:val="001F2AD8"/>
    <w:rsid w:val="00222A85"/>
    <w:rsid w:val="00227C44"/>
    <w:rsid w:val="00243529"/>
    <w:rsid w:val="00251547"/>
    <w:rsid w:val="00255E26"/>
    <w:rsid w:val="0026501C"/>
    <w:rsid w:val="0026514F"/>
    <w:rsid w:val="002659F3"/>
    <w:rsid w:val="002A0F46"/>
    <w:rsid w:val="002D29A4"/>
    <w:rsid w:val="002E5E84"/>
    <w:rsid w:val="003171E5"/>
    <w:rsid w:val="00327ADF"/>
    <w:rsid w:val="00331A72"/>
    <w:rsid w:val="00332640"/>
    <w:rsid w:val="003B1AFB"/>
    <w:rsid w:val="003D0D41"/>
    <w:rsid w:val="003E052F"/>
    <w:rsid w:val="003E6F3E"/>
    <w:rsid w:val="004C59F5"/>
    <w:rsid w:val="004C74A8"/>
    <w:rsid w:val="004E69A9"/>
    <w:rsid w:val="00505F88"/>
    <w:rsid w:val="005646C2"/>
    <w:rsid w:val="00564EBA"/>
    <w:rsid w:val="00572E35"/>
    <w:rsid w:val="005C341D"/>
    <w:rsid w:val="005E656A"/>
    <w:rsid w:val="005E75F4"/>
    <w:rsid w:val="005F4A9D"/>
    <w:rsid w:val="005F5527"/>
    <w:rsid w:val="00623830"/>
    <w:rsid w:val="00625106"/>
    <w:rsid w:val="00641A23"/>
    <w:rsid w:val="006605A7"/>
    <w:rsid w:val="006637D2"/>
    <w:rsid w:val="00697A1A"/>
    <w:rsid w:val="00735983"/>
    <w:rsid w:val="007404DE"/>
    <w:rsid w:val="00773E4C"/>
    <w:rsid w:val="00780FD4"/>
    <w:rsid w:val="007827B5"/>
    <w:rsid w:val="00792304"/>
    <w:rsid w:val="007958FA"/>
    <w:rsid w:val="007A19B0"/>
    <w:rsid w:val="007A1F3E"/>
    <w:rsid w:val="007B4FAC"/>
    <w:rsid w:val="007B75F2"/>
    <w:rsid w:val="007C7030"/>
    <w:rsid w:val="007D356D"/>
    <w:rsid w:val="007F1B8A"/>
    <w:rsid w:val="00802CD8"/>
    <w:rsid w:val="0080526C"/>
    <w:rsid w:val="00805C94"/>
    <w:rsid w:val="008159F7"/>
    <w:rsid w:val="008162FE"/>
    <w:rsid w:val="008738EB"/>
    <w:rsid w:val="008A2782"/>
    <w:rsid w:val="008A27D8"/>
    <w:rsid w:val="008C1608"/>
    <w:rsid w:val="008D6CA8"/>
    <w:rsid w:val="00905771"/>
    <w:rsid w:val="009538E8"/>
    <w:rsid w:val="009540DF"/>
    <w:rsid w:val="00957759"/>
    <w:rsid w:val="009A591E"/>
    <w:rsid w:val="009C2014"/>
    <w:rsid w:val="009D413F"/>
    <w:rsid w:val="009E18DA"/>
    <w:rsid w:val="009E29E8"/>
    <w:rsid w:val="00A911FF"/>
    <w:rsid w:val="00A9435F"/>
    <w:rsid w:val="00AB1213"/>
    <w:rsid w:val="00AB29C9"/>
    <w:rsid w:val="00AE5602"/>
    <w:rsid w:val="00AF227F"/>
    <w:rsid w:val="00B06275"/>
    <w:rsid w:val="00B15EDA"/>
    <w:rsid w:val="00B226E0"/>
    <w:rsid w:val="00B2768B"/>
    <w:rsid w:val="00B42748"/>
    <w:rsid w:val="00B46BD2"/>
    <w:rsid w:val="00B52D3D"/>
    <w:rsid w:val="00B61040"/>
    <w:rsid w:val="00B61D96"/>
    <w:rsid w:val="00B76C6E"/>
    <w:rsid w:val="00B8040E"/>
    <w:rsid w:val="00B91417"/>
    <w:rsid w:val="00BD5349"/>
    <w:rsid w:val="00BF4131"/>
    <w:rsid w:val="00C17BD4"/>
    <w:rsid w:val="00C242E3"/>
    <w:rsid w:val="00C25DCD"/>
    <w:rsid w:val="00C31CCC"/>
    <w:rsid w:val="00C338B9"/>
    <w:rsid w:val="00C432E9"/>
    <w:rsid w:val="00C62C93"/>
    <w:rsid w:val="00C80325"/>
    <w:rsid w:val="00C84887"/>
    <w:rsid w:val="00CE24E9"/>
    <w:rsid w:val="00D86BD3"/>
    <w:rsid w:val="00D919D9"/>
    <w:rsid w:val="00DB0EC9"/>
    <w:rsid w:val="00DD459E"/>
    <w:rsid w:val="00E06DC3"/>
    <w:rsid w:val="00E20D0C"/>
    <w:rsid w:val="00E447B8"/>
    <w:rsid w:val="00E56C63"/>
    <w:rsid w:val="00EB44F8"/>
    <w:rsid w:val="00EF6AB3"/>
    <w:rsid w:val="00F1216D"/>
    <w:rsid w:val="00F356C0"/>
    <w:rsid w:val="00F45C97"/>
    <w:rsid w:val="00F6193C"/>
    <w:rsid w:val="00F6464C"/>
    <w:rsid w:val="00F84DBF"/>
    <w:rsid w:val="00F968E8"/>
    <w:rsid w:val="00FE0D9F"/>
    <w:rsid w:val="00FF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B768"/>
  <w15:docId w15:val="{84F5E60E-2056-425A-836F-C5267519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242E3"/>
    <w:rPr>
      <w:color w:val="0000FF"/>
      <w:u w:val="single"/>
    </w:rPr>
  </w:style>
  <w:style w:type="paragraph" w:customStyle="1" w:styleId="definition">
    <w:name w:val="definition"/>
    <w:basedOn w:val="Normal"/>
    <w:rsid w:val="00C24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Normal"/>
    <w:uiPriority w:val="99"/>
    <w:semiHidden/>
    <w:unhideWhenUsed/>
    <w:rsid w:val="00C24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24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C24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C24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C24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E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F3E"/>
    <w:rPr>
      <w:rFonts w:ascii="Tahoma" w:hAnsi="Tahoma" w:cs="Tahoma"/>
      <w:sz w:val="16"/>
      <w:szCs w:val="16"/>
    </w:rPr>
  </w:style>
  <w:style w:type="character" w:styleId="CommentReference">
    <w:name w:val="annotation reference"/>
    <w:basedOn w:val="DefaultParagraphFont"/>
    <w:uiPriority w:val="99"/>
    <w:semiHidden/>
    <w:unhideWhenUsed/>
    <w:rsid w:val="00E20D0C"/>
    <w:rPr>
      <w:sz w:val="16"/>
      <w:szCs w:val="16"/>
    </w:rPr>
  </w:style>
  <w:style w:type="paragraph" w:styleId="CommentText">
    <w:name w:val="annotation text"/>
    <w:basedOn w:val="Normal"/>
    <w:link w:val="CommentTextChar"/>
    <w:uiPriority w:val="99"/>
    <w:semiHidden/>
    <w:unhideWhenUsed/>
    <w:rsid w:val="00E20D0C"/>
    <w:pPr>
      <w:spacing w:line="240" w:lineRule="auto"/>
    </w:pPr>
    <w:rPr>
      <w:sz w:val="20"/>
      <w:szCs w:val="20"/>
    </w:rPr>
  </w:style>
  <w:style w:type="character" w:customStyle="1" w:styleId="CommentTextChar">
    <w:name w:val="Comment Text Char"/>
    <w:basedOn w:val="DefaultParagraphFont"/>
    <w:link w:val="CommentText"/>
    <w:uiPriority w:val="99"/>
    <w:semiHidden/>
    <w:rsid w:val="00E20D0C"/>
    <w:rPr>
      <w:sz w:val="20"/>
      <w:szCs w:val="20"/>
    </w:rPr>
  </w:style>
  <w:style w:type="paragraph" w:styleId="CommentSubject">
    <w:name w:val="annotation subject"/>
    <w:basedOn w:val="CommentText"/>
    <w:next w:val="CommentText"/>
    <w:link w:val="CommentSubjectChar"/>
    <w:uiPriority w:val="99"/>
    <w:semiHidden/>
    <w:unhideWhenUsed/>
    <w:rsid w:val="00E20D0C"/>
    <w:rPr>
      <w:b/>
      <w:bCs/>
    </w:rPr>
  </w:style>
  <w:style w:type="character" w:customStyle="1" w:styleId="CommentSubjectChar">
    <w:name w:val="Comment Subject Char"/>
    <w:basedOn w:val="CommentTextChar"/>
    <w:link w:val="CommentSubject"/>
    <w:uiPriority w:val="99"/>
    <w:semiHidden/>
    <w:rsid w:val="00E20D0C"/>
    <w:rPr>
      <w:b/>
      <w:bCs/>
      <w:sz w:val="20"/>
      <w:szCs w:val="20"/>
    </w:rPr>
  </w:style>
  <w:style w:type="paragraph" w:customStyle="1" w:styleId="ACMABodyText">
    <w:name w:val="ACMA Body Text"/>
    <w:link w:val="ACMABodyTextChar"/>
    <w:rsid w:val="002D29A4"/>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2D29A4"/>
    <w:rPr>
      <w:rFonts w:ascii="Times New Roman" w:eastAsia="Times New Roman" w:hAnsi="Times New Roman" w:cs="Times New Roman"/>
      <w:snapToGrid w:val="0"/>
      <w:sz w:val="24"/>
      <w:szCs w:val="20"/>
    </w:rPr>
  </w:style>
  <w:style w:type="paragraph" w:styleId="Revision">
    <w:name w:val="Revision"/>
    <w:hidden/>
    <w:uiPriority w:val="99"/>
    <w:semiHidden/>
    <w:rsid w:val="009E29E8"/>
    <w:pPr>
      <w:spacing w:after="0" w:line="240" w:lineRule="auto"/>
    </w:pPr>
  </w:style>
  <w:style w:type="paragraph" w:styleId="Header">
    <w:name w:val="header"/>
    <w:basedOn w:val="Normal"/>
    <w:link w:val="HeaderChar"/>
    <w:uiPriority w:val="99"/>
    <w:unhideWhenUsed/>
    <w:rsid w:val="00FF7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779"/>
  </w:style>
  <w:style w:type="paragraph" w:styleId="Footer">
    <w:name w:val="footer"/>
    <w:basedOn w:val="Normal"/>
    <w:link w:val="FooterChar"/>
    <w:uiPriority w:val="99"/>
    <w:unhideWhenUsed/>
    <w:rsid w:val="00FF7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5384">
      <w:bodyDiv w:val="1"/>
      <w:marLeft w:val="0"/>
      <w:marRight w:val="0"/>
      <w:marTop w:val="0"/>
      <w:marBottom w:val="0"/>
      <w:divBdr>
        <w:top w:val="none" w:sz="0" w:space="0" w:color="auto"/>
        <w:left w:val="none" w:sz="0" w:space="0" w:color="auto"/>
        <w:bottom w:val="none" w:sz="0" w:space="0" w:color="auto"/>
        <w:right w:val="none" w:sz="0" w:space="0" w:color="auto"/>
      </w:divBdr>
      <w:divsChild>
        <w:div w:id="1295868088">
          <w:marLeft w:val="0"/>
          <w:marRight w:val="0"/>
          <w:marTop w:val="0"/>
          <w:marBottom w:val="0"/>
          <w:divBdr>
            <w:top w:val="none" w:sz="0" w:space="0" w:color="auto"/>
            <w:left w:val="none" w:sz="0" w:space="0" w:color="auto"/>
            <w:bottom w:val="none" w:sz="0" w:space="0" w:color="auto"/>
            <w:right w:val="none" w:sz="0" w:space="0" w:color="auto"/>
          </w:divBdr>
          <w:divsChild>
            <w:div w:id="1759904113">
              <w:marLeft w:val="0"/>
              <w:marRight w:val="0"/>
              <w:marTop w:val="0"/>
              <w:marBottom w:val="0"/>
              <w:divBdr>
                <w:top w:val="none" w:sz="0" w:space="0" w:color="auto"/>
                <w:left w:val="none" w:sz="0" w:space="0" w:color="auto"/>
                <w:bottom w:val="none" w:sz="0" w:space="0" w:color="auto"/>
                <w:right w:val="none" w:sz="0" w:space="0" w:color="auto"/>
              </w:divBdr>
              <w:divsChild>
                <w:div w:id="119081874">
                  <w:marLeft w:val="0"/>
                  <w:marRight w:val="0"/>
                  <w:marTop w:val="0"/>
                  <w:marBottom w:val="0"/>
                  <w:divBdr>
                    <w:top w:val="none" w:sz="0" w:space="0" w:color="auto"/>
                    <w:left w:val="none" w:sz="0" w:space="0" w:color="auto"/>
                    <w:bottom w:val="none" w:sz="0" w:space="0" w:color="auto"/>
                    <w:right w:val="none" w:sz="0" w:space="0" w:color="auto"/>
                  </w:divBdr>
                  <w:divsChild>
                    <w:div w:id="1169833154">
                      <w:marLeft w:val="0"/>
                      <w:marRight w:val="0"/>
                      <w:marTop w:val="0"/>
                      <w:marBottom w:val="0"/>
                      <w:divBdr>
                        <w:top w:val="none" w:sz="0" w:space="0" w:color="auto"/>
                        <w:left w:val="none" w:sz="0" w:space="0" w:color="auto"/>
                        <w:bottom w:val="none" w:sz="0" w:space="0" w:color="auto"/>
                        <w:right w:val="none" w:sz="0" w:space="0" w:color="auto"/>
                      </w:divBdr>
                      <w:divsChild>
                        <w:div w:id="404685049">
                          <w:marLeft w:val="0"/>
                          <w:marRight w:val="0"/>
                          <w:marTop w:val="0"/>
                          <w:marBottom w:val="0"/>
                          <w:divBdr>
                            <w:top w:val="single" w:sz="6" w:space="0" w:color="828282"/>
                            <w:left w:val="single" w:sz="6" w:space="0" w:color="828282"/>
                            <w:bottom w:val="single" w:sz="6" w:space="0" w:color="828282"/>
                            <w:right w:val="single" w:sz="6" w:space="0" w:color="828282"/>
                          </w:divBdr>
                          <w:divsChild>
                            <w:div w:id="229198437">
                              <w:marLeft w:val="0"/>
                              <w:marRight w:val="0"/>
                              <w:marTop w:val="0"/>
                              <w:marBottom w:val="0"/>
                              <w:divBdr>
                                <w:top w:val="none" w:sz="0" w:space="0" w:color="auto"/>
                                <w:left w:val="none" w:sz="0" w:space="0" w:color="auto"/>
                                <w:bottom w:val="none" w:sz="0" w:space="0" w:color="auto"/>
                                <w:right w:val="none" w:sz="0" w:space="0" w:color="auto"/>
                              </w:divBdr>
                              <w:divsChild>
                                <w:div w:id="534467720">
                                  <w:marLeft w:val="0"/>
                                  <w:marRight w:val="0"/>
                                  <w:marTop w:val="0"/>
                                  <w:marBottom w:val="0"/>
                                  <w:divBdr>
                                    <w:top w:val="none" w:sz="0" w:space="0" w:color="auto"/>
                                    <w:left w:val="none" w:sz="0" w:space="0" w:color="auto"/>
                                    <w:bottom w:val="none" w:sz="0" w:space="0" w:color="auto"/>
                                    <w:right w:val="none" w:sz="0" w:space="0" w:color="auto"/>
                                  </w:divBdr>
                                  <w:divsChild>
                                    <w:div w:id="1721050399">
                                      <w:marLeft w:val="0"/>
                                      <w:marRight w:val="0"/>
                                      <w:marTop w:val="0"/>
                                      <w:marBottom w:val="0"/>
                                      <w:divBdr>
                                        <w:top w:val="none" w:sz="0" w:space="0" w:color="auto"/>
                                        <w:left w:val="none" w:sz="0" w:space="0" w:color="auto"/>
                                        <w:bottom w:val="none" w:sz="0" w:space="0" w:color="auto"/>
                                        <w:right w:val="none" w:sz="0" w:space="0" w:color="auto"/>
                                      </w:divBdr>
                                      <w:divsChild>
                                        <w:div w:id="783505130">
                                          <w:marLeft w:val="0"/>
                                          <w:marRight w:val="0"/>
                                          <w:marTop w:val="0"/>
                                          <w:marBottom w:val="0"/>
                                          <w:divBdr>
                                            <w:top w:val="none" w:sz="0" w:space="0" w:color="auto"/>
                                            <w:left w:val="none" w:sz="0" w:space="0" w:color="auto"/>
                                            <w:bottom w:val="none" w:sz="0" w:space="0" w:color="auto"/>
                                            <w:right w:val="none" w:sz="0" w:space="0" w:color="auto"/>
                                          </w:divBdr>
                                          <w:divsChild>
                                            <w:div w:id="524173938">
                                              <w:marLeft w:val="0"/>
                                              <w:marRight w:val="0"/>
                                              <w:marTop w:val="0"/>
                                              <w:marBottom w:val="0"/>
                                              <w:divBdr>
                                                <w:top w:val="none" w:sz="0" w:space="0" w:color="auto"/>
                                                <w:left w:val="none" w:sz="0" w:space="0" w:color="auto"/>
                                                <w:bottom w:val="none" w:sz="0" w:space="0" w:color="auto"/>
                                                <w:right w:val="none" w:sz="0" w:space="0" w:color="auto"/>
                                              </w:divBdr>
                                              <w:divsChild>
                                                <w:div w:id="18707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567422">
      <w:bodyDiv w:val="1"/>
      <w:marLeft w:val="0"/>
      <w:marRight w:val="0"/>
      <w:marTop w:val="0"/>
      <w:marBottom w:val="0"/>
      <w:divBdr>
        <w:top w:val="none" w:sz="0" w:space="0" w:color="auto"/>
        <w:left w:val="none" w:sz="0" w:space="0" w:color="auto"/>
        <w:bottom w:val="none" w:sz="0" w:space="0" w:color="auto"/>
        <w:right w:val="none" w:sz="0" w:space="0" w:color="auto"/>
      </w:divBdr>
      <w:divsChild>
        <w:div w:id="662585613">
          <w:marLeft w:val="0"/>
          <w:marRight w:val="0"/>
          <w:marTop w:val="0"/>
          <w:marBottom w:val="0"/>
          <w:divBdr>
            <w:top w:val="none" w:sz="0" w:space="0" w:color="auto"/>
            <w:left w:val="none" w:sz="0" w:space="0" w:color="auto"/>
            <w:bottom w:val="none" w:sz="0" w:space="0" w:color="auto"/>
            <w:right w:val="none" w:sz="0" w:space="0" w:color="auto"/>
          </w:divBdr>
          <w:divsChild>
            <w:div w:id="2091191418">
              <w:marLeft w:val="0"/>
              <w:marRight w:val="0"/>
              <w:marTop w:val="0"/>
              <w:marBottom w:val="0"/>
              <w:divBdr>
                <w:top w:val="none" w:sz="0" w:space="0" w:color="auto"/>
                <w:left w:val="none" w:sz="0" w:space="0" w:color="auto"/>
                <w:bottom w:val="none" w:sz="0" w:space="0" w:color="auto"/>
                <w:right w:val="none" w:sz="0" w:space="0" w:color="auto"/>
              </w:divBdr>
              <w:divsChild>
                <w:div w:id="1419209068">
                  <w:marLeft w:val="0"/>
                  <w:marRight w:val="0"/>
                  <w:marTop w:val="0"/>
                  <w:marBottom w:val="0"/>
                  <w:divBdr>
                    <w:top w:val="none" w:sz="0" w:space="0" w:color="auto"/>
                    <w:left w:val="none" w:sz="0" w:space="0" w:color="auto"/>
                    <w:bottom w:val="none" w:sz="0" w:space="0" w:color="auto"/>
                    <w:right w:val="none" w:sz="0" w:space="0" w:color="auto"/>
                  </w:divBdr>
                  <w:divsChild>
                    <w:div w:id="716860703">
                      <w:marLeft w:val="0"/>
                      <w:marRight w:val="0"/>
                      <w:marTop w:val="0"/>
                      <w:marBottom w:val="0"/>
                      <w:divBdr>
                        <w:top w:val="none" w:sz="0" w:space="0" w:color="auto"/>
                        <w:left w:val="none" w:sz="0" w:space="0" w:color="auto"/>
                        <w:bottom w:val="none" w:sz="0" w:space="0" w:color="auto"/>
                        <w:right w:val="none" w:sz="0" w:space="0" w:color="auto"/>
                      </w:divBdr>
                      <w:divsChild>
                        <w:div w:id="1966539450">
                          <w:marLeft w:val="0"/>
                          <w:marRight w:val="0"/>
                          <w:marTop w:val="0"/>
                          <w:marBottom w:val="0"/>
                          <w:divBdr>
                            <w:top w:val="single" w:sz="6" w:space="0" w:color="828282"/>
                            <w:left w:val="single" w:sz="6" w:space="0" w:color="828282"/>
                            <w:bottom w:val="single" w:sz="6" w:space="0" w:color="828282"/>
                            <w:right w:val="single" w:sz="6" w:space="0" w:color="828282"/>
                          </w:divBdr>
                          <w:divsChild>
                            <w:div w:id="1044863065">
                              <w:marLeft w:val="0"/>
                              <w:marRight w:val="0"/>
                              <w:marTop w:val="0"/>
                              <w:marBottom w:val="0"/>
                              <w:divBdr>
                                <w:top w:val="none" w:sz="0" w:space="0" w:color="auto"/>
                                <w:left w:val="none" w:sz="0" w:space="0" w:color="auto"/>
                                <w:bottom w:val="none" w:sz="0" w:space="0" w:color="auto"/>
                                <w:right w:val="none" w:sz="0" w:space="0" w:color="auto"/>
                              </w:divBdr>
                              <w:divsChild>
                                <w:div w:id="279192840">
                                  <w:marLeft w:val="0"/>
                                  <w:marRight w:val="0"/>
                                  <w:marTop w:val="0"/>
                                  <w:marBottom w:val="0"/>
                                  <w:divBdr>
                                    <w:top w:val="none" w:sz="0" w:space="0" w:color="auto"/>
                                    <w:left w:val="none" w:sz="0" w:space="0" w:color="auto"/>
                                    <w:bottom w:val="none" w:sz="0" w:space="0" w:color="auto"/>
                                    <w:right w:val="none" w:sz="0" w:space="0" w:color="auto"/>
                                  </w:divBdr>
                                  <w:divsChild>
                                    <w:div w:id="153836931">
                                      <w:marLeft w:val="0"/>
                                      <w:marRight w:val="0"/>
                                      <w:marTop w:val="0"/>
                                      <w:marBottom w:val="0"/>
                                      <w:divBdr>
                                        <w:top w:val="none" w:sz="0" w:space="0" w:color="auto"/>
                                        <w:left w:val="none" w:sz="0" w:space="0" w:color="auto"/>
                                        <w:bottom w:val="none" w:sz="0" w:space="0" w:color="auto"/>
                                        <w:right w:val="none" w:sz="0" w:space="0" w:color="auto"/>
                                      </w:divBdr>
                                      <w:divsChild>
                                        <w:div w:id="1699358349">
                                          <w:marLeft w:val="0"/>
                                          <w:marRight w:val="0"/>
                                          <w:marTop w:val="0"/>
                                          <w:marBottom w:val="0"/>
                                          <w:divBdr>
                                            <w:top w:val="none" w:sz="0" w:space="0" w:color="auto"/>
                                            <w:left w:val="none" w:sz="0" w:space="0" w:color="auto"/>
                                            <w:bottom w:val="none" w:sz="0" w:space="0" w:color="auto"/>
                                            <w:right w:val="none" w:sz="0" w:space="0" w:color="auto"/>
                                          </w:divBdr>
                                          <w:divsChild>
                                            <w:div w:id="444469855">
                                              <w:marLeft w:val="0"/>
                                              <w:marRight w:val="0"/>
                                              <w:marTop w:val="0"/>
                                              <w:marBottom w:val="0"/>
                                              <w:divBdr>
                                                <w:top w:val="none" w:sz="0" w:space="0" w:color="auto"/>
                                                <w:left w:val="none" w:sz="0" w:space="0" w:color="auto"/>
                                                <w:bottom w:val="none" w:sz="0" w:space="0" w:color="auto"/>
                                                <w:right w:val="none" w:sz="0" w:space="0" w:color="auto"/>
                                              </w:divBdr>
                                              <w:divsChild>
                                                <w:div w:id="1332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NUL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cma.gov.a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33047a-93aa-421b-8aef-52cbfb63cf36" ContentTypeId="0x01010070E27D6A746B5B48ADF22C2128054D5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KNAH4PPFC442-3114-423</_dlc_DocId>
    <_dlc_DocIdUrl xmlns="6db8f3c6-01a1-4322-b043-a3b2a190f7a8">
      <Url>http://collaboration/organisation/Auth/Chair/Auth/_layouts/DocIdRedir.aspx?ID=KNAH4PPFC442-3114-423</Url>
      <Description>KNAH4PPFC442-3114-423</Description>
    </_dlc_DocIdUrl>
    <Record_x0020_Number xmlns="83630db1-6fc2-4dfd-b3fe-d61d34e1440c">ER2015/130016</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8ED8C-7D0C-4B77-B9A5-665B7B413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B2914-DE10-494C-AB37-21850F8459C8}">
  <ds:schemaRefs>
    <ds:schemaRef ds:uri="Microsoft.SharePoint.Taxonomy.ContentTypeSync"/>
  </ds:schemaRefs>
</ds:datastoreItem>
</file>

<file path=customXml/itemProps3.xml><?xml version="1.0" encoding="utf-8"?>
<ds:datastoreItem xmlns:ds="http://schemas.openxmlformats.org/officeDocument/2006/customXml" ds:itemID="{8D5BE6B4-45E1-44D8-9A1D-1F7175CD1CC3}">
  <ds:schemaRefs>
    <ds:schemaRef ds:uri="http://schemas.microsoft.com/sharepoint/events"/>
  </ds:schemaRefs>
</ds:datastoreItem>
</file>

<file path=customXml/itemProps4.xml><?xml version="1.0" encoding="utf-8"?>
<ds:datastoreItem xmlns:ds="http://schemas.openxmlformats.org/officeDocument/2006/customXml" ds:itemID="{9262B042-0801-4D2F-8F7F-63DFB3ACFB3C}">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5.xml><?xml version="1.0" encoding="utf-8"?>
<ds:datastoreItem xmlns:ds="http://schemas.openxmlformats.org/officeDocument/2006/customXml" ds:itemID="{5DD6C773-58C0-4D8E-A78F-423F6A65BC0C}">
  <ds:schemaRefs>
    <ds:schemaRef ds:uri="http://schemas.microsoft.com/sharepoint/v3/contenttype/forms"/>
  </ds:schemaRefs>
</ds:datastoreItem>
</file>

<file path=customXml/itemProps6.xml><?xml version="1.0" encoding="utf-8"?>
<ds:datastoreItem xmlns:ds="http://schemas.openxmlformats.org/officeDocument/2006/customXml" ds:itemID="{545EC44B-4CC1-4EAA-AB95-8A420A0B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 Lawler</dc:creator>
  <cp:lastModifiedBy>Stephen A Jones (VIC)</cp:lastModifiedBy>
  <cp:revision>4</cp:revision>
  <cp:lastPrinted>2015-05-15T00:11:00Z</cp:lastPrinted>
  <dcterms:created xsi:type="dcterms:W3CDTF">2015-05-15T01:17:00Z</dcterms:created>
  <dcterms:modified xsi:type="dcterms:W3CDTF">2015-05-18T04:01:00Z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0x01010070E27D6A746B5B48ADF22C2128054D5500EE817EA22CCD994CB2E127746CF12863</vt:lpwstr>
  </property>
  <property fmtid="{D5CDD505-2E9C-101B-9397-08002B2CF9AE}" pid="3" name="_dlc_DocIdItemGuid">
    <vt:lpwstr>f3cd070b-e782-48ce-a5bc-fbfd6daff2e7</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ActiveItemMoved">
    <vt:lpwstr/>
  </property>
  <property fmtid="{D5CDD505-2E9C-101B-9397-08002B2CF9AE}" pid="8" name="RecordPoint_SubmissionCompleted">
    <vt:lpwstr>2015-04-23T16:21:24.3922267+10:00</vt:lpwstr>
  </property>
  <property fmtid="{D5CDD505-2E9C-101B-9397-08002B2CF9AE}" pid="9" name="RecordPoint_ActiveItemUniqueId">
    <vt:lpwstr>{f3cd070b-e782-48ce-a5bc-fbfd6daff2e7}</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