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086F5" w14:textId="77777777" w:rsidR="00E00750" w:rsidRPr="00450FDB" w:rsidRDefault="00E00750" w:rsidP="00E00750">
      <w:pPr>
        <w:pStyle w:val="Title"/>
        <w:rPr>
          <w:lang w:val="en-AU"/>
        </w:rPr>
      </w:pPr>
      <w:bookmarkStart w:id="0" w:name="_GoBack"/>
      <w:bookmarkEnd w:id="0"/>
      <w:r w:rsidRPr="00450FDB">
        <w:rPr>
          <w:lang w:val="en-AU"/>
        </w:rPr>
        <w:t xml:space="preserve">Explanatory Statement </w:t>
      </w:r>
    </w:p>
    <w:p w14:paraId="433086F6" w14:textId="77777777" w:rsidR="00E00750" w:rsidRPr="00840152" w:rsidRDefault="00E00750" w:rsidP="00E00750">
      <w:pPr>
        <w:rPr>
          <w:sz w:val="24"/>
        </w:rPr>
      </w:pPr>
    </w:p>
    <w:p w14:paraId="433086F7" w14:textId="02531A86" w:rsidR="00E00750" w:rsidRPr="00450FDB" w:rsidRDefault="00B4606A" w:rsidP="00E00750">
      <w:pPr>
        <w:pStyle w:val="Heading1"/>
      </w:pPr>
      <w:r w:rsidRPr="00450FDB">
        <w:t>Radiocommunications Act 1992</w:t>
      </w:r>
    </w:p>
    <w:p w14:paraId="433086F8" w14:textId="77777777" w:rsidR="00E00750" w:rsidRPr="00450FDB" w:rsidRDefault="00E00750" w:rsidP="00E00750"/>
    <w:p w14:paraId="433086F9" w14:textId="44797FF0" w:rsidR="00E00750" w:rsidRPr="00450FDB" w:rsidRDefault="00F220B7" w:rsidP="00E00750">
      <w:pPr>
        <w:jc w:val="center"/>
        <w:rPr>
          <w:b/>
          <w:sz w:val="28"/>
          <w:szCs w:val="28"/>
        </w:rPr>
      </w:pPr>
      <w:r w:rsidRPr="00450FDB">
        <w:rPr>
          <w:b/>
          <w:sz w:val="28"/>
          <w:szCs w:val="28"/>
        </w:rPr>
        <w:t>Radiocommunications (Spectrum Re-allocation</w:t>
      </w:r>
      <w:r w:rsidR="00FE1B86" w:rsidRPr="00450FDB">
        <w:rPr>
          <w:b/>
          <w:sz w:val="28"/>
          <w:szCs w:val="28"/>
        </w:rPr>
        <w:t>—Regional 1800 MHz Band</w:t>
      </w:r>
      <w:r w:rsidRPr="00450FDB">
        <w:rPr>
          <w:b/>
          <w:sz w:val="28"/>
          <w:szCs w:val="28"/>
        </w:rPr>
        <w:t>) Declaration 2015</w:t>
      </w:r>
    </w:p>
    <w:p w14:paraId="433086FA" w14:textId="77777777" w:rsidR="00E00750" w:rsidRPr="00450FDB" w:rsidRDefault="00E00750" w:rsidP="00E00750">
      <w:pPr>
        <w:pStyle w:val="BodyText3"/>
        <w:rPr>
          <w:lang w:val="en-AU"/>
        </w:rPr>
      </w:pPr>
    </w:p>
    <w:p w14:paraId="433086FB" w14:textId="77777777" w:rsidR="00E00750" w:rsidRPr="00450FDB" w:rsidRDefault="00E00750" w:rsidP="00E00750">
      <w:pPr>
        <w:pStyle w:val="BodyText3"/>
        <w:rPr>
          <w:lang w:val="en-AU"/>
        </w:rPr>
      </w:pPr>
    </w:p>
    <w:p w14:paraId="433086FC" w14:textId="77777777" w:rsidR="00136308" w:rsidRPr="00FF75D6" w:rsidRDefault="001C1979" w:rsidP="00136308">
      <w:pPr>
        <w:jc w:val="center"/>
        <w:rPr>
          <w:sz w:val="24"/>
          <w:szCs w:val="24"/>
        </w:rPr>
      </w:pPr>
      <w:r w:rsidRPr="00840152">
        <w:rPr>
          <w:sz w:val="24"/>
          <w:szCs w:val="24"/>
        </w:rPr>
        <w:t>Issued by the A</w:t>
      </w:r>
      <w:r w:rsidR="003D6754" w:rsidRPr="00840152">
        <w:rPr>
          <w:sz w:val="24"/>
          <w:szCs w:val="24"/>
        </w:rPr>
        <w:t>uthority of the Minister for Commun</w:t>
      </w:r>
      <w:r w:rsidR="00BB5279" w:rsidRPr="00840152">
        <w:rPr>
          <w:sz w:val="24"/>
          <w:szCs w:val="24"/>
        </w:rPr>
        <w:t>ications</w:t>
      </w:r>
    </w:p>
    <w:p w14:paraId="433086FD" w14:textId="77777777" w:rsidR="00E00750" w:rsidRPr="00450FDB" w:rsidRDefault="00E00750" w:rsidP="00E00750">
      <w:pPr>
        <w:rPr>
          <w:sz w:val="24"/>
        </w:rPr>
      </w:pPr>
    </w:p>
    <w:p w14:paraId="433086FE" w14:textId="751EB2A4" w:rsidR="00E00750" w:rsidRPr="00450FDB" w:rsidRDefault="00FA0468" w:rsidP="00E00750">
      <w:pPr>
        <w:rPr>
          <w:sz w:val="24"/>
          <w:u w:val="single"/>
        </w:rPr>
      </w:pPr>
      <w:r w:rsidRPr="00450FDB">
        <w:rPr>
          <w:sz w:val="24"/>
          <w:u w:val="single"/>
        </w:rPr>
        <w:t>Legislative Authority</w:t>
      </w:r>
    </w:p>
    <w:p w14:paraId="433086FF" w14:textId="77777777" w:rsidR="00E00750" w:rsidRPr="00450FDB" w:rsidRDefault="00E00750" w:rsidP="00E00750">
      <w:pPr>
        <w:rPr>
          <w:sz w:val="24"/>
          <w:szCs w:val="24"/>
        </w:rPr>
      </w:pPr>
    </w:p>
    <w:p w14:paraId="43308700" w14:textId="21411A5F" w:rsidR="00E00750" w:rsidRPr="00450FDB" w:rsidRDefault="00E00750" w:rsidP="00E00750">
      <w:pPr>
        <w:rPr>
          <w:sz w:val="24"/>
          <w:szCs w:val="24"/>
        </w:rPr>
      </w:pPr>
      <w:r w:rsidRPr="00450FDB">
        <w:rPr>
          <w:sz w:val="24"/>
          <w:szCs w:val="24"/>
        </w:rPr>
        <w:t xml:space="preserve">The </w:t>
      </w:r>
      <w:r w:rsidR="00FE1B86" w:rsidRPr="00450FDB">
        <w:rPr>
          <w:i/>
          <w:sz w:val="24"/>
          <w:szCs w:val="24"/>
        </w:rPr>
        <w:t>Radiocommunications (Spectrum Re-allocation—Regional 1800 MHz Band) Declaration 2015</w:t>
      </w:r>
      <w:r w:rsidR="002131AC" w:rsidRPr="00450FDB">
        <w:rPr>
          <w:sz w:val="24"/>
          <w:szCs w:val="24"/>
        </w:rPr>
        <w:t xml:space="preserve"> </w:t>
      </w:r>
      <w:r w:rsidR="001642C6" w:rsidRPr="00450FDB">
        <w:rPr>
          <w:sz w:val="24"/>
          <w:szCs w:val="24"/>
        </w:rPr>
        <w:t>(</w:t>
      </w:r>
      <w:r w:rsidR="00F220B7" w:rsidRPr="00450FDB">
        <w:rPr>
          <w:sz w:val="24"/>
          <w:szCs w:val="24"/>
        </w:rPr>
        <w:t>the Declaration</w:t>
      </w:r>
      <w:r w:rsidR="001642C6" w:rsidRPr="00450FDB">
        <w:rPr>
          <w:sz w:val="24"/>
          <w:szCs w:val="24"/>
        </w:rPr>
        <w:t xml:space="preserve">) </w:t>
      </w:r>
      <w:r w:rsidRPr="00450FDB">
        <w:rPr>
          <w:sz w:val="24"/>
          <w:szCs w:val="24"/>
        </w:rPr>
        <w:t xml:space="preserve">is made by the </w:t>
      </w:r>
      <w:r w:rsidR="00136308" w:rsidRPr="00450FDB">
        <w:rPr>
          <w:sz w:val="24"/>
          <w:szCs w:val="24"/>
        </w:rPr>
        <w:t xml:space="preserve">Minister for </w:t>
      </w:r>
      <w:r w:rsidR="00D54AB9" w:rsidRPr="00450FDB">
        <w:rPr>
          <w:sz w:val="24"/>
          <w:szCs w:val="24"/>
        </w:rPr>
        <w:t>Communications</w:t>
      </w:r>
      <w:r w:rsidR="00F00611" w:rsidRPr="00450FDB">
        <w:rPr>
          <w:sz w:val="24"/>
          <w:szCs w:val="24"/>
        </w:rPr>
        <w:t xml:space="preserve"> </w:t>
      </w:r>
      <w:r w:rsidRPr="00450FDB">
        <w:rPr>
          <w:sz w:val="24"/>
          <w:szCs w:val="24"/>
        </w:rPr>
        <w:t xml:space="preserve">under </w:t>
      </w:r>
      <w:r w:rsidR="00F220B7" w:rsidRPr="00450FDB">
        <w:rPr>
          <w:sz w:val="24"/>
          <w:szCs w:val="24"/>
        </w:rPr>
        <w:t xml:space="preserve">subsection 153B(1) </w:t>
      </w:r>
      <w:r w:rsidRPr="00450FDB">
        <w:rPr>
          <w:sz w:val="24"/>
          <w:szCs w:val="24"/>
        </w:rPr>
        <w:t xml:space="preserve">of the </w:t>
      </w:r>
      <w:r w:rsidR="00F220B7" w:rsidRPr="00450FDB">
        <w:rPr>
          <w:i/>
          <w:sz w:val="24"/>
          <w:szCs w:val="24"/>
        </w:rPr>
        <w:t>Radiocommunications Act 1992</w:t>
      </w:r>
      <w:r w:rsidR="00F220B7" w:rsidRPr="00450FDB">
        <w:rPr>
          <w:sz w:val="24"/>
          <w:szCs w:val="24"/>
        </w:rPr>
        <w:t xml:space="preserve"> (the Act) having regard to a recommendation made by the Australian Communications and Media Authority (ACMA) under subsection 153F(1) of </w:t>
      </w:r>
      <w:r w:rsidR="00885DD4" w:rsidRPr="00450FDB">
        <w:rPr>
          <w:sz w:val="24"/>
          <w:szCs w:val="24"/>
        </w:rPr>
        <w:t>the</w:t>
      </w:r>
      <w:r w:rsidR="00F220B7" w:rsidRPr="00450FDB">
        <w:rPr>
          <w:sz w:val="24"/>
          <w:szCs w:val="24"/>
        </w:rPr>
        <w:t xml:space="preserve"> Act.</w:t>
      </w:r>
    </w:p>
    <w:p w14:paraId="43308701" w14:textId="77777777" w:rsidR="00E00750" w:rsidRPr="00450FDB" w:rsidRDefault="00E00750" w:rsidP="00E00750">
      <w:pPr>
        <w:rPr>
          <w:sz w:val="24"/>
          <w:szCs w:val="24"/>
        </w:rPr>
      </w:pPr>
    </w:p>
    <w:p w14:paraId="43308706" w14:textId="12702D97" w:rsidR="00E00750" w:rsidRPr="00450FDB" w:rsidRDefault="00F220B7" w:rsidP="00E00750">
      <w:pPr>
        <w:rPr>
          <w:sz w:val="24"/>
          <w:u w:val="single"/>
        </w:rPr>
      </w:pPr>
      <w:r w:rsidRPr="00450FDB">
        <w:rPr>
          <w:sz w:val="24"/>
          <w:u w:val="single"/>
        </w:rPr>
        <w:t>Purpose</w:t>
      </w:r>
    </w:p>
    <w:p w14:paraId="43308707" w14:textId="77777777" w:rsidR="00E00750" w:rsidRPr="00450FDB" w:rsidRDefault="00E00750" w:rsidP="00E00750">
      <w:pPr>
        <w:rPr>
          <w:sz w:val="24"/>
        </w:rPr>
      </w:pPr>
    </w:p>
    <w:p w14:paraId="58AD108E" w14:textId="55754665" w:rsidR="00C524C2" w:rsidRPr="00450FDB" w:rsidRDefault="00C524C2" w:rsidP="00E00750">
      <w:pPr>
        <w:rPr>
          <w:sz w:val="24"/>
        </w:rPr>
      </w:pPr>
      <w:r w:rsidRPr="00450FDB">
        <w:rPr>
          <w:sz w:val="24"/>
        </w:rPr>
        <w:t xml:space="preserve">The purpose of the Declaration is to require the ACMA to re-allocate spectrum </w:t>
      </w:r>
      <w:r w:rsidR="002C4845" w:rsidRPr="00450FDB">
        <w:rPr>
          <w:sz w:val="24"/>
        </w:rPr>
        <w:t xml:space="preserve">under Part 3.6 of the Act </w:t>
      </w:r>
      <w:r w:rsidRPr="00450FDB">
        <w:rPr>
          <w:sz w:val="24"/>
        </w:rPr>
        <w:t xml:space="preserve">in </w:t>
      </w:r>
      <w:r w:rsidR="003E758F" w:rsidRPr="00450FDB">
        <w:rPr>
          <w:sz w:val="24"/>
        </w:rPr>
        <w:t xml:space="preserve">two parts of the spectrum: </w:t>
      </w:r>
      <w:r w:rsidRPr="00450FDB">
        <w:rPr>
          <w:sz w:val="24"/>
        </w:rPr>
        <w:t>1725-1785</w:t>
      </w:r>
      <w:r w:rsidR="002C4845" w:rsidRPr="00450FDB">
        <w:rPr>
          <w:sz w:val="24"/>
        </w:rPr>
        <w:t> </w:t>
      </w:r>
      <w:r w:rsidRPr="00450FDB">
        <w:rPr>
          <w:sz w:val="24"/>
        </w:rPr>
        <w:t>MHz and 1820-1880</w:t>
      </w:r>
      <w:r w:rsidR="002C4845" w:rsidRPr="00450FDB">
        <w:rPr>
          <w:sz w:val="24"/>
        </w:rPr>
        <w:t> </w:t>
      </w:r>
      <w:r w:rsidRPr="00450FDB">
        <w:rPr>
          <w:sz w:val="24"/>
        </w:rPr>
        <w:t xml:space="preserve">MHz in regional Australia </w:t>
      </w:r>
      <w:r w:rsidR="009040FC" w:rsidRPr="00450FDB">
        <w:rPr>
          <w:sz w:val="24"/>
        </w:rPr>
        <w:t xml:space="preserve">(the regional 1800 MHz band) </w:t>
      </w:r>
      <w:r w:rsidRPr="00450FDB">
        <w:rPr>
          <w:sz w:val="24"/>
        </w:rPr>
        <w:t>from apparatus licences to spectrum licences.</w:t>
      </w:r>
    </w:p>
    <w:p w14:paraId="0260EB5C" w14:textId="77777777" w:rsidR="00C524C2" w:rsidRPr="00450FDB" w:rsidRDefault="00C524C2" w:rsidP="00E00750">
      <w:pPr>
        <w:rPr>
          <w:sz w:val="24"/>
        </w:rPr>
      </w:pPr>
    </w:p>
    <w:p w14:paraId="4F3565D9" w14:textId="2968593F" w:rsidR="00F220B7" w:rsidRPr="00450FDB" w:rsidRDefault="00F220B7" w:rsidP="00F220B7">
      <w:pPr>
        <w:rPr>
          <w:sz w:val="24"/>
          <w:szCs w:val="24"/>
        </w:rPr>
      </w:pPr>
      <w:r w:rsidRPr="00450FDB">
        <w:rPr>
          <w:sz w:val="24"/>
          <w:szCs w:val="24"/>
        </w:rPr>
        <w:t xml:space="preserve">There is demand to use the regional </w:t>
      </w:r>
      <w:r w:rsidR="004A1DDA" w:rsidRPr="00450FDB">
        <w:rPr>
          <w:sz w:val="24"/>
          <w:szCs w:val="24"/>
        </w:rPr>
        <w:t>1800 </w:t>
      </w:r>
      <w:r w:rsidRPr="00450FDB">
        <w:rPr>
          <w:sz w:val="24"/>
          <w:szCs w:val="24"/>
        </w:rPr>
        <w:t xml:space="preserve">MHz band for mobile broadband services. Spectrum in the </w:t>
      </w:r>
      <w:r w:rsidR="004A1DDA" w:rsidRPr="00450FDB">
        <w:rPr>
          <w:sz w:val="24"/>
          <w:szCs w:val="24"/>
        </w:rPr>
        <w:t>1800 </w:t>
      </w:r>
      <w:r w:rsidRPr="00450FDB">
        <w:rPr>
          <w:sz w:val="24"/>
          <w:szCs w:val="24"/>
        </w:rPr>
        <w:t xml:space="preserve">MHz band is highly desirable for mobile broadband as it is used internationally for Long Term Evolution (LTE), or 4G, technology. In metropolitan Australia the </w:t>
      </w:r>
      <w:r w:rsidR="004A1DDA" w:rsidRPr="00450FDB">
        <w:rPr>
          <w:sz w:val="24"/>
          <w:szCs w:val="24"/>
        </w:rPr>
        <w:t>1800 </w:t>
      </w:r>
      <w:r w:rsidRPr="00450FDB">
        <w:rPr>
          <w:sz w:val="24"/>
          <w:szCs w:val="24"/>
        </w:rPr>
        <w:t xml:space="preserve">MHz band is used for mobile broadband services. Since 2012 the ACMA has been working with stakeholders to facilitate access to the regional </w:t>
      </w:r>
      <w:r w:rsidR="004A1DDA" w:rsidRPr="00450FDB">
        <w:rPr>
          <w:sz w:val="24"/>
          <w:szCs w:val="24"/>
        </w:rPr>
        <w:t>1800 </w:t>
      </w:r>
      <w:r w:rsidRPr="00450FDB">
        <w:rPr>
          <w:sz w:val="24"/>
          <w:szCs w:val="24"/>
        </w:rPr>
        <w:t>MHz band for mobile broadband use.</w:t>
      </w:r>
    </w:p>
    <w:p w14:paraId="1D9169F4" w14:textId="77777777" w:rsidR="00F220B7" w:rsidRPr="00450FDB" w:rsidRDefault="00F220B7" w:rsidP="00F220B7">
      <w:pPr>
        <w:rPr>
          <w:sz w:val="24"/>
          <w:szCs w:val="24"/>
        </w:rPr>
      </w:pPr>
    </w:p>
    <w:p w14:paraId="4E9116CA" w14:textId="391CE439" w:rsidR="00F220B7" w:rsidRPr="00450FDB" w:rsidRDefault="00F220B7" w:rsidP="00F220B7">
      <w:pPr>
        <w:rPr>
          <w:sz w:val="24"/>
          <w:szCs w:val="24"/>
        </w:rPr>
      </w:pPr>
      <w:r w:rsidRPr="00450FDB">
        <w:rPr>
          <w:sz w:val="24"/>
          <w:szCs w:val="24"/>
        </w:rPr>
        <w:t xml:space="preserve">Currently, the regional </w:t>
      </w:r>
      <w:r w:rsidR="004A1DDA" w:rsidRPr="00450FDB">
        <w:rPr>
          <w:sz w:val="24"/>
          <w:szCs w:val="24"/>
        </w:rPr>
        <w:t>1800 </w:t>
      </w:r>
      <w:r w:rsidRPr="00450FDB">
        <w:rPr>
          <w:sz w:val="24"/>
          <w:szCs w:val="24"/>
        </w:rPr>
        <w:t xml:space="preserve">MHz band is predominantly used for fixed services that are authorised under apparatus licences. The band has been under an </w:t>
      </w:r>
      <w:r w:rsidR="00B77295">
        <w:rPr>
          <w:sz w:val="24"/>
          <w:szCs w:val="24"/>
        </w:rPr>
        <w:t>‘</w:t>
      </w:r>
      <w:r w:rsidRPr="00450FDB">
        <w:rPr>
          <w:sz w:val="24"/>
          <w:szCs w:val="24"/>
        </w:rPr>
        <w:t>embargo</w:t>
      </w:r>
      <w:r w:rsidR="00B77295">
        <w:rPr>
          <w:sz w:val="24"/>
          <w:szCs w:val="24"/>
        </w:rPr>
        <w:t>’</w:t>
      </w:r>
      <w:r w:rsidRPr="00450FDB">
        <w:rPr>
          <w:sz w:val="24"/>
          <w:szCs w:val="24"/>
        </w:rPr>
        <w:t xml:space="preserve"> </w:t>
      </w:r>
      <w:r w:rsidRPr="00840152">
        <w:rPr>
          <w:sz w:val="24"/>
          <w:szCs w:val="24"/>
        </w:rPr>
        <w:t>by the ACMA since 2011</w:t>
      </w:r>
      <w:r w:rsidR="009040FC">
        <w:rPr>
          <w:sz w:val="24"/>
          <w:szCs w:val="24"/>
        </w:rPr>
        <w:t>. Spectrum embargoes are used by the ACMA as an administrative tool to facilitate order</w:t>
      </w:r>
      <w:r w:rsidR="004F79E5">
        <w:rPr>
          <w:sz w:val="24"/>
          <w:szCs w:val="24"/>
        </w:rPr>
        <w:t>ly</w:t>
      </w:r>
      <w:r w:rsidR="009040FC">
        <w:rPr>
          <w:sz w:val="24"/>
          <w:szCs w:val="24"/>
        </w:rPr>
        <w:t xml:space="preserve"> spectrum planning and provide a notice of the ACMA’s intention to restrict the allocation of new licences in a band, pending its replanning</w:t>
      </w:r>
      <w:r w:rsidRPr="00840152">
        <w:rPr>
          <w:sz w:val="24"/>
          <w:szCs w:val="24"/>
        </w:rPr>
        <w:t>. Since this time the ACMA has also</w:t>
      </w:r>
      <w:r w:rsidRPr="00450FDB">
        <w:rPr>
          <w:sz w:val="24"/>
          <w:szCs w:val="24"/>
        </w:rPr>
        <w:t xml:space="preserve"> notified affected apparatus licensees of the proposed replanning processes. Apparatus licences have been renewed annually and are approaching expiry.</w:t>
      </w:r>
    </w:p>
    <w:p w14:paraId="36EA3C9C" w14:textId="77777777" w:rsidR="00F220B7" w:rsidRPr="00450FDB" w:rsidRDefault="00F220B7" w:rsidP="00F220B7">
      <w:pPr>
        <w:rPr>
          <w:sz w:val="24"/>
          <w:szCs w:val="24"/>
        </w:rPr>
      </w:pPr>
    </w:p>
    <w:p w14:paraId="2F241EDF" w14:textId="77777777" w:rsidR="00F220B7" w:rsidRPr="00450FDB" w:rsidRDefault="00F220B7" w:rsidP="00F220B7">
      <w:pPr>
        <w:rPr>
          <w:sz w:val="24"/>
          <w:szCs w:val="24"/>
        </w:rPr>
      </w:pPr>
      <w:r w:rsidRPr="00450FDB">
        <w:rPr>
          <w:sz w:val="24"/>
          <w:szCs w:val="24"/>
        </w:rPr>
        <w:t>The Government’s goal in re-allocating the spectrum is to maximise the overall public benefit derived from the use of that spectrum. The re-allocation of this spectrum will benefit business, consumers and the broader Australian community and economy in the form of service improvements, greater connectivity and productivity gains.</w:t>
      </w:r>
    </w:p>
    <w:p w14:paraId="29961031" w14:textId="77777777" w:rsidR="00F220B7" w:rsidRPr="00450FDB" w:rsidRDefault="00F220B7" w:rsidP="00F220B7">
      <w:pPr>
        <w:rPr>
          <w:sz w:val="24"/>
          <w:szCs w:val="24"/>
        </w:rPr>
      </w:pPr>
    </w:p>
    <w:p w14:paraId="17C12289" w14:textId="369F8461" w:rsidR="00F220B7" w:rsidRPr="00450FDB" w:rsidRDefault="00F220B7" w:rsidP="00F220B7">
      <w:pPr>
        <w:rPr>
          <w:sz w:val="24"/>
          <w:szCs w:val="24"/>
        </w:rPr>
      </w:pPr>
      <w:r w:rsidRPr="00450FDB">
        <w:rPr>
          <w:sz w:val="24"/>
          <w:szCs w:val="24"/>
        </w:rPr>
        <w:t xml:space="preserve">The ACMA is proposing to hold an auction for the spectrum in November 2015. This declaration formally initiates the re-allocation process for the </w:t>
      </w:r>
      <w:r w:rsidR="004A1DDA" w:rsidRPr="00450FDB">
        <w:rPr>
          <w:sz w:val="24"/>
          <w:szCs w:val="24"/>
        </w:rPr>
        <w:t>regional 1800 </w:t>
      </w:r>
      <w:r w:rsidRPr="00450FDB">
        <w:rPr>
          <w:sz w:val="24"/>
          <w:szCs w:val="24"/>
        </w:rPr>
        <w:t>MHz band and will enable the ACMA to proceed with the auction.</w:t>
      </w:r>
    </w:p>
    <w:p w14:paraId="504A0EEC" w14:textId="77777777" w:rsidR="00F220B7" w:rsidRPr="00450FDB" w:rsidRDefault="00F220B7" w:rsidP="00F220B7">
      <w:pPr>
        <w:rPr>
          <w:sz w:val="24"/>
          <w:szCs w:val="24"/>
        </w:rPr>
      </w:pPr>
    </w:p>
    <w:p w14:paraId="6756AD38" w14:textId="77777777" w:rsidR="00F220B7" w:rsidRPr="00450FDB" w:rsidRDefault="00F220B7" w:rsidP="00F220B7">
      <w:pPr>
        <w:rPr>
          <w:sz w:val="24"/>
          <w:szCs w:val="24"/>
        </w:rPr>
      </w:pPr>
      <w:r w:rsidRPr="00450FDB">
        <w:rPr>
          <w:sz w:val="24"/>
          <w:szCs w:val="24"/>
        </w:rPr>
        <w:lastRenderedPageBreak/>
        <w:t>In relation to this declaration, the ACMA made a recommendation to the Minister on 8 May 2015. The ACMA recommended the following:</w:t>
      </w:r>
    </w:p>
    <w:p w14:paraId="03403A2E" w14:textId="02FF4B7D" w:rsidR="00F220B7" w:rsidRPr="00450FDB" w:rsidRDefault="00F220B7" w:rsidP="00F220B7">
      <w:pPr>
        <w:pStyle w:val="ListParagraph"/>
        <w:numPr>
          <w:ilvl w:val="0"/>
          <w:numId w:val="1"/>
        </w:numPr>
        <w:rPr>
          <w:sz w:val="24"/>
          <w:szCs w:val="24"/>
        </w:rPr>
      </w:pPr>
      <w:r w:rsidRPr="00450FDB">
        <w:rPr>
          <w:sz w:val="24"/>
          <w:szCs w:val="24"/>
        </w:rPr>
        <w:t>two 60 MHz blocks of spectrum, with frequency boundaries 1725-</w:t>
      </w:r>
      <w:r w:rsidR="004A1DDA" w:rsidRPr="00450FDB">
        <w:rPr>
          <w:sz w:val="24"/>
          <w:szCs w:val="24"/>
        </w:rPr>
        <w:t>1785 </w:t>
      </w:r>
      <w:r w:rsidRPr="00450FDB">
        <w:rPr>
          <w:sz w:val="24"/>
          <w:szCs w:val="24"/>
        </w:rPr>
        <w:t>MHz and 1820-</w:t>
      </w:r>
      <w:r w:rsidR="004A1DDA" w:rsidRPr="00450FDB">
        <w:rPr>
          <w:sz w:val="24"/>
          <w:szCs w:val="24"/>
        </w:rPr>
        <w:t>1880 </w:t>
      </w:r>
      <w:r w:rsidRPr="00450FDB">
        <w:rPr>
          <w:sz w:val="24"/>
          <w:szCs w:val="24"/>
        </w:rPr>
        <w:t>MHz, should be re-allocated throughout regional Australia;</w:t>
      </w:r>
    </w:p>
    <w:p w14:paraId="52049B5A" w14:textId="4734598B" w:rsidR="00F220B7" w:rsidRPr="00450FDB" w:rsidRDefault="00F220B7" w:rsidP="00F220B7">
      <w:pPr>
        <w:pStyle w:val="ListParagraph"/>
        <w:numPr>
          <w:ilvl w:val="0"/>
          <w:numId w:val="1"/>
        </w:numPr>
        <w:rPr>
          <w:sz w:val="24"/>
          <w:szCs w:val="24"/>
        </w:rPr>
      </w:pPr>
      <w:r w:rsidRPr="00450FDB">
        <w:rPr>
          <w:sz w:val="24"/>
          <w:szCs w:val="24"/>
        </w:rPr>
        <w:t>the re-allocation period should be two years in all parts of the spectrum</w:t>
      </w:r>
      <w:r w:rsidR="007153A8" w:rsidRPr="00450FDB">
        <w:rPr>
          <w:sz w:val="24"/>
          <w:szCs w:val="24"/>
        </w:rPr>
        <w:t>;</w:t>
      </w:r>
    </w:p>
    <w:p w14:paraId="15C89EB9" w14:textId="61DA3460" w:rsidR="00F220B7" w:rsidRPr="00450FDB" w:rsidRDefault="00F220B7" w:rsidP="00F220B7">
      <w:pPr>
        <w:pStyle w:val="ListParagraph"/>
        <w:numPr>
          <w:ilvl w:val="0"/>
          <w:numId w:val="1"/>
        </w:numPr>
        <w:rPr>
          <w:sz w:val="24"/>
          <w:szCs w:val="24"/>
        </w:rPr>
      </w:pPr>
      <w:r w:rsidRPr="00450FDB">
        <w:rPr>
          <w:sz w:val="24"/>
          <w:szCs w:val="24"/>
        </w:rPr>
        <w:t>the re-allocation deadline should be 12 months before the end of the re-allocation period; and</w:t>
      </w:r>
    </w:p>
    <w:p w14:paraId="4C7DCD36" w14:textId="23349730" w:rsidR="00F220B7" w:rsidRPr="00450FDB" w:rsidRDefault="00F220B7" w:rsidP="00F220B7">
      <w:pPr>
        <w:pStyle w:val="ListParagraph"/>
        <w:numPr>
          <w:ilvl w:val="0"/>
          <w:numId w:val="1"/>
        </w:numPr>
        <w:rPr>
          <w:sz w:val="24"/>
          <w:szCs w:val="24"/>
        </w:rPr>
      </w:pPr>
      <w:r w:rsidRPr="00450FDB">
        <w:rPr>
          <w:sz w:val="24"/>
          <w:szCs w:val="24"/>
        </w:rPr>
        <w:t>spectrum licen</w:t>
      </w:r>
      <w:r w:rsidR="00254D54">
        <w:rPr>
          <w:sz w:val="24"/>
          <w:szCs w:val="24"/>
        </w:rPr>
        <w:t>ces</w:t>
      </w:r>
      <w:r w:rsidRPr="00450FDB">
        <w:rPr>
          <w:sz w:val="24"/>
          <w:szCs w:val="24"/>
        </w:rPr>
        <w:t xml:space="preserve"> should </w:t>
      </w:r>
      <w:r w:rsidR="00041326" w:rsidRPr="00450FDB">
        <w:rPr>
          <w:sz w:val="24"/>
          <w:szCs w:val="24"/>
        </w:rPr>
        <w:t>be issued for the parts of the spectrum</w:t>
      </w:r>
      <w:r w:rsidRPr="00450FDB">
        <w:rPr>
          <w:sz w:val="24"/>
          <w:szCs w:val="24"/>
        </w:rPr>
        <w:t>.</w:t>
      </w:r>
    </w:p>
    <w:p w14:paraId="3241819D" w14:textId="77777777" w:rsidR="0090784B" w:rsidRDefault="0090784B" w:rsidP="0090784B">
      <w:pPr>
        <w:rPr>
          <w:sz w:val="24"/>
          <w:szCs w:val="24"/>
        </w:rPr>
      </w:pPr>
    </w:p>
    <w:p w14:paraId="27BA91AA" w14:textId="47E42715" w:rsidR="0090784B" w:rsidRPr="0090784B" w:rsidRDefault="0090784B" w:rsidP="0090784B">
      <w:pPr>
        <w:rPr>
          <w:sz w:val="24"/>
          <w:szCs w:val="24"/>
        </w:rPr>
      </w:pPr>
      <w:r w:rsidRPr="0090784B">
        <w:rPr>
          <w:sz w:val="24"/>
          <w:szCs w:val="24"/>
        </w:rPr>
        <w:t>In recommending the minimum two year re-allocation period, the ACMA acknowledged concerns from affected apparatus licensees that it may not be possible to relocate all fixed links within this timeframe. The ACMA has the power under subsection 153P(3) of the Act to issue apparatus licences even after the end of a re</w:t>
      </w:r>
      <w:r w:rsidR="004C3A5E">
        <w:rPr>
          <w:sz w:val="24"/>
          <w:szCs w:val="24"/>
        </w:rPr>
        <w:noBreakHyphen/>
      </w:r>
      <w:r w:rsidRPr="0090784B">
        <w:rPr>
          <w:sz w:val="24"/>
          <w:szCs w:val="24"/>
        </w:rPr>
        <w:t xml:space="preserve">allocation period if it is satisfied that special circumstances exist which justify the issue of the licence. The ACMA plans to work with affected apparatus licensees to identify any fixed links where redeployment within the minimum two year reallocation period is impractical. </w:t>
      </w:r>
    </w:p>
    <w:p w14:paraId="383105F5" w14:textId="77777777" w:rsidR="0090784B" w:rsidRPr="0090784B" w:rsidRDefault="0090784B" w:rsidP="00F220B7">
      <w:pPr>
        <w:rPr>
          <w:sz w:val="24"/>
          <w:szCs w:val="24"/>
        </w:rPr>
      </w:pPr>
    </w:p>
    <w:p w14:paraId="6ED880BA" w14:textId="77777777" w:rsidR="0090784B" w:rsidRPr="0090784B" w:rsidRDefault="0090784B" w:rsidP="0090784B">
      <w:pPr>
        <w:rPr>
          <w:sz w:val="24"/>
          <w:szCs w:val="24"/>
        </w:rPr>
      </w:pPr>
      <w:r w:rsidRPr="0090784B">
        <w:rPr>
          <w:sz w:val="24"/>
          <w:szCs w:val="24"/>
        </w:rPr>
        <w:t>If, at the end of the re-allocation period, the ACMA considers that special circumstances apply, then the ACMA may issue apparatus licences to authorise continued operation of these links for a short time. This would result in part of the spectrum potentially being encumbered when the new spectrum licences commence. The ACMA will provide prospective auction participants with a list showing all fixed links where it is likely special circumstances will be found to apply, together with the expected maximum duration of any authorised continued operation.</w:t>
      </w:r>
    </w:p>
    <w:p w14:paraId="3B72EDF1" w14:textId="77777777" w:rsidR="0090784B" w:rsidRDefault="0090784B" w:rsidP="00F220B7">
      <w:pPr>
        <w:rPr>
          <w:sz w:val="24"/>
          <w:szCs w:val="24"/>
        </w:rPr>
      </w:pPr>
    </w:p>
    <w:p w14:paraId="72A6F941" w14:textId="16162706" w:rsidR="00F220B7" w:rsidRPr="00450FDB" w:rsidRDefault="00F220B7" w:rsidP="00F220B7">
      <w:pPr>
        <w:rPr>
          <w:sz w:val="24"/>
          <w:szCs w:val="24"/>
        </w:rPr>
      </w:pPr>
      <w:r w:rsidRPr="00450FDB">
        <w:rPr>
          <w:sz w:val="24"/>
          <w:szCs w:val="24"/>
        </w:rPr>
        <w:t xml:space="preserve">The ACMA’s strategy has been taken into account in applying a two year reallocation period. On balance, this approach is considered to provide greater benefits than a longer re-allocation period, as it will enable spectrum licences to commence sooner. Publication of a list and </w:t>
      </w:r>
      <w:r w:rsidR="0090784B">
        <w:rPr>
          <w:sz w:val="24"/>
          <w:szCs w:val="24"/>
        </w:rPr>
        <w:t xml:space="preserve">expected </w:t>
      </w:r>
      <w:r w:rsidRPr="00450FDB">
        <w:rPr>
          <w:sz w:val="24"/>
          <w:szCs w:val="24"/>
        </w:rPr>
        <w:t xml:space="preserve">timeframes for spectrum that </w:t>
      </w:r>
      <w:r w:rsidR="00AF4DD0">
        <w:rPr>
          <w:sz w:val="24"/>
          <w:szCs w:val="24"/>
        </w:rPr>
        <w:t xml:space="preserve">may </w:t>
      </w:r>
      <w:r w:rsidRPr="00450FDB">
        <w:rPr>
          <w:sz w:val="24"/>
          <w:szCs w:val="24"/>
        </w:rPr>
        <w:t xml:space="preserve">remain encumbered </w:t>
      </w:r>
      <w:r w:rsidR="00AF4DD0">
        <w:rPr>
          <w:sz w:val="24"/>
          <w:szCs w:val="24"/>
        </w:rPr>
        <w:t xml:space="preserve">for a short period after the end of the re-allocation period </w:t>
      </w:r>
      <w:r w:rsidRPr="00450FDB">
        <w:rPr>
          <w:sz w:val="24"/>
          <w:szCs w:val="24"/>
        </w:rPr>
        <w:t>will provide transparency to bidders at auction.</w:t>
      </w:r>
    </w:p>
    <w:p w14:paraId="69A2E4D2" w14:textId="77777777" w:rsidR="00F220B7" w:rsidRPr="00450FDB" w:rsidRDefault="00F220B7" w:rsidP="00F220B7">
      <w:pPr>
        <w:rPr>
          <w:sz w:val="24"/>
          <w:szCs w:val="24"/>
        </w:rPr>
      </w:pPr>
    </w:p>
    <w:p w14:paraId="0AB53238" w14:textId="0EC454EF" w:rsidR="00F220B7" w:rsidRPr="00450FDB" w:rsidRDefault="004A1DDA" w:rsidP="00F220B7">
      <w:pPr>
        <w:rPr>
          <w:sz w:val="24"/>
          <w:szCs w:val="24"/>
        </w:rPr>
      </w:pPr>
      <w:r w:rsidRPr="00450FDB">
        <w:rPr>
          <w:sz w:val="24"/>
          <w:szCs w:val="24"/>
        </w:rPr>
        <w:t>The ACMA will re-allocate the parts of the spectrum by issuing s</w:t>
      </w:r>
      <w:r w:rsidR="00F220B7" w:rsidRPr="00450FDB">
        <w:rPr>
          <w:sz w:val="24"/>
          <w:szCs w:val="24"/>
        </w:rPr>
        <w:t xml:space="preserve">pectrum </w:t>
      </w:r>
      <w:r w:rsidRPr="00450FDB">
        <w:rPr>
          <w:sz w:val="24"/>
          <w:szCs w:val="24"/>
        </w:rPr>
        <w:t>licences</w:t>
      </w:r>
      <w:r w:rsidR="00F220B7" w:rsidRPr="00450FDB">
        <w:rPr>
          <w:sz w:val="24"/>
          <w:szCs w:val="24"/>
        </w:rPr>
        <w:t>. Spectrum licensing will lead to the most efficient allocation and use of the spectrum and will provide licensees with the flexibility and security of tenure needed to encourage investment in infrastructure.</w:t>
      </w:r>
      <w:r w:rsidR="00253A94" w:rsidRPr="00450FDB">
        <w:rPr>
          <w:sz w:val="24"/>
          <w:szCs w:val="24"/>
        </w:rPr>
        <w:t xml:space="preserve"> Spectrum licences issued during this re-allocation process will be subject to competition limits due to the </w:t>
      </w:r>
      <w:r w:rsidR="00253A94" w:rsidRPr="00450FDB">
        <w:rPr>
          <w:i/>
          <w:sz w:val="24"/>
          <w:szCs w:val="24"/>
        </w:rPr>
        <w:t>Radiocommunications (Spectrum Licence Limits—Regional 1800 MHz Band) Direction 2015</w:t>
      </w:r>
      <w:r w:rsidR="00253A94" w:rsidRPr="00450FDB">
        <w:rPr>
          <w:sz w:val="24"/>
          <w:szCs w:val="24"/>
        </w:rPr>
        <w:t xml:space="preserve"> which </w:t>
      </w:r>
      <w:r w:rsidR="002C5119">
        <w:rPr>
          <w:sz w:val="24"/>
          <w:szCs w:val="24"/>
        </w:rPr>
        <w:t xml:space="preserve">will </w:t>
      </w:r>
      <w:r w:rsidR="00B77295">
        <w:rPr>
          <w:sz w:val="24"/>
          <w:szCs w:val="24"/>
        </w:rPr>
        <w:t>commence</w:t>
      </w:r>
      <w:r w:rsidR="00253A94" w:rsidRPr="00450FDB">
        <w:rPr>
          <w:sz w:val="24"/>
          <w:szCs w:val="24"/>
        </w:rPr>
        <w:t xml:space="preserve"> </w:t>
      </w:r>
      <w:r w:rsidR="00B77295">
        <w:rPr>
          <w:sz w:val="24"/>
          <w:szCs w:val="24"/>
        </w:rPr>
        <w:t xml:space="preserve">shortly after the commencement of </w:t>
      </w:r>
      <w:r w:rsidR="00253A94" w:rsidRPr="00450FDB">
        <w:rPr>
          <w:sz w:val="24"/>
          <w:szCs w:val="24"/>
        </w:rPr>
        <w:t>the Declaration.</w:t>
      </w:r>
    </w:p>
    <w:p w14:paraId="614526FB" w14:textId="77777777" w:rsidR="00F220B7" w:rsidRPr="00450FDB" w:rsidRDefault="00F220B7" w:rsidP="00F220B7">
      <w:pPr>
        <w:rPr>
          <w:sz w:val="24"/>
          <w:szCs w:val="24"/>
        </w:rPr>
      </w:pPr>
    </w:p>
    <w:p w14:paraId="17537583" w14:textId="77777777" w:rsidR="003E758F" w:rsidRPr="00450FDB" w:rsidRDefault="003E758F" w:rsidP="003E758F">
      <w:pPr>
        <w:rPr>
          <w:sz w:val="24"/>
          <w:szCs w:val="24"/>
          <w:u w:val="single"/>
        </w:rPr>
      </w:pPr>
      <w:r w:rsidRPr="00450FDB">
        <w:rPr>
          <w:sz w:val="24"/>
          <w:szCs w:val="24"/>
          <w:u w:val="single"/>
        </w:rPr>
        <w:t>Background</w:t>
      </w:r>
    </w:p>
    <w:p w14:paraId="77CFE3B3" w14:textId="77777777" w:rsidR="003E758F" w:rsidRPr="00450FDB" w:rsidRDefault="003E758F" w:rsidP="003E758F">
      <w:pPr>
        <w:rPr>
          <w:sz w:val="24"/>
          <w:szCs w:val="24"/>
        </w:rPr>
      </w:pPr>
    </w:p>
    <w:p w14:paraId="7D5F444F" w14:textId="1A4ACC7F" w:rsidR="003E758F" w:rsidRPr="00450FDB" w:rsidRDefault="003E758F" w:rsidP="003E758F">
      <w:pPr>
        <w:tabs>
          <w:tab w:val="left" w:pos="2490"/>
        </w:tabs>
        <w:rPr>
          <w:sz w:val="24"/>
          <w:szCs w:val="24"/>
        </w:rPr>
      </w:pPr>
      <w:r w:rsidRPr="00450FDB">
        <w:rPr>
          <w:sz w:val="24"/>
          <w:szCs w:val="24"/>
        </w:rPr>
        <w:t>Part 3.6 of the Act deals with the re-allocation of encumbered spectrum. Under section 153B of the Act, the Minister may make a declaration that one or more parts of the spectrum are subject to re-allocation in relation to a specified period (the re-allocation period). The spectrum can be re-allocated by issuing either spectrum or apparatus licences.</w:t>
      </w:r>
    </w:p>
    <w:p w14:paraId="4ACC7552" w14:textId="77777777" w:rsidR="003E758F" w:rsidRPr="00450FDB" w:rsidRDefault="003E758F" w:rsidP="003E758F">
      <w:pPr>
        <w:tabs>
          <w:tab w:val="left" w:pos="2490"/>
        </w:tabs>
        <w:rPr>
          <w:sz w:val="24"/>
          <w:szCs w:val="24"/>
        </w:rPr>
      </w:pPr>
    </w:p>
    <w:p w14:paraId="20BDB6EA" w14:textId="067D2062" w:rsidR="003E758F" w:rsidRPr="00450FDB" w:rsidRDefault="003E758F" w:rsidP="003E758F">
      <w:pPr>
        <w:tabs>
          <w:tab w:val="left" w:pos="2490"/>
        </w:tabs>
        <w:rPr>
          <w:sz w:val="24"/>
          <w:szCs w:val="24"/>
        </w:rPr>
      </w:pPr>
      <w:r w:rsidRPr="00450FDB">
        <w:rPr>
          <w:sz w:val="24"/>
          <w:szCs w:val="24"/>
        </w:rPr>
        <w:lastRenderedPageBreak/>
        <w:t>Before making a declaration about any part(s) of the spectrum, the Minister must have received, during the previous 180 days, a recommendation from the ACMA about the same part(s) of the spectrum (under section 153E of the Act). In deciding whether to make the declaration the Minister must have regard to the recommendation. The ACMA must develop and make its recommendation in accordance with sections 153F and 153G of the Act, the latter of which requires the ACMA to consult on a draft recommendation prior to giving it to the Minister.</w:t>
      </w:r>
    </w:p>
    <w:p w14:paraId="291EE69B" w14:textId="77777777" w:rsidR="003E758F" w:rsidRPr="00450FDB" w:rsidRDefault="003E758F" w:rsidP="003E758F">
      <w:pPr>
        <w:tabs>
          <w:tab w:val="left" w:pos="2490"/>
        </w:tabs>
        <w:rPr>
          <w:sz w:val="24"/>
          <w:szCs w:val="24"/>
        </w:rPr>
      </w:pPr>
    </w:p>
    <w:p w14:paraId="2181999C" w14:textId="4A9B2EA2" w:rsidR="003E758F" w:rsidRPr="00450FDB" w:rsidRDefault="003E758F" w:rsidP="003E758F">
      <w:pPr>
        <w:tabs>
          <w:tab w:val="left" w:pos="2490"/>
        </w:tabs>
        <w:rPr>
          <w:sz w:val="24"/>
          <w:szCs w:val="24"/>
        </w:rPr>
      </w:pPr>
      <w:r w:rsidRPr="00450FDB">
        <w:rPr>
          <w:sz w:val="24"/>
          <w:szCs w:val="24"/>
        </w:rPr>
        <w:t xml:space="preserve">Only spectrum currently occupied by apparatus licences, or unoccupied spectrum, may be covered by a re-allocation declaration </w:t>
      </w:r>
      <w:r w:rsidR="00467678" w:rsidRPr="00450FDB">
        <w:rPr>
          <w:sz w:val="24"/>
          <w:szCs w:val="24"/>
        </w:rPr>
        <w:t xml:space="preserve">under </w:t>
      </w:r>
      <w:r w:rsidRPr="00450FDB">
        <w:rPr>
          <w:sz w:val="24"/>
          <w:szCs w:val="24"/>
        </w:rPr>
        <w:t>subsections 153B(7) and (8) of the Act.</w:t>
      </w:r>
    </w:p>
    <w:p w14:paraId="03EEAC39" w14:textId="77777777" w:rsidR="003E758F" w:rsidRPr="00450FDB" w:rsidRDefault="003E758F" w:rsidP="003E758F">
      <w:pPr>
        <w:tabs>
          <w:tab w:val="left" w:pos="2490"/>
        </w:tabs>
        <w:rPr>
          <w:sz w:val="24"/>
          <w:szCs w:val="24"/>
        </w:rPr>
      </w:pPr>
    </w:p>
    <w:p w14:paraId="7651C32C" w14:textId="77777777" w:rsidR="003E758F" w:rsidRPr="00450FDB" w:rsidRDefault="003E758F" w:rsidP="003E758F">
      <w:pPr>
        <w:tabs>
          <w:tab w:val="left" w:pos="2490"/>
        </w:tabs>
        <w:rPr>
          <w:sz w:val="24"/>
          <w:szCs w:val="24"/>
        </w:rPr>
      </w:pPr>
      <w:r w:rsidRPr="00450FDB">
        <w:rPr>
          <w:sz w:val="24"/>
          <w:szCs w:val="24"/>
        </w:rPr>
        <w:t>Existing apparatus licensees in the parts of the spectrum subject to the re-allocation declaration have a period to vacate the spectrum (which is described in the declaration as the ‘re-allocation period’). This avoids delays to the re-allocation process which may be incurred if spectrum is required to be cleared prior to re-allocation. It also mitigates the risk of clearing spectrum unnecessarily or too early in relation to the demand for its use.</w:t>
      </w:r>
    </w:p>
    <w:p w14:paraId="39B95F3A" w14:textId="77777777" w:rsidR="003E758F" w:rsidRPr="00450FDB" w:rsidRDefault="003E758F" w:rsidP="003E758F">
      <w:pPr>
        <w:tabs>
          <w:tab w:val="left" w:pos="2490"/>
        </w:tabs>
        <w:rPr>
          <w:sz w:val="24"/>
          <w:szCs w:val="24"/>
        </w:rPr>
      </w:pPr>
    </w:p>
    <w:p w14:paraId="178711CF" w14:textId="538D979A" w:rsidR="003E758F" w:rsidRPr="00450FDB" w:rsidRDefault="003E758F" w:rsidP="003E758F">
      <w:pPr>
        <w:tabs>
          <w:tab w:val="left" w:pos="2490"/>
        </w:tabs>
        <w:rPr>
          <w:sz w:val="24"/>
          <w:szCs w:val="24"/>
        </w:rPr>
      </w:pPr>
      <w:r w:rsidRPr="00450FDB">
        <w:rPr>
          <w:sz w:val="24"/>
          <w:szCs w:val="24"/>
        </w:rPr>
        <w:t xml:space="preserve">Apparatus licences that are affected by a spectrum re-allocation declaration will be cancelled at the end of the period specified in the declaration </w:t>
      </w:r>
      <w:r w:rsidR="00467678" w:rsidRPr="00450FDB">
        <w:rPr>
          <w:sz w:val="24"/>
          <w:szCs w:val="24"/>
        </w:rPr>
        <w:t xml:space="preserve">under </w:t>
      </w:r>
      <w:r w:rsidRPr="00450FDB">
        <w:rPr>
          <w:sz w:val="24"/>
          <w:szCs w:val="24"/>
        </w:rPr>
        <w:t>section 153H of the Act.</w:t>
      </w:r>
    </w:p>
    <w:p w14:paraId="33C2EE98" w14:textId="77777777" w:rsidR="003E758F" w:rsidRPr="00450FDB" w:rsidRDefault="003E758F" w:rsidP="003E758F">
      <w:pPr>
        <w:tabs>
          <w:tab w:val="left" w:pos="2490"/>
        </w:tabs>
        <w:rPr>
          <w:sz w:val="24"/>
          <w:szCs w:val="24"/>
        </w:rPr>
      </w:pPr>
    </w:p>
    <w:p w14:paraId="58480021" w14:textId="77777777" w:rsidR="003E758F" w:rsidRPr="00450FDB" w:rsidRDefault="003E758F" w:rsidP="003E758F">
      <w:pPr>
        <w:tabs>
          <w:tab w:val="left" w:pos="2490"/>
        </w:tabs>
        <w:rPr>
          <w:sz w:val="24"/>
          <w:szCs w:val="24"/>
        </w:rPr>
      </w:pPr>
      <w:r w:rsidRPr="00450FDB">
        <w:rPr>
          <w:sz w:val="24"/>
          <w:szCs w:val="24"/>
        </w:rPr>
        <w:t>The re-allocation period must begin within 28 days after the declaration is made, and run for at least two years.</w:t>
      </w:r>
    </w:p>
    <w:p w14:paraId="1562C2AD" w14:textId="77777777" w:rsidR="003E758F" w:rsidRPr="00450FDB" w:rsidRDefault="003E758F" w:rsidP="003E758F">
      <w:pPr>
        <w:rPr>
          <w:sz w:val="24"/>
          <w:szCs w:val="24"/>
        </w:rPr>
      </w:pPr>
    </w:p>
    <w:p w14:paraId="3694FA80" w14:textId="023E8CFD" w:rsidR="003E758F" w:rsidRPr="00450FDB" w:rsidRDefault="003E758F" w:rsidP="003E758F">
      <w:pPr>
        <w:rPr>
          <w:sz w:val="24"/>
          <w:szCs w:val="24"/>
        </w:rPr>
      </w:pPr>
      <w:r w:rsidRPr="00450FDB">
        <w:rPr>
          <w:sz w:val="24"/>
          <w:szCs w:val="24"/>
        </w:rPr>
        <w:t xml:space="preserve">This Declaration is a legislative instrument for the purposes of the </w:t>
      </w:r>
      <w:r w:rsidRPr="00450FDB">
        <w:rPr>
          <w:i/>
          <w:sz w:val="24"/>
          <w:szCs w:val="24"/>
        </w:rPr>
        <w:t>Legislative Instruments Act 2003</w:t>
      </w:r>
      <w:r w:rsidRPr="00450FDB">
        <w:rPr>
          <w:sz w:val="24"/>
          <w:szCs w:val="24"/>
        </w:rPr>
        <w:t xml:space="preserve">, but it is not subject to sunsetting due to regulation 9 of the </w:t>
      </w:r>
      <w:r w:rsidRPr="00450FDB">
        <w:rPr>
          <w:i/>
          <w:sz w:val="24"/>
          <w:szCs w:val="24"/>
        </w:rPr>
        <w:t>Legislation Instruments Regulation 2004</w:t>
      </w:r>
      <w:r w:rsidRPr="00450FDB">
        <w:rPr>
          <w:sz w:val="24"/>
          <w:szCs w:val="24"/>
        </w:rPr>
        <w:t>.</w:t>
      </w:r>
    </w:p>
    <w:p w14:paraId="1EED794E" w14:textId="77777777" w:rsidR="003E758F" w:rsidRPr="00450FDB" w:rsidRDefault="003E758F" w:rsidP="002131AC">
      <w:pPr>
        <w:rPr>
          <w:sz w:val="24"/>
          <w:szCs w:val="24"/>
        </w:rPr>
      </w:pPr>
    </w:p>
    <w:p w14:paraId="4330870A" w14:textId="77777777" w:rsidR="002131AC" w:rsidRPr="00450FDB" w:rsidRDefault="002131AC" w:rsidP="002131AC">
      <w:pPr>
        <w:rPr>
          <w:sz w:val="24"/>
          <w:szCs w:val="24"/>
          <w:u w:val="single"/>
        </w:rPr>
      </w:pPr>
      <w:r w:rsidRPr="00450FDB">
        <w:rPr>
          <w:sz w:val="24"/>
          <w:szCs w:val="24"/>
          <w:u w:val="single"/>
        </w:rPr>
        <w:t>Regulation Impact Statement</w:t>
      </w:r>
    </w:p>
    <w:p w14:paraId="19EB611F" w14:textId="77777777" w:rsidR="007153A8" w:rsidRPr="00450FDB" w:rsidRDefault="007153A8" w:rsidP="007153A8">
      <w:pPr>
        <w:rPr>
          <w:sz w:val="24"/>
          <w:szCs w:val="24"/>
        </w:rPr>
      </w:pPr>
    </w:p>
    <w:p w14:paraId="4330870F" w14:textId="42A74F83" w:rsidR="002131AC" w:rsidRPr="00450FDB" w:rsidRDefault="007153A8" w:rsidP="007153A8">
      <w:pPr>
        <w:rPr>
          <w:sz w:val="24"/>
          <w:szCs w:val="24"/>
        </w:rPr>
      </w:pPr>
      <w:r w:rsidRPr="00450FDB">
        <w:rPr>
          <w:sz w:val="24"/>
          <w:szCs w:val="24"/>
        </w:rPr>
        <w:t>The Office of Best Practice Regulation has agreed that a Regulation Impact Statement is not required for the Declaration.</w:t>
      </w:r>
    </w:p>
    <w:p w14:paraId="75F99F1A" w14:textId="77777777" w:rsidR="007153A8" w:rsidRPr="00450FDB" w:rsidRDefault="007153A8" w:rsidP="007153A8">
      <w:pPr>
        <w:rPr>
          <w:sz w:val="24"/>
          <w:szCs w:val="24"/>
        </w:rPr>
      </w:pPr>
    </w:p>
    <w:p w14:paraId="43308710" w14:textId="1E0513AB" w:rsidR="002131AC" w:rsidRPr="00450FDB" w:rsidRDefault="002131AC" w:rsidP="007153A8">
      <w:pPr>
        <w:rPr>
          <w:sz w:val="24"/>
          <w:szCs w:val="24"/>
          <w:u w:val="single"/>
        </w:rPr>
      </w:pPr>
      <w:r w:rsidRPr="00450FDB">
        <w:rPr>
          <w:sz w:val="24"/>
          <w:szCs w:val="24"/>
          <w:u w:val="single"/>
        </w:rPr>
        <w:t xml:space="preserve">Statement of </w:t>
      </w:r>
      <w:r w:rsidR="00BD7CB0">
        <w:rPr>
          <w:sz w:val="24"/>
          <w:szCs w:val="24"/>
          <w:u w:val="single"/>
        </w:rPr>
        <w:t>C</w:t>
      </w:r>
      <w:r w:rsidR="00BD7CB0" w:rsidRPr="00450FDB">
        <w:rPr>
          <w:sz w:val="24"/>
          <w:szCs w:val="24"/>
          <w:u w:val="single"/>
        </w:rPr>
        <w:t xml:space="preserve">ompatibility </w:t>
      </w:r>
      <w:r w:rsidRPr="00450FDB">
        <w:rPr>
          <w:sz w:val="24"/>
          <w:szCs w:val="24"/>
          <w:u w:val="single"/>
        </w:rPr>
        <w:t xml:space="preserve">with </w:t>
      </w:r>
      <w:r w:rsidR="00BD7CB0">
        <w:rPr>
          <w:sz w:val="24"/>
          <w:szCs w:val="24"/>
          <w:u w:val="single"/>
        </w:rPr>
        <w:t>H</w:t>
      </w:r>
      <w:r w:rsidR="00BD7CB0" w:rsidRPr="00450FDB">
        <w:rPr>
          <w:sz w:val="24"/>
          <w:szCs w:val="24"/>
          <w:u w:val="single"/>
        </w:rPr>
        <w:t xml:space="preserve">uman </w:t>
      </w:r>
      <w:r w:rsidR="00BD7CB0">
        <w:rPr>
          <w:sz w:val="24"/>
          <w:szCs w:val="24"/>
          <w:u w:val="single"/>
        </w:rPr>
        <w:t>R</w:t>
      </w:r>
      <w:r w:rsidR="00BD7CB0" w:rsidRPr="00450FDB">
        <w:rPr>
          <w:sz w:val="24"/>
          <w:szCs w:val="24"/>
          <w:u w:val="single"/>
        </w:rPr>
        <w:t>ights</w:t>
      </w:r>
    </w:p>
    <w:p w14:paraId="15C1198C" w14:textId="77777777" w:rsidR="007153A8" w:rsidRPr="00450FDB" w:rsidRDefault="007153A8" w:rsidP="007153A8">
      <w:pPr>
        <w:rPr>
          <w:sz w:val="24"/>
          <w:szCs w:val="24"/>
          <w:u w:val="single"/>
        </w:rPr>
      </w:pPr>
    </w:p>
    <w:p w14:paraId="43308711" w14:textId="77777777" w:rsidR="002131AC" w:rsidRPr="00450FDB" w:rsidRDefault="002131AC" w:rsidP="007153A8">
      <w:pPr>
        <w:rPr>
          <w:sz w:val="24"/>
          <w:szCs w:val="24"/>
        </w:rPr>
      </w:pPr>
      <w:r w:rsidRPr="00450FDB">
        <w:rPr>
          <w:sz w:val="24"/>
          <w:szCs w:val="24"/>
        </w:rPr>
        <w:t>This statement of compatibility is prepared in accordance with Part 3 of the Human Rights (Parliamentary Scrutiny) Act 2011.</w:t>
      </w:r>
    </w:p>
    <w:p w14:paraId="2BFDDC96" w14:textId="77777777" w:rsidR="007153A8" w:rsidRPr="00450FDB" w:rsidRDefault="007153A8" w:rsidP="007153A8">
      <w:pPr>
        <w:rPr>
          <w:sz w:val="24"/>
          <w:szCs w:val="24"/>
        </w:rPr>
      </w:pPr>
    </w:p>
    <w:p w14:paraId="43308712" w14:textId="5AF4F6C7" w:rsidR="002131AC" w:rsidRPr="00450FDB" w:rsidRDefault="009040FC" w:rsidP="007153A8">
      <w:pPr>
        <w:rPr>
          <w:sz w:val="24"/>
          <w:szCs w:val="24"/>
        </w:rPr>
      </w:pPr>
      <w:r w:rsidRPr="00E4135E">
        <w:rPr>
          <w:sz w:val="24"/>
          <w:szCs w:val="24"/>
        </w:rPr>
        <w:t xml:space="preserve">This </w:t>
      </w:r>
      <w:r>
        <w:rPr>
          <w:sz w:val="24"/>
          <w:szCs w:val="24"/>
        </w:rPr>
        <w:t xml:space="preserve">Declaration </w:t>
      </w:r>
      <w:r w:rsidRPr="00E4135E">
        <w:rPr>
          <w:sz w:val="24"/>
          <w:szCs w:val="24"/>
        </w:rPr>
        <w:t>is compatible with human rights as it does not raise any human rights issues.</w:t>
      </w:r>
      <w:r w:rsidR="006B0E01">
        <w:rPr>
          <w:color w:val="00B0F0"/>
          <w:sz w:val="24"/>
          <w:szCs w:val="24"/>
        </w:rPr>
        <w:t xml:space="preserve"> </w:t>
      </w:r>
    </w:p>
    <w:p w14:paraId="304FEFB3" w14:textId="77777777" w:rsidR="007153A8" w:rsidRPr="00450FDB" w:rsidRDefault="007153A8" w:rsidP="007153A8">
      <w:pPr>
        <w:rPr>
          <w:sz w:val="24"/>
          <w:szCs w:val="24"/>
        </w:rPr>
      </w:pPr>
    </w:p>
    <w:p w14:paraId="43308713" w14:textId="77777777" w:rsidR="002131AC" w:rsidRPr="00450FDB" w:rsidRDefault="002131AC" w:rsidP="007153A8">
      <w:pPr>
        <w:rPr>
          <w:sz w:val="24"/>
          <w:szCs w:val="24"/>
          <w:u w:val="single"/>
        </w:rPr>
      </w:pPr>
      <w:r w:rsidRPr="00450FDB">
        <w:rPr>
          <w:sz w:val="24"/>
          <w:szCs w:val="24"/>
          <w:u w:val="single"/>
        </w:rPr>
        <w:t>Consultation</w:t>
      </w:r>
    </w:p>
    <w:p w14:paraId="6A9F391D" w14:textId="094FF31F" w:rsidR="009040FC" w:rsidRPr="00450FDB" w:rsidRDefault="009040FC" w:rsidP="009040FC">
      <w:pPr>
        <w:rPr>
          <w:sz w:val="24"/>
          <w:szCs w:val="24"/>
        </w:rPr>
      </w:pPr>
      <w:r w:rsidRPr="00450FDB">
        <w:rPr>
          <w:sz w:val="24"/>
          <w:szCs w:val="24"/>
        </w:rPr>
        <w:t>The ACMA undertook consultation with affected apparatus licensees</w:t>
      </w:r>
      <w:r w:rsidR="00CC3EB4">
        <w:rPr>
          <w:sz w:val="24"/>
          <w:szCs w:val="24"/>
        </w:rPr>
        <w:t xml:space="preserve"> from 10 </w:t>
      </w:r>
      <w:r w:rsidR="00CC3EB4" w:rsidRPr="00450FDB">
        <w:rPr>
          <w:sz w:val="24"/>
          <w:szCs w:val="24"/>
        </w:rPr>
        <w:t>February 2015 to 11 March 2015</w:t>
      </w:r>
      <w:r w:rsidR="00CC3EB4">
        <w:rPr>
          <w:sz w:val="24"/>
          <w:szCs w:val="24"/>
        </w:rPr>
        <w:t>,</w:t>
      </w:r>
      <w:r w:rsidRPr="00450FDB">
        <w:rPr>
          <w:sz w:val="24"/>
          <w:szCs w:val="24"/>
        </w:rPr>
        <w:t xml:space="preserve"> as required under section 153G of the Act. The ACMA also consulted on other matters relating to the spectrum and auction. Eight submissions were received. These have been published on the ACMA website at www.acma.gov.au. The ACMA had regard to the comments made when developing its final recommendation to the Minister.</w:t>
      </w:r>
    </w:p>
    <w:p w14:paraId="43308718" w14:textId="20E444AE" w:rsidR="00E00750" w:rsidRPr="00450FDB" w:rsidRDefault="00D54AB9" w:rsidP="007B3716">
      <w:pPr>
        <w:keepNext/>
        <w:keepLines/>
        <w:pageBreakBefore/>
        <w:ind w:right="91"/>
        <w:rPr>
          <w:sz w:val="24"/>
          <w:szCs w:val="24"/>
          <w:u w:val="single"/>
        </w:rPr>
      </w:pPr>
      <w:r w:rsidRPr="00450FDB">
        <w:rPr>
          <w:sz w:val="24"/>
          <w:szCs w:val="24"/>
          <w:u w:val="single"/>
        </w:rPr>
        <w:lastRenderedPageBreak/>
        <w:t>N</w:t>
      </w:r>
      <w:r w:rsidR="00E00750" w:rsidRPr="00450FDB">
        <w:rPr>
          <w:sz w:val="24"/>
          <w:szCs w:val="24"/>
          <w:u w:val="single"/>
        </w:rPr>
        <w:t xml:space="preserve">otes on </w:t>
      </w:r>
      <w:r w:rsidR="00A039F2" w:rsidRPr="00450FDB">
        <w:rPr>
          <w:sz w:val="24"/>
          <w:szCs w:val="24"/>
          <w:u w:val="single"/>
        </w:rPr>
        <w:t>Sections</w:t>
      </w:r>
    </w:p>
    <w:p w14:paraId="43308719" w14:textId="77777777" w:rsidR="00E00750" w:rsidRPr="00450FDB" w:rsidRDefault="00E00750" w:rsidP="00E00750">
      <w:pPr>
        <w:ind w:right="91"/>
        <w:rPr>
          <w:sz w:val="24"/>
          <w:szCs w:val="24"/>
        </w:rPr>
      </w:pPr>
    </w:p>
    <w:p w14:paraId="146E6564" w14:textId="702B997B" w:rsidR="001642C6" w:rsidRPr="00450FDB" w:rsidRDefault="001642C6" w:rsidP="00E00750">
      <w:pPr>
        <w:ind w:right="91"/>
        <w:rPr>
          <w:sz w:val="24"/>
          <w:szCs w:val="24"/>
        </w:rPr>
      </w:pPr>
      <w:r w:rsidRPr="00450FDB">
        <w:rPr>
          <w:sz w:val="24"/>
          <w:szCs w:val="24"/>
          <w:u w:val="single"/>
        </w:rPr>
        <w:t xml:space="preserve">Section </w:t>
      </w:r>
      <w:r w:rsidR="00E00750" w:rsidRPr="00450FDB">
        <w:rPr>
          <w:sz w:val="24"/>
          <w:szCs w:val="24"/>
          <w:u w:val="single"/>
        </w:rPr>
        <w:t xml:space="preserve">1 </w:t>
      </w:r>
      <w:r w:rsidRPr="00450FDB">
        <w:rPr>
          <w:sz w:val="24"/>
          <w:szCs w:val="24"/>
          <w:u w:val="single"/>
        </w:rPr>
        <w:t>– Name of instrument</w:t>
      </w:r>
    </w:p>
    <w:p w14:paraId="776125C5" w14:textId="77777777" w:rsidR="001642C6" w:rsidRPr="00450FDB" w:rsidRDefault="001642C6" w:rsidP="00E00750">
      <w:pPr>
        <w:ind w:right="91"/>
        <w:rPr>
          <w:sz w:val="24"/>
          <w:szCs w:val="24"/>
        </w:rPr>
      </w:pPr>
    </w:p>
    <w:p w14:paraId="4330871A" w14:textId="43D04217" w:rsidR="00E00750" w:rsidRPr="00450FDB" w:rsidRDefault="001642C6" w:rsidP="00E00750">
      <w:pPr>
        <w:ind w:right="91"/>
        <w:rPr>
          <w:sz w:val="24"/>
          <w:szCs w:val="24"/>
        </w:rPr>
      </w:pPr>
      <w:r w:rsidRPr="00450FDB">
        <w:rPr>
          <w:sz w:val="24"/>
          <w:szCs w:val="24"/>
        </w:rPr>
        <w:t xml:space="preserve">Section 1 </w:t>
      </w:r>
      <w:r w:rsidR="00E00750" w:rsidRPr="00450FDB">
        <w:rPr>
          <w:sz w:val="24"/>
          <w:szCs w:val="24"/>
        </w:rPr>
        <w:t xml:space="preserve">provides that the name of the </w:t>
      </w:r>
      <w:r w:rsidR="00041326" w:rsidRPr="00450FDB">
        <w:rPr>
          <w:sz w:val="24"/>
          <w:szCs w:val="24"/>
        </w:rPr>
        <w:t>Declaration</w:t>
      </w:r>
      <w:r w:rsidR="005D39C8" w:rsidRPr="00450FDB">
        <w:rPr>
          <w:sz w:val="24"/>
          <w:szCs w:val="24"/>
        </w:rPr>
        <w:t xml:space="preserve"> </w:t>
      </w:r>
      <w:r w:rsidR="00E00750" w:rsidRPr="00450FDB">
        <w:rPr>
          <w:sz w:val="24"/>
          <w:szCs w:val="24"/>
        </w:rPr>
        <w:t xml:space="preserve">is the </w:t>
      </w:r>
      <w:r w:rsidR="00041326" w:rsidRPr="00450FDB">
        <w:rPr>
          <w:i/>
          <w:iCs/>
          <w:sz w:val="24"/>
          <w:szCs w:val="24"/>
        </w:rPr>
        <w:t>Radiocommunications (Spectrum Re-allocation</w:t>
      </w:r>
      <w:r w:rsidR="007A7CCC">
        <w:rPr>
          <w:i/>
          <w:iCs/>
          <w:sz w:val="24"/>
          <w:szCs w:val="24"/>
        </w:rPr>
        <w:t>—Regional 1800 MHz Band</w:t>
      </w:r>
      <w:r w:rsidR="00041326" w:rsidRPr="00450FDB">
        <w:rPr>
          <w:i/>
          <w:iCs/>
          <w:sz w:val="24"/>
          <w:szCs w:val="24"/>
        </w:rPr>
        <w:t>) Declaration 2015</w:t>
      </w:r>
      <w:r w:rsidR="002131AC" w:rsidRPr="00450FDB">
        <w:rPr>
          <w:iCs/>
          <w:sz w:val="24"/>
          <w:szCs w:val="24"/>
        </w:rPr>
        <w:t>.</w:t>
      </w:r>
    </w:p>
    <w:p w14:paraId="4330871B" w14:textId="77777777" w:rsidR="00E00750" w:rsidRPr="00450FDB" w:rsidRDefault="00E00750" w:rsidP="00E00750">
      <w:pPr>
        <w:ind w:right="91"/>
        <w:rPr>
          <w:sz w:val="24"/>
          <w:szCs w:val="24"/>
        </w:rPr>
      </w:pPr>
    </w:p>
    <w:p w14:paraId="23A57115" w14:textId="2977C43F" w:rsidR="001642C6" w:rsidRPr="00450FDB" w:rsidRDefault="001642C6" w:rsidP="00E00750">
      <w:pPr>
        <w:rPr>
          <w:sz w:val="24"/>
          <w:szCs w:val="24"/>
        </w:rPr>
      </w:pPr>
      <w:r w:rsidRPr="00450FDB">
        <w:rPr>
          <w:sz w:val="24"/>
          <w:szCs w:val="24"/>
          <w:u w:val="single"/>
        </w:rPr>
        <w:t xml:space="preserve">Section </w:t>
      </w:r>
      <w:r w:rsidR="00E00750" w:rsidRPr="00450FDB">
        <w:rPr>
          <w:sz w:val="24"/>
          <w:szCs w:val="24"/>
          <w:u w:val="single"/>
        </w:rPr>
        <w:t xml:space="preserve">2 </w:t>
      </w:r>
      <w:r w:rsidRPr="00450FDB">
        <w:rPr>
          <w:sz w:val="24"/>
          <w:szCs w:val="24"/>
          <w:u w:val="single"/>
        </w:rPr>
        <w:t>– Commencement</w:t>
      </w:r>
    </w:p>
    <w:p w14:paraId="3E40DE9B" w14:textId="77777777" w:rsidR="001642C6" w:rsidRPr="00450FDB" w:rsidRDefault="001642C6" w:rsidP="00E00750">
      <w:pPr>
        <w:rPr>
          <w:sz w:val="24"/>
          <w:szCs w:val="24"/>
        </w:rPr>
      </w:pPr>
    </w:p>
    <w:p w14:paraId="4330871C" w14:textId="276F495C" w:rsidR="00E00750" w:rsidRPr="00450FDB" w:rsidRDefault="001642C6" w:rsidP="00E00750">
      <w:pPr>
        <w:rPr>
          <w:sz w:val="24"/>
          <w:szCs w:val="24"/>
        </w:rPr>
      </w:pPr>
      <w:r w:rsidRPr="00450FDB">
        <w:rPr>
          <w:sz w:val="24"/>
          <w:szCs w:val="24"/>
        </w:rPr>
        <w:t xml:space="preserve">Section 2 </w:t>
      </w:r>
      <w:r w:rsidR="00E00750" w:rsidRPr="00450FDB">
        <w:rPr>
          <w:sz w:val="24"/>
          <w:szCs w:val="24"/>
        </w:rPr>
        <w:t xml:space="preserve">provides that the </w:t>
      </w:r>
      <w:r w:rsidR="00041326" w:rsidRPr="00450FDB">
        <w:rPr>
          <w:sz w:val="24"/>
          <w:szCs w:val="24"/>
        </w:rPr>
        <w:t>Declaration</w:t>
      </w:r>
      <w:r w:rsidR="005D39C8" w:rsidRPr="00450FDB">
        <w:rPr>
          <w:sz w:val="24"/>
          <w:szCs w:val="24"/>
        </w:rPr>
        <w:t xml:space="preserve"> </w:t>
      </w:r>
      <w:r w:rsidR="00E00750" w:rsidRPr="00450FDB">
        <w:rPr>
          <w:sz w:val="24"/>
          <w:szCs w:val="24"/>
        </w:rPr>
        <w:t>will commence on</w:t>
      </w:r>
      <w:r w:rsidR="002131AC" w:rsidRPr="00450FDB">
        <w:rPr>
          <w:sz w:val="24"/>
          <w:szCs w:val="24"/>
        </w:rPr>
        <w:t xml:space="preserve"> </w:t>
      </w:r>
      <w:r w:rsidR="005D39C8" w:rsidRPr="00450FDB">
        <w:rPr>
          <w:sz w:val="24"/>
          <w:szCs w:val="24"/>
        </w:rPr>
        <w:t>the day after it is registered on the Federal Register of Legislative Instruments</w:t>
      </w:r>
      <w:r w:rsidR="00E00750" w:rsidRPr="00450FDB">
        <w:rPr>
          <w:sz w:val="24"/>
          <w:szCs w:val="24"/>
        </w:rPr>
        <w:t>.</w:t>
      </w:r>
    </w:p>
    <w:p w14:paraId="4330871D" w14:textId="77777777" w:rsidR="00E00750" w:rsidRPr="00450FDB" w:rsidRDefault="00E00750" w:rsidP="00E00750">
      <w:pPr>
        <w:ind w:right="91"/>
        <w:rPr>
          <w:sz w:val="24"/>
          <w:szCs w:val="24"/>
        </w:rPr>
      </w:pPr>
    </w:p>
    <w:p w14:paraId="43308720" w14:textId="07999516" w:rsidR="003D6754" w:rsidRPr="00450FDB" w:rsidRDefault="001642C6" w:rsidP="002131AC">
      <w:pPr>
        <w:ind w:right="91"/>
        <w:rPr>
          <w:sz w:val="24"/>
          <w:szCs w:val="24"/>
        </w:rPr>
      </w:pPr>
      <w:r w:rsidRPr="00450FDB">
        <w:rPr>
          <w:sz w:val="24"/>
          <w:szCs w:val="24"/>
          <w:u w:val="single"/>
        </w:rPr>
        <w:t xml:space="preserve">Section </w:t>
      </w:r>
      <w:r w:rsidR="00041326" w:rsidRPr="00450FDB">
        <w:rPr>
          <w:sz w:val="24"/>
          <w:szCs w:val="24"/>
          <w:u w:val="single"/>
        </w:rPr>
        <w:t>3</w:t>
      </w:r>
      <w:r w:rsidR="00E00750" w:rsidRPr="00450FDB">
        <w:rPr>
          <w:sz w:val="24"/>
          <w:szCs w:val="24"/>
          <w:u w:val="single"/>
        </w:rPr>
        <w:t xml:space="preserve"> </w:t>
      </w:r>
      <w:r w:rsidR="005D39C8" w:rsidRPr="00450FDB">
        <w:rPr>
          <w:sz w:val="24"/>
          <w:szCs w:val="24"/>
          <w:u w:val="single"/>
        </w:rPr>
        <w:t xml:space="preserve">– </w:t>
      </w:r>
      <w:r w:rsidR="00041326" w:rsidRPr="00450FDB">
        <w:rPr>
          <w:sz w:val="24"/>
          <w:szCs w:val="24"/>
          <w:u w:val="single"/>
        </w:rPr>
        <w:t>Interpretation</w:t>
      </w:r>
    </w:p>
    <w:p w14:paraId="43308721" w14:textId="77777777" w:rsidR="003D6754" w:rsidRPr="00450FDB" w:rsidRDefault="003D6754" w:rsidP="00E00750">
      <w:pPr>
        <w:ind w:right="91"/>
        <w:rPr>
          <w:sz w:val="24"/>
          <w:szCs w:val="24"/>
        </w:rPr>
      </w:pPr>
    </w:p>
    <w:p w14:paraId="231C00F4" w14:textId="27844453" w:rsidR="00CA5C74" w:rsidRPr="00450FDB" w:rsidRDefault="00CA5C74" w:rsidP="00CA5C74">
      <w:pPr>
        <w:ind w:right="91"/>
        <w:rPr>
          <w:sz w:val="24"/>
          <w:szCs w:val="24"/>
        </w:rPr>
      </w:pPr>
      <w:r w:rsidRPr="00450FDB">
        <w:rPr>
          <w:sz w:val="24"/>
          <w:szCs w:val="24"/>
        </w:rPr>
        <w:t>Subsection</w:t>
      </w:r>
      <w:r w:rsidR="005D39C8" w:rsidRPr="00450FDB">
        <w:rPr>
          <w:sz w:val="24"/>
          <w:szCs w:val="24"/>
        </w:rPr>
        <w:t xml:space="preserve"> </w:t>
      </w:r>
      <w:r w:rsidR="00041326" w:rsidRPr="00450FDB">
        <w:rPr>
          <w:sz w:val="24"/>
          <w:szCs w:val="24"/>
        </w:rPr>
        <w:t>3</w:t>
      </w:r>
      <w:r w:rsidRPr="00450FDB">
        <w:rPr>
          <w:sz w:val="24"/>
          <w:szCs w:val="24"/>
        </w:rPr>
        <w:t>(1)</w:t>
      </w:r>
      <w:r w:rsidR="005D39C8" w:rsidRPr="00450FDB">
        <w:rPr>
          <w:sz w:val="24"/>
          <w:szCs w:val="24"/>
        </w:rPr>
        <w:t xml:space="preserve"> defines terms used in the </w:t>
      </w:r>
      <w:r w:rsidR="00041326" w:rsidRPr="00450FDB">
        <w:rPr>
          <w:sz w:val="24"/>
          <w:szCs w:val="24"/>
        </w:rPr>
        <w:t>Declaration</w:t>
      </w:r>
      <w:r w:rsidR="005D39C8" w:rsidRPr="00450FDB">
        <w:rPr>
          <w:sz w:val="24"/>
          <w:szCs w:val="24"/>
        </w:rPr>
        <w:t>.</w:t>
      </w:r>
      <w:r w:rsidR="00041326" w:rsidRPr="00450FDB">
        <w:rPr>
          <w:sz w:val="24"/>
          <w:szCs w:val="24"/>
        </w:rPr>
        <w:t xml:space="preserve"> It defines </w:t>
      </w:r>
      <w:r w:rsidR="00FF75D6">
        <w:rPr>
          <w:sz w:val="24"/>
          <w:szCs w:val="24"/>
        </w:rPr>
        <w:t>‘</w:t>
      </w:r>
      <w:r w:rsidR="00041326" w:rsidRPr="00FF75D6">
        <w:rPr>
          <w:sz w:val="24"/>
          <w:szCs w:val="24"/>
        </w:rPr>
        <w:t>regional Australia</w:t>
      </w:r>
      <w:r w:rsidR="00FF75D6">
        <w:rPr>
          <w:sz w:val="24"/>
          <w:szCs w:val="24"/>
        </w:rPr>
        <w:t>’</w:t>
      </w:r>
      <w:r w:rsidR="00041326" w:rsidRPr="00FF75D6">
        <w:rPr>
          <w:sz w:val="24"/>
          <w:szCs w:val="24"/>
        </w:rPr>
        <w:t xml:space="preserve">, which </w:t>
      </w:r>
      <w:r w:rsidR="007A7CCC">
        <w:rPr>
          <w:sz w:val="24"/>
          <w:szCs w:val="24"/>
        </w:rPr>
        <w:t>comprises</w:t>
      </w:r>
      <w:r w:rsidR="007A7CCC" w:rsidRPr="00FF75D6">
        <w:rPr>
          <w:sz w:val="24"/>
          <w:szCs w:val="24"/>
        </w:rPr>
        <w:t xml:space="preserve"> </w:t>
      </w:r>
      <w:r w:rsidR="00041326" w:rsidRPr="00FF75D6">
        <w:rPr>
          <w:sz w:val="24"/>
          <w:szCs w:val="24"/>
        </w:rPr>
        <w:t>the area</w:t>
      </w:r>
      <w:r w:rsidRPr="00450FDB">
        <w:rPr>
          <w:sz w:val="24"/>
          <w:szCs w:val="24"/>
        </w:rPr>
        <w:t>s</w:t>
      </w:r>
      <w:r w:rsidR="00041326" w:rsidRPr="00450FDB">
        <w:rPr>
          <w:sz w:val="24"/>
          <w:szCs w:val="24"/>
        </w:rPr>
        <w:t xml:space="preserve"> </w:t>
      </w:r>
      <w:r w:rsidRPr="00450FDB">
        <w:rPr>
          <w:sz w:val="24"/>
          <w:szCs w:val="24"/>
        </w:rPr>
        <w:t xml:space="preserve">where </w:t>
      </w:r>
      <w:r w:rsidR="00041326" w:rsidRPr="00450FDB">
        <w:rPr>
          <w:sz w:val="24"/>
          <w:szCs w:val="24"/>
        </w:rPr>
        <w:t xml:space="preserve">the parts of the spectrum </w:t>
      </w:r>
      <w:r w:rsidRPr="00450FDB">
        <w:rPr>
          <w:sz w:val="24"/>
          <w:szCs w:val="24"/>
        </w:rPr>
        <w:t xml:space="preserve">specified in subsection 4(1) </w:t>
      </w:r>
      <w:r w:rsidR="00041326" w:rsidRPr="00450FDB">
        <w:rPr>
          <w:sz w:val="24"/>
          <w:szCs w:val="24"/>
        </w:rPr>
        <w:t>are subject to re-allocation under Part 3.6 of the Act.</w:t>
      </w:r>
      <w:r w:rsidRPr="00450FDB">
        <w:rPr>
          <w:sz w:val="24"/>
          <w:szCs w:val="24"/>
        </w:rPr>
        <w:t xml:space="preserve"> The areas are those specified in the table in clause 1 of Schedule 1, which is discussed below.</w:t>
      </w:r>
    </w:p>
    <w:p w14:paraId="0B8EE79B" w14:textId="77777777" w:rsidR="00CA5C74" w:rsidRPr="00450FDB" w:rsidRDefault="00CA5C74" w:rsidP="00CA5C74">
      <w:pPr>
        <w:ind w:right="91"/>
        <w:rPr>
          <w:sz w:val="24"/>
          <w:szCs w:val="24"/>
        </w:rPr>
      </w:pPr>
    </w:p>
    <w:p w14:paraId="6174F459" w14:textId="18F03CDE" w:rsidR="00CA5C74" w:rsidRPr="00450FDB" w:rsidRDefault="00CA5C74" w:rsidP="00CA5C74">
      <w:pPr>
        <w:ind w:right="91"/>
        <w:rPr>
          <w:sz w:val="24"/>
          <w:szCs w:val="24"/>
        </w:rPr>
      </w:pPr>
      <w:r w:rsidRPr="00450FDB">
        <w:rPr>
          <w:sz w:val="24"/>
          <w:szCs w:val="24"/>
        </w:rPr>
        <w:t xml:space="preserve">The note to subsection 3(1) </w:t>
      </w:r>
      <w:r w:rsidR="003E0BF9">
        <w:rPr>
          <w:sz w:val="24"/>
          <w:szCs w:val="24"/>
        </w:rPr>
        <w:t xml:space="preserve">sets out </w:t>
      </w:r>
      <w:r w:rsidR="002C5119">
        <w:rPr>
          <w:sz w:val="24"/>
          <w:szCs w:val="24"/>
        </w:rPr>
        <w:t>a non-exhaustive</w:t>
      </w:r>
      <w:r w:rsidR="003E0BF9">
        <w:rPr>
          <w:sz w:val="24"/>
          <w:szCs w:val="24"/>
        </w:rPr>
        <w:t xml:space="preserve"> list of</w:t>
      </w:r>
      <w:r w:rsidRPr="00450FDB">
        <w:rPr>
          <w:sz w:val="24"/>
          <w:szCs w:val="24"/>
        </w:rPr>
        <w:t xml:space="preserve"> some terms relevant to the Declaration </w:t>
      </w:r>
      <w:r w:rsidR="003E0BF9">
        <w:rPr>
          <w:sz w:val="24"/>
          <w:szCs w:val="24"/>
        </w:rPr>
        <w:t xml:space="preserve">that </w:t>
      </w:r>
      <w:r w:rsidRPr="00450FDB">
        <w:rPr>
          <w:sz w:val="24"/>
          <w:szCs w:val="24"/>
        </w:rPr>
        <w:t>are defined in the Act.</w:t>
      </w:r>
    </w:p>
    <w:p w14:paraId="4ED7B077" w14:textId="77777777" w:rsidR="00CA5C74" w:rsidRPr="00450FDB" w:rsidRDefault="00CA5C74" w:rsidP="00E00750">
      <w:pPr>
        <w:ind w:right="91"/>
        <w:rPr>
          <w:sz w:val="24"/>
          <w:szCs w:val="24"/>
        </w:rPr>
      </w:pPr>
    </w:p>
    <w:p w14:paraId="4399927B" w14:textId="7B69CE90" w:rsidR="00CA5C74" w:rsidRPr="00450FDB" w:rsidRDefault="00CA5C74" w:rsidP="00E00750">
      <w:pPr>
        <w:ind w:right="91"/>
        <w:rPr>
          <w:sz w:val="24"/>
          <w:szCs w:val="24"/>
        </w:rPr>
      </w:pPr>
      <w:r w:rsidRPr="00450FDB">
        <w:rPr>
          <w:sz w:val="24"/>
          <w:szCs w:val="24"/>
        </w:rPr>
        <w:t>Subsection 3(2) provides that the lower number in a reference to a part of the spectrum is not included in that part of the spectrum, while the higher number is included.</w:t>
      </w:r>
      <w:r w:rsidR="00380022">
        <w:rPr>
          <w:sz w:val="24"/>
          <w:szCs w:val="24"/>
        </w:rPr>
        <w:t xml:space="preserve"> This is to prevent frequency band overlap.</w:t>
      </w:r>
    </w:p>
    <w:p w14:paraId="492B94C7" w14:textId="77777777" w:rsidR="00CA5C74" w:rsidRPr="00450FDB" w:rsidRDefault="00CA5C74" w:rsidP="00E00750">
      <w:pPr>
        <w:ind w:right="91"/>
        <w:rPr>
          <w:sz w:val="24"/>
          <w:szCs w:val="24"/>
        </w:rPr>
      </w:pPr>
    </w:p>
    <w:p w14:paraId="4A1B64C9" w14:textId="5ACF8DE6" w:rsidR="00CA5C74" w:rsidRPr="00450FDB" w:rsidRDefault="00CA5C74" w:rsidP="00CA5C74">
      <w:pPr>
        <w:ind w:right="91"/>
        <w:rPr>
          <w:sz w:val="24"/>
          <w:szCs w:val="24"/>
        </w:rPr>
      </w:pPr>
      <w:r w:rsidRPr="00450FDB">
        <w:rPr>
          <w:sz w:val="24"/>
          <w:szCs w:val="24"/>
          <w:u w:val="single"/>
        </w:rPr>
        <w:t>Section 4 – Spectrum re-allocation</w:t>
      </w:r>
    </w:p>
    <w:p w14:paraId="55EE4D7A" w14:textId="77777777" w:rsidR="005D39C8" w:rsidRPr="00450FDB" w:rsidRDefault="005D39C8" w:rsidP="00E00750">
      <w:pPr>
        <w:ind w:right="91"/>
        <w:rPr>
          <w:sz w:val="24"/>
          <w:szCs w:val="24"/>
        </w:rPr>
      </w:pPr>
    </w:p>
    <w:p w14:paraId="58655AEF" w14:textId="25C99FD3" w:rsidR="00190B32" w:rsidRPr="00450FDB" w:rsidRDefault="00190B32" w:rsidP="00CA5C74">
      <w:pPr>
        <w:ind w:right="91"/>
        <w:rPr>
          <w:sz w:val="24"/>
          <w:szCs w:val="24"/>
        </w:rPr>
      </w:pPr>
      <w:r w:rsidRPr="00450FDB">
        <w:rPr>
          <w:sz w:val="24"/>
          <w:szCs w:val="24"/>
        </w:rPr>
        <w:t>Section 4 sets out the parameters for the re-allocation of spectrum in accordance with section 153B of the Act.</w:t>
      </w:r>
    </w:p>
    <w:p w14:paraId="435E7970" w14:textId="77777777" w:rsidR="00190B32" w:rsidRPr="00450FDB" w:rsidRDefault="00190B32" w:rsidP="00CA5C74">
      <w:pPr>
        <w:ind w:right="91"/>
        <w:rPr>
          <w:sz w:val="24"/>
          <w:szCs w:val="24"/>
        </w:rPr>
      </w:pPr>
    </w:p>
    <w:p w14:paraId="67AE849B" w14:textId="43052DB4" w:rsidR="00CA5C74" w:rsidRPr="00450FDB" w:rsidRDefault="00CA5C74" w:rsidP="00CA5C74">
      <w:pPr>
        <w:ind w:right="91"/>
        <w:rPr>
          <w:sz w:val="24"/>
          <w:szCs w:val="24"/>
        </w:rPr>
      </w:pPr>
      <w:r w:rsidRPr="00450FDB">
        <w:rPr>
          <w:sz w:val="24"/>
          <w:szCs w:val="24"/>
        </w:rPr>
        <w:t xml:space="preserve">Subsection 4(1) provides that two parts of the spectrum will be subject to re-allocation under Part 3.6 of the Act. These </w:t>
      </w:r>
      <w:r w:rsidR="00190B32" w:rsidRPr="00450FDB">
        <w:rPr>
          <w:sz w:val="24"/>
          <w:szCs w:val="24"/>
        </w:rPr>
        <w:t xml:space="preserve">parts </w:t>
      </w:r>
      <w:r w:rsidRPr="00450FDB">
        <w:rPr>
          <w:sz w:val="24"/>
          <w:szCs w:val="24"/>
        </w:rPr>
        <w:t>are 1725 MHz to 1785 MHz and 1820 MHz to 1880 MHz (the regional 1800 MHz band). Due to subsection 3(2), 1725 MHz and 1820 MHZ are not included in the respective parts of the spectrum.</w:t>
      </w:r>
    </w:p>
    <w:p w14:paraId="2DCA2F10" w14:textId="77777777" w:rsidR="00CA5C74" w:rsidRPr="00450FDB" w:rsidRDefault="00CA5C74" w:rsidP="00CA5C74">
      <w:pPr>
        <w:ind w:right="91"/>
        <w:rPr>
          <w:sz w:val="24"/>
          <w:szCs w:val="24"/>
        </w:rPr>
      </w:pPr>
    </w:p>
    <w:p w14:paraId="407C47A3" w14:textId="28753AEB" w:rsidR="00CA5C74" w:rsidRPr="00450FDB" w:rsidRDefault="00CA5C74" w:rsidP="00CA5C74">
      <w:pPr>
        <w:ind w:right="91"/>
        <w:rPr>
          <w:sz w:val="24"/>
          <w:szCs w:val="24"/>
        </w:rPr>
      </w:pPr>
      <w:r w:rsidRPr="00450FDB">
        <w:rPr>
          <w:sz w:val="24"/>
          <w:szCs w:val="24"/>
        </w:rPr>
        <w:t xml:space="preserve">Subsection 4(2) provides that the declaration applies with respect to regional Australia. Regional Australia is defined in subsection 3(1) as those areas specified in the table in clause 1 of Schedule 1, which is discussed below. The effect of this subsection is to </w:t>
      </w:r>
      <w:r w:rsidR="001D7EAD" w:rsidRPr="00450FDB">
        <w:rPr>
          <w:sz w:val="24"/>
          <w:szCs w:val="24"/>
        </w:rPr>
        <w:t xml:space="preserve">geographically </w:t>
      </w:r>
      <w:r w:rsidRPr="00450FDB">
        <w:rPr>
          <w:sz w:val="24"/>
          <w:szCs w:val="24"/>
        </w:rPr>
        <w:t>limit the re-allocation of the parts of the spectrum in the regional 1800 MHz band to those parts of Australia specified in Schedule 1</w:t>
      </w:r>
      <w:r w:rsidR="00467678" w:rsidRPr="00450FDB">
        <w:rPr>
          <w:sz w:val="24"/>
          <w:szCs w:val="24"/>
        </w:rPr>
        <w:t xml:space="preserve"> as regional Australia</w:t>
      </w:r>
      <w:r w:rsidRPr="00450FDB">
        <w:rPr>
          <w:sz w:val="24"/>
          <w:szCs w:val="24"/>
        </w:rPr>
        <w:t xml:space="preserve">. In </w:t>
      </w:r>
      <w:r w:rsidR="001D7EAD" w:rsidRPr="00450FDB">
        <w:rPr>
          <w:sz w:val="24"/>
          <w:szCs w:val="24"/>
        </w:rPr>
        <w:t xml:space="preserve">metropolitan </w:t>
      </w:r>
      <w:r w:rsidRPr="00450FDB">
        <w:rPr>
          <w:sz w:val="24"/>
          <w:szCs w:val="24"/>
        </w:rPr>
        <w:t>Australia, these parts of the spectrum are already licensed using spectrum licences.</w:t>
      </w:r>
    </w:p>
    <w:p w14:paraId="421E8CEB" w14:textId="77777777" w:rsidR="00CA5C74" w:rsidRPr="00450FDB" w:rsidRDefault="00CA5C74" w:rsidP="00CA5C74">
      <w:pPr>
        <w:ind w:right="91"/>
        <w:rPr>
          <w:sz w:val="24"/>
          <w:szCs w:val="24"/>
        </w:rPr>
      </w:pPr>
    </w:p>
    <w:p w14:paraId="08664DEF" w14:textId="44BF5CB1" w:rsidR="00CA5C74" w:rsidRPr="00450FDB" w:rsidRDefault="00CA5C74" w:rsidP="00CA5C74">
      <w:pPr>
        <w:ind w:right="91"/>
        <w:rPr>
          <w:sz w:val="24"/>
          <w:szCs w:val="24"/>
        </w:rPr>
      </w:pPr>
      <w:r w:rsidRPr="00450FDB">
        <w:rPr>
          <w:sz w:val="24"/>
          <w:szCs w:val="24"/>
        </w:rPr>
        <w:t xml:space="preserve">Subsection 4(3) provides that, due to </w:t>
      </w:r>
      <w:r w:rsidR="00C12DAE" w:rsidRPr="00450FDB">
        <w:rPr>
          <w:sz w:val="24"/>
          <w:szCs w:val="24"/>
        </w:rPr>
        <w:t>section 153L of the Act</w:t>
      </w:r>
      <w:r w:rsidR="00C82F92" w:rsidRPr="00450FDB">
        <w:rPr>
          <w:sz w:val="24"/>
          <w:szCs w:val="24"/>
        </w:rPr>
        <w:t>, the</w:t>
      </w:r>
      <w:r w:rsidRPr="00450FDB">
        <w:rPr>
          <w:sz w:val="24"/>
          <w:szCs w:val="24"/>
        </w:rPr>
        <w:t xml:space="preserve"> ACMA must re-allocate parts of the spectrum in the regional 1800 MHz band </w:t>
      </w:r>
      <w:r w:rsidR="00C12DAE" w:rsidRPr="00450FDB">
        <w:rPr>
          <w:sz w:val="24"/>
          <w:szCs w:val="24"/>
        </w:rPr>
        <w:t xml:space="preserve">by issuing </w:t>
      </w:r>
      <w:r w:rsidR="00C82F92" w:rsidRPr="00450FDB">
        <w:rPr>
          <w:sz w:val="24"/>
          <w:szCs w:val="24"/>
        </w:rPr>
        <w:t>spectrum licences</w:t>
      </w:r>
      <w:r w:rsidR="00C12DAE" w:rsidRPr="00450FDB">
        <w:rPr>
          <w:sz w:val="24"/>
          <w:szCs w:val="24"/>
        </w:rPr>
        <w:t xml:space="preserve"> under Subdivision B of Division 1 of Part 3.2 of the Act in accordance with a marketing plan prepared under section 39A of the Act</w:t>
      </w:r>
      <w:r w:rsidR="00C82F92" w:rsidRPr="00450FDB">
        <w:rPr>
          <w:sz w:val="24"/>
          <w:szCs w:val="24"/>
        </w:rPr>
        <w:t>.</w:t>
      </w:r>
    </w:p>
    <w:p w14:paraId="0D2E333C" w14:textId="77777777" w:rsidR="00C82F92" w:rsidRPr="00450FDB" w:rsidRDefault="00C82F92" w:rsidP="00CA5C74">
      <w:pPr>
        <w:ind w:right="91"/>
        <w:rPr>
          <w:sz w:val="24"/>
          <w:szCs w:val="24"/>
        </w:rPr>
      </w:pPr>
    </w:p>
    <w:p w14:paraId="443C5A91" w14:textId="535BD582" w:rsidR="00990365" w:rsidRPr="00450FDB" w:rsidRDefault="00C82F92" w:rsidP="00CA5C74">
      <w:pPr>
        <w:ind w:right="91"/>
        <w:rPr>
          <w:sz w:val="24"/>
          <w:szCs w:val="24"/>
        </w:rPr>
      </w:pPr>
      <w:r w:rsidRPr="00450FDB">
        <w:rPr>
          <w:sz w:val="24"/>
          <w:szCs w:val="24"/>
        </w:rPr>
        <w:t>Subsection 4(4) provides that the re-allocation period for the declaration is two years beginning on the day that the Declaration commences.</w:t>
      </w:r>
      <w:r w:rsidR="00990365" w:rsidRPr="00450FDB">
        <w:rPr>
          <w:sz w:val="24"/>
          <w:szCs w:val="24"/>
        </w:rPr>
        <w:t xml:space="preserve"> This is the period within which the ACMA is to complete the re-allocation process. Subsection 153B(4) of the Act requires the re-allocation period to begin within 28 days after a declaration is made, and run for at least two years.</w:t>
      </w:r>
      <w:r w:rsidR="004A1DDA" w:rsidRPr="00450FDB">
        <w:rPr>
          <w:sz w:val="24"/>
          <w:szCs w:val="24"/>
        </w:rPr>
        <w:t xml:space="preserve"> </w:t>
      </w:r>
      <w:r w:rsidR="008D3D1A" w:rsidRPr="00450FDB">
        <w:rPr>
          <w:sz w:val="24"/>
          <w:szCs w:val="24"/>
        </w:rPr>
        <w:t>No new apparatus licences may be issued during the re-allocation period except by way of renewal, or in other circumstances specified in section 153P</w:t>
      </w:r>
      <w:r w:rsidR="00467678" w:rsidRPr="00450FDB">
        <w:rPr>
          <w:sz w:val="24"/>
          <w:szCs w:val="24"/>
        </w:rPr>
        <w:t xml:space="preserve"> of the Act</w:t>
      </w:r>
      <w:r w:rsidR="008D3D1A" w:rsidRPr="00450FDB">
        <w:rPr>
          <w:sz w:val="24"/>
          <w:szCs w:val="24"/>
        </w:rPr>
        <w:t xml:space="preserve">. </w:t>
      </w:r>
      <w:r w:rsidR="004A1DDA" w:rsidRPr="00450FDB">
        <w:rPr>
          <w:sz w:val="24"/>
          <w:szCs w:val="24"/>
        </w:rPr>
        <w:t xml:space="preserve">All apparatus licences </w:t>
      </w:r>
      <w:r w:rsidR="008D3D1A" w:rsidRPr="00450FDB">
        <w:rPr>
          <w:sz w:val="24"/>
          <w:szCs w:val="24"/>
        </w:rPr>
        <w:t xml:space="preserve">affected by the Declaration </w:t>
      </w:r>
      <w:r w:rsidR="006B63C6">
        <w:rPr>
          <w:sz w:val="24"/>
          <w:szCs w:val="24"/>
        </w:rPr>
        <w:t>are</w:t>
      </w:r>
      <w:r w:rsidR="008D3D1A" w:rsidRPr="00450FDB">
        <w:rPr>
          <w:sz w:val="24"/>
          <w:szCs w:val="24"/>
        </w:rPr>
        <w:t xml:space="preserve"> cancelled under section 153H </w:t>
      </w:r>
      <w:r w:rsidR="00467678" w:rsidRPr="00450FDB">
        <w:rPr>
          <w:sz w:val="24"/>
          <w:szCs w:val="24"/>
        </w:rPr>
        <w:t xml:space="preserve">of the Act </w:t>
      </w:r>
      <w:r w:rsidR="008D3D1A" w:rsidRPr="00450FDB">
        <w:rPr>
          <w:sz w:val="24"/>
          <w:szCs w:val="24"/>
        </w:rPr>
        <w:t>at the end of the re-allocation period. Apparatus licences may not be issued or renewed after the end of the re-allocation period except in circumstances specified in section 153P</w:t>
      </w:r>
      <w:r w:rsidR="00467678" w:rsidRPr="00450FDB">
        <w:rPr>
          <w:sz w:val="24"/>
          <w:szCs w:val="24"/>
        </w:rPr>
        <w:t xml:space="preserve"> of the Act</w:t>
      </w:r>
      <w:r w:rsidR="008D3D1A" w:rsidRPr="00450FDB">
        <w:rPr>
          <w:sz w:val="24"/>
          <w:szCs w:val="24"/>
        </w:rPr>
        <w:t>.</w:t>
      </w:r>
    </w:p>
    <w:p w14:paraId="5F40D5D9" w14:textId="77777777" w:rsidR="00990365" w:rsidRPr="00450FDB" w:rsidRDefault="00990365" w:rsidP="00CA5C74">
      <w:pPr>
        <w:ind w:right="91"/>
        <w:rPr>
          <w:sz w:val="24"/>
          <w:szCs w:val="24"/>
        </w:rPr>
      </w:pPr>
    </w:p>
    <w:p w14:paraId="4539DF42" w14:textId="42222FCD" w:rsidR="00C82F92" w:rsidRPr="00450FDB" w:rsidRDefault="00C82F92" w:rsidP="00CA5C74">
      <w:pPr>
        <w:ind w:right="91"/>
        <w:rPr>
          <w:sz w:val="24"/>
          <w:szCs w:val="24"/>
        </w:rPr>
      </w:pPr>
      <w:r w:rsidRPr="00450FDB">
        <w:rPr>
          <w:sz w:val="24"/>
          <w:szCs w:val="24"/>
        </w:rPr>
        <w:t>Subsection 4(5) provides that the re-allocation deadline for the declaration is the day before the first anniversary of the commencement of the Declaration.</w:t>
      </w:r>
      <w:r w:rsidR="00990365" w:rsidRPr="00450FDB">
        <w:rPr>
          <w:sz w:val="24"/>
          <w:szCs w:val="24"/>
        </w:rPr>
        <w:t xml:space="preserve"> This is the day by which at least one licence must have been allocated by the ACMA. If no licences are </w:t>
      </w:r>
      <w:r w:rsidR="00D971CC">
        <w:rPr>
          <w:sz w:val="24"/>
          <w:szCs w:val="24"/>
        </w:rPr>
        <w:t>allocated</w:t>
      </w:r>
      <w:r w:rsidR="00D971CC" w:rsidRPr="00450FDB">
        <w:rPr>
          <w:sz w:val="24"/>
          <w:szCs w:val="24"/>
        </w:rPr>
        <w:t xml:space="preserve"> </w:t>
      </w:r>
      <w:r w:rsidR="00990365" w:rsidRPr="00450FDB">
        <w:rPr>
          <w:sz w:val="24"/>
          <w:szCs w:val="24"/>
        </w:rPr>
        <w:t xml:space="preserve">before the re-allocation deadline, the declaration is taken to have been revoked immediately after the re-allocation deadline by section 153K of the Act. Subsection 153B(5) of the Act requires the re-allocation deadline </w:t>
      </w:r>
      <w:r w:rsidR="004406B2" w:rsidRPr="00450FDB">
        <w:rPr>
          <w:sz w:val="24"/>
          <w:szCs w:val="24"/>
        </w:rPr>
        <w:t xml:space="preserve">to be </w:t>
      </w:r>
      <w:r w:rsidR="00990365" w:rsidRPr="00450FDB">
        <w:rPr>
          <w:sz w:val="24"/>
          <w:szCs w:val="24"/>
        </w:rPr>
        <w:t>at least twelve months before the end of the re-allocation period.</w:t>
      </w:r>
    </w:p>
    <w:p w14:paraId="5F3D021A" w14:textId="77777777" w:rsidR="00CA5C74" w:rsidRPr="00450FDB" w:rsidRDefault="00CA5C74" w:rsidP="00E00750">
      <w:pPr>
        <w:ind w:right="91"/>
        <w:rPr>
          <w:sz w:val="24"/>
          <w:szCs w:val="24"/>
        </w:rPr>
      </w:pPr>
    </w:p>
    <w:p w14:paraId="05366B76" w14:textId="107872B8" w:rsidR="007B6152" w:rsidRPr="00450FDB" w:rsidRDefault="007B6152" w:rsidP="00E00750">
      <w:pPr>
        <w:ind w:right="91"/>
        <w:rPr>
          <w:b/>
          <w:sz w:val="24"/>
          <w:szCs w:val="24"/>
        </w:rPr>
      </w:pPr>
      <w:r w:rsidRPr="00450FDB">
        <w:rPr>
          <w:b/>
          <w:sz w:val="24"/>
          <w:szCs w:val="24"/>
        </w:rPr>
        <w:t xml:space="preserve">Schedule 1 – </w:t>
      </w:r>
      <w:r w:rsidR="00C82F92" w:rsidRPr="00450FDB">
        <w:rPr>
          <w:b/>
          <w:sz w:val="24"/>
          <w:szCs w:val="24"/>
        </w:rPr>
        <w:t>Areas for re-allocation</w:t>
      </w:r>
    </w:p>
    <w:p w14:paraId="7FA9FBFD" w14:textId="77777777" w:rsidR="007B6152" w:rsidRPr="00450FDB" w:rsidRDefault="007B6152" w:rsidP="00E00750">
      <w:pPr>
        <w:ind w:right="91"/>
        <w:rPr>
          <w:sz w:val="24"/>
          <w:szCs w:val="24"/>
        </w:rPr>
      </w:pPr>
    </w:p>
    <w:p w14:paraId="43308724" w14:textId="4A84848A" w:rsidR="002C0CD5" w:rsidRPr="00450FDB" w:rsidRDefault="00C82F92" w:rsidP="00457EB8">
      <w:pPr>
        <w:ind w:right="91"/>
        <w:rPr>
          <w:sz w:val="24"/>
          <w:szCs w:val="24"/>
        </w:rPr>
      </w:pPr>
      <w:r w:rsidRPr="00450FDB">
        <w:rPr>
          <w:sz w:val="24"/>
          <w:szCs w:val="24"/>
          <w:u w:val="single"/>
        </w:rPr>
        <w:t>Clause</w:t>
      </w:r>
      <w:r w:rsidR="007B6152" w:rsidRPr="00450FDB">
        <w:rPr>
          <w:sz w:val="24"/>
          <w:szCs w:val="24"/>
          <w:u w:val="single"/>
        </w:rPr>
        <w:t xml:space="preserve"> 1 – </w:t>
      </w:r>
      <w:r w:rsidRPr="00450FDB">
        <w:rPr>
          <w:sz w:val="24"/>
          <w:szCs w:val="24"/>
          <w:u w:val="single"/>
        </w:rPr>
        <w:t>Regional Australia</w:t>
      </w:r>
    </w:p>
    <w:p w14:paraId="3E5FB6E7" w14:textId="77777777" w:rsidR="00457EB8" w:rsidRPr="00450FDB" w:rsidRDefault="00457EB8" w:rsidP="00457EB8">
      <w:pPr>
        <w:ind w:right="91"/>
        <w:rPr>
          <w:sz w:val="24"/>
          <w:szCs w:val="24"/>
        </w:rPr>
      </w:pPr>
    </w:p>
    <w:p w14:paraId="72E3E7B9" w14:textId="15BDFCDD" w:rsidR="00190B32" w:rsidRPr="00450FDB" w:rsidRDefault="00C82F92" w:rsidP="00C82F92">
      <w:pPr>
        <w:ind w:right="91"/>
        <w:rPr>
          <w:sz w:val="24"/>
          <w:szCs w:val="24"/>
        </w:rPr>
      </w:pPr>
      <w:r w:rsidRPr="00450FDB">
        <w:rPr>
          <w:sz w:val="24"/>
          <w:szCs w:val="24"/>
        </w:rPr>
        <w:t>The table in clause 1 sets out the areas which form regional Australia for the purposes of the Declaration. In turn, these area</w:t>
      </w:r>
      <w:r w:rsidR="00EA181A">
        <w:rPr>
          <w:sz w:val="24"/>
          <w:szCs w:val="24"/>
        </w:rPr>
        <w:t>s are</w:t>
      </w:r>
      <w:r w:rsidRPr="00450FDB">
        <w:rPr>
          <w:sz w:val="24"/>
          <w:szCs w:val="24"/>
        </w:rPr>
        <w:t xml:space="preserve"> the areas which will be subject to re-allocation under Part 3.6 of the Act for the parts of the spectrum in the regional 1800 MHz band.</w:t>
      </w:r>
      <w:r w:rsidR="00190B32" w:rsidRPr="00450FDB">
        <w:rPr>
          <w:sz w:val="24"/>
          <w:szCs w:val="24"/>
        </w:rPr>
        <w:t xml:space="preserve"> An illustrative map of regional Australia </w:t>
      </w:r>
      <w:r w:rsidR="00F50603" w:rsidRPr="00450FDB">
        <w:rPr>
          <w:sz w:val="24"/>
          <w:szCs w:val="24"/>
        </w:rPr>
        <w:t xml:space="preserve">for the Declaration </w:t>
      </w:r>
      <w:r w:rsidR="00190B32" w:rsidRPr="00450FDB">
        <w:rPr>
          <w:sz w:val="24"/>
          <w:szCs w:val="24"/>
        </w:rPr>
        <w:t xml:space="preserve">(the areas </w:t>
      </w:r>
      <w:r w:rsidR="001D7EAD" w:rsidRPr="00450FDB">
        <w:rPr>
          <w:sz w:val="24"/>
          <w:szCs w:val="24"/>
        </w:rPr>
        <w:t xml:space="preserve">marked </w:t>
      </w:r>
      <w:r w:rsidR="00190B32" w:rsidRPr="00450FDB">
        <w:rPr>
          <w:sz w:val="24"/>
          <w:szCs w:val="24"/>
        </w:rPr>
        <w:t>in red) is included below.</w:t>
      </w:r>
    </w:p>
    <w:p w14:paraId="64004ED5" w14:textId="77777777" w:rsidR="00190B32" w:rsidRPr="00450FDB" w:rsidRDefault="00190B32" w:rsidP="00C82F92">
      <w:pPr>
        <w:ind w:right="91"/>
        <w:rPr>
          <w:sz w:val="24"/>
          <w:szCs w:val="24"/>
        </w:rPr>
      </w:pPr>
    </w:p>
    <w:p w14:paraId="12EADCAB" w14:textId="39ECD716" w:rsidR="00190B32" w:rsidRPr="00840152" w:rsidRDefault="00190B32" w:rsidP="00C82F92">
      <w:pPr>
        <w:ind w:right="91"/>
        <w:rPr>
          <w:sz w:val="24"/>
          <w:szCs w:val="24"/>
        </w:rPr>
      </w:pPr>
      <w:r w:rsidRPr="00450FDB">
        <w:rPr>
          <w:noProof/>
        </w:rPr>
        <w:drawing>
          <wp:inline distT="0" distB="0" distL="0" distR="0" wp14:anchorId="4E043285" wp14:editId="13024031">
            <wp:extent cx="5278120" cy="3747770"/>
            <wp:effectExtent l="0" t="0" r="0" b="5080"/>
            <wp:docPr id="23" name="Picture 23" descr="This image is a map of Australia that highlights the regional area indentified using HCIS. The regional area is predominately the Eastern seaboard, Tasmania, regional Victoria, regional South Australia, Darwin and the area outside of Perth in Western Australia. It does not include Brisbane, Sydney, Melbourne, Adelaide and Perth." title="Map of regional Australia as described by HCIS identifiers"/>
            <wp:cNvGraphicFramePr/>
            <a:graphic xmlns:a="http://schemas.openxmlformats.org/drawingml/2006/main">
              <a:graphicData uri="http://schemas.openxmlformats.org/drawingml/2006/picture">
                <pic:pic xmlns:pic="http://schemas.openxmlformats.org/drawingml/2006/picture">
                  <pic:nvPicPr>
                    <pic:cNvPr id="23" name="Picture 23" descr="This image is a map of Australia that highlights the regional area indentified using HCIS. The regional area is predominately the Eastern seaboard, Tasmania, regional Victoria, regional South Australia, Darwin and the area outside of Perth in Western Australia. It does not include Brisbane, Sydney, Melbourne, Adelaide and Perth." title="Map of regional Australia as described by HCIS identifier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3747770"/>
                    </a:xfrm>
                    <a:prstGeom prst="rect">
                      <a:avLst/>
                    </a:prstGeom>
                    <a:noFill/>
                  </pic:spPr>
                </pic:pic>
              </a:graphicData>
            </a:graphic>
          </wp:inline>
        </w:drawing>
      </w:r>
    </w:p>
    <w:p w14:paraId="6C00B9C7" w14:textId="77777777" w:rsidR="00190B32" w:rsidRPr="00840152" w:rsidRDefault="00190B32" w:rsidP="00C82F92">
      <w:pPr>
        <w:ind w:right="91"/>
        <w:rPr>
          <w:sz w:val="24"/>
          <w:szCs w:val="24"/>
        </w:rPr>
      </w:pPr>
    </w:p>
    <w:p w14:paraId="1BE7365C" w14:textId="77777777" w:rsidR="00C82F92" w:rsidRPr="00840152" w:rsidRDefault="00C82F92" w:rsidP="00C82F92">
      <w:pPr>
        <w:ind w:right="91"/>
        <w:rPr>
          <w:sz w:val="24"/>
          <w:szCs w:val="24"/>
        </w:rPr>
      </w:pPr>
      <w:r w:rsidRPr="00450FDB">
        <w:rPr>
          <w:sz w:val="24"/>
          <w:szCs w:val="24"/>
        </w:rPr>
        <w:t xml:space="preserve">These areas are set out using the ACMA’s Hierarchical Cell Identification Scheme (HCIS). The HCIS is a naming convention for the Australian Spectrum Map Grid 2012 (ASMG). The ASMG is a system used by the ACMA to define geographic areas for radiocommunications licensing. A document describing the ASMG, as well as the spatial datasets describing each HCIS area was, at the time this explanatory statement was published, available on the ACMA’s website at </w:t>
      </w:r>
      <w:hyperlink r:id="rId12" w:history="1">
        <w:r w:rsidRPr="00840152">
          <w:rPr>
            <w:rStyle w:val="Hyperlink"/>
            <w:sz w:val="24"/>
            <w:szCs w:val="24"/>
          </w:rPr>
          <w:t>http://www.acma.gov.au/Industry/Spectrum/Radiocomms-licensing/Spectrum-licences/spectrum_23</w:t>
        </w:r>
      </w:hyperlink>
      <w:r w:rsidRPr="00840152">
        <w:rPr>
          <w:sz w:val="24"/>
          <w:szCs w:val="24"/>
        </w:rPr>
        <w:t>.</w:t>
      </w:r>
    </w:p>
    <w:p w14:paraId="47B1DA52" w14:textId="77777777" w:rsidR="00C82F92" w:rsidRPr="00450FDB" w:rsidRDefault="00C82F92" w:rsidP="00C82F92">
      <w:pPr>
        <w:ind w:right="91"/>
        <w:rPr>
          <w:sz w:val="24"/>
          <w:szCs w:val="24"/>
        </w:rPr>
      </w:pPr>
    </w:p>
    <w:p w14:paraId="49FAF075" w14:textId="6E6AA382" w:rsidR="00C82F92" w:rsidRPr="00450FDB" w:rsidRDefault="00C82F92" w:rsidP="00C82F92">
      <w:pPr>
        <w:ind w:right="91"/>
        <w:rPr>
          <w:sz w:val="24"/>
          <w:szCs w:val="24"/>
        </w:rPr>
      </w:pPr>
      <w:r w:rsidRPr="00450FDB">
        <w:rPr>
          <w:sz w:val="24"/>
          <w:szCs w:val="24"/>
        </w:rPr>
        <w:t xml:space="preserve">Additionally, the HCIS areas listed in the table may be converted into a Placemark file on the ACMA’s website at </w:t>
      </w:r>
      <w:hyperlink r:id="rId13" w:history="1">
        <w:r w:rsidRPr="00840152">
          <w:rPr>
            <w:rStyle w:val="Hyperlink"/>
            <w:sz w:val="24"/>
            <w:szCs w:val="24"/>
          </w:rPr>
          <w:t>http://www.acma.gov.au/theACMA/convert-hcis-area-description-to-a-placemark</w:t>
        </w:r>
      </w:hyperlink>
      <w:r w:rsidRPr="00840152">
        <w:rPr>
          <w:sz w:val="24"/>
          <w:szCs w:val="24"/>
        </w:rPr>
        <w:t>. A P</w:t>
      </w:r>
      <w:r w:rsidRPr="00FF75D6">
        <w:rPr>
          <w:sz w:val="24"/>
          <w:szCs w:val="24"/>
        </w:rPr>
        <w:t xml:space="preserve">lacemark file may then </w:t>
      </w:r>
      <w:r w:rsidRPr="00450FDB">
        <w:rPr>
          <w:sz w:val="24"/>
          <w:szCs w:val="24"/>
        </w:rPr>
        <w:t>be used by computer mapping software such as Google Earth to visualise the areas proposed for re-allocation under the Declaration.</w:t>
      </w:r>
    </w:p>
    <w:sectPr w:rsidR="00C82F92" w:rsidRPr="00450FDB" w:rsidSect="002C0CD5">
      <w:headerReference w:type="default" r:id="rId14"/>
      <w:footerReference w:type="first" r:id="rId15"/>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E73B2" w14:textId="77777777" w:rsidR="00980724" w:rsidRDefault="00980724" w:rsidP="009A5536">
      <w:r>
        <w:separator/>
      </w:r>
    </w:p>
  </w:endnote>
  <w:endnote w:type="continuationSeparator" w:id="0">
    <w:p w14:paraId="4A528009" w14:textId="77777777" w:rsidR="00980724" w:rsidRDefault="00980724" w:rsidP="009A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872A" w14:textId="77777777" w:rsidR="00B4606A" w:rsidRDefault="00B4606A">
    <w:pPr>
      <w:pStyle w:val="Footer"/>
      <w:jc w:val="center"/>
    </w:pPr>
  </w:p>
  <w:p w14:paraId="4330872B" w14:textId="77777777" w:rsidR="00B4606A" w:rsidRDefault="00B46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92502" w14:textId="77777777" w:rsidR="00980724" w:rsidRDefault="00980724" w:rsidP="009A5536">
      <w:r>
        <w:separator/>
      </w:r>
    </w:p>
  </w:footnote>
  <w:footnote w:type="continuationSeparator" w:id="0">
    <w:p w14:paraId="44E2A99E" w14:textId="77777777" w:rsidR="00980724" w:rsidRDefault="00980724" w:rsidP="009A5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08729" w14:textId="77777777" w:rsidR="00B4606A" w:rsidRDefault="00B4606A">
    <w:pPr>
      <w:pStyle w:val="Header"/>
    </w:pPr>
    <w:r>
      <w:tab/>
    </w:r>
    <w:r>
      <w:rPr>
        <w:rStyle w:val="PageNumber"/>
      </w:rPr>
      <w:fldChar w:fldCharType="begin"/>
    </w:r>
    <w:r>
      <w:rPr>
        <w:rStyle w:val="PageNumber"/>
      </w:rPr>
      <w:instrText xml:space="preserve"> PAGE </w:instrText>
    </w:r>
    <w:r>
      <w:rPr>
        <w:rStyle w:val="PageNumber"/>
      </w:rPr>
      <w:fldChar w:fldCharType="separate"/>
    </w:r>
    <w:r w:rsidR="00C7382D">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40190"/>
    <w:multiLevelType w:val="hybridMultilevel"/>
    <w:tmpl w:val="51F45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D5"/>
    <w:rsid w:val="00005672"/>
    <w:rsid w:val="00014D0F"/>
    <w:rsid w:val="000214C5"/>
    <w:rsid w:val="00041326"/>
    <w:rsid w:val="00052478"/>
    <w:rsid w:val="000535FE"/>
    <w:rsid w:val="00065CC7"/>
    <w:rsid w:val="000748D2"/>
    <w:rsid w:val="0009720F"/>
    <w:rsid w:val="000A704C"/>
    <w:rsid w:val="000E0557"/>
    <w:rsid w:val="000E2948"/>
    <w:rsid w:val="000E4D85"/>
    <w:rsid w:val="000F00D4"/>
    <w:rsid w:val="001013DD"/>
    <w:rsid w:val="001025F0"/>
    <w:rsid w:val="00113F27"/>
    <w:rsid w:val="0012015C"/>
    <w:rsid w:val="00125993"/>
    <w:rsid w:val="0012623C"/>
    <w:rsid w:val="00136308"/>
    <w:rsid w:val="00136D23"/>
    <w:rsid w:val="00154B96"/>
    <w:rsid w:val="001642C6"/>
    <w:rsid w:val="00167F68"/>
    <w:rsid w:val="00190B32"/>
    <w:rsid w:val="001A4D94"/>
    <w:rsid w:val="001B341A"/>
    <w:rsid w:val="001C1979"/>
    <w:rsid w:val="001C6DC2"/>
    <w:rsid w:val="001D2C7B"/>
    <w:rsid w:val="001D3DC9"/>
    <w:rsid w:val="001D7EAD"/>
    <w:rsid w:val="00203EBE"/>
    <w:rsid w:val="002131AC"/>
    <w:rsid w:val="00221130"/>
    <w:rsid w:val="002309C5"/>
    <w:rsid w:val="00253A94"/>
    <w:rsid w:val="00254D54"/>
    <w:rsid w:val="0026336A"/>
    <w:rsid w:val="002817A8"/>
    <w:rsid w:val="00281993"/>
    <w:rsid w:val="00297734"/>
    <w:rsid w:val="002A2C10"/>
    <w:rsid w:val="002A53D0"/>
    <w:rsid w:val="002C0CD5"/>
    <w:rsid w:val="002C4845"/>
    <w:rsid w:val="002C5119"/>
    <w:rsid w:val="002D1A77"/>
    <w:rsid w:val="002E59BE"/>
    <w:rsid w:val="002F4E99"/>
    <w:rsid w:val="00300D7D"/>
    <w:rsid w:val="0030149A"/>
    <w:rsid w:val="0034299C"/>
    <w:rsid w:val="003431F5"/>
    <w:rsid w:val="003519D8"/>
    <w:rsid w:val="00362FC5"/>
    <w:rsid w:val="00365425"/>
    <w:rsid w:val="00380022"/>
    <w:rsid w:val="00390DE4"/>
    <w:rsid w:val="003A1A35"/>
    <w:rsid w:val="003A39A2"/>
    <w:rsid w:val="003C5EA2"/>
    <w:rsid w:val="003D6754"/>
    <w:rsid w:val="003E0BF9"/>
    <w:rsid w:val="003E758F"/>
    <w:rsid w:val="00405662"/>
    <w:rsid w:val="004222FE"/>
    <w:rsid w:val="004406B2"/>
    <w:rsid w:val="00442A12"/>
    <w:rsid w:val="00450FDB"/>
    <w:rsid w:val="00457EB8"/>
    <w:rsid w:val="00467678"/>
    <w:rsid w:val="0047601F"/>
    <w:rsid w:val="00485E9A"/>
    <w:rsid w:val="00493CD6"/>
    <w:rsid w:val="00497F62"/>
    <w:rsid w:val="004A19EE"/>
    <w:rsid w:val="004A1DDA"/>
    <w:rsid w:val="004B75EA"/>
    <w:rsid w:val="004C3A5E"/>
    <w:rsid w:val="004D15C1"/>
    <w:rsid w:val="004D5004"/>
    <w:rsid w:val="004E4107"/>
    <w:rsid w:val="004F79E5"/>
    <w:rsid w:val="00501EB5"/>
    <w:rsid w:val="00517442"/>
    <w:rsid w:val="00517B36"/>
    <w:rsid w:val="00517BA8"/>
    <w:rsid w:val="00531F51"/>
    <w:rsid w:val="00543023"/>
    <w:rsid w:val="0054697E"/>
    <w:rsid w:val="0055586C"/>
    <w:rsid w:val="0056157E"/>
    <w:rsid w:val="0056237D"/>
    <w:rsid w:val="005627A9"/>
    <w:rsid w:val="00565C39"/>
    <w:rsid w:val="005704CF"/>
    <w:rsid w:val="00573EA4"/>
    <w:rsid w:val="005A03F1"/>
    <w:rsid w:val="005A39C8"/>
    <w:rsid w:val="005A49E4"/>
    <w:rsid w:val="005B1E56"/>
    <w:rsid w:val="005D39C8"/>
    <w:rsid w:val="005D6D6F"/>
    <w:rsid w:val="005E26DD"/>
    <w:rsid w:val="006A2BE5"/>
    <w:rsid w:val="006B0888"/>
    <w:rsid w:val="006B0E01"/>
    <w:rsid w:val="006B63C6"/>
    <w:rsid w:val="006E201C"/>
    <w:rsid w:val="007153A8"/>
    <w:rsid w:val="007206B3"/>
    <w:rsid w:val="007306D4"/>
    <w:rsid w:val="007747B8"/>
    <w:rsid w:val="00775701"/>
    <w:rsid w:val="0078487B"/>
    <w:rsid w:val="00786989"/>
    <w:rsid w:val="00795426"/>
    <w:rsid w:val="007A6680"/>
    <w:rsid w:val="007A7CCC"/>
    <w:rsid w:val="007B3716"/>
    <w:rsid w:val="007B6152"/>
    <w:rsid w:val="007C6273"/>
    <w:rsid w:val="007D0C63"/>
    <w:rsid w:val="007E0BA1"/>
    <w:rsid w:val="00806F4C"/>
    <w:rsid w:val="00807748"/>
    <w:rsid w:val="00813674"/>
    <w:rsid w:val="00840152"/>
    <w:rsid w:val="00870B67"/>
    <w:rsid w:val="00884CA9"/>
    <w:rsid w:val="00885DD4"/>
    <w:rsid w:val="00890C86"/>
    <w:rsid w:val="00893980"/>
    <w:rsid w:val="008B1988"/>
    <w:rsid w:val="008C054F"/>
    <w:rsid w:val="008C1030"/>
    <w:rsid w:val="008C219A"/>
    <w:rsid w:val="008C4988"/>
    <w:rsid w:val="008D3D1A"/>
    <w:rsid w:val="008D6495"/>
    <w:rsid w:val="009040FC"/>
    <w:rsid w:val="00905707"/>
    <w:rsid w:val="00907575"/>
    <w:rsid w:val="0090784B"/>
    <w:rsid w:val="009302AC"/>
    <w:rsid w:val="00931AE8"/>
    <w:rsid w:val="00951AE3"/>
    <w:rsid w:val="00952E77"/>
    <w:rsid w:val="00980724"/>
    <w:rsid w:val="00990365"/>
    <w:rsid w:val="00990F64"/>
    <w:rsid w:val="009A5536"/>
    <w:rsid w:val="009B4C72"/>
    <w:rsid w:val="009C1FA2"/>
    <w:rsid w:val="009F630F"/>
    <w:rsid w:val="00A039F2"/>
    <w:rsid w:val="00A1178A"/>
    <w:rsid w:val="00A229C7"/>
    <w:rsid w:val="00A22D9D"/>
    <w:rsid w:val="00A2416B"/>
    <w:rsid w:val="00A63310"/>
    <w:rsid w:val="00A661AA"/>
    <w:rsid w:val="00A72D46"/>
    <w:rsid w:val="00A96997"/>
    <w:rsid w:val="00AB243A"/>
    <w:rsid w:val="00AC1371"/>
    <w:rsid w:val="00AD1746"/>
    <w:rsid w:val="00AD1BB4"/>
    <w:rsid w:val="00AF4DD0"/>
    <w:rsid w:val="00B1639B"/>
    <w:rsid w:val="00B2472A"/>
    <w:rsid w:val="00B33CFF"/>
    <w:rsid w:val="00B4606A"/>
    <w:rsid w:val="00B47512"/>
    <w:rsid w:val="00B61477"/>
    <w:rsid w:val="00B77295"/>
    <w:rsid w:val="00B818F3"/>
    <w:rsid w:val="00B94CF2"/>
    <w:rsid w:val="00BB3ACB"/>
    <w:rsid w:val="00BB5279"/>
    <w:rsid w:val="00BD4974"/>
    <w:rsid w:val="00BD7CB0"/>
    <w:rsid w:val="00BF4247"/>
    <w:rsid w:val="00BF788E"/>
    <w:rsid w:val="00C1272C"/>
    <w:rsid w:val="00C12DAE"/>
    <w:rsid w:val="00C43C9A"/>
    <w:rsid w:val="00C47D42"/>
    <w:rsid w:val="00C524C2"/>
    <w:rsid w:val="00C53D90"/>
    <w:rsid w:val="00C55C56"/>
    <w:rsid w:val="00C7008B"/>
    <w:rsid w:val="00C70E91"/>
    <w:rsid w:val="00C7382D"/>
    <w:rsid w:val="00C82F92"/>
    <w:rsid w:val="00C9128D"/>
    <w:rsid w:val="00C912BC"/>
    <w:rsid w:val="00CA5C74"/>
    <w:rsid w:val="00CC27D8"/>
    <w:rsid w:val="00CC3EB4"/>
    <w:rsid w:val="00CE05BE"/>
    <w:rsid w:val="00CE21C9"/>
    <w:rsid w:val="00CF585A"/>
    <w:rsid w:val="00D062F3"/>
    <w:rsid w:val="00D10C0D"/>
    <w:rsid w:val="00D143D2"/>
    <w:rsid w:val="00D326BF"/>
    <w:rsid w:val="00D505EA"/>
    <w:rsid w:val="00D54AB9"/>
    <w:rsid w:val="00D75085"/>
    <w:rsid w:val="00D800FE"/>
    <w:rsid w:val="00D8622C"/>
    <w:rsid w:val="00D86B53"/>
    <w:rsid w:val="00D971CC"/>
    <w:rsid w:val="00DA72D3"/>
    <w:rsid w:val="00DB1D2E"/>
    <w:rsid w:val="00DC0F57"/>
    <w:rsid w:val="00E00750"/>
    <w:rsid w:val="00E02AEF"/>
    <w:rsid w:val="00E1008D"/>
    <w:rsid w:val="00E2167F"/>
    <w:rsid w:val="00E47933"/>
    <w:rsid w:val="00E65C61"/>
    <w:rsid w:val="00E85A7F"/>
    <w:rsid w:val="00EA15B8"/>
    <w:rsid w:val="00EA181A"/>
    <w:rsid w:val="00EA2482"/>
    <w:rsid w:val="00EA58B4"/>
    <w:rsid w:val="00EA7478"/>
    <w:rsid w:val="00EB02B1"/>
    <w:rsid w:val="00EB258C"/>
    <w:rsid w:val="00ED4D58"/>
    <w:rsid w:val="00EE4315"/>
    <w:rsid w:val="00F00611"/>
    <w:rsid w:val="00F03F85"/>
    <w:rsid w:val="00F11773"/>
    <w:rsid w:val="00F220B7"/>
    <w:rsid w:val="00F2257C"/>
    <w:rsid w:val="00F50603"/>
    <w:rsid w:val="00F5065D"/>
    <w:rsid w:val="00F600C5"/>
    <w:rsid w:val="00F670AB"/>
    <w:rsid w:val="00F95AFA"/>
    <w:rsid w:val="00FA0468"/>
    <w:rsid w:val="00FA4F10"/>
    <w:rsid w:val="00FA7522"/>
    <w:rsid w:val="00FC1B28"/>
    <w:rsid w:val="00FD6285"/>
    <w:rsid w:val="00FE1B86"/>
    <w:rsid w:val="00FE6E75"/>
    <w:rsid w:val="00FF532E"/>
    <w:rsid w:val="00FF73C2"/>
    <w:rsid w:val="00FF7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86F5"/>
  <w15:docId w15:val="{E104F884-D930-4E3C-A07E-33477C30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2C0CD5"/>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CD5"/>
    <w:rPr>
      <w:rFonts w:ascii="Times New Roman" w:eastAsia="Times New Roman" w:hAnsi="Times New Roman" w:cs="Times New Roman"/>
      <w:i/>
      <w:sz w:val="24"/>
      <w:szCs w:val="20"/>
      <w:lang w:eastAsia="en-AU"/>
    </w:rPr>
  </w:style>
  <w:style w:type="paragraph" w:styleId="Title">
    <w:name w:val="Title"/>
    <w:basedOn w:val="Normal"/>
    <w:link w:val="TitleChar"/>
    <w:qFormat/>
    <w:rsid w:val="002C0CD5"/>
    <w:pPr>
      <w:jc w:val="center"/>
    </w:pPr>
    <w:rPr>
      <w:b/>
      <w:sz w:val="24"/>
      <w:u w:val="single"/>
      <w:lang w:val="en-GB" w:eastAsia="en-US"/>
    </w:rPr>
  </w:style>
  <w:style w:type="character" w:customStyle="1" w:styleId="TitleChar">
    <w:name w:val="Title Char"/>
    <w:basedOn w:val="DefaultParagraphFont"/>
    <w:link w:val="Title"/>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rsid w:val="002C0CD5"/>
    <w:pPr>
      <w:tabs>
        <w:tab w:val="center" w:pos="4320"/>
        <w:tab w:val="right" w:pos="8640"/>
      </w:tabs>
    </w:pPr>
    <w:rPr>
      <w:sz w:val="24"/>
    </w:rPr>
  </w:style>
  <w:style w:type="character" w:customStyle="1" w:styleId="HeaderChar">
    <w:name w:val="Header Char"/>
    <w:basedOn w:val="DefaultParagraphFont"/>
    <w:link w:val="Header"/>
    <w:rsid w:val="002C0CD5"/>
    <w:rPr>
      <w:rFonts w:ascii="Times New Roman" w:eastAsia="Times New Roman" w:hAnsi="Times New Roman" w:cs="Times New Roman"/>
      <w:sz w:val="24"/>
      <w:szCs w:val="20"/>
      <w:lang w:eastAsia="en-AU"/>
    </w:rPr>
  </w:style>
  <w:style w:type="character" w:styleId="PageNumber">
    <w:name w:val="page number"/>
    <w:basedOn w:val="DefaultParagraphFont"/>
    <w:rsid w:val="002C0CD5"/>
  </w:style>
  <w:style w:type="character" w:styleId="CommentReference">
    <w:name w:val="annotation reference"/>
    <w:basedOn w:val="DefaultParagraphFont"/>
    <w:semiHidden/>
    <w:rsid w:val="002C0CD5"/>
    <w:rPr>
      <w:sz w:val="16"/>
      <w:szCs w:val="16"/>
    </w:rPr>
  </w:style>
  <w:style w:type="paragraph" w:styleId="CommentText">
    <w:name w:val="annotation text"/>
    <w:basedOn w:val="Normal"/>
    <w:link w:val="CommentTextChar"/>
    <w:semiHidden/>
    <w:rsid w:val="002C0CD5"/>
  </w:style>
  <w:style w:type="character" w:customStyle="1" w:styleId="CommentTextChar">
    <w:name w:val="Comment Text Char"/>
    <w:basedOn w:val="DefaultParagraphFont"/>
    <w:link w:val="CommentText"/>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F220B7"/>
    <w:pPr>
      <w:ind w:left="720"/>
      <w:contextualSpacing/>
    </w:pPr>
  </w:style>
  <w:style w:type="character" w:styleId="Hyperlink">
    <w:name w:val="Hyperlink"/>
    <w:basedOn w:val="DefaultParagraphFont"/>
    <w:uiPriority w:val="99"/>
    <w:unhideWhenUsed/>
    <w:rsid w:val="00C82F92"/>
    <w:rPr>
      <w:color w:val="0000FF" w:themeColor="hyperlink"/>
      <w:u w:val="single"/>
    </w:rPr>
  </w:style>
  <w:style w:type="paragraph" w:styleId="Revision">
    <w:name w:val="Revision"/>
    <w:hidden/>
    <w:uiPriority w:val="99"/>
    <w:semiHidden/>
    <w:rsid w:val="00450FDB"/>
    <w:pPr>
      <w:spacing w:after="0" w:line="240" w:lineRule="auto"/>
    </w:pPr>
    <w:rPr>
      <w:rFonts w:ascii="Times New Roman" w:eastAsia="Times New Roman" w:hAnsi="Times New Roman" w:cs="Times New Roman"/>
      <w:sz w:val="20"/>
      <w:szCs w:val="20"/>
      <w:lang w:eastAsia="en-AU"/>
    </w:rPr>
  </w:style>
  <w:style w:type="character" w:styleId="FollowedHyperlink">
    <w:name w:val="FollowedHyperlink"/>
    <w:basedOn w:val="DefaultParagraphFont"/>
    <w:uiPriority w:val="99"/>
    <w:semiHidden/>
    <w:unhideWhenUsed/>
    <w:rsid w:val="00D97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287926692">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7032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ma.gov.au/theACMA/convert-hcis-area-description-to-a-placema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a.gov.au/Industry/Spectrum/Radiocomms-licensing/Spectrum-licences/spectrum_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A49AC4A56934D8276EE1D3C479ABA" ma:contentTypeVersion="0" ma:contentTypeDescription="Create a new document." ma:contentTypeScope="" ma:versionID="248dbbc16f2aa8d4dbba9b1e818d27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2.xml><?xml version="1.0" encoding="utf-8"?>
<ds:datastoreItem xmlns:ds="http://schemas.openxmlformats.org/officeDocument/2006/customXml" ds:itemID="{25A2C832-9A17-4DE8-9EE5-78F12A2A5F2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3646AB5-CE75-484F-A2D5-F3F7A0555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AD6A2A-46B0-48C3-9F7D-84E94384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Miller, Joanne</cp:lastModifiedBy>
  <cp:revision>2</cp:revision>
  <cp:lastPrinted>2015-05-26T07:30:00Z</cp:lastPrinted>
  <dcterms:created xsi:type="dcterms:W3CDTF">2015-05-27T03:02:00Z</dcterms:created>
  <dcterms:modified xsi:type="dcterms:W3CDTF">2015-05-27T03:02:00Z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0x010100293A49AC4A56934D8276EE1D3C479ABA</vt:lpwstr>
  </property>
  <property fmtid="{D5CDD505-2E9C-101B-9397-08002B2CF9AE}" pid="3" name="TrimRevisionNumber">
    <vt:i4>1</vt:i4>
  </property>
  <property fmtid="{D5CDD505-2E9C-101B-9397-08002B2CF9AE}" pid="4" name="e65fcc6ef396426b9c231bd6b3bc54de">
    <vt:lpwstr/>
  </property>
  <property fmtid="{D5CDD505-2E9C-101B-9397-08002B2CF9AE}" pid="5" name="l7f7762656034748af4098221ba10b64">
    <vt:lpwstr>Metschke, Bernadette [Person - BMETSCHKE] [internal] [23089]|14c4c4ea-7d5b-42a0-88f0-64aed0c65d50</vt:lpwstr>
  </property>
  <property fmtid="{D5CDD505-2E9C-101B-9397-08002B2CF9AE}" pid="6" name="c1aa94c1bcce43cc9138ccb9c7bf6e69">
    <vt:lpwstr/>
  </property>
  <property fmtid="{D5CDD505-2E9C-101B-9397-08002B2CF9AE}" pid="7" name="dd9c7627a75f4720a6ccce58a35e4d75">
    <vt:lpwstr/>
  </property>
  <property fmtid="{D5CDD505-2E9C-101B-9397-08002B2CF9AE}" pid="8" name="TaxCatchAll">
    <vt:lpwstr>54;#Legal Practice Unit [Organization] [internal] [39804]|3601d318-3562-4026-bcf3-e3d37a91abed;#55;#Metschke, Bernadette [Person - BMETSCHKE] [internal] [23089]|14c4c4ea-7d5b-42a0-88f0-64aed0c65d50</vt:lpwstr>
  </property>
  <property fmtid="{D5CDD505-2E9C-101B-9397-08002B2CF9AE}" pid="9" name="ie56bdfdc4a44ef997c05b4ed8c67594">
    <vt:lpwstr/>
  </property>
  <property fmtid="{D5CDD505-2E9C-101B-9397-08002B2CF9AE}" pid="10" name="me786d0e3c9949dc83d6a9826d3f7afb">
    <vt:lpwstr>Legal Practice Unit [Organization] [internal] [39804]|3601d318-3562-4026-bcf3-e3d37a91abed</vt:lpwstr>
  </property>
  <property fmtid="{D5CDD505-2E9C-101B-9397-08002B2CF9AE}" pid="11" name="e74c999a0f514bafbaad1ae53c56eac2">
    <vt:lpwstr/>
  </property>
  <property fmtid="{D5CDD505-2E9C-101B-9397-08002B2CF9AE}" pid="12" name="l30152c64bc5409cb0d6af5fc7998329">
    <vt:lpwstr/>
  </property>
  <property fmtid="{D5CDD505-2E9C-101B-9397-08002B2CF9AE}" pid="13" name="a26f7cb41fae41ebb6c8e377b7c30d71">
    <vt:lpwstr/>
  </property>
  <property fmtid="{D5CDD505-2E9C-101B-9397-08002B2CF9AE}" pid="14" name="hab31d4ae2264d5c8e77fd86c07e7635">
    <vt:lpwstr/>
  </property>
  <property fmtid="{D5CDD505-2E9C-101B-9397-08002B2CF9AE}" pid="15" name="trimRootDocClassification">
    <vt:lpwstr/>
  </property>
  <property fmtid="{D5CDD505-2E9C-101B-9397-08002B2CF9AE}" pid="16" name="trimRootDocAssigneeLocation">
    <vt:lpwstr>55;#Metschke, Bernadette [Person - BMETSCHKE] [internal] [23089]|14c4c4ea-7d5b-42a0-88f0-64aed0c65d50</vt:lpwstr>
  </property>
  <property fmtid="{D5CDD505-2E9C-101B-9397-08002B2CF9AE}" pid="17" name="trimRootDocOwnerLocation">
    <vt:lpwstr>54;#Legal Practice Unit [Organization] [internal] [39804]|3601d318-3562-4026-bcf3-e3d37a91abed</vt:lpwstr>
  </property>
  <property fmtid="{D5CDD505-2E9C-101B-9397-08002B2CF9AE}" pid="18" name="trimRootDocOtherContactLocation">
    <vt:lpwstr/>
  </property>
  <property fmtid="{D5CDD505-2E9C-101B-9397-08002B2CF9AE}" pid="19" name="trimRootDocACLCanUpdateMetadata_List">
    <vt:lpwstr/>
  </property>
  <property fmtid="{D5CDD505-2E9C-101B-9397-08002B2CF9AE}" pid="20" name="trimRootDocACLCanModifyAccess_List">
    <vt:lpwstr/>
  </property>
  <property fmtid="{D5CDD505-2E9C-101B-9397-08002B2CF9AE}" pid="21" name="trimRootDocACLCanContributeDocuments_List">
    <vt:lpwstr/>
  </property>
  <property fmtid="{D5CDD505-2E9C-101B-9397-08002B2CF9AE}" pid="22" name="trimRootDocACLCanUpdateDocument_List">
    <vt:lpwstr/>
  </property>
  <property fmtid="{D5CDD505-2E9C-101B-9397-08002B2CF9AE}" pid="23" name="trimRootDocACLCanViewMetadata_List">
    <vt:lpwstr/>
  </property>
  <property fmtid="{D5CDD505-2E9C-101B-9397-08002B2CF9AE}" pid="24" name="uri">
    <vt:lpwstr>2948986</vt:lpwstr>
  </property>
  <property fmtid="{D5CDD505-2E9C-101B-9397-08002B2CF9AE}" pid="25" name="trimRootDocACLCanViewDocument_List">
    <vt:lpwstr/>
  </property>
</Properties>
</file>