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FE" w:rsidRPr="005756AF" w:rsidRDefault="004126FE" w:rsidP="004A6340">
      <w:pPr>
        <w:pStyle w:val="Heading6"/>
        <w:spacing w:before="0"/>
        <w:jc w:val="center"/>
        <w:rPr>
          <w:b/>
          <w:szCs w:val="24"/>
        </w:rPr>
      </w:pPr>
      <w:r w:rsidRPr="005756AF">
        <w:rPr>
          <w:b/>
          <w:szCs w:val="24"/>
        </w:rPr>
        <w:t xml:space="preserve">EXPLANATORY STATEMENT </w:t>
      </w:r>
    </w:p>
    <w:p w:rsidR="004126FE" w:rsidRPr="005756AF" w:rsidRDefault="004126FE" w:rsidP="004A6340">
      <w:pPr>
        <w:pStyle w:val="Heading6"/>
        <w:spacing w:before="0"/>
        <w:jc w:val="center"/>
        <w:rPr>
          <w:b/>
          <w:szCs w:val="24"/>
        </w:rPr>
      </w:pPr>
    </w:p>
    <w:p w:rsidR="004A6340" w:rsidRPr="005756AF" w:rsidRDefault="004A6340" w:rsidP="004A6340">
      <w:pPr>
        <w:pStyle w:val="Heading6"/>
        <w:spacing w:before="0"/>
        <w:jc w:val="center"/>
        <w:rPr>
          <w:b/>
          <w:szCs w:val="24"/>
        </w:rPr>
      </w:pPr>
      <w:r w:rsidRPr="0021395E">
        <w:rPr>
          <w:b/>
          <w:szCs w:val="24"/>
        </w:rPr>
        <w:t>Select Legislative Instrument</w:t>
      </w:r>
      <w:r w:rsidRPr="005756AF">
        <w:rPr>
          <w:b/>
          <w:szCs w:val="24"/>
        </w:rPr>
        <w:t xml:space="preserve"> No. </w:t>
      </w:r>
      <w:r w:rsidR="00D65032">
        <w:rPr>
          <w:b/>
          <w:szCs w:val="24"/>
        </w:rPr>
        <w:t>70, 2015</w:t>
      </w:r>
      <w:bookmarkStart w:id="0" w:name="_GoBack"/>
      <w:bookmarkEnd w:id="0"/>
    </w:p>
    <w:p w:rsidR="004A6340" w:rsidRPr="005756AF" w:rsidRDefault="004A6340" w:rsidP="004A6340">
      <w:pPr>
        <w:spacing w:before="0"/>
        <w:ind w:right="91"/>
        <w:rPr>
          <w:szCs w:val="24"/>
        </w:rPr>
      </w:pPr>
    </w:p>
    <w:p w:rsidR="004A6340" w:rsidRPr="005756AF" w:rsidRDefault="004A6340" w:rsidP="004A6340">
      <w:pPr>
        <w:ind w:right="91"/>
        <w:jc w:val="center"/>
        <w:rPr>
          <w:szCs w:val="24"/>
          <w:u w:val="single"/>
        </w:rPr>
      </w:pPr>
      <w:r w:rsidRPr="005756AF">
        <w:rPr>
          <w:szCs w:val="24"/>
          <w:u w:val="single"/>
        </w:rPr>
        <w:t>Issued by Authority of the Attorney-General</w:t>
      </w:r>
    </w:p>
    <w:p w:rsidR="00694A5A" w:rsidRPr="005756AF" w:rsidRDefault="00694A5A" w:rsidP="00694A5A">
      <w:pPr>
        <w:pStyle w:val="Heading6"/>
        <w:spacing w:before="0"/>
        <w:rPr>
          <w:szCs w:val="24"/>
        </w:rPr>
      </w:pPr>
    </w:p>
    <w:p w:rsidR="002D0A38" w:rsidRDefault="002D0A38" w:rsidP="00D37117">
      <w:pPr>
        <w:spacing w:before="0"/>
        <w:ind w:left="992" w:right="91" w:hanging="992"/>
        <w:rPr>
          <w:i/>
        </w:rPr>
      </w:pPr>
      <w:r>
        <w:rPr>
          <w:szCs w:val="24"/>
        </w:rPr>
        <w:t xml:space="preserve">Subject -  </w:t>
      </w:r>
      <w:r w:rsidR="00D37117" w:rsidRPr="009208A7">
        <w:rPr>
          <w:i/>
        </w:rPr>
        <w:t>Federal Court of Australia Act 1976</w:t>
      </w:r>
    </w:p>
    <w:p w:rsidR="00D37117" w:rsidRDefault="00D37117" w:rsidP="002D0A38">
      <w:pPr>
        <w:spacing w:before="0"/>
        <w:ind w:left="992" w:right="91"/>
        <w:rPr>
          <w:i/>
        </w:rPr>
      </w:pPr>
      <w:r>
        <w:rPr>
          <w:i/>
        </w:rPr>
        <w:t>Family Law Act 1975</w:t>
      </w:r>
    </w:p>
    <w:p w:rsidR="002D0A38" w:rsidRDefault="002D0A38" w:rsidP="002D0A38">
      <w:pPr>
        <w:spacing w:before="0" w:after="240"/>
        <w:ind w:left="272" w:right="91" w:firstLine="720"/>
        <w:rPr>
          <w:i/>
        </w:rPr>
      </w:pPr>
      <w:r>
        <w:rPr>
          <w:i/>
        </w:rPr>
        <w:t>F</w:t>
      </w:r>
      <w:r w:rsidR="00D37117" w:rsidRPr="009208A7">
        <w:rPr>
          <w:i/>
        </w:rPr>
        <w:t>ederal Circuit Court of Australia Act 1999</w:t>
      </w:r>
    </w:p>
    <w:p w:rsidR="00D37117" w:rsidRPr="002D0A38" w:rsidRDefault="00D37117" w:rsidP="002D0A38">
      <w:pPr>
        <w:spacing w:before="0" w:after="240"/>
        <w:ind w:left="272" w:right="91" w:firstLine="720"/>
        <w:rPr>
          <w:i/>
        </w:rPr>
      </w:pPr>
      <w:r>
        <w:rPr>
          <w:bCs/>
          <w:i/>
          <w:szCs w:val="24"/>
        </w:rPr>
        <w:t xml:space="preserve">Federal Courts </w:t>
      </w:r>
      <w:r w:rsidR="003E06B4">
        <w:rPr>
          <w:bCs/>
          <w:i/>
          <w:szCs w:val="24"/>
        </w:rPr>
        <w:t xml:space="preserve">Legislation </w:t>
      </w:r>
      <w:r>
        <w:rPr>
          <w:bCs/>
          <w:i/>
          <w:szCs w:val="24"/>
        </w:rPr>
        <w:t>Amendment (Fees) Regulation 201</w:t>
      </w:r>
      <w:r w:rsidR="009D03DA">
        <w:rPr>
          <w:bCs/>
          <w:i/>
          <w:szCs w:val="24"/>
        </w:rPr>
        <w:t>5</w:t>
      </w:r>
    </w:p>
    <w:p w:rsidR="00D37117" w:rsidRDefault="00D37117" w:rsidP="00CA37F1">
      <w:pPr>
        <w:spacing w:before="0"/>
        <w:ind w:right="91"/>
        <w:rPr>
          <w:bCs/>
          <w:i/>
          <w:szCs w:val="24"/>
        </w:rPr>
      </w:pPr>
    </w:p>
    <w:p w:rsidR="00CA37F1" w:rsidRPr="00A06DD2" w:rsidRDefault="00CA37F1" w:rsidP="00CA37F1">
      <w:pPr>
        <w:spacing w:before="0"/>
        <w:ind w:right="91"/>
        <w:rPr>
          <w:szCs w:val="24"/>
        </w:rPr>
      </w:pPr>
      <w:r>
        <w:rPr>
          <w:szCs w:val="24"/>
        </w:rPr>
        <w:t>The</w:t>
      </w:r>
      <w:r w:rsidR="008C2AE4">
        <w:rPr>
          <w:szCs w:val="24"/>
        </w:rPr>
        <w:t xml:space="preserve"> </w:t>
      </w:r>
      <w:r w:rsidR="00D37117">
        <w:rPr>
          <w:i/>
          <w:szCs w:val="24"/>
        </w:rPr>
        <w:t xml:space="preserve">Federal Courts </w:t>
      </w:r>
      <w:r w:rsidR="003E06B4">
        <w:rPr>
          <w:i/>
          <w:szCs w:val="24"/>
        </w:rPr>
        <w:t xml:space="preserve">Legislation </w:t>
      </w:r>
      <w:r w:rsidR="00D37117">
        <w:rPr>
          <w:i/>
          <w:szCs w:val="24"/>
        </w:rPr>
        <w:t>Amendment (Fees) Regulation 201</w:t>
      </w:r>
      <w:r w:rsidR="009D03DA">
        <w:rPr>
          <w:i/>
          <w:szCs w:val="24"/>
        </w:rPr>
        <w:t>5</w:t>
      </w:r>
      <w:r w:rsidR="00D36085">
        <w:rPr>
          <w:i/>
          <w:szCs w:val="24"/>
        </w:rPr>
        <w:t xml:space="preserve"> </w:t>
      </w:r>
      <w:r w:rsidR="00D36085">
        <w:rPr>
          <w:szCs w:val="24"/>
        </w:rPr>
        <w:t>(the Regulation) is</w:t>
      </w:r>
      <w:r>
        <w:rPr>
          <w:szCs w:val="24"/>
        </w:rPr>
        <w:t xml:space="preserve"> made under section 60 of the </w:t>
      </w:r>
      <w:r>
        <w:rPr>
          <w:i/>
          <w:szCs w:val="24"/>
        </w:rPr>
        <w:t>Federal Court of Australia Act 1976</w:t>
      </w:r>
      <w:r>
        <w:rPr>
          <w:szCs w:val="24"/>
        </w:rPr>
        <w:t xml:space="preserve">, section 125 of the </w:t>
      </w:r>
      <w:r>
        <w:rPr>
          <w:i/>
          <w:szCs w:val="24"/>
        </w:rPr>
        <w:t>Family Law Act</w:t>
      </w:r>
      <w:r w:rsidR="00F17E8D">
        <w:rPr>
          <w:i/>
          <w:szCs w:val="24"/>
        </w:rPr>
        <w:t> </w:t>
      </w:r>
      <w:r>
        <w:rPr>
          <w:i/>
          <w:szCs w:val="24"/>
        </w:rPr>
        <w:t>1975</w:t>
      </w:r>
      <w:r w:rsidR="00D37117">
        <w:rPr>
          <w:szCs w:val="24"/>
        </w:rPr>
        <w:t xml:space="preserve"> and section 120 of the </w:t>
      </w:r>
      <w:r w:rsidR="00D37117">
        <w:rPr>
          <w:i/>
          <w:szCs w:val="24"/>
        </w:rPr>
        <w:t>Federal Circuit Court of Australia Act 1999,</w:t>
      </w:r>
      <w:r w:rsidR="00D37117">
        <w:rPr>
          <w:szCs w:val="24"/>
        </w:rPr>
        <w:t xml:space="preserve"> </w:t>
      </w:r>
      <w:r w:rsidR="009D00B2">
        <w:rPr>
          <w:szCs w:val="24"/>
        </w:rPr>
        <w:t xml:space="preserve">under which the Governor-General has the authority to make regulations. </w:t>
      </w:r>
    </w:p>
    <w:p w:rsidR="00CA37F1" w:rsidRPr="009D00B2" w:rsidRDefault="00CA37F1" w:rsidP="009D00B2">
      <w:r>
        <w:rPr>
          <w:szCs w:val="24"/>
        </w:rPr>
        <w:t>The Regula</w:t>
      </w:r>
      <w:r w:rsidR="00FD0DE3">
        <w:rPr>
          <w:szCs w:val="24"/>
        </w:rPr>
        <w:t>tion will</w:t>
      </w:r>
      <w:r w:rsidR="009D00B2">
        <w:rPr>
          <w:szCs w:val="24"/>
        </w:rPr>
        <w:t xml:space="preserve"> amend</w:t>
      </w:r>
      <w:r w:rsidR="003E6A57">
        <w:rPr>
          <w:szCs w:val="24"/>
        </w:rPr>
        <w:t xml:space="preserve"> the</w:t>
      </w:r>
      <w:r w:rsidR="009D00B2">
        <w:rPr>
          <w:szCs w:val="24"/>
        </w:rPr>
        <w:t xml:space="preserve"> </w:t>
      </w:r>
      <w:r>
        <w:rPr>
          <w:i/>
        </w:rPr>
        <w:t xml:space="preserve">Federal Court and Federal Circuit </w:t>
      </w:r>
      <w:r w:rsidR="003E6A57">
        <w:rPr>
          <w:i/>
        </w:rPr>
        <w:t xml:space="preserve">Court </w:t>
      </w:r>
      <w:r>
        <w:rPr>
          <w:i/>
        </w:rPr>
        <w:t>Regulation 2012</w:t>
      </w:r>
      <w:r w:rsidR="009D00B2">
        <w:t xml:space="preserve"> to:</w:t>
      </w:r>
    </w:p>
    <w:p w:rsidR="003E6A57" w:rsidRDefault="003E6A57" w:rsidP="003E6A57">
      <w:pPr>
        <w:pStyle w:val="ListParagraph"/>
        <w:numPr>
          <w:ilvl w:val="0"/>
          <w:numId w:val="11"/>
        </w:numPr>
        <w:ind w:left="720"/>
        <w:rPr>
          <w:szCs w:val="24"/>
        </w:rPr>
      </w:pPr>
      <w:r>
        <w:rPr>
          <w:szCs w:val="24"/>
        </w:rPr>
        <w:t xml:space="preserve">exclude ‘public authorities’ (such as government agencies) from having to pay fees applicable to a ‘corporation’ </w:t>
      </w:r>
      <w:r w:rsidR="00284B98">
        <w:rPr>
          <w:szCs w:val="24"/>
        </w:rPr>
        <w:t xml:space="preserve">and instead provide that they pay the lower fees applicable ‘in any other case’ </w:t>
      </w:r>
      <w:r>
        <w:rPr>
          <w:szCs w:val="24"/>
        </w:rPr>
        <w:t>when filing all matters in the Federal Court of Australia and the Federal Circuit Court of Australia, other than bankruptcy mat</w:t>
      </w:r>
      <w:r w:rsidR="00284B98">
        <w:rPr>
          <w:szCs w:val="24"/>
        </w:rPr>
        <w:t>ters</w:t>
      </w:r>
    </w:p>
    <w:p w:rsidR="003E6A57" w:rsidRDefault="003E6A57" w:rsidP="003E6A57">
      <w:pPr>
        <w:pStyle w:val="ListParagraph"/>
        <w:ind w:left="360"/>
        <w:rPr>
          <w:szCs w:val="24"/>
        </w:rPr>
      </w:pPr>
    </w:p>
    <w:p w:rsidR="00E11EC8" w:rsidRDefault="003E6A57" w:rsidP="00E11EC8">
      <w:pPr>
        <w:pStyle w:val="ListParagraph"/>
        <w:numPr>
          <w:ilvl w:val="0"/>
          <w:numId w:val="11"/>
        </w:numPr>
        <w:ind w:left="720"/>
        <w:rPr>
          <w:szCs w:val="24"/>
        </w:rPr>
      </w:pPr>
      <w:r>
        <w:rPr>
          <w:szCs w:val="24"/>
        </w:rPr>
        <w:t>remove the ‘publicly listed company’ fee category, and instead provide that such companies pay the lower fees applicable to a ‘corporation’ when filing all matters in the Federal Court and the Federal Circuit Court</w:t>
      </w:r>
      <w:r w:rsidR="00E11EC8">
        <w:rPr>
          <w:szCs w:val="24"/>
        </w:rPr>
        <w:t>, other than bankruptcy matters</w:t>
      </w:r>
    </w:p>
    <w:p w:rsidR="00E11EC8" w:rsidRPr="00E11EC8" w:rsidRDefault="00E11EC8" w:rsidP="00E11EC8">
      <w:pPr>
        <w:pStyle w:val="ListParagraph"/>
        <w:rPr>
          <w:szCs w:val="24"/>
        </w:rPr>
      </w:pPr>
    </w:p>
    <w:p w:rsidR="00E11EC8" w:rsidRDefault="00E11EC8" w:rsidP="00E11EC8">
      <w:pPr>
        <w:pStyle w:val="ListParagraph"/>
        <w:numPr>
          <w:ilvl w:val="0"/>
          <w:numId w:val="11"/>
        </w:numPr>
        <w:ind w:left="720"/>
        <w:rPr>
          <w:szCs w:val="24"/>
        </w:rPr>
      </w:pPr>
      <w:r w:rsidRPr="00E11EC8">
        <w:rPr>
          <w:szCs w:val="24"/>
        </w:rPr>
        <w:t>increase all fee categories (as amended</w:t>
      </w:r>
      <w:r w:rsidR="00284B98">
        <w:rPr>
          <w:szCs w:val="24"/>
        </w:rPr>
        <w:t xml:space="preserve"> above</w:t>
      </w:r>
      <w:r w:rsidRPr="00E11EC8">
        <w:rPr>
          <w:szCs w:val="24"/>
        </w:rPr>
        <w:t>) by 10 per</w:t>
      </w:r>
      <w:r w:rsidR="00F8307C">
        <w:rPr>
          <w:szCs w:val="24"/>
        </w:rPr>
        <w:t xml:space="preserve"> </w:t>
      </w:r>
      <w:r w:rsidRPr="00E11EC8">
        <w:rPr>
          <w:szCs w:val="24"/>
        </w:rPr>
        <w:t xml:space="preserve">cent, </w:t>
      </w:r>
      <w:r w:rsidR="002365C6">
        <w:rPr>
          <w:szCs w:val="24"/>
        </w:rPr>
        <w:t xml:space="preserve">except for those fees not subject to a biennial fee increase, </w:t>
      </w:r>
      <w:r w:rsidRPr="00E11EC8">
        <w:rPr>
          <w:szCs w:val="24"/>
        </w:rPr>
        <w:t>and</w:t>
      </w:r>
    </w:p>
    <w:p w:rsidR="00E11EC8" w:rsidRPr="00E11EC8" w:rsidRDefault="00E11EC8" w:rsidP="00E11EC8">
      <w:pPr>
        <w:pStyle w:val="ListParagraph"/>
        <w:rPr>
          <w:szCs w:val="24"/>
        </w:rPr>
      </w:pPr>
    </w:p>
    <w:p w:rsidR="00E11EC8" w:rsidRPr="00E11EC8" w:rsidRDefault="00E11EC8" w:rsidP="00E11EC8">
      <w:pPr>
        <w:pStyle w:val="ListParagraph"/>
        <w:numPr>
          <w:ilvl w:val="0"/>
          <w:numId w:val="11"/>
        </w:numPr>
        <w:ind w:left="720"/>
        <w:rPr>
          <w:szCs w:val="24"/>
        </w:rPr>
      </w:pPr>
      <w:r w:rsidRPr="00E11EC8">
        <w:rPr>
          <w:szCs w:val="24"/>
        </w:rPr>
        <w:t>exempt certain procedural international arbitration matters from the general filing fee.</w:t>
      </w:r>
    </w:p>
    <w:p w:rsidR="008C74B6" w:rsidRPr="009D00B2" w:rsidRDefault="007B6B5D" w:rsidP="003E6A57">
      <w:pPr>
        <w:rPr>
          <w:szCs w:val="24"/>
        </w:rPr>
      </w:pPr>
      <w:r w:rsidRPr="00C836E3">
        <w:rPr>
          <w:szCs w:val="24"/>
        </w:rPr>
        <w:t xml:space="preserve">The Regulation </w:t>
      </w:r>
      <w:r w:rsidR="00FD0DE3">
        <w:rPr>
          <w:szCs w:val="24"/>
        </w:rPr>
        <w:t>will</w:t>
      </w:r>
      <w:r w:rsidR="009D00B2">
        <w:rPr>
          <w:szCs w:val="24"/>
        </w:rPr>
        <w:t xml:space="preserve"> also amend the </w:t>
      </w:r>
      <w:r w:rsidR="008C74B6" w:rsidRPr="003E6A57">
        <w:rPr>
          <w:i/>
          <w:szCs w:val="24"/>
        </w:rPr>
        <w:t>Family Law (Fees) Regulation 2012</w:t>
      </w:r>
      <w:r w:rsidR="009D00B2">
        <w:rPr>
          <w:szCs w:val="24"/>
        </w:rPr>
        <w:t xml:space="preserve"> to:</w:t>
      </w:r>
    </w:p>
    <w:p w:rsidR="00084019" w:rsidRDefault="00714A1D" w:rsidP="00714A1D">
      <w:pPr>
        <w:pStyle w:val="ListParagraph"/>
        <w:numPr>
          <w:ilvl w:val="0"/>
          <w:numId w:val="11"/>
        </w:numPr>
        <w:ind w:left="720"/>
        <w:rPr>
          <w:szCs w:val="24"/>
        </w:rPr>
      </w:pPr>
      <w:r>
        <w:rPr>
          <w:szCs w:val="24"/>
        </w:rPr>
        <w:t xml:space="preserve">increase </w:t>
      </w:r>
      <w:r w:rsidR="00084019">
        <w:rPr>
          <w:szCs w:val="24"/>
        </w:rPr>
        <w:t>the full</w:t>
      </w:r>
      <w:r>
        <w:rPr>
          <w:szCs w:val="24"/>
        </w:rPr>
        <w:t xml:space="preserve"> divorce </w:t>
      </w:r>
      <w:r w:rsidR="00084019">
        <w:rPr>
          <w:szCs w:val="24"/>
        </w:rPr>
        <w:t>fee</w:t>
      </w:r>
      <w:r>
        <w:rPr>
          <w:szCs w:val="24"/>
        </w:rPr>
        <w:t xml:space="preserve"> in the Federal Circuit Court </w:t>
      </w:r>
      <w:r w:rsidR="00CF52F0">
        <w:rPr>
          <w:szCs w:val="24"/>
        </w:rPr>
        <w:t>from $845</w:t>
      </w:r>
      <w:r>
        <w:rPr>
          <w:szCs w:val="24"/>
        </w:rPr>
        <w:t xml:space="preserve"> to $1,195</w:t>
      </w:r>
      <w:r w:rsidR="00CF52F0">
        <w:rPr>
          <w:szCs w:val="24"/>
        </w:rPr>
        <w:t xml:space="preserve"> ($350 increase</w:t>
      </w:r>
      <w:r>
        <w:rPr>
          <w:szCs w:val="24"/>
        </w:rPr>
        <w:t>)</w:t>
      </w:r>
      <w:r w:rsidR="00084019">
        <w:rPr>
          <w:szCs w:val="24"/>
        </w:rPr>
        <w:t xml:space="preserve"> </w:t>
      </w:r>
    </w:p>
    <w:p w:rsidR="00084019" w:rsidRDefault="00084019" w:rsidP="00084019">
      <w:pPr>
        <w:pStyle w:val="ListParagraph"/>
        <w:rPr>
          <w:szCs w:val="24"/>
        </w:rPr>
      </w:pPr>
    </w:p>
    <w:p w:rsidR="00714A1D" w:rsidRDefault="00084019" w:rsidP="00714A1D">
      <w:pPr>
        <w:pStyle w:val="ListParagraph"/>
        <w:numPr>
          <w:ilvl w:val="0"/>
          <w:numId w:val="11"/>
        </w:numPr>
        <w:ind w:left="720"/>
        <w:rPr>
          <w:szCs w:val="24"/>
        </w:rPr>
      </w:pPr>
      <w:r>
        <w:rPr>
          <w:szCs w:val="24"/>
        </w:rPr>
        <w:t xml:space="preserve">increase the fees for </w:t>
      </w:r>
      <w:r w:rsidR="00714A1D">
        <w:rPr>
          <w:szCs w:val="24"/>
        </w:rPr>
        <w:t xml:space="preserve">consent orders </w:t>
      </w:r>
      <w:r w:rsidR="00CF52F0">
        <w:rPr>
          <w:szCs w:val="24"/>
        </w:rPr>
        <w:t>from $155</w:t>
      </w:r>
      <w:r w:rsidR="00714A1D">
        <w:rPr>
          <w:szCs w:val="24"/>
        </w:rPr>
        <w:t xml:space="preserve"> to $235</w:t>
      </w:r>
      <w:r w:rsidR="00BC1C31">
        <w:rPr>
          <w:szCs w:val="24"/>
        </w:rPr>
        <w:t xml:space="preserve"> ($80 increase</w:t>
      </w:r>
      <w:r w:rsidR="00714A1D">
        <w:rPr>
          <w:szCs w:val="24"/>
        </w:rPr>
        <w:t>)</w:t>
      </w:r>
      <w:r w:rsidR="007D6EA6">
        <w:rPr>
          <w:szCs w:val="24"/>
        </w:rPr>
        <w:t>,</w:t>
      </w:r>
      <w:r w:rsidR="00714A1D">
        <w:rPr>
          <w:szCs w:val="24"/>
        </w:rPr>
        <w:t xml:space="preserve"> and </w:t>
      </w:r>
      <w:r>
        <w:rPr>
          <w:szCs w:val="24"/>
        </w:rPr>
        <w:t xml:space="preserve">for </w:t>
      </w:r>
      <w:r w:rsidR="00714A1D">
        <w:rPr>
          <w:szCs w:val="24"/>
        </w:rPr>
        <w:t xml:space="preserve">issuing subpoenas </w:t>
      </w:r>
      <w:r w:rsidR="00CF52F0">
        <w:rPr>
          <w:szCs w:val="24"/>
        </w:rPr>
        <w:t xml:space="preserve">from $55 to $120 </w:t>
      </w:r>
      <w:r w:rsidR="00714A1D">
        <w:rPr>
          <w:szCs w:val="24"/>
        </w:rPr>
        <w:t>($65 increase</w:t>
      </w:r>
      <w:r w:rsidR="00CF52F0">
        <w:rPr>
          <w:szCs w:val="24"/>
        </w:rPr>
        <w:t>)</w:t>
      </w:r>
    </w:p>
    <w:p w:rsidR="00714A1D" w:rsidRDefault="00714A1D" w:rsidP="00714A1D">
      <w:pPr>
        <w:pStyle w:val="ListParagraph"/>
        <w:rPr>
          <w:szCs w:val="24"/>
        </w:rPr>
      </w:pPr>
    </w:p>
    <w:p w:rsidR="00714A1D" w:rsidRDefault="00714A1D" w:rsidP="00714A1D">
      <w:pPr>
        <w:pStyle w:val="ListParagraph"/>
        <w:numPr>
          <w:ilvl w:val="0"/>
          <w:numId w:val="11"/>
        </w:numPr>
        <w:ind w:left="720"/>
        <w:rPr>
          <w:szCs w:val="24"/>
        </w:rPr>
      </w:pPr>
      <w:r>
        <w:rPr>
          <w:szCs w:val="24"/>
        </w:rPr>
        <w:t>increase all other existing family law fee categories (by an average of 10 per</w:t>
      </w:r>
      <w:r w:rsidR="00F8307C">
        <w:rPr>
          <w:szCs w:val="24"/>
        </w:rPr>
        <w:t xml:space="preserve"> </w:t>
      </w:r>
      <w:r>
        <w:rPr>
          <w:szCs w:val="24"/>
        </w:rPr>
        <w:t xml:space="preserve">cent) except for </w:t>
      </w:r>
      <w:r w:rsidR="00AC32C2">
        <w:rPr>
          <w:szCs w:val="24"/>
        </w:rPr>
        <w:t xml:space="preserve">the reduced divorce fee in the Federal Circuit Court and </w:t>
      </w:r>
      <w:r>
        <w:rPr>
          <w:szCs w:val="24"/>
        </w:rPr>
        <w:t>divorce fees in the Family Court of Australia, and</w:t>
      </w:r>
    </w:p>
    <w:p w:rsidR="00714A1D" w:rsidRPr="00272440" w:rsidRDefault="00714A1D" w:rsidP="00714A1D">
      <w:pPr>
        <w:pStyle w:val="ListParagraph"/>
        <w:rPr>
          <w:szCs w:val="24"/>
        </w:rPr>
      </w:pPr>
    </w:p>
    <w:p w:rsidR="00D37117" w:rsidRDefault="00714A1D" w:rsidP="00714A1D">
      <w:pPr>
        <w:pStyle w:val="ListParagraph"/>
        <w:numPr>
          <w:ilvl w:val="0"/>
          <w:numId w:val="11"/>
        </w:numPr>
        <w:ind w:left="720"/>
        <w:rPr>
          <w:szCs w:val="24"/>
        </w:rPr>
      </w:pPr>
      <w:r>
        <w:rPr>
          <w:szCs w:val="24"/>
        </w:rPr>
        <w:t>establish a new fee category for the filing of amended applications ($120)</w:t>
      </w:r>
      <w:r w:rsidR="00D37117">
        <w:rPr>
          <w:szCs w:val="24"/>
        </w:rPr>
        <w:t>.</w:t>
      </w:r>
    </w:p>
    <w:p w:rsidR="009D00B2" w:rsidRDefault="009D00B2" w:rsidP="009D00B2">
      <w:pPr>
        <w:pStyle w:val="Paragraph"/>
        <w:numPr>
          <w:ilvl w:val="0"/>
          <w:numId w:val="0"/>
        </w:numPr>
        <w:spacing w:before="0"/>
        <w:rPr>
          <w:szCs w:val="24"/>
        </w:rPr>
      </w:pPr>
    </w:p>
    <w:p w:rsidR="00F3229C" w:rsidRDefault="009D00B2" w:rsidP="009D00B2">
      <w:pPr>
        <w:pStyle w:val="Paragraph"/>
        <w:numPr>
          <w:ilvl w:val="0"/>
          <w:numId w:val="0"/>
        </w:numPr>
        <w:spacing w:before="0"/>
        <w:rPr>
          <w:szCs w:val="24"/>
        </w:rPr>
      </w:pPr>
      <w:r w:rsidRPr="00007C63">
        <w:rPr>
          <w:szCs w:val="24"/>
        </w:rPr>
        <w:lastRenderedPageBreak/>
        <w:t xml:space="preserve">The Regulation will </w:t>
      </w:r>
      <w:r w:rsidR="00BC07B9">
        <w:rPr>
          <w:szCs w:val="24"/>
        </w:rPr>
        <w:t>increase all general federal law fees by 10 per cent</w:t>
      </w:r>
      <w:r w:rsidR="000B6268">
        <w:rPr>
          <w:szCs w:val="24"/>
        </w:rPr>
        <w:t xml:space="preserve"> (except for those fees not subject to a biennial fee increase)</w:t>
      </w:r>
      <w:r w:rsidR="00BC07B9">
        <w:rPr>
          <w:szCs w:val="24"/>
        </w:rPr>
        <w:t xml:space="preserve">, following a restructure of fee categories for </w:t>
      </w:r>
      <w:r w:rsidR="00245650">
        <w:rPr>
          <w:szCs w:val="24"/>
        </w:rPr>
        <w:t>public authorities and publicly listed companies filing matters</w:t>
      </w:r>
      <w:r w:rsidR="000B6268">
        <w:rPr>
          <w:szCs w:val="24"/>
        </w:rPr>
        <w:t xml:space="preserve">, </w:t>
      </w:r>
      <w:r w:rsidR="00245650">
        <w:rPr>
          <w:szCs w:val="24"/>
        </w:rPr>
        <w:t>other than bankruptcy matters</w:t>
      </w:r>
      <w:r w:rsidR="000B6268">
        <w:rPr>
          <w:szCs w:val="24"/>
        </w:rPr>
        <w:t>,</w:t>
      </w:r>
      <w:r w:rsidR="00245650">
        <w:rPr>
          <w:szCs w:val="24"/>
        </w:rPr>
        <w:t xml:space="preserve"> in the Federal Court and Federal Circuit Court. Currently, the applicable fees for public authorities and publicly listed companies in the federal courts are significantly higher than those of some State courts. </w:t>
      </w:r>
    </w:p>
    <w:p w:rsidR="00F3229C" w:rsidRDefault="00F3229C" w:rsidP="009D00B2">
      <w:pPr>
        <w:pStyle w:val="Paragraph"/>
        <w:numPr>
          <w:ilvl w:val="0"/>
          <w:numId w:val="0"/>
        </w:numPr>
        <w:spacing w:before="0"/>
        <w:rPr>
          <w:szCs w:val="24"/>
        </w:rPr>
      </w:pPr>
    </w:p>
    <w:p w:rsidR="009D00B2" w:rsidRDefault="00245650" w:rsidP="009D00B2">
      <w:pPr>
        <w:pStyle w:val="Paragraph"/>
        <w:numPr>
          <w:ilvl w:val="0"/>
          <w:numId w:val="0"/>
        </w:numPr>
        <w:spacing w:before="0"/>
        <w:rPr>
          <w:szCs w:val="24"/>
        </w:rPr>
      </w:pPr>
      <w:r>
        <w:rPr>
          <w:szCs w:val="24"/>
        </w:rPr>
        <w:t xml:space="preserve">The </w:t>
      </w:r>
      <w:r w:rsidR="00D0478C">
        <w:rPr>
          <w:szCs w:val="24"/>
        </w:rPr>
        <w:t xml:space="preserve">basis on which the amended fees are calculated is to increase </w:t>
      </w:r>
      <w:r>
        <w:rPr>
          <w:szCs w:val="24"/>
        </w:rPr>
        <w:t>fee parity between the federal courts and State courts</w:t>
      </w:r>
      <w:r w:rsidR="00F17E8D">
        <w:rPr>
          <w:szCs w:val="24"/>
        </w:rPr>
        <w:t xml:space="preserve">, and </w:t>
      </w:r>
      <w:r w:rsidR="009815DB">
        <w:rPr>
          <w:szCs w:val="24"/>
        </w:rPr>
        <w:t xml:space="preserve">achieve </w:t>
      </w:r>
      <w:r w:rsidR="00F17E8D">
        <w:rPr>
          <w:szCs w:val="24"/>
        </w:rPr>
        <w:t>higher cost recovery overall</w:t>
      </w:r>
      <w:r>
        <w:rPr>
          <w:szCs w:val="24"/>
        </w:rPr>
        <w:t>. Distinct fees for bankruptcy matters will remain unchanged, as these matters form a large proportion of filings and are matters over which the Commonwealth has exclusive jurisdiction.</w:t>
      </w:r>
      <w:r w:rsidR="00F17E8D">
        <w:rPr>
          <w:szCs w:val="24"/>
        </w:rPr>
        <w:t xml:space="preserve"> Certain </w:t>
      </w:r>
      <w:r w:rsidR="00284B98">
        <w:rPr>
          <w:szCs w:val="24"/>
        </w:rPr>
        <w:t xml:space="preserve">minor, </w:t>
      </w:r>
      <w:r w:rsidR="00F17E8D">
        <w:rPr>
          <w:szCs w:val="24"/>
        </w:rPr>
        <w:t>procedural international arbitration matters will also be exempt from the general filing fee to make Australia a more desirable arbitration seat.</w:t>
      </w:r>
      <w:r>
        <w:rPr>
          <w:szCs w:val="24"/>
        </w:rPr>
        <w:t xml:space="preserve">  </w:t>
      </w:r>
    </w:p>
    <w:p w:rsidR="00284B98" w:rsidRDefault="008C74B6" w:rsidP="008C74B6">
      <w:pPr>
        <w:ind w:right="91"/>
        <w:rPr>
          <w:szCs w:val="24"/>
        </w:rPr>
      </w:pPr>
      <w:r>
        <w:rPr>
          <w:szCs w:val="24"/>
        </w:rPr>
        <w:t>The Regulation will</w:t>
      </w:r>
      <w:r w:rsidR="00BC07B9">
        <w:rPr>
          <w:szCs w:val="24"/>
        </w:rPr>
        <w:t xml:space="preserve"> </w:t>
      </w:r>
      <w:r w:rsidR="00284B98">
        <w:rPr>
          <w:szCs w:val="24"/>
        </w:rPr>
        <w:t xml:space="preserve">also </w:t>
      </w:r>
      <w:r w:rsidR="009815DB">
        <w:rPr>
          <w:szCs w:val="24"/>
        </w:rPr>
        <w:t xml:space="preserve">increase the full divorce fee in the Federal Circuit Court to achieve parity with the full fee in the Family Court, to reflect that the Federal Circuit Court is well established as the main court dealing with divorce applications. </w:t>
      </w:r>
      <w:r w:rsidR="000B6268">
        <w:rPr>
          <w:szCs w:val="24"/>
        </w:rPr>
        <w:t xml:space="preserve">There will be no change to the reduced divorce fee in the Federal Circuit Court and divorce fees in the Family Court of Australia. </w:t>
      </w:r>
      <w:r w:rsidR="000B6268" w:rsidRPr="000B6268">
        <w:rPr>
          <w:szCs w:val="24"/>
        </w:rPr>
        <w:t>Accordingly, the Regulation will also remove the provisions referring to a specific biennial fee increase formula for reduced family law fees. This will no longer be applicable as the reduced divorce fee in the Federal Circuit Court will not be one-third of the full divorce fee in that Court, and no other family law fee items have reduced fees or reduced fee filings.</w:t>
      </w:r>
    </w:p>
    <w:p w:rsidR="008C74B6" w:rsidRDefault="009815DB" w:rsidP="008C74B6">
      <w:pPr>
        <w:ind w:right="91"/>
        <w:rPr>
          <w:szCs w:val="24"/>
        </w:rPr>
      </w:pPr>
      <w:r>
        <w:rPr>
          <w:szCs w:val="24"/>
        </w:rPr>
        <w:t xml:space="preserve">The Regulation will </w:t>
      </w:r>
      <w:r w:rsidR="00BC07B9">
        <w:rPr>
          <w:szCs w:val="24"/>
        </w:rPr>
        <w:t>also</w:t>
      </w:r>
      <w:r w:rsidR="00821E7D">
        <w:rPr>
          <w:szCs w:val="24"/>
        </w:rPr>
        <w:t xml:space="preserve"> </w:t>
      </w:r>
      <w:r w:rsidR="00BA3886" w:rsidRPr="00B04579">
        <w:rPr>
          <w:szCs w:val="24"/>
        </w:rPr>
        <w:t xml:space="preserve">increase </w:t>
      </w:r>
      <w:r w:rsidR="00BC07B9">
        <w:rPr>
          <w:szCs w:val="24"/>
        </w:rPr>
        <w:t xml:space="preserve">all </w:t>
      </w:r>
      <w:r w:rsidR="002365C6">
        <w:rPr>
          <w:szCs w:val="24"/>
        </w:rPr>
        <w:t xml:space="preserve">other </w:t>
      </w:r>
      <w:r w:rsidR="00BA3886" w:rsidRPr="00B04579">
        <w:rPr>
          <w:szCs w:val="24"/>
        </w:rPr>
        <w:t>family law fees</w:t>
      </w:r>
      <w:r w:rsidR="000B6268">
        <w:rPr>
          <w:szCs w:val="24"/>
        </w:rPr>
        <w:t>, except for the reduced Federal Circuit Court divorce fee and Family Court divorce fees</w:t>
      </w:r>
      <w:r w:rsidR="00284B98">
        <w:rPr>
          <w:szCs w:val="24"/>
        </w:rPr>
        <w:t xml:space="preserve">. </w:t>
      </w:r>
      <w:r w:rsidR="00D0478C">
        <w:rPr>
          <w:szCs w:val="24"/>
        </w:rPr>
        <w:t>The basis on which the amended fees are calculated is to</w:t>
      </w:r>
      <w:r w:rsidR="00BA3886" w:rsidRPr="00B04579">
        <w:rPr>
          <w:szCs w:val="24"/>
        </w:rPr>
        <w:t xml:space="preserve"> better reflect the cost of providing court services for private matters</w:t>
      </w:r>
      <w:r w:rsidR="00A92E9B">
        <w:rPr>
          <w:szCs w:val="24"/>
        </w:rPr>
        <w:t xml:space="preserve"> </w:t>
      </w:r>
      <w:r w:rsidR="00A92E9B" w:rsidRPr="00A92E9B">
        <w:rPr>
          <w:szCs w:val="24"/>
        </w:rPr>
        <w:t>where there often may be little public interest at stake</w:t>
      </w:r>
      <w:r w:rsidR="00073DC9">
        <w:rPr>
          <w:szCs w:val="24"/>
        </w:rPr>
        <w:t>,</w:t>
      </w:r>
      <w:r w:rsidR="00BA3886" w:rsidRPr="00B04579">
        <w:rPr>
          <w:szCs w:val="24"/>
        </w:rPr>
        <w:t xml:space="preserve"> </w:t>
      </w:r>
      <w:r w:rsidR="00BA3886">
        <w:rPr>
          <w:szCs w:val="24"/>
        </w:rPr>
        <w:t>and reinforce</w:t>
      </w:r>
      <w:r w:rsidR="00BA3886" w:rsidRPr="00B04579">
        <w:rPr>
          <w:szCs w:val="24"/>
        </w:rPr>
        <w:t xml:space="preserve"> the message to litigants that early dispute resolution is encouraged (where appropriate) and courts should be considered a last resort. </w:t>
      </w:r>
      <w:r w:rsidR="00BA3886">
        <w:rPr>
          <w:szCs w:val="24"/>
        </w:rPr>
        <w:t>Full</w:t>
      </w:r>
      <w:r w:rsidR="00BA3886" w:rsidRPr="00B04579">
        <w:rPr>
          <w:szCs w:val="24"/>
        </w:rPr>
        <w:t xml:space="preserve"> or partial waivers of fees w</w:t>
      </w:r>
      <w:r w:rsidR="00BA3886">
        <w:rPr>
          <w:szCs w:val="24"/>
        </w:rPr>
        <w:t>ill</w:t>
      </w:r>
      <w:r w:rsidR="00BA3886" w:rsidRPr="00B04579">
        <w:rPr>
          <w:szCs w:val="24"/>
        </w:rPr>
        <w:t xml:space="preserve"> </w:t>
      </w:r>
      <w:r w:rsidR="00BA3886">
        <w:rPr>
          <w:szCs w:val="24"/>
        </w:rPr>
        <w:t>continue to</w:t>
      </w:r>
      <w:r w:rsidR="00BA3886" w:rsidRPr="00B04579">
        <w:rPr>
          <w:szCs w:val="24"/>
        </w:rPr>
        <w:t xml:space="preserve"> apply</w:t>
      </w:r>
      <w:r w:rsidR="00BA3886">
        <w:rPr>
          <w:szCs w:val="24"/>
        </w:rPr>
        <w:t xml:space="preserve"> to vulnerable litigants</w:t>
      </w:r>
      <w:r>
        <w:rPr>
          <w:szCs w:val="24"/>
        </w:rPr>
        <w:t>, including reduced fees for divorce applications</w:t>
      </w:r>
      <w:r w:rsidR="00BA3886" w:rsidRPr="00B04579">
        <w:rPr>
          <w:szCs w:val="24"/>
        </w:rPr>
        <w:t>.</w:t>
      </w:r>
    </w:p>
    <w:p w:rsidR="009D00B2" w:rsidRDefault="00E37AFC" w:rsidP="009D00B2">
      <w:pPr>
        <w:rPr>
          <w:szCs w:val="24"/>
        </w:rPr>
      </w:pPr>
      <w:r>
        <w:rPr>
          <w:color w:val="000000"/>
          <w:szCs w:val="24"/>
        </w:rPr>
        <w:t>The Regulation will</w:t>
      </w:r>
      <w:r w:rsidR="009D00B2">
        <w:rPr>
          <w:color w:val="000000"/>
          <w:szCs w:val="24"/>
        </w:rPr>
        <w:t xml:space="preserve"> commence on 1 J</w:t>
      </w:r>
      <w:r w:rsidR="009D03DA">
        <w:rPr>
          <w:color w:val="000000"/>
          <w:szCs w:val="24"/>
        </w:rPr>
        <w:t>ul</w:t>
      </w:r>
      <w:r w:rsidR="009D00B2">
        <w:rPr>
          <w:color w:val="000000"/>
          <w:szCs w:val="24"/>
        </w:rPr>
        <w:t xml:space="preserve">y </w:t>
      </w:r>
      <w:r w:rsidR="00284B98">
        <w:rPr>
          <w:color w:val="000000"/>
          <w:szCs w:val="24"/>
        </w:rPr>
        <w:t xml:space="preserve">2015, and </w:t>
      </w:r>
      <w:r w:rsidR="009D00B2" w:rsidRPr="0086476A">
        <w:rPr>
          <w:color w:val="000000"/>
          <w:szCs w:val="24"/>
        </w:rPr>
        <w:t xml:space="preserve">apply to fees for documents filed or services provided </w:t>
      </w:r>
      <w:r w:rsidR="00F3229C">
        <w:rPr>
          <w:color w:val="000000"/>
          <w:szCs w:val="24"/>
        </w:rPr>
        <w:t>for all general federal law</w:t>
      </w:r>
      <w:r w:rsidR="009D00B2" w:rsidRPr="0086476A">
        <w:rPr>
          <w:color w:val="000000"/>
          <w:szCs w:val="24"/>
        </w:rPr>
        <w:t xml:space="preserve"> (except </w:t>
      </w:r>
      <w:r w:rsidR="00E06E8F">
        <w:rPr>
          <w:color w:val="000000"/>
          <w:szCs w:val="24"/>
        </w:rPr>
        <w:t>distinct fees</w:t>
      </w:r>
      <w:r w:rsidR="009D00B2" w:rsidRPr="0086476A">
        <w:rPr>
          <w:color w:val="000000"/>
          <w:szCs w:val="24"/>
        </w:rPr>
        <w:t xml:space="preserve"> relating to </w:t>
      </w:r>
      <w:r w:rsidR="00F3229C">
        <w:rPr>
          <w:color w:val="000000"/>
          <w:szCs w:val="24"/>
        </w:rPr>
        <w:t xml:space="preserve">bankruptcy proceedings) and </w:t>
      </w:r>
      <w:r w:rsidR="009D00B2" w:rsidRPr="0086476A">
        <w:rPr>
          <w:color w:val="000000"/>
          <w:szCs w:val="24"/>
        </w:rPr>
        <w:t>family law fee categories on or after 1 J</w:t>
      </w:r>
      <w:r w:rsidR="009D03DA">
        <w:rPr>
          <w:color w:val="000000"/>
          <w:szCs w:val="24"/>
        </w:rPr>
        <w:t>ul</w:t>
      </w:r>
      <w:r w:rsidR="009D00B2" w:rsidRPr="0086476A">
        <w:rPr>
          <w:color w:val="000000"/>
          <w:szCs w:val="24"/>
        </w:rPr>
        <w:t>y 2015.</w:t>
      </w:r>
      <w:r w:rsidR="009D00B2">
        <w:rPr>
          <w:color w:val="000000"/>
          <w:szCs w:val="24"/>
        </w:rPr>
        <w:t xml:space="preserve"> </w:t>
      </w:r>
    </w:p>
    <w:p w:rsidR="00284B98" w:rsidRDefault="00284B98" w:rsidP="00284B98">
      <w:pPr>
        <w:rPr>
          <w:szCs w:val="24"/>
        </w:rPr>
      </w:pPr>
      <w:r>
        <w:rPr>
          <w:szCs w:val="24"/>
        </w:rPr>
        <w:t>The</w:t>
      </w:r>
      <w:r w:rsidRPr="005756AF">
        <w:rPr>
          <w:szCs w:val="24"/>
        </w:rPr>
        <w:t xml:space="preserve"> Federal Court</w:t>
      </w:r>
      <w:r>
        <w:rPr>
          <w:szCs w:val="24"/>
        </w:rPr>
        <w:t xml:space="preserve"> of Australia, the Family Court of Australia, the Federal Circuit Court of Australia and the Family Court of Western Australia </w:t>
      </w:r>
      <w:r w:rsidRPr="005756AF">
        <w:rPr>
          <w:szCs w:val="24"/>
        </w:rPr>
        <w:t>were consulted on the content of the Regulation.</w:t>
      </w:r>
      <w:r>
        <w:rPr>
          <w:szCs w:val="24"/>
        </w:rPr>
        <w:t xml:space="preserve"> </w:t>
      </w:r>
      <w:r w:rsidRPr="005756AF">
        <w:rPr>
          <w:szCs w:val="24"/>
        </w:rPr>
        <w:t xml:space="preserve">Consultation involved the exchange of correspondence and discussions. </w:t>
      </w:r>
    </w:p>
    <w:p w:rsidR="007B6B5D" w:rsidRPr="005756AF" w:rsidRDefault="007B6B5D" w:rsidP="007B6B5D">
      <w:pPr>
        <w:pStyle w:val="Paragraph"/>
        <w:numPr>
          <w:ilvl w:val="0"/>
          <w:numId w:val="0"/>
        </w:numPr>
        <w:rPr>
          <w:szCs w:val="24"/>
        </w:rPr>
      </w:pPr>
      <w:r w:rsidRPr="005756AF">
        <w:rPr>
          <w:szCs w:val="24"/>
        </w:rPr>
        <w:t>Details of the Regulation are set out in</w:t>
      </w:r>
      <w:r w:rsidR="009B6E77">
        <w:rPr>
          <w:szCs w:val="24"/>
        </w:rPr>
        <w:t xml:space="preserve"> the</w:t>
      </w:r>
      <w:r w:rsidRPr="005756AF">
        <w:rPr>
          <w:szCs w:val="24"/>
        </w:rPr>
        <w:t xml:space="preserve"> </w:t>
      </w:r>
      <w:r w:rsidR="009B6E77">
        <w:rPr>
          <w:szCs w:val="24"/>
          <w:u w:val="single"/>
        </w:rPr>
        <w:t>Attachment</w:t>
      </w:r>
      <w:r w:rsidRPr="005756AF">
        <w:rPr>
          <w:szCs w:val="24"/>
        </w:rPr>
        <w:t>.</w:t>
      </w:r>
    </w:p>
    <w:p w:rsidR="001718EB" w:rsidRDefault="001718EB" w:rsidP="001718EB">
      <w:pPr>
        <w:tabs>
          <w:tab w:val="left" w:pos="6521"/>
        </w:tabs>
        <w:spacing w:before="0"/>
        <w:ind w:right="91"/>
        <w:rPr>
          <w:szCs w:val="24"/>
          <w:highlight w:val="yellow"/>
        </w:rPr>
      </w:pPr>
    </w:p>
    <w:p w:rsidR="001718EB" w:rsidRPr="005756AF" w:rsidRDefault="001718EB" w:rsidP="001718EB">
      <w:pPr>
        <w:tabs>
          <w:tab w:val="left" w:pos="6521"/>
        </w:tabs>
        <w:spacing w:before="0"/>
        <w:ind w:right="91"/>
        <w:rPr>
          <w:szCs w:val="24"/>
        </w:rPr>
      </w:pPr>
      <w:r w:rsidRPr="00147E7E">
        <w:rPr>
          <w:szCs w:val="24"/>
        </w:rPr>
        <w:t>The Office of Best Practice Regulation was consulted on the measures and advised that no Regulation Impact Statement was required.</w:t>
      </w:r>
    </w:p>
    <w:p w:rsidR="00AC72A3" w:rsidRPr="005756AF" w:rsidRDefault="00AC72A3" w:rsidP="00AC72A3">
      <w:pPr>
        <w:spacing w:after="240"/>
        <w:rPr>
          <w:szCs w:val="24"/>
        </w:rPr>
      </w:pPr>
      <w:r w:rsidRPr="005756AF">
        <w:t>The authorising Acts contain no conditions that need to be fulfilled before the Regulation can be made.</w:t>
      </w:r>
    </w:p>
    <w:p w:rsidR="007B6B5D" w:rsidRPr="005756AF" w:rsidRDefault="007B6B5D" w:rsidP="0077486E">
      <w:pPr>
        <w:tabs>
          <w:tab w:val="left" w:pos="6521"/>
        </w:tabs>
        <w:spacing w:before="0"/>
        <w:ind w:right="91"/>
        <w:rPr>
          <w:szCs w:val="24"/>
        </w:rPr>
      </w:pPr>
      <w:r w:rsidRPr="005756AF">
        <w:rPr>
          <w:szCs w:val="24"/>
        </w:rPr>
        <w:t xml:space="preserve">The Regulation is a legislative instrument for the purposes of the </w:t>
      </w:r>
      <w:r w:rsidRPr="005756AF">
        <w:rPr>
          <w:i/>
          <w:szCs w:val="24"/>
        </w:rPr>
        <w:t>Legislative Instruments Act</w:t>
      </w:r>
      <w:r w:rsidR="009D03DA">
        <w:rPr>
          <w:i/>
          <w:szCs w:val="24"/>
        </w:rPr>
        <w:t> </w:t>
      </w:r>
      <w:r w:rsidRPr="005756AF">
        <w:rPr>
          <w:i/>
          <w:szCs w:val="24"/>
        </w:rPr>
        <w:t>2003</w:t>
      </w:r>
      <w:r w:rsidRPr="005756AF">
        <w:rPr>
          <w:szCs w:val="24"/>
        </w:rPr>
        <w:t>.</w:t>
      </w:r>
      <w:r w:rsidR="0077486E">
        <w:rPr>
          <w:szCs w:val="24"/>
        </w:rPr>
        <w:tab/>
      </w:r>
    </w:p>
    <w:p w:rsidR="00012AE2" w:rsidRDefault="00012AE2" w:rsidP="00821E7D">
      <w:pPr>
        <w:spacing w:before="0"/>
        <w:ind w:left="3686"/>
      </w:pPr>
      <w:r w:rsidRPr="00012AE2">
        <w:rPr>
          <w:szCs w:val="24"/>
          <w:u w:val="single"/>
        </w:rPr>
        <w:lastRenderedPageBreak/>
        <w:t>Authority</w:t>
      </w:r>
      <w:r w:rsidRPr="00012AE2">
        <w:rPr>
          <w:szCs w:val="24"/>
        </w:rPr>
        <w:t xml:space="preserve">: </w:t>
      </w:r>
      <w:r>
        <w:rPr>
          <w:szCs w:val="24"/>
        </w:rPr>
        <w:t xml:space="preserve"> </w:t>
      </w:r>
      <w:r w:rsidR="00C90628">
        <w:t>S</w:t>
      </w:r>
      <w:r w:rsidRPr="00012AE2">
        <w:t xml:space="preserve">ection 60 of the </w:t>
      </w:r>
      <w:r w:rsidRPr="00012AE2">
        <w:br/>
      </w:r>
      <w:r w:rsidR="00C90628">
        <w:rPr>
          <w:i/>
        </w:rPr>
        <w:t xml:space="preserve">        </w:t>
      </w:r>
      <w:r w:rsidR="00821E7D">
        <w:rPr>
          <w:i/>
        </w:rPr>
        <w:tab/>
        <w:t xml:space="preserve">        </w:t>
      </w:r>
      <w:r w:rsidRPr="00012AE2">
        <w:rPr>
          <w:i/>
        </w:rPr>
        <w:t>Federal Court of Australia Act 1976</w:t>
      </w:r>
    </w:p>
    <w:p w:rsidR="00D37117" w:rsidRDefault="00D37117" w:rsidP="00821E7D">
      <w:pPr>
        <w:spacing w:before="0"/>
        <w:ind w:left="4186" w:firstLine="634"/>
        <w:rPr>
          <w:szCs w:val="24"/>
        </w:rPr>
      </w:pPr>
    </w:p>
    <w:p w:rsidR="00821E7D" w:rsidRDefault="00821E7D" w:rsidP="00821E7D">
      <w:pPr>
        <w:spacing w:before="0"/>
        <w:ind w:left="4186" w:firstLine="634"/>
        <w:rPr>
          <w:szCs w:val="24"/>
        </w:rPr>
      </w:pPr>
      <w:r>
        <w:rPr>
          <w:szCs w:val="24"/>
        </w:rPr>
        <w:t>Section 125 of the</w:t>
      </w:r>
    </w:p>
    <w:p w:rsidR="00821E7D" w:rsidRDefault="00821E7D" w:rsidP="00821E7D">
      <w:pPr>
        <w:spacing w:before="0"/>
        <w:ind w:left="4100" w:right="-187" w:firstLine="720"/>
        <w:rPr>
          <w:i/>
        </w:rPr>
      </w:pPr>
      <w:r>
        <w:rPr>
          <w:i/>
          <w:szCs w:val="24"/>
        </w:rPr>
        <w:t>Family Law Act 1975</w:t>
      </w:r>
    </w:p>
    <w:p w:rsidR="00D37117" w:rsidRDefault="00D37117" w:rsidP="00D37117">
      <w:pPr>
        <w:ind w:left="4820" w:right="-187"/>
        <w:rPr>
          <w:i/>
        </w:rPr>
      </w:pPr>
      <w:r w:rsidRPr="00012AE2">
        <w:t xml:space="preserve">Section 120 of the </w:t>
      </w:r>
      <w:r w:rsidRPr="00012AE2">
        <w:br/>
      </w:r>
      <w:r w:rsidRPr="00012AE2">
        <w:rPr>
          <w:i/>
        </w:rPr>
        <w:t>Federal Circuit Court of Australia Act 1999</w:t>
      </w:r>
    </w:p>
    <w:p w:rsidR="00284B98" w:rsidRDefault="00284B98">
      <w:pPr>
        <w:spacing w:before="0" w:after="200" w:line="276" w:lineRule="auto"/>
        <w:rPr>
          <w:b/>
          <w:bCs/>
          <w:szCs w:val="24"/>
        </w:rPr>
      </w:pPr>
      <w:r>
        <w:rPr>
          <w:b/>
          <w:bCs/>
          <w:szCs w:val="24"/>
        </w:rPr>
        <w:br w:type="page"/>
      </w:r>
    </w:p>
    <w:p w:rsidR="007B6B5D" w:rsidRPr="005756AF" w:rsidRDefault="007B6B5D" w:rsidP="00284B98">
      <w:pPr>
        <w:spacing w:before="0" w:after="240"/>
        <w:jc w:val="center"/>
        <w:rPr>
          <w:szCs w:val="24"/>
        </w:rPr>
      </w:pPr>
      <w:r w:rsidRPr="005756AF">
        <w:rPr>
          <w:b/>
          <w:bCs/>
          <w:szCs w:val="24"/>
        </w:rPr>
        <w:t>Statement of Compatibility with Human Rights</w:t>
      </w:r>
    </w:p>
    <w:p w:rsidR="007B6B5D" w:rsidRPr="005756AF" w:rsidRDefault="007B6B5D" w:rsidP="00284B98">
      <w:pPr>
        <w:spacing w:before="0" w:after="240"/>
        <w:jc w:val="center"/>
        <w:rPr>
          <w:szCs w:val="24"/>
        </w:rPr>
      </w:pPr>
      <w:r w:rsidRPr="005756AF">
        <w:rPr>
          <w:i/>
          <w:iCs/>
          <w:szCs w:val="24"/>
        </w:rPr>
        <w:t>Prepared in accordance with Part 3 of the Human Rights (Parliamentary Scrutiny) Act 2011</w:t>
      </w:r>
    </w:p>
    <w:p w:rsidR="007B6B5D" w:rsidRPr="005756AF" w:rsidRDefault="00D37117" w:rsidP="00284B98">
      <w:pPr>
        <w:spacing w:before="0" w:after="240"/>
        <w:jc w:val="center"/>
        <w:rPr>
          <w:szCs w:val="24"/>
        </w:rPr>
      </w:pPr>
      <w:r>
        <w:rPr>
          <w:b/>
          <w:bCs/>
          <w:szCs w:val="24"/>
        </w:rPr>
        <w:t xml:space="preserve">Federal Courts </w:t>
      </w:r>
      <w:r w:rsidR="003E06B4">
        <w:rPr>
          <w:b/>
          <w:bCs/>
          <w:szCs w:val="24"/>
        </w:rPr>
        <w:t xml:space="preserve">Legislation </w:t>
      </w:r>
      <w:r>
        <w:rPr>
          <w:b/>
          <w:bCs/>
          <w:szCs w:val="24"/>
        </w:rPr>
        <w:t>Amendment (Fees) Regulation 201</w:t>
      </w:r>
      <w:r w:rsidR="00316B5F">
        <w:rPr>
          <w:b/>
          <w:bCs/>
          <w:szCs w:val="24"/>
        </w:rPr>
        <w:t>5</w:t>
      </w:r>
    </w:p>
    <w:p w:rsidR="007B6B5D" w:rsidRPr="005756AF" w:rsidRDefault="007B6B5D" w:rsidP="00284B98">
      <w:pPr>
        <w:spacing w:before="0" w:after="240"/>
        <w:rPr>
          <w:szCs w:val="24"/>
        </w:rPr>
      </w:pPr>
      <w:r w:rsidRPr="005756AF">
        <w:rPr>
          <w:szCs w:val="24"/>
        </w:rPr>
        <w:t xml:space="preserve">This Legislative Instrument is compatible with the human rights and freedoms recognised or declared in the international instruments listed in section 3 of the </w:t>
      </w:r>
      <w:r w:rsidRPr="005756AF">
        <w:rPr>
          <w:i/>
          <w:iCs/>
          <w:szCs w:val="24"/>
        </w:rPr>
        <w:t>Human Rights (Parliamentary Scrutiny) Act 2011</w:t>
      </w:r>
      <w:r w:rsidRPr="005756AF">
        <w:rPr>
          <w:szCs w:val="24"/>
        </w:rPr>
        <w:t>.</w:t>
      </w:r>
    </w:p>
    <w:p w:rsidR="007B6B5D" w:rsidRDefault="007B6B5D" w:rsidP="00284B98">
      <w:pPr>
        <w:spacing w:before="0" w:after="240"/>
        <w:jc w:val="both"/>
        <w:rPr>
          <w:b/>
          <w:bCs/>
          <w:szCs w:val="24"/>
        </w:rPr>
      </w:pPr>
      <w:r w:rsidRPr="005756AF">
        <w:rPr>
          <w:b/>
          <w:bCs/>
          <w:szCs w:val="24"/>
        </w:rPr>
        <w:t>Overview of the Legislative Instrument</w:t>
      </w:r>
    </w:p>
    <w:p w:rsidR="009D00B2" w:rsidRPr="009D00B2" w:rsidRDefault="009D00B2" w:rsidP="00284B98">
      <w:pPr>
        <w:spacing w:before="0" w:after="240"/>
      </w:pPr>
      <w:r>
        <w:rPr>
          <w:szCs w:val="24"/>
        </w:rPr>
        <w:t xml:space="preserve">The </w:t>
      </w:r>
      <w:r w:rsidR="00D37117">
        <w:rPr>
          <w:i/>
          <w:szCs w:val="24"/>
        </w:rPr>
        <w:t xml:space="preserve">Federal Courts </w:t>
      </w:r>
      <w:r w:rsidR="003E06B4">
        <w:rPr>
          <w:i/>
          <w:szCs w:val="24"/>
        </w:rPr>
        <w:t xml:space="preserve">Legislation </w:t>
      </w:r>
      <w:r w:rsidR="00D37117">
        <w:rPr>
          <w:i/>
          <w:szCs w:val="24"/>
        </w:rPr>
        <w:t>Amendment (Fees) Regulation 201</w:t>
      </w:r>
      <w:r w:rsidR="009D03DA">
        <w:rPr>
          <w:i/>
          <w:szCs w:val="24"/>
        </w:rPr>
        <w:t>5</w:t>
      </w:r>
      <w:r>
        <w:rPr>
          <w:i/>
          <w:szCs w:val="24"/>
        </w:rPr>
        <w:t xml:space="preserve"> </w:t>
      </w:r>
      <w:r w:rsidR="00E37AFC">
        <w:rPr>
          <w:szCs w:val="24"/>
        </w:rPr>
        <w:t>will</w:t>
      </w:r>
      <w:r>
        <w:rPr>
          <w:szCs w:val="24"/>
        </w:rPr>
        <w:t xml:space="preserve"> amend</w:t>
      </w:r>
      <w:r w:rsidR="00011254">
        <w:rPr>
          <w:szCs w:val="24"/>
        </w:rPr>
        <w:t xml:space="preserve"> the</w:t>
      </w:r>
      <w:r>
        <w:rPr>
          <w:szCs w:val="24"/>
        </w:rPr>
        <w:t xml:space="preserve"> </w:t>
      </w:r>
      <w:r>
        <w:rPr>
          <w:i/>
        </w:rPr>
        <w:t xml:space="preserve">Federal Court and Federal Circuit </w:t>
      </w:r>
      <w:r w:rsidR="00011254">
        <w:rPr>
          <w:i/>
        </w:rPr>
        <w:t xml:space="preserve">Court </w:t>
      </w:r>
      <w:r>
        <w:rPr>
          <w:i/>
        </w:rPr>
        <w:t>Regulation 2012</w:t>
      </w:r>
      <w:r>
        <w:t xml:space="preserve"> to:</w:t>
      </w:r>
    </w:p>
    <w:p w:rsidR="00D37117" w:rsidRDefault="00D37117" w:rsidP="00284B98">
      <w:pPr>
        <w:pStyle w:val="Paragraph"/>
        <w:numPr>
          <w:ilvl w:val="0"/>
          <w:numId w:val="14"/>
        </w:numPr>
        <w:spacing w:before="0" w:after="240"/>
      </w:pPr>
      <w:r>
        <w:t xml:space="preserve">exclude public authorities from having to pay fees for a corporation in the Federal Court of Australia and the Federal Circuit Court of Australia, </w:t>
      </w:r>
      <w:r w:rsidR="00B57F5A" w:rsidRPr="009D00B2">
        <w:rPr>
          <w:szCs w:val="24"/>
        </w:rPr>
        <w:t xml:space="preserve">except in </w:t>
      </w:r>
      <w:r w:rsidR="00B57F5A">
        <w:rPr>
          <w:szCs w:val="24"/>
        </w:rPr>
        <w:t>relation to distinct fee i</w:t>
      </w:r>
      <w:r w:rsidR="00673BB7">
        <w:rPr>
          <w:szCs w:val="24"/>
        </w:rPr>
        <w:t>tems for bankruptcy matters</w:t>
      </w:r>
    </w:p>
    <w:p w:rsidR="00D37117" w:rsidRDefault="00D37117" w:rsidP="00284B98">
      <w:pPr>
        <w:pStyle w:val="Paragraph"/>
        <w:numPr>
          <w:ilvl w:val="0"/>
          <w:numId w:val="14"/>
        </w:numPr>
        <w:spacing w:before="0" w:after="240"/>
      </w:pPr>
      <w:r>
        <w:t xml:space="preserve">remove the publicly listed company fee category, </w:t>
      </w:r>
      <w:r w:rsidR="00B57F5A" w:rsidRPr="009D00B2">
        <w:rPr>
          <w:szCs w:val="24"/>
        </w:rPr>
        <w:t xml:space="preserve">except in </w:t>
      </w:r>
      <w:r w:rsidR="00B57F5A">
        <w:rPr>
          <w:szCs w:val="24"/>
        </w:rPr>
        <w:t>relation to distinct fee items for bankruptcy matters</w:t>
      </w:r>
    </w:p>
    <w:p w:rsidR="00673BB7" w:rsidRDefault="00673BB7" w:rsidP="00284B98">
      <w:pPr>
        <w:pStyle w:val="ListParagraph"/>
        <w:numPr>
          <w:ilvl w:val="0"/>
          <w:numId w:val="14"/>
        </w:numPr>
        <w:spacing w:before="0" w:after="240"/>
        <w:contextualSpacing w:val="0"/>
        <w:rPr>
          <w:szCs w:val="24"/>
        </w:rPr>
      </w:pPr>
      <w:r w:rsidRPr="00E11EC8">
        <w:rPr>
          <w:szCs w:val="24"/>
        </w:rPr>
        <w:t>increase all fee categories (as amended</w:t>
      </w:r>
      <w:r w:rsidR="00284B98">
        <w:rPr>
          <w:szCs w:val="24"/>
        </w:rPr>
        <w:t xml:space="preserve"> above</w:t>
      </w:r>
      <w:r w:rsidRPr="00E11EC8">
        <w:rPr>
          <w:szCs w:val="24"/>
        </w:rPr>
        <w:t>) by 10 per</w:t>
      </w:r>
      <w:r w:rsidR="00F8307C">
        <w:rPr>
          <w:szCs w:val="24"/>
        </w:rPr>
        <w:t xml:space="preserve"> </w:t>
      </w:r>
      <w:r w:rsidRPr="00E11EC8">
        <w:rPr>
          <w:szCs w:val="24"/>
        </w:rPr>
        <w:t>cent, and</w:t>
      </w:r>
    </w:p>
    <w:p w:rsidR="00673BB7" w:rsidRDefault="00673BB7" w:rsidP="00284B98">
      <w:pPr>
        <w:pStyle w:val="Paragraph"/>
        <w:numPr>
          <w:ilvl w:val="0"/>
          <w:numId w:val="14"/>
        </w:numPr>
        <w:spacing w:before="0" w:after="240"/>
      </w:pPr>
      <w:r w:rsidRPr="00E11EC8">
        <w:rPr>
          <w:szCs w:val="24"/>
        </w:rPr>
        <w:t>exempt certain procedural international arbitration matters from the general filing fee.</w:t>
      </w:r>
    </w:p>
    <w:p w:rsidR="009D00B2" w:rsidRPr="009D00B2" w:rsidRDefault="009D00B2" w:rsidP="00284B98">
      <w:pPr>
        <w:spacing w:before="0" w:after="240"/>
        <w:ind w:right="91"/>
        <w:rPr>
          <w:szCs w:val="24"/>
        </w:rPr>
      </w:pPr>
      <w:r w:rsidRPr="00C836E3">
        <w:rPr>
          <w:szCs w:val="24"/>
        </w:rPr>
        <w:t xml:space="preserve">The </w:t>
      </w:r>
      <w:r w:rsidR="00E37AFC">
        <w:rPr>
          <w:i/>
          <w:szCs w:val="24"/>
        </w:rPr>
        <w:t xml:space="preserve">Federal Courts </w:t>
      </w:r>
      <w:r w:rsidR="00473768">
        <w:rPr>
          <w:i/>
          <w:szCs w:val="24"/>
        </w:rPr>
        <w:t xml:space="preserve">Legislation </w:t>
      </w:r>
      <w:r w:rsidR="00E37AFC">
        <w:rPr>
          <w:i/>
          <w:szCs w:val="24"/>
        </w:rPr>
        <w:t xml:space="preserve">Amendment (Fees) </w:t>
      </w:r>
      <w:r w:rsidR="00011254">
        <w:rPr>
          <w:i/>
          <w:szCs w:val="24"/>
        </w:rPr>
        <w:t>Regulation 201</w:t>
      </w:r>
      <w:r w:rsidR="009D03DA">
        <w:rPr>
          <w:i/>
          <w:szCs w:val="24"/>
        </w:rPr>
        <w:t>5</w:t>
      </w:r>
      <w:r w:rsidR="00011254">
        <w:rPr>
          <w:i/>
          <w:szCs w:val="24"/>
        </w:rPr>
        <w:t xml:space="preserve"> </w:t>
      </w:r>
      <w:r w:rsidR="00E37AFC">
        <w:rPr>
          <w:szCs w:val="24"/>
        </w:rPr>
        <w:t xml:space="preserve">will </w:t>
      </w:r>
      <w:r>
        <w:rPr>
          <w:szCs w:val="24"/>
        </w:rPr>
        <w:t xml:space="preserve">also amend the </w:t>
      </w:r>
      <w:r w:rsidRPr="009D00B2">
        <w:rPr>
          <w:i/>
          <w:szCs w:val="24"/>
        </w:rPr>
        <w:t>Family Law (Fees) Regulation 2012</w:t>
      </w:r>
      <w:r>
        <w:rPr>
          <w:szCs w:val="24"/>
        </w:rPr>
        <w:t xml:space="preserve"> to:</w:t>
      </w:r>
    </w:p>
    <w:p w:rsidR="009D00B2" w:rsidRPr="008C74B6" w:rsidRDefault="009D00B2" w:rsidP="00284B98">
      <w:pPr>
        <w:numPr>
          <w:ilvl w:val="0"/>
          <w:numId w:val="11"/>
        </w:numPr>
        <w:spacing w:before="0" w:after="240"/>
        <w:ind w:left="720"/>
        <w:rPr>
          <w:szCs w:val="24"/>
        </w:rPr>
      </w:pPr>
      <w:r w:rsidRPr="008C74B6">
        <w:rPr>
          <w:szCs w:val="24"/>
        </w:rPr>
        <w:t xml:space="preserve">increase the fee for </w:t>
      </w:r>
      <w:r w:rsidR="00073DC9">
        <w:rPr>
          <w:szCs w:val="24"/>
        </w:rPr>
        <w:t xml:space="preserve">certain </w:t>
      </w:r>
      <w:r w:rsidRPr="008C74B6">
        <w:rPr>
          <w:szCs w:val="24"/>
        </w:rPr>
        <w:t>divorce applications, consent orders and issuing subpoenas by a prescribed amount</w:t>
      </w:r>
    </w:p>
    <w:p w:rsidR="009D00B2" w:rsidRPr="008C74B6" w:rsidRDefault="009D00B2" w:rsidP="00284B98">
      <w:pPr>
        <w:numPr>
          <w:ilvl w:val="0"/>
          <w:numId w:val="11"/>
        </w:numPr>
        <w:spacing w:before="0" w:after="240"/>
        <w:ind w:left="720"/>
        <w:rPr>
          <w:szCs w:val="24"/>
        </w:rPr>
      </w:pPr>
      <w:r w:rsidRPr="008C74B6">
        <w:rPr>
          <w:szCs w:val="24"/>
        </w:rPr>
        <w:t>increase all other existing</w:t>
      </w:r>
      <w:r>
        <w:rPr>
          <w:szCs w:val="24"/>
        </w:rPr>
        <w:t xml:space="preserve"> family law</w:t>
      </w:r>
      <w:r w:rsidRPr="008C74B6">
        <w:rPr>
          <w:szCs w:val="24"/>
        </w:rPr>
        <w:t xml:space="preserve"> fee categories (by an average of </w:t>
      </w:r>
      <w:r w:rsidR="009D03DA">
        <w:rPr>
          <w:szCs w:val="24"/>
        </w:rPr>
        <w:t>10</w:t>
      </w:r>
      <w:r w:rsidRPr="008C74B6">
        <w:rPr>
          <w:szCs w:val="24"/>
        </w:rPr>
        <w:t xml:space="preserve"> per</w:t>
      </w:r>
      <w:r w:rsidR="00F8307C">
        <w:rPr>
          <w:szCs w:val="24"/>
        </w:rPr>
        <w:t xml:space="preserve"> </w:t>
      </w:r>
      <w:r w:rsidRPr="008C74B6">
        <w:rPr>
          <w:szCs w:val="24"/>
        </w:rPr>
        <w:t>cent)</w:t>
      </w:r>
      <w:r w:rsidR="00B57F5A">
        <w:rPr>
          <w:szCs w:val="24"/>
        </w:rPr>
        <w:t xml:space="preserve">, </w:t>
      </w:r>
      <w:r w:rsidR="00284B98">
        <w:rPr>
          <w:szCs w:val="24"/>
        </w:rPr>
        <w:t xml:space="preserve">except for </w:t>
      </w:r>
      <w:r w:rsidR="006E0B8A">
        <w:rPr>
          <w:szCs w:val="24"/>
        </w:rPr>
        <w:t xml:space="preserve">the reduced divorce fee in the Federal Circuit Court and </w:t>
      </w:r>
      <w:r w:rsidR="00284B98">
        <w:rPr>
          <w:szCs w:val="24"/>
        </w:rPr>
        <w:t xml:space="preserve">divorce fees in the Family Court of Australia, </w:t>
      </w:r>
      <w:r w:rsidR="00B57F5A">
        <w:rPr>
          <w:szCs w:val="24"/>
        </w:rPr>
        <w:t>and</w:t>
      </w:r>
    </w:p>
    <w:p w:rsidR="009D00B2" w:rsidRPr="008C74B6" w:rsidRDefault="009D00B2" w:rsidP="00284B98">
      <w:pPr>
        <w:numPr>
          <w:ilvl w:val="0"/>
          <w:numId w:val="11"/>
        </w:numPr>
        <w:spacing w:before="0" w:after="240"/>
        <w:ind w:left="720"/>
        <w:rPr>
          <w:szCs w:val="24"/>
        </w:rPr>
      </w:pPr>
      <w:r w:rsidRPr="008C74B6">
        <w:rPr>
          <w:szCs w:val="24"/>
        </w:rPr>
        <w:t xml:space="preserve">establish a new fee category </w:t>
      </w:r>
      <w:r w:rsidR="00011254">
        <w:rPr>
          <w:szCs w:val="24"/>
        </w:rPr>
        <w:t>for the filing of amended applications</w:t>
      </w:r>
      <w:r w:rsidRPr="008C74B6">
        <w:rPr>
          <w:szCs w:val="24"/>
        </w:rPr>
        <w:t>.</w:t>
      </w:r>
    </w:p>
    <w:p w:rsidR="007B6B5D" w:rsidRPr="005756AF" w:rsidRDefault="007B6B5D" w:rsidP="00284B98">
      <w:pPr>
        <w:spacing w:before="0" w:after="240"/>
        <w:rPr>
          <w:szCs w:val="24"/>
        </w:rPr>
      </w:pPr>
      <w:r w:rsidRPr="005756AF">
        <w:rPr>
          <w:b/>
          <w:bCs/>
          <w:szCs w:val="24"/>
        </w:rPr>
        <w:t>Human rights implications</w:t>
      </w:r>
    </w:p>
    <w:p w:rsidR="00775079" w:rsidRDefault="00660D09" w:rsidP="00284B98">
      <w:pPr>
        <w:autoSpaceDE w:val="0"/>
        <w:autoSpaceDN w:val="0"/>
        <w:adjustRightInd w:val="0"/>
        <w:spacing w:before="0" w:after="240"/>
        <w:rPr>
          <w:szCs w:val="24"/>
        </w:rPr>
      </w:pPr>
      <w:r w:rsidRPr="009D00B2">
        <w:rPr>
          <w:szCs w:val="24"/>
        </w:rPr>
        <w:t xml:space="preserve">The Regulation will reduce </w:t>
      </w:r>
      <w:r w:rsidR="00284B98">
        <w:rPr>
          <w:szCs w:val="24"/>
        </w:rPr>
        <w:t xml:space="preserve">overall </w:t>
      </w:r>
      <w:r w:rsidRPr="009D00B2">
        <w:rPr>
          <w:szCs w:val="24"/>
        </w:rPr>
        <w:t>the fees payable by public authorities and publicly listed companies filing matters in the Federal Court</w:t>
      </w:r>
      <w:r w:rsidR="00775079" w:rsidRPr="009D00B2">
        <w:rPr>
          <w:szCs w:val="24"/>
        </w:rPr>
        <w:t xml:space="preserve"> of Australia</w:t>
      </w:r>
      <w:r w:rsidRPr="009D00B2">
        <w:rPr>
          <w:szCs w:val="24"/>
        </w:rPr>
        <w:t xml:space="preserve"> and</w:t>
      </w:r>
      <w:r w:rsidR="007D5D2B" w:rsidRPr="009D00B2">
        <w:rPr>
          <w:szCs w:val="24"/>
        </w:rPr>
        <w:t xml:space="preserve"> the</w:t>
      </w:r>
      <w:r w:rsidRPr="009D00B2">
        <w:rPr>
          <w:szCs w:val="24"/>
        </w:rPr>
        <w:t xml:space="preserve"> Federal Circuit Court of Australia</w:t>
      </w:r>
      <w:r w:rsidR="007E45E7">
        <w:rPr>
          <w:szCs w:val="24"/>
        </w:rPr>
        <w:t xml:space="preserve">, </w:t>
      </w:r>
      <w:r w:rsidR="009D00B2" w:rsidRPr="009D00B2">
        <w:rPr>
          <w:szCs w:val="24"/>
        </w:rPr>
        <w:t xml:space="preserve">except in </w:t>
      </w:r>
      <w:r w:rsidR="007E45E7">
        <w:rPr>
          <w:szCs w:val="24"/>
        </w:rPr>
        <w:t>relation to distinct fee items for bankruptcy matters</w:t>
      </w:r>
      <w:r w:rsidRPr="009D00B2">
        <w:rPr>
          <w:szCs w:val="24"/>
        </w:rPr>
        <w:t>.</w:t>
      </w:r>
      <w:r w:rsidR="00775079">
        <w:rPr>
          <w:szCs w:val="24"/>
        </w:rPr>
        <w:t xml:space="preserve"> </w:t>
      </w:r>
    </w:p>
    <w:p w:rsidR="00053962" w:rsidRPr="005756AF" w:rsidRDefault="00775079" w:rsidP="00284B98">
      <w:pPr>
        <w:autoSpaceDE w:val="0"/>
        <w:autoSpaceDN w:val="0"/>
        <w:adjustRightInd w:val="0"/>
        <w:spacing w:before="0" w:after="240"/>
        <w:rPr>
          <w:rFonts w:eastAsiaTheme="minorHAnsi"/>
          <w:szCs w:val="24"/>
          <w:lang w:eastAsia="en-US"/>
        </w:rPr>
      </w:pPr>
      <w:r>
        <w:rPr>
          <w:szCs w:val="24"/>
        </w:rPr>
        <w:t xml:space="preserve">The Regulation will also increase </w:t>
      </w:r>
      <w:r w:rsidR="00073DC9">
        <w:rPr>
          <w:szCs w:val="24"/>
        </w:rPr>
        <w:t>certain</w:t>
      </w:r>
      <w:r>
        <w:rPr>
          <w:szCs w:val="24"/>
        </w:rPr>
        <w:t xml:space="preserve"> fees payable by applicants filing family law matters in the Family Court of Australia and</w:t>
      </w:r>
      <w:r w:rsidR="007D5D2B">
        <w:rPr>
          <w:szCs w:val="24"/>
        </w:rPr>
        <w:t xml:space="preserve"> the</w:t>
      </w:r>
      <w:r>
        <w:rPr>
          <w:szCs w:val="24"/>
        </w:rPr>
        <w:t xml:space="preserve"> Federal Circuit Court of Australia.  </w:t>
      </w:r>
      <w:r w:rsidR="00157208" w:rsidRPr="005756AF">
        <w:rPr>
          <w:szCs w:val="24"/>
        </w:rPr>
        <w:t xml:space="preserve">  </w:t>
      </w:r>
    </w:p>
    <w:p w:rsidR="007B6B5D" w:rsidRPr="005756AF" w:rsidRDefault="00053962" w:rsidP="00284B98">
      <w:pPr>
        <w:autoSpaceDE w:val="0"/>
        <w:autoSpaceDN w:val="0"/>
        <w:adjustRightInd w:val="0"/>
        <w:spacing w:before="0" w:after="240"/>
        <w:rPr>
          <w:rFonts w:eastAsiaTheme="minorHAnsi"/>
          <w:szCs w:val="24"/>
          <w:lang w:eastAsia="en-US"/>
        </w:rPr>
      </w:pPr>
      <w:r w:rsidRPr="005756AF">
        <w:rPr>
          <w:rFonts w:eastAsiaTheme="minorHAnsi"/>
          <w:szCs w:val="24"/>
          <w:lang w:eastAsia="en-US"/>
        </w:rPr>
        <w:t>T</w:t>
      </w:r>
      <w:r w:rsidR="007B6B5D" w:rsidRPr="005756AF">
        <w:rPr>
          <w:rFonts w:eastAsiaTheme="minorHAnsi"/>
          <w:szCs w:val="24"/>
          <w:lang w:eastAsia="en-US"/>
        </w:rPr>
        <w:t xml:space="preserve">he </w:t>
      </w:r>
      <w:r w:rsidR="00157208" w:rsidRPr="005756AF">
        <w:rPr>
          <w:rFonts w:eastAsiaTheme="minorHAnsi"/>
          <w:szCs w:val="24"/>
          <w:lang w:eastAsia="en-US"/>
        </w:rPr>
        <w:t>Regulation</w:t>
      </w:r>
      <w:r w:rsidR="007B6B5D" w:rsidRPr="005756AF">
        <w:rPr>
          <w:rFonts w:eastAsiaTheme="minorHAnsi"/>
          <w:szCs w:val="24"/>
          <w:lang w:eastAsia="en-US"/>
        </w:rPr>
        <w:t xml:space="preserve"> does not engage any of the applicable rights or freedoms.</w:t>
      </w:r>
    </w:p>
    <w:p w:rsidR="007B6B5D" w:rsidRPr="005756AF" w:rsidRDefault="007B6B5D" w:rsidP="00284B98">
      <w:pPr>
        <w:keepNext/>
        <w:spacing w:before="0" w:after="240"/>
        <w:rPr>
          <w:b/>
          <w:bCs/>
          <w:szCs w:val="24"/>
        </w:rPr>
      </w:pPr>
      <w:r w:rsidRPr="005756AF">
        <w:rPr>
          <w:b/>
          <w:bCs/>
          <w:szCs w:val="24"/>
        </w:rPr>
        <w:t>Conclusion</w:t>
      </w:r>
    </w:p>
    <w:p w:rsidR="007B6B5D" w:rsidRPr="005756AF" w:rsidRDefault="007B6B5D" w:rsidP="00284B98">
      <w:pPr>
        <w:keepNext/>
        <w:spacing w:before="0" w:after="240"/>
        <w:rPr>
          <w:szCs w:val="24"/>
        </w:rPr>
      </w:pPr>
      <w:r w:rsidRPr="005756AF">
        <w:rPr>
          <w:rFonts w:eastAsiaTheme="minorHAnsi"/>
          <w:szCs w:val="24"/>
          <w:lang w:eastAsia="en-US"/>
        </w:rPr>
        <w:t xml:space="preserve">The </w:t>
      </w:r>
      <w:r w:rsidR="00157208" w:rsidRPr="005756AF">
        <w:rPr>
          <w:rFonts w:eastAsiaTheme="minorHAnsi"/>
          <w:szCs w:val="24"/>
          <w:lang w:eastAsia="en-US"/>
        </w:rPr>
        <w:t>Regulation</w:t>
      </w:r>
      <w:r w:rsidRPr="005756AF">
        <w:rPr>
          <w:rFonts w:eastAsiaTheme="minorHAnsi"/>
          <w:szCs w:val="24"/>
          <w:lang w:eastAsia="en-US"/>
        </w:rPr>
        <w:t xml:space="preserve"> is compatible with human rights and does not raise any human rights issues.</w:t>
      </w:r>
    </w:p>
    <w:p w:rsidR="007B6B5D" w:rsidRPr="005756AF" w:rsidRDefault="007B6B5D" w:rsidP="00284B98">
      <w:pPr>
        <w:spacing w:before="0" w:after="240"/>
        <w:jc w:val="center"/>
        <w:rPr>
          <w:b/>
          <w:bCs/>
          <w:szCs w:val="24"/>
        </w:rPr>
      </w:pPr>
    </w:p>
    <w:p w:rsidR="007B6B5D" w:rsidRPr="005756AF" w:rsidRDefault="00660D09" w:rsidP="00284B98">
      <w:pPr>
        <w:spacing w:before="0" w:after="240"/>
        <w:jc w:val="center"/>
        <w:rPr>
          <w:szCs w:val="24"/>
        </w:rPr>
      </w:pPr>
      <w:r>
        <w:rPr>
          <w:b/>
          <w:bCs/>
          <w:szCs w:val="24"/>
        </w:rPr>
        <w:t>Senator the Hon George Brandis</w:t>
      </w:r>
      <w:r w:rsidR="007B6B5D" w:rsidRPr="005756AF">
        <w:rPr>
          <w:b/>
          <w:bCs/>
          <w:szCs w:val="24"/>
        </w:rPr>
        <w:t xml:space="preserve"> QC, Attorney-General</w:t>
      </w:r>
    </w:p>
    <w:p w:rsidR="00284B98" w:rsidRDefault="00284B98">
      <w:pPr>
        <w:spacing w:before="0" w:after="200" w:line="276" w:lineRule="auto"/>
        <w:rPr>
          <w:b/>
          <w:szCs w:val="24"/>
          <w:u w:val="single"/>
        </w:rPr>
      </w:pPr>
      <w:r>
        <w:rPr>
          <w:b/>
          <w:szCs w:val="24"/>
          <w:u w:val="single"/>
        </w:rPr>
        <w:br w:type="page"/>
      </w:r>
    </w:p>
    <w:p w:rsidR="007B6B5D" w:rsidRPr="005756AF" w:rsidRDefault="00660D09" w:rsidP="007B6B5D">
      <w:pPr>
        <w:spacing w:before="0" w:after="200" w:line="276" w:lineRule="auto"/>
        <w:jc w:val="right"/>
        <w:rPr>
          <w:b/>
          <w:szCs w:val="24"/>
          <w:u w:val="single"/>
        </w:rPr>
      </w:pPr>
      <w:r>
        <w:rPr>
          <w:b/>
          <w:szCs w:val="24"/>
          <w:u w:val="single"/>
        </w:rPr>
        <w:t>ATTACHMENT</w:t>
      </w:r>
    </w:p>
    <w:p w:rsidR="00C12D6B" w:rsidRDefault="004A6340" w:rsidP="00A322F3">
      <w:pPr>
        <w:spacing w:after="200" w:line="276" w:lineRule="auto"/>
        <w:rPr>
          <w:szCs w:val="24"/>
        </w:rPr>
      </w:pPr>
      <w:r w:rsidRPr="005756AF">
        <w:rPr>
          <w:szCs w:val="24"/>
        </w:rPr>
        <w:t>Details of the Regulation are as follows:</w:t>
      </w:r>
    </w:p>
    <w:p w:rsidR="007D5D2B" w:rsidRPr="00E37AFC" w:rsidRDefault="007D5D2B" w:rsidP="007D5D2B">
      <w:pPr>
        <w:ind w:right="91"/>
        <w:rPr>
          <w:b/>
          <w:noProof/>
          <w:szCs w:val="24"/>
          <w:lang w:eastAsia="en-US"/>
        </w:rPr>
      </w:pPr>
      <w:r w:rsidRPr="00E37AFC">
        <w:rPr>
          <w:b/>
          <w:noProof/>
          <w:szCs w:val="24"/>
          <w:lang w:eastAsia="en-US"/>
        </w:rPr>
        <w:t xml:space="preserve">Section 1 – Name </w:t>
      </w:r>
    </w:p>
    <w:p w:rsidR="007D5D2B" w:rsidRPr="00E37AFC" w:rsidRDefault="00E37AFC" w:rsidP="007D5D2B">
      <w:pPr>
        <w:ind w:right="91"/>
        <w:rPr>
          <w:noProof/>
          <w:szCs w:val="24"/>
          <w:lang w:eastAsia="en-US"/>
        </w:rPr>
      </w:pPr>
      <w:r w:rsidRPr="00E37AFC">
        <w:rPr>
          <w:noProof/>
          <w:szCs w:val="24"/>
          <w:lang w:eastAsia="en-US"/>
        </w:rPr>
        <w:t>This section will</w:t>
      </w:r>
      <w:r w:rsidR="007D5D2B" w:rsidRPr="00E37AFC">
        <w:rPr>
          <w:noProof/>
          <w:szCs w:val="24"/>
          <w:lang w:eastAsia="en-US"/>
        </w:rPr>
        <w:t xml:space="preserve"> provide that the name of the Regulation is the</w:t>
      </w:r>
      <w:r w:rsidRPr="00E37AFC">
        <w:rPr>
          <w:noProof/>
          <w:szCs w:val="24"/>
          <w:lang w:eastAsia="en-US"/>
        </w:rPr>
        <w:t xml:space="preserve"> </w:t>
      </w:r>
      <w:r w:rsidRPr="00E37AFC">
        <w:rPr>
          <w:i/>
          <w:noProof/>
          <w:szCs w:val="24"/>
          <w:lang w:eastAsia="en-US"/>
        </w:rPr>
        <w:t xml:space="preserve">Federal Courts </w:t>
      </w:r>
      <w:r w:rsidR="003E06B4">
        <w:rPr>
          <w:i/>
          <w:noProof/>
          <w:szCs w:val="24"/>
          <w:lang w:eastAsia="en-US"/>
        </w:rPr>
        <w:t xml:space="preserve">Legislation </w:t>
      </w:r>
      <w:r w:rsidR="007D5D2B" w:rsidRPr="00E37AFC">
        <w:rPr>
          <w:i/>
          <w:noProof/>
          <w:szCs w:val="24"/>
          <w:lang w:eastAsia="en-US"/>
        </w:rPr>
        <w:t>Amendment</w:t>
      </w:r>
      <w:r w:rsidRPr="00E37AFC">
        <w:rPr>
          <w:i/>
          <w:noProof/>
          <w:szCs w:val="24"/>
          <w:lang w:eastAsia="en-US"/>
        </w:rPr>
        <w:t xml:space="preserve"> (Fees)</w:t>
      </w:r>
      <w:r w:rsidR="007D5D2B" w:rsidRPr="00E37AFC">
        <w:rPr>
          <w:noProof/>
          <w:szCs w:val="24"/>
          <w:lang w:eastAsia="en-US"/>
        </w:rPr>
        <w:t xml:space="preserve"> </w:t>
      </w:r>
      <w:r w:rsidR="007D5D2B" w:rsidRPr="00E37AFC">
        <w:rPr>
          <w:i/>
          <w:iCs/>
          <w:szCs w:val="24"/>
        </w:rPr>
        <w:t>Regulation 201</w:t>
      </w:r>
      <w:r w:rsidR="009D03DA">
        <w:rPr>
          <w:i/>
          <w:iCs/>
          <w:szCs w:val="24"/>
        </w:rPr>
        <w:t>5</w:t>
      </w:r>
      <w:r w:rsidR="007D5D2B" w:rsidRPr="00E37AFC">
        <w:rPr>
          <w:iCs/>
          <w:szCs w:val="24"/>
        </w:rPr>
        <w:t>.</w:t>
      </w:r>
    </w:p>
    <w:p w:rsidR="007D5D2B" w:rsidRPr="00E37AFC" w:rsidRDefault="007D5D2B" w:rsidP="007D5D2B">
      <w:pPr>
        <w:ind w:right="91"/>
        <w:rPr>
          <w:b/>
          <w:noProof/>
          <w:szCs w:val="24"/>
          <w:lang w:eastAsia="en-US"/>
        </w:rPr>
      </w:pPr>
      <w:r w:rsidRPr="00E37AFC">
        <w:rPr>
          <w:b/>
          <w:noProof/>
          <w:szCs w:val="24"/>
          <w:lang w:eastAsia="en-US"/>
        </w:rPr>
        <w:t xml:space="preserve">Section 2 – Commencement </w:t>
      </w:r>
    </w:p>
    <w:p w:rsidR="007D5D2B" w:rsidRPr="000919E0" w:rsidRDefault="00E37AFC" w:rsidP="007D5D2B">
      <w:pPr>
        <w:ind w:right="91"/>
        <w:rPr>
          <w:iCs/>
          <w:szCs w:val="24"/>
        </w:rPr>
      </w:pPr>
      <w:r>
        <w:rPr>
          <w:noProof/>
          <w:szCs w:val="24"/>
          <w:lang w:eastAsia="en-US"/>
        </w:rPr>
        <w:t>This section will</w:t>
      </w:r>
      <w:r w:rsidR="007D5D2B" w:rsidRPr="000919E0">
        <w:rPr>
          <w:noProof/>
          <w:szCs w:val="24"/>
          <w:lang w:eastAsia="en-US"/>
        </w:rPr>
        <w:t xml:space="preserve"> provide timing for commencement of the Regulation on 1 J</w:t>
      </w:r>
      <w:r w:rsidR="009D03DA">
        <w:rPr>
          <w:noProof/>
          <w:szCs w:val="24"/>
          <w:lang w:eastAsia="en-US"/>
        </w:rPr>
        <w:t>ul</w:t>
      </w:r>
      <w:r w:rsidR="007D5D2B" w:rsidRPr="000919E0">
        <w:rPr>
          <w:noProof/>
          <w:szCs w:val="24"/>
          <w:lang w:eastAsia="en-US"/>
        </w:rPr>
        <w:t xml:space="preserve">y 2015. This section </w:t>
      </w:r>
      <w:r w:rsidR="00191D5A">
        <w:rPr>
          <w:noProof/>
          <w:szCs w:val="24"/>
          <w:lang w:eastAsia="en-US"/>
        </w:rPr>
        <w:t>will</w:t>
      </w:r>
      <w:r w:rsidR="00191D5A" w:rsidRPr="000919E0">
        <w:rPr>
          <w:noProof/>
          <w:szCs w:val="24"/>
          <w:lang w:eastAsia="en-US"/>
        </w:rPr>
        <w:t xml:space="preserve"> </w:t>
      </w:r>
      <w:r w:rsidR="007D5D2B" w:rsidRPr="000919E0">
        <w:rPr>
          <w:noProof/>
          <w:szCs w:val="24"/>
          <w:lang w:eastAsia="en-US"/>
        </w:rPr>
        <w:t xml:space="preserve">apply to current and future proceedings in the Federal Court of Australia, </w:t>
      </w:r>
      <w:r w:rsidR="00284B98" w:rsidRPr="000919E0">
        <w:rPr>
          <w:noProof/>
          <w:szCs w:val="24"/>
          <w:lang w:eastAsia="en-US"/>
        </w:rPr>
        <w:t>Family Court of Australia</w:t>
      </w:r>
      <w:r w:rsidR="00284B98">
        <w:rPr>
          <w:noProof/>
          <w:szCs w:val="24"/>
          <w:lang w:eastAsia="en-US"/>
        </w:rPr>
        <w:t>,</w:t>
      </w:r>
      <w:r w:rsidR="00284B98" w:rsidRPr="000919E0">
        <w:rPr>
          <w:noProof/>
          <w:szCs w:val="24"/>
          <w:lang w:eastAsia="en-US"/>
        </w:rPr>
        <w:t xml:space="preserve"> </w:t>
      </w:r>
      <w:r w:rsidR="007D5D2B" w:rsidRPr="000919E0">
        <w:rPr>
          <w:noProof/>
          <w:szCs w:val="24"/>
          <w:lang w:eastAsia="en-US"/>
        </w:rPr>
        <w:t>Federal Circuit Court of Australia and</w:t>
      </w:r>
      <w:r w:rsidR="00284B98">
        <w:rPr>
          <w:noProof/>
          <w:szCs w:val="24"/>
          <w:lang w:eastAsia="en-US"/>
        </w:rPr>
        <w:t xml:space="preserve"> Family Court of Western Australia</w:t>
      </w:r>
      <w:r w:rsidR="007D5D2B" w:rsidRPr="000919E0">
        <w:rPr>
          <w:noProof/>
          <w:szCs w:val="24"/>
          <w:lang w:eastAsia="en-US"/>
        </w:rPr>
        <w:t>.</w:t>
      </w:r>
    </w:p>
    <w:p w:rsidR="007D5D2B" w:rsidRPr="00E37AFC" w:rsidRDefault="007D5D2B" w:rsidP="007D5D2B">
      <w:pPr>
        <w:ind w:right="91"/>
        <w:rPr>
          <w:b/>
          <w:noProof/>
          <w:szCs w:val="24"/>
          <w:lang w:eastAsia="en-US"/>
        </w:rPr>
      </w:pPr>
      <w:r w:rsidRPr="00E37AFC">
        <w:rPr>
          <w:b/>
          <w:noProof/>
          <w:szCs w:val="24"/>
          <w:lang w:eastAsia="en-US"/>
        </w:rPr>
        <w:t>Section 3 – Authority</w:t>
      </w:r>
    </w:p>
    <w:p w:rsidR="007D5D2B" w:rsidRPr="000919E0" w:rsidRDefault="00E37AFC" w:rsidP="007D5D2B">
      <w:pPr>
        <w:pStyle w:val="paragraph0"/>
      </w:pPr>
      <w:r>
        <w:rPr>
          <w:noProof/>
          <w:lang w:eastAsia="en-US"/>
        </w:rPr>
        <w:t>This section will</w:t>
      </w:r>
      <w:r w:rsidR="007D5D2B" w:rsidRPr="000919E0">
        <w:rPr>
          <w:noProof/>
          <w:lang w:eastAsia="en-US"/>
        </w:rPr>
        <w:t xml:space="preserve"> list the Acts under which</w:t>
      </w:r>
      <w:r w:rsidR="0073167D">
        <w:rPr>
          <w:noProof/>
          <w:lang w:eastAsia="en-US"/>
        </w:rPr>
        <w:t xml:space="preserve"> the Regulation </w:t>
      </w:r>
      <w:r w:rsidR="00191D5A">
        <w:rPr>
          <w:noProof/>
          <w:lang w:eastAsia="en-US"/>
        </w:rPr>
        <w:t>will</w:t>
      </w:r>
      <w:r w:rsidR="0073167D">
        <w:rPr>
          <w:noProof/>
          <w:lang w:eastAsia="en-US"/>
        </w:rPr>
        <w:t xml:space="preserve"> be made. </w:t>
      </w:r>
      <w:r w:rsidR="007D5D2B" w:rsidRPr="000919E0">
        <w:rPr>
          <w:noProof/>
          <w:lang w:eastAsia="en-US"/>
        </w:rPr>
        <w:t>T</w:t>
      </w:r>
      <w:r w:rsidR="0073167D">
        <w:t>he Regulation will</w:t>
      </w:r>
      <w:r w:rsidR="007D5D2B" w:rsidRPr="000919E0">
        <w:t xml:space="preserve"> be made under the </w:t>
      </w:r>
      <w:r w:rsidR="007D5D2B" w:rsidRPr="000919E0">
        <w:rPr>
          <w:i/>
        </w:rPr>
        <w:t>Federal Court of Australia Act 1976,</w:t>
      </w:r>
      <w:r w:rsidR="007D5D2B" w:rsidRPr="000919E0">
        <w:t xml:space="preserve"> the </w:t>
      </w:r>
      <w:r w:rsidR="007D5D2B" w:rsidRPr="000919E0">
        <w:rPr>
          <w:i/>
        </w:rPr>
        <w:t>Family Law Act 1975</w:t>
      </w:r>
      <w:r>
        <w:t xml:space="preserve"> and the </w:t>
      </w:r>
      <w:r w:rsidRPr="000919E0">
        <w:rPr>
          <w:i/>
        </w:rPr>
        <w:t>Federal Circuit Court of Australia Act 1999</w:t>
      </w:r>
      <w:r>
        <w:t>.</w:t>
      </w:r>
    </w:p>
    <w:p w:rsidR="007D5D2B" w:rsidRPr="00284B98" w:rsidRDefault="00E37AFC" w:rsidP="007D5D2B">
      <w:pPr>
        <w:ind w:right="91"/>
        <w:rPr>
          <w:b/>
          <w:noProof/>
          <w:szCs w:val="24"/>
          <w:lang w:eastAsia="en-US"/>
        </w:rPr>
      </w:pPr>
      <w:r w:rsidRPr="00284B98">
        <w:rPr>
          <w:b/>
          <w:noProof/>
          <w:szCs w:val="24"/>
          <w:lang w:eastAsia="en-US"/>
        </w:rPr>
        <w:t>Section 4 – Schedules</w:t>
      </w:r>
    </w:p>
    <w:p w:rsidR="007D5D2B" w:rsidRDefault="00E37AFC" w:rsidP="007D5D2B">
      <w:pPr>
        <w:ind w:right="91"/>
        <w:rPr>
          <w:noProof/>
          <w:szCs w:val="24"/>
          <w:lang w:eastAsia="en-US"/>
        </w:rPr>
      </w:pPr>
      <w:r>
        <w:rPr>
          <w:noProof/>
          <w:szCs w:val="24"/>
          <w:lang w:eastAsia="en-US"/>
        </w:rPr>
        <w:t>This section will</w:t>
      </w:r>
      <w:r w:rsidR="007D5D2B" w:rsidRPr="000919E0">
        <w:rPr>
          <w:noProof/>
          <w:szCs w:val="24"/>
          <w:lang w:eastAsia="en-US"/>
        </w:rPr>
        <w:t xml:space="preserve"> provide that each instrument specified in a Schedule to the Regulation is amended or repealed as set out in the items of the relevant Schedule. Any other item in a Schedule to the Regulation </w:t>
      </w:r>
      <w:r w:rsidR="00191D5A">
        <w:rPr>
          <w:noProof/>
          <w:szCs w:val="24"/>
          <w:lang w:eastAsia="en-US"/>
        </w:rPr>
        <w:t>will</w:t>
      </w:r>
      <w:r w:rsidR="007D5D2B" w:rsidRPr="000919E0">
        <w:rPr>
          <w:noProof/>
          <w:szCs w:val="24"/>
          <w:lang w:eastAsia="en-US"/>
        </w:rPr>
        <w:t xml:space="preserve"> have effect according to its terms.</w:t>
      </w:r>
    </w:p>
    <w:p w:rsidR="00E37AFC" w:rsidRPr="00B75F50" w:rsidRDefault="00E37AFC" w:rsidP="00E37AFC">
      <w:pPr>
        <w:ind w:right="91"/>
        <w:rPr>
          <w:noProof/>
          <w:szCs w:val="24"/>
          <w:highlight w:val="yellow"/>
          <w:u w:val="single"/>
          <w:lang w:eastAsia="en-US"/>
        </w:rPr>
      </w:pPr>
      <w:r w:rsidRPr="00586E84">
        <w:rPr>
          <w:noProof/>
          <w:szCs w:val="24"/>
          <w:u w:val="single"/>
          <w:lang w:eastAsia="en-US"/>
        </w:rPr>
        <w:t xml:space="preserve">Schedule 1 – Amendment of the </w:t>
      </w:r>
      <w:r w:rsidRPr="001E1092">
        <w:rPr>
          <w:i/>
          <w:noProof/>
          <w:szCs w:val="24"/>
          <w:u w:val="single"/>
          <w:lang w:eastAsia="en-US"/>
        </w:rPr>
        <w:t xml:space="preserve">Federal Court and Federal Circuit Court Regulation 2012 </w:t>
      </w:r>
    </w:p>
    <w:p w:rsidR="00E37AFC" w:rsidRDefault="00E37AFC" w:rsidP="00E37AFC">
      <w:pPr>
        <w:ind w:right="91"/>
        <w:rPr>
          <w:b/>
          <w:noProof/>
          <w:szCs w:val="24"/>
          <w:u w:val="single"/>
          <w:lang w:eastAsia="en-US"/>
        </w:rPr>
      </w:pPr>
      <w:r w:rsidRPr="00586E84">
        <w:rPr>
          <w:b/>
          <w:noProof/>
          <w:szCs w:val="24"/>
          <w:u w:val="single"/>
          <w:lang w:eastAsia="en-US"/>
        </w:rPr>
        <w:t xml:space="preserve">Part 1 – Main Amendments </w:t>
      </w:r>
    </w:p>
    <w:p w:rsidR="00E37AFC" w:rsidRPr="00586E84" w:rsidRDefault="00E37AFC" w:rsidP="00E37AFC">
      <w:pPr>
        <w:ind w:right="91"/>
        <w:rPr>
          <w:i/>
          <w:noProof/>
          <w:szCs w:val="24"/>
          <w:lang w:eastAsia="en-US"/>
        </w:rPr>
      </w:pPr>
      <w:r>
        <w:rPr>
          <w:i/>
          <w:noProof/>
          <w:szCs w:val="24"/>
          <w:lang w:eastAsia="en-US"/>
        </w:rPr>
        <w:t>Federal Court and Federal Circuit Court Regulation 2012</w:t>
      </w:r>
    </w:p>
    <w:p w:rsidR="00930FA8" w:rsidRDefault="00930FA8" w:rsidP="00930FA8">
      <w:pPr>
        <w:ind w:right="91"/>
        <w:rPr>
          <w:b/>
          <w:bCs/>
          <w:iCs/>
          <w:szCs w:val="24"/>
        </w:rPr>
      </w:pPr>
      <w:r>
        <w:rPr>
          <w:b/>
          <w:bCs/>
          <w:iCs/>
          <w:szCs w:val="24"/>
        </w:rPr>
        <w:t>Item [1] – Section 1.03</w:t>
      </w:r>
    </w:p>
    <w:p w:rsidR="00930FA8" w:rsidRPr="00557414" w:rsidRDefault="00930FA8" w:rsidP="00930FA8">
      <w:pPr>
        <w:ind w:right="91"/>
        <w:rPr>
          <w:bCs/>
          <w:iCs/>
          <w:szCs w:val="24"/>
        </w:rPr>
      </w:pPr>
      <w:r>
        <w:rPr>
          <w:bCs/>
          <w:iCs/>
          <w:szCs w:val="24"/>
        </w:rPr>
        <w:t xml:space="preserve">This item will add a definition for a </w:t>
      </w:r>
      <w:r w:rsidR="00E06E8F">
        <w:rPr>
          <w:bCs/>
          <w:iCs/>
          <w:szCs w:val="24"/>
        </w:rPr>
        <w:t>‘</w:t>
      </w:r>
      <w:r>
        <w:rPr>
          <w:bCs/>
          <w:iCs/>
          <w:szCs w:val="24"/>
        </w:rPr>
        <w:t>public authority</w:t>
      </w:r>
      <w:r w:rsidR="00E06E8F">
        <w:rPr>
          <w:bCs/>
          <w:iCs/>
          <w:szCs w:val="24"/>
        </w:rPr>
        <w:t>’</w:t>
      </w:r>
      <w:r>
        <w:rPr>
          <w:bCs/>
          <w:iCs/>
          <w:szCs w:val="24"/>
        </w:rPr>
        <w:t xml:space="preserve"> under section 1.03. This term will have the meaning given by subsection 1.04(4) of the </w:t>
      </w:r>
      <w:r>
        <w:rPr>
          <w:bCs/>
          <w:i/>
          <w:iCs/>
          <w:szCs w:val="24"/>
        </w:rPr>
        <w:t>Federal Court and Federal Circuit Court Regulation 2012</w:t>
      </w:r>
      <w:r>
        <w:rPr>
          <w:bCs/>
          <w:iCs/>
          <w:szCs w:val="24"/>
        </w:rPr>
        <w:t xml:space="preserve">.  </w:t>
      </w:r>
    </w:p>
    <w:p w:rsidR="00930FA8" w:rsidRDefault="00930FA8" w:rsidP="00930FA8">
      <w:pPr>
        <w:ind w:right="91"/>
        <w:rPr>
          <w:b/>
          <w:bCs/>
          <w:iCs/>
          <w:szCs w:val="24"/>
        </w:rPr>
      </w:pPr>
      <w:r>
        <w:rPr>
          <w:b/>
          <w:bCs/>
          <w:iCs/>
          <w:szCs w:val="24"/>
        </w:rPr>
        <w:t>Item [2</w:t>
      </w:r>
      <w:r w:rsidRPr="00E6709B">
        <w:rPr>
          <w:b/>
          <w:bCs/>
          <w:iCs/>
          <w:szCs w:val="24"/>
        </w:rPr>
        <w:t>]</w:t>
      </w:r>
      <w:r w:rsidRPr="00E6709B">
        <w:rPr>
          <w:bCs/>
          <w:iCs/>
          <w:szCs w:val="24"/>
        </w:rPr>
        <w:t xml:space="preserve"> </w:t>
      </w:r>
      <w:r w:rsidRPr="00E6709B">
        <w:rPr>
          <w:b/>
          <w:bCs/>
          <w:iCs/>
          <w:szCs w:val="24"/>
        </w:rPr>
        <w:t xml:space="preserve">– </w:t>
      </w:r>
      <w:r>
        <w:rPr>
          <w:b/>
          <w:bCs/>
          <w:iCs/>
          <w:szCs w:val="24"/>
        </w:rPr>
        <w:t>Paragraph 1.04(1)(d)</w:t>
      </w:r>
    </w:p>
    <w:p w:rsidR="00930FA8" w:rsidRDefault="00930FA8" w:rsidP="00930FA8">
      <w:pPr>
        <w:ind w:right="91"/>
        <w:rPr>
          <w:szCs w:val="24"/>
        </w:rPr>
      </w:pPr>
      <w:r>
        <w:rPr>
          <w:bCs/>
          <w:szCs w:val="24"/>
        </w:rPr>
        <w:t>This item will</w:t>
      </w:r>
      <w:r>
        <w:rPr>
          <w:szCs w:val="24"/>
        </w:rPr>
        <w:t xml:space="preserve"> remove ‘public authority’ from the definition of ‘corporation’ under subsection 1.04(1). This will exclude public authorities from having to pay fees for a corporation in the Federal </w:t>
      </w:r>
      <w:r w:rsidR="0073167D">
        <w:rPr>
          <w:szCs w:val="24"/>
        </w:rPr>
        <w:t>Court and Federal Circuit Court, except as provided for in the distinct fee items in Schedule 1 relating to bankruptcy proceedings.</w:t>
      </w:r>
    </w:p>
    <w:p w:rsidR="00930FA8" w:rsidRDefault="00930FA8" w:rsidP="00930FA8">
      <w:pPr>
        <w:ind w:right="91"/>
        <w:rPr>
          <w:b/>
          <w:bCs/>
          <w:iCs/>
          <w:szCs w:val="24"/>
        </w:rPr>
      </w:pPr>
      <w:r>
        <w:rPr>
          <w:b/>
          <w:bCs/>
          <w:iCs/>
          <w:szCs w:val="24"/>
        </w:rPr>
        <w:t>Item [3] – Paragraph 1.04(2)(a)</w:t>
      </w:r>
    </w:p>
    <w:p w:rsidR="00930FA8" w:rsidRDefault="00930FA8" w:rsidP="00930FA8">
      <w:pPr>
        <w:ind w:right="91"/>
        <w:rPr>
          <w:bCs/>
          <w:iCs/>
          <w:szCs w:val="24"/>
        </w:rPr>
      </w:pPr>
      <w:r>
        <w:rPr>
          <w:bCs/>
          <w:szCs w:val="24"/>
        </w:rPr>
        <w:t xml:space="preserve">This item will remove ‘that is not a public authority’ following ‘a corporation sole’ </w:t>
      </w:r>
      <w:r w:rsidR="00E06E8F">
        <w:rPr>
          <w:bCs/>
          <w:szCs w:val="24"/>
        </w:rPr>
        <w:t>from</w:t>
      </w:r>
      <w:r>
        <w:rPr>
          <w:bCs/>
          <w:szCs w:val="24"/>
        </w:rPr>
        <w:t xml:space="preserve"> paragraph</w:t>
      </w:r>
      <w:r w:rsidR="0073167D">
        <w:rPr>
          <w:bCs/>
          <w:szCs w:val="24"/>
        </w:rPr>
        <w:t xml:space="preserve"> 1.04(2)(a). This will</w:t>
      </w:r>
      <w:r>
        <w:rPr>
          <w:bCs/>
          <w:szCs w:val="24"/>
        </w:rPr>
        <w:t xml:space="preserve"> clarify that ‘a corporation sole’ is excluded from the definition of ‘corporation’, regardless of whether it is or is not a public authority. This will be consistent with ‘public authority’ also being excluded from the definition of ‘corporation’.  </w:t>
      </w:r>
    </w:p>
    <w:p w:rsidR="00930FA8" w:rsidRDefault="00930FA8" w:rsidP="00930FA8">
      <w:pPr>
        <w:ind w:right="91"/>
        <w:rPr>
          <w:b/>
          <w:bCs/>
          <w:iCs/>
          <w:szCs w:val="24"/>
        </w:rPr>
      </w:pPr>
      <w:r>
        <w:rPr>
          <w:b/>
          <w:bCs/>
          <w:iCs/>
          <w:szCs w:val="24"/>
        </w:rPr>
        <w:t>Item [4] – At the end of subsection 1.04(2)</w:t>
      </w:r>
    </w:p>
    <w:p w:rsidR="00930FA8" w:rsidRDefault="00930FA8" w:rsidP="00930FA8">
      <w:pPr>
        <w:ind w:right="91"/>
        <w:rPr>
          <w:bCs/>
          <w:iCs/>
          <w:szCs w:val="24"/>
        </w:rPr>
      </w:pPr>
      <w:r>
        <w:rPr>
          <w:bCs/>
          <w:szCs w:val="24"/>
        </w:rPr>
        <w:t>This item will</w:t>
      </w:r>
      <w:r>
        <w:rPr>
          <w:szCs w:val="24"/>
        </w:rPr>
        <w:t xml:space="preserve"> add ‘a public authority’ to the definition of what is not a ‘corporation’ under subsection 1.04(2). This will clarify that a ‘corporation’ does not include a ‘public authority’. This will reflect that public authorities </w:t>
      </w:r>
      <w:r w:rsidR="00191D5A">
        <w:rPr>
          <w:szCs w:val="24"/>
        </w:rPr>
        <w:t>will</w:t>
      </w:r>
      <w:r>
        <w:rPr>
          <w:szCs w:val="24"/>
        </w:rPr>
        <w:t xml:space="preserve"> pay fees</w:t>
      </w:r>
      <w:r w:rsidR="0073167D">
        <w:rPr>
          <w:szCs w:val="24"/>
        </w:rPr>
        <w:t xml:space="preserve"> applicable ‘in any other case’ </w:t>
      </w:r>
      <w:r w:rsidR="00E06E8F">
        <w:rPr>
          <w:szCs w:val="24"/>
        </w:rPr>
        <w:t>unless</w:t>
      </w:r>
      <w:r w:rsidR="0073167D">
        <w:rPr>
          <w:szCs w:val="24"/>
        </w:rPr>
        <w:t xml:space="preserve"> specifically provided for in </w:t>
      </w:r>
      <w:r w:rsidR="00E06E8F">
        <w:rPr>
          <w:szCs w:val="24"/>
        </w:rPr>
        <w:t>a</w:t>
      </w:r>
      <w:r w:rsidR="0073167D">
        <w:rPr>
          <w:szCs w:val="24"/>
        </w:rPr>
        <w:t xml:space="preserve"> fee item in Schedule 1. </w:t>
      </w:r>
    </w:p>
    <w:p w:rsidR="00454F36" w:rsidRDefault="00454F36" w:rsidP="00454F36">
      <w:pPr>
        <w:ind w:right="91"/>
        <w:rPr>
          <w:b/>
          <w:bCs/>
          <w:iCs/>
          <w:szCs w:val="24"/>
        </w:rPr>
      </w:pPr>
      <w:r>
        <w:rPr>
          <w:b/>
          <w:bCs/>
          <w:iCs/>
          <w:szCs w:val="24"/>
        </w:rPr>
        <w:t>Item [</w:t>
      </w:r>
      <w:r w:rsidR="00DC15A0">
        <w:rPr>
          <w:b/>
          <w:bCs/>
          <w:iCs/>
          <w:szCs w:val="24"/>
        </w:rPr>
        <w:t>5</w:t>
      </w:r>
      <w:r>
        <w:rPr>
          <w:b/>
          <w:bCs/>
          <w:iCs/>
          <w:szCs w:val="24"/>
        </w:rPr>
        <w:t xml:space="preserve">] – Subsection 1.04(4) (subparagraph (a)(iii) of the definition of </w:t>
      </w:r>
      <w:r w:rsidRPr="00D740A5">
        <w:rPr>
          <w:b/>
          <w:bCs/>
          <w:i/>
          <w:iCs/>
          <w:szCs w:val="24"/>
        </w:rPr>
        <w:t>public authority</w:t>
      </w:r>
      <w:r>
        <w:rPr>
          <w:b/>
          <w:bCs/>
          <w:iCs/>
          <w:szCs w:val="24"/>
        </w:rPr>
        <w:t>)</w:t>
      </w:r>
    </w:p>
    <w:p w:rsidR="00454F36" w:rsidRDefault="00454F36" w:rsidP="00454F36">
      <w:pPr>
        <w:ind w:right="91"/>
        <w:rPr>
          <w:bCs/>
          <w:iCs/>
          <w:szCs w:val="24"/>
        </w:rPr>
      </w:pPr>
      <w:r>
        <w:rPr>
          <w:bCs/>
          <w:iCs/>
          <w:szCs w:val="24"/>
        </w:rPr>
        <w:t xml:space="preserve">This item will repeal the out of date reference to a prescribed agency under the </w:t>
      </w:r>
      <w:r w:rsidRPr="00D740A5">
        <w:rPr>
          <w:bCs/>
          <w:i/>
          <w:iCs/>
          <w:szCs w:val="24"/>
        </w:rPr>
        <w:t>Financial</w:t>
      </w:r>
      <w:r>
        <w:rPr>
          <w:bCs/>
          <w:i/>
          <w:iCs/>
          <w:szCs w:val="24"/>
        </w:rPr>
        <w:t> </w:t>
      </w:r>
      <w:r w:rsidRPr="00D740A5">
        <w:rPr>
          <w:bCs/>
          <w:i/>
          <w:iCs/>
          <w:szCs w:val="24"/>
        </w:rPr>
        <w:t>Management and Accountability Act 1997</w:t>
      </w:r>
      <w:r>
        <w:rPr>
          <w:bCs/>
          <w:iCs/>
          <w:szCs w:val="24"/>
        </w:rPr>
        <w:t xml:space="preserve">. This item will substitute this with the updated reference to </w:t>
      </w:r>
      <w:r w:rsidRPr="00D740A5">
        <w:rPr>
          <w:bCs/>
          <w:iCs/>
          <w:szCs w:val="24"/>
        </w:rPr>
        <w:t xml:space="preserve">any other non-corporate Commonwealth entity within the meaning of the </w:t>
      </w:r>
      <w:r w:rsidRPr="00D740A5">
        <w:rPr>
          <w:bCs/>
          <w:i/>
          <w:iCs/>
          <w:szCs w:val="24"/>
        </w:rPr>
        <w:t>Public Governance, Performance and Accountability Act 2013</w:t>
      </w:r>
      <w:r>
        <w:rPr>
          <w:bCs/>
          <w:iCs/>
          <w:szCs w:val="24"/>
        </w:rPr>
        <w:t>.</w:t>
      </w:r>
    </w:p>
    <w:p w:rsidR="00930FA8" w:rsidRPr="00E6709B" w:rsidRDefault="00930FA8" w:rsidP="00454F36">
      <w:pPr>
        <w:ind w:right="91"/>
        <w:rPr>
          <w:bCs/>
          <w:iCs/>
          <w:szCs w:val="24"/>
        </w:rPr>
      </w:pPr>
      <w:r w:rsidRPr="00344D4C">
        <w:rPr>
          <w:b/>
          <w:bCs/>
          <w:iCs/>
          <w:szCs w:val="24"/>
        </w:rPr>
        <w:t>Item [</w:t>
      </w:r>
      <w:r w:rsidR="00DC15A0">
        <w:rPr>
          <w:b/>
          <w:bCs/>
          <w:iCs/>
          <w:szCs w:val="24"/>
        </w:rPr>
        <w:t>6</w:t>
      </w:r>
      <w:r w:rsidRPr="00344D4C">
        <w:rPr>
          <w:b/>
          <w:bCs/>
          <w:iCs/>
          <w:szCs w:val="24"/>
        </w:rPr>
        <w:t>]</w:t>
      </w:r>
      <w:r>
        <w:rPr>
          <w:bCs/>
          <w:iCs/>
          <w:szCs w:val="24"/>
        </w:rPr>
        <w:t xml:space="preserve"> – </w:t>
      </w:r>
      <w:r w:rsidRPr="00E6709B">
        <w:rPr>
          <w:b/>
          <w:bCs/>
          <w:iCs/>
          <w:szCs w:val="24"/>
        </w:rPr>
        <w:t>Paragraphs 2.02(2)(a) and (b)</w:t>
      </w:r>
    </w:p>
    <w:p w:rsidR="0073167D" w:rsidRDefault="0073167D" w:rsidP="0073167D">
      <w:pPr>
        <w:ind w:right="91"/>
        <w:rPr>
          <w:szCs w:val="24"/>
        </w:rPr>
      </w:pPr>
      <w:r>
        <w:rPr>
          <w:bCs/>
          <w:szCs w:val="24"/>
        </w:rPr>
        <w:t xml:space="preserve">This item will repeal the clarification of existing fee categories in paragraphs 2.02(2)(a) and (b), </w:t>
      </w:r>
      <w:r w:rsidR="00E06E8F">
        <w:rPr>
          <w:bCs/>
          <w:szCs w:val="24"/>
        </w:rPr>
        <w:t>and clarify the application of a fees to a</w:t>
      </w:r>
      <w:r>
        <w:rPr>
          <w:bCs/>
          <w:szCs w:val="24"/>
        </w:rPr>
        <w:t xml:space="preserve"> ‘publicly listed company’ in Schedule 1. This item will clarify that where a fee item in Schedule 1 mentions a fee for a publicly listed company, then a corporation that is a publicly listed company will pay that fee. Where a fee item mentions a fee for a corporation and not for a publicly listed company, then a corporation that is a publicly listed company will be liable to pay the fee for a corporation. Where a fee item mentions a fee for a corporation, then a corporation that is not a publicly listed company will be liable to pay that fee. </w:t>
      </w:r>
    </w:p>
    <w:p w:rsidR="00930FA8" w:rsidRPr="00E6709B" w:rsidRDefault="00930FA8" w:rsidP="00930FA8">
      <w:pPr>
        <w:ind w:right="91"/>
        <w:rPr>
          <w:bCs/>
          <w:iCs/>
          <w:szCs w:val="24"/>
        </w:rPr>
      </w:pPr>
      <w:r w:rsidRPr="00E6709B">
        <w:rPr>
          <w:b/>
          <w:bCs/>
          <w:iCs/>
          <w:szCs w:val="24"/>
        </w:rPr>
        <w:t>Item [</w:t>
      </w:r>
      <w:r w:rsidR="00DC15A0">
        <w:rPr>
          <w:b/>
          <w:bCs/>
          <w:iCs/>
          <w:szCs w:val="24"/>
        </w:rPr>
        <w:t>7</w:t>
      </w:r>
      <w:r w:rsidRPr="00E6709B">
        <w:rPr>
          <w:b/>
          <w:bCs/>
          <w:iCs/>
          <w:szCs w:val="24"/>
        </w:rPr>
        <w:t>]</w:t>
      </w:r>
      <w:r w:rsidRPr="00E6709B">
        <w:rPr>
          <w:bCs/>
          <w:iCs/>
          <w:szCs w:val="24"/>
        </w:rPr>
        <w:t xml:space="preserve"> </w:t>
      </w:r>
      <w:r w:rsidRPr="00E6709B">
        <w:rPr>
          <w:b/>
          <w:bCs/>
          <w:iCs/>
          <w:szCs w:val="24"/>
        </w:rPr>
        <w:t>– Paragraph 2.02(3)(b)</w:t>
      </w:r>
    </w:p>
    <w:p w:rsidR="00714A1D" w:rsidRDefault="0073167D" w:rsidP="0073167D">
      <w:pPr>
        <w:ind w:right="91"/>
        <w:rPr>
          <w:bCs/>
          <w:szCs w:val="24"/>
        </w:rPr>
      </w:pPr>
      <w:r>
        <w:rPr>
          <w:bCs/>
          <w:szCs w:val="24"/>
        </w:rPr>
        <w:t xml:space="preserve">This item will remove ‘publicly listed company, another corporation and another person’ from paragraph 2.02(3)(b), and </w:t>
      </w:r>
      <w:r w:rsidR="00191D5A">
        <w:rPr>
          <w:bCs/>
          <w:szCs w:val="24"/>
        </w:rPr>
        <w:t>will</w:t>
      </w:r>
      <w:r>
        <w:rPr>
          <w:bCs/>
          <w:szCs w:val="24"/>
        </w:rPr>
        <w:t xml:space="preserve"> refer to ‘different persons’, which </w:t>
      </w:r>
      <w:r w:rsidR="00191D5A">
        <w:rPr>
          <w:bCs/>
          <w:szCs w:val="24"/>
        </w:rPr>
        <w:t>will</w:t>
      </w:r>
      <w:r>
        <w:rPr>
          <w:bCs/>
          <w:szCs w:val="24"/>
        </w:rPr>
        <w:t xml:space="preserve"> encompass publicly listed companies and corporations.</w:t>
      </w:r>
    </w:p>
    <w:p w:rsidR="00714A1D" w:rsidRPr="00714A1D" w:rsidRDefault="00714A1D" w:rsidP="00714A1D">
      <w:pPr>
        <w:ind w:right="91"/>
        <w:rPr>
          <w:b/>
          <w:bCs/>
          <w:iCs/>
          <w:szCs w:val="24"/>
        </w:rPr>
      </w:pPr>
      <w:r w:rsidRPr="00714A1D">
        <w:rPr>
          <w:b/>
          <w:bCs/>
          <w:iCs/>
          <w:szCs w:val="24"/>
        </w:rPr>
        <w:t>Item [</w:t>
      </w:r>
      <w:r w:rsidR="00DC15A0">
        <w:rPr>
          <w:b/>
          <w:bCs/>
          <w:iCs/>
          <w:szCs w:val="24"/>
        </w:rPr>
        <w:t>8</w:t>
      </w:r>
      <w:r w:rsidRPr="00714A1D">
        <w:rPr>
          <w:b/>
          <w:bCs/>
          <w:iCs/>
          <w:szCs w:val="24"/>
        </w:rPr>
        <w:t>] – At the end of subsection 2.08(2)</w:t>
      </w:r>
    </w:p>
    <w:p w:rsidR="0073167D" w:rsidRDefault="00714A1D" w:rsidP="00714A1D">
      <w:pPr>
        <w:ind w:right="91"/>
        <w:rPr>
          <w:bCs/>
          <w:szCs w:val="24"/>
        </w:rPr>
      </w:pPr>
      <w:r w:rsidRPr="00714A1D">
        <w:rPr>
          <w:bCs/>
          <w:szCs w:val="24"/>
        </w:rPr>
        <w:t>This item w</w:t>
      </w:r>
      <w:r>
        <w:rPr>
          <w:bCs/>
          <w:szCs w:val="24"/>
        </w:rPr>
        <w:t>ill</w:t>
      </w:r>
      <w:r w:rsidRPr="00714A1D">
        <w:rPr>
          <w:bCs/>
          <w:szCs w:val="24"/>
        </w:rPr>
        <w:t xml:space="preserve"> add ‘an application under section 23 of the </w:t>
      </w:r>
      <w:r w:rsidRPr="00714A1D">
        <w:rPr>
          <w:bCs/>
          <w:i/>
          <w:szCs w:val="24"/>
        </w:rPr>
        <w:t>International Arbitration Act 1974</w:t>
      </w:r>
      <w:r w:rsidRPr="00714A1D">
        <w:rPr>
          <w:bCs/>
          <w:szCs w:val="24"/>
        </w:rPr>
        <w:t xml:space="preserve"> for the issue of a subpoena’ to the list of fees not payable in a Federal Court of Australia proceeding. This w</w:t>
      </w:r>
      <w:r>
        <w:rPr>
          <w:bCs/>
          <w:szCs w:val="24"/>
        </w:rPr>
        <w:t>ill</w:t>
      </w:r>
      <w:r w:rsidRPr="00714A1D">
        <w:rPr>
          <w:bCs/>
          <w:szCs w:val="24"/>
        </w:rPr>
        <w:t xml:space="preserve"> exempt such procedural matters from the general filing fee in that Court, but these w</w:t>
      </w:r>
      <w:r>
        <w:rPr>
          <w:bCs/>
          <w:szCs w:val="24"/>
        </w:rPr>
        <w:t>ill</w:t>
      </w:r>
      <w:r w:rsidRPr="00714A1D">
        <w:rPr>
          <w:bCs/>
          <w:szCs w:val="24"/>
        </w:rPr>
        <w:t xml:space="preserve"> still be subject to the fee for issuing a subpoena.</w:t>
      </w:r>
      <w:r w:rsidR="0073167D">
        <w:rPr>
          <w:bCs/>
          <w:szCs w:val="24"/>
        </w:rPr>
        <w:t xml:space="preserve"> </w:t>
      </w:r>
    </w:p>
    <w:p w:rsidR="00454F36" w:rsidRPr="000A50A8" w:rsidRDefault="00454F36" w:rsidP="00454F36">
      <w:pPr>
        <w:ind w:right="91"/>
        <w:rPr>
          <w:b/>
          <w:bCs/>
          <w:szCs w:val="24"/>
        </w:rPr>
      </w:pPr>
      <w:r w:rsidRPr="000A50A8">
        <w:rPr>
          <w:b/>
          <w:bCs/>
          <w:szCs w:val="24"/>
        </w:rPr>
        <w:t>Item [</w:t>
      </w:r>
      <w:r w:rsidR="00DC15A0">
        <w:rPr>
          <w:b/>
          <w:bCs/>
          <w:szCs w:val="24"/>
        </w:rPr>
        <w:t>9</w:t>
      </w:r>
      <w:r w:rsidRPr="000A50A8">
        <w:rPr>
          <w:b/>
          <w:bCs/>
          <w:szCs w:val="24"/>
        </w:rPr>
        <w:t>] – Subsection 2.20(1)</w:t>
      </w:r>
    </w:p>
    <w:p w:rsidR="00454F36" w:rsidRDefault="00454F36" w:rsidP="00454F36">
      <w:pPr>
        <w:ind w:right="91"/>
        <w:rPr>
          <w:bCs/>
          <w:szCs w:val="24"/>
        </w:rPr>
      </w:pPr>
      <w:r>
        <w:rPr>
          <w:bCs/>
          <w:szCs w:val="24"/>
        </w:rPr>
        <w:t xml:space="preserve">This item will add fee item 107 to the list of fee items in Schedule 1 that are not subject to a biennial fee increase. This reflects the change of fee item 107 from a fee amount to text that </w:t>
      </w:r>
      <w:r w:rsidR="009B11CB">
        <w:rPr>
          <w:bCs/>
          <w:szCs w:val="24"/>
        </w:rPr>
        <w:t>clarifies</w:t>
      </w:r>
      <w:r>
        <w:rPr>
          <w:bCs/>
          <w:szCs w:val="24"/>
        </w:rPr>
        <w:t xml:space="preserve"> it as the sum of fee items 106 and 109 under the proposed Regulation. This approach will be consistent with other fee items prescribed in text, but related fee items 106 and 109 will still be subject to a biennial increase, therefore the total amount payable for fee item 107 will reflect this. </w:t>
      </w:r>
    </w:p>
    <w:p w:rsidR="00191D5A" w:rsidRPr="00965CCB" w:rsidRDefault="00714A1D" w:rsidP="00454F36">
      <w:pPr>
        <w:keepNext/>
        <w:ind w:right="91"/>
        <w:rPr>
          <w:b/>
          <w:bCs/>
          <w:iCs/>
          <w:szCs w:val="24"/>
        </w:rPr>
      </w:pPr>
      <w:r>
        <w:rPr>
          <w:b/>
          <w:bCs/>
          <w:iCs/>
          <w:szCs w:val="24"/>
        </w:rPr>
        <w:t>Item [</w:t>
      </w:r>
      <w:r w:rsidR="00DC15A0">
        <w:rPr>
          <w:b/>
          <w:bCs/>
          <w:iCs/>
          <w:szCs w:val="24"/>
        </w:rPr>
        <w:t>10</w:t>
      </w:r>
      <w:r w:rsidR="00191D5A" w:rsidRPr="00965CCB">
        <w:rPr>
          <w:b/>
          <w:bCs/>
          <w:iCs/>
          <w:szCs w:val="24"/>
        </w:rPr>
        <w:t xml:space="preserve">] – </w:t>
      </w:r>
      <w:r w:rsidR="00191D5A">
        <w:rPr>
          <w:b/>
          <w:bCs/>
          <w:iCs/>
          <w:szCs w:val="24"/>
        </w:rPr>
        <w:t>Subsection 2.20(1)</w:t>
      </w:r>
    </w:p>
    <w:p w:rsidR="00191D5A" w:rsidRDefault="00191D5A" w:rsidP="00191D5A">
      <w:pPr>
        <w:ind w:right="91"/>
        <w:rPr>
          <w:szCs w:val="24"/>
        </w:rPr>
      </w:pPr>
      <w:r>
        <w:rPr>
          <w:szCs w:val="24"/>
        </w:rPr>
        <w:t>This item will</w:t>
      </w:r>
      <w:r w:rsidRPr="00965CCB">
        <w:rPr>
          <w:szCs w:val="24"/>
        </w:rPr>
        <w:t xml:space="preserve"> </w:t>
      </w:r>
      <w:r>
        <w:rPr>
          <w:szCs w:val="24"/>
        </w:rPr>
        <w:t xml:space="preserve">omit the reference to ‘1 July 2014’ and substitute it with ‘1 July 2016’, </w:t>
      </w:r>
      <w:r>
        <w:rPr>
          <w:bCs/>
          <w:iCs/>
          <w:szCs w:val="24"/>
        </w:rPr>
        <w:t>to</w:t>
      </w:r>
      <w:r>
        <w:rPr>
          <w:szCs w:val="24"/>
        </w:rPr>
        <w:t xml:space="preserve"> reflect the date of the next </w:t>
      </w:r>
      <w:r w:rsidR="00173480">
        <w:rPr>
          <w:szCs w:val="24"/>
        </w:rPr>
        <w:t>biennial</w:t>
      </w:r>
      <w:r>
        <w:rPr>
          <w:szCs w:val="24"/>
        </w:rPr>
        <w:t xml:space="preserve"> fee increase</w:t>
      </w:r>
      <w:r w:rsidRPr="00965CCB">
        <w:rPr>
          <w:szCs w:val="24"/>
        </w:rPr>
        <w:t>.</w:t>
      </w:r>
    </w:p>
    <w:p w:rsidR="00191D5A" w:rsidRDefault="00714A1D" w:rsidP="00191D5A">
      <w:pPr>
        <w:ind w:right="91"/>
        <w:rPr>
          <w:b/>
          <w:szCs w:val="24"/>
        </w:rPr>
      </w:pPr>
      <w:r>
        <w:rPr>
          <w:b/>
          <w:szCs w:val="24"/>
        </w:rPr>
        <w:t>Item [</w:t>
      </w:r>
      <w:r w:rsidR="00DC15A0">
        <w:rPr>
          <w:b/>
          <w:szCs w:val="24"/>
        </w:rPr>
        <w:t>11</w:t>
      </w:r>
      <w:r w:rsidR="00191D5A">
        <w:rPr>
          <w:b/>
          <w:szCs w:val="24"/>
        </w:rPr>
        <w:t>] – Schedule 1</w:t>
      </w:r>
    </w:p>
    <w:p w:rsidR="00191D5A" w:rsidRDefault="00191D5A" w:rsidP="00191D5A">
      <w:pPr>
        <w:spacing w:before="0"/>
        <w:ind w:right="91"/>
        <w:rPr>
          <w:bCs/>
          <w:iCs/>
          <w:szCs w:val="24"/>
        </w:rPr>
      </w:pPr>
    </w:p>
    <w:p w:rsidR="00E17D4B" w:rsidRDefault="00191D5A" w:rsidP="00191D5A">
      <w:pPr>
        <w:spacing w:before="0"/>
        <w:ind w:right="91"/>
        <w:rPr>
          <w:bCs/>
          <w:iCs/>
          <w:szCs w:val="24"/>
        </w:rPr>
      </w:pPr>
      <w:r w:rsidRPr="00CA1A3B">
        <w:rPr>
          <w:bCs/>
          <w:iCs/>
          <w:szCs w:val="24"/>
        </w:rPr>
        <w:t xml:space="preserve">This item </w:t>
      </w:r>
      <w:r>
        <w:rPr>
          <w:bCs/>
          <w:iCs/>
          <w:szCs w:val="24"/>
        </w:rPr>
        <w:t>will</w:t>
      </w:r>
      <w:r w:rsidRPr="00CA1A3B">
        <w:rPr>
          <w:bCs/>
          <w:iCs/>
          <w:szCs w:val="24"/>
        </w:rPr>
        <w:t xml:space="preserve"> </w:t>
      </w:r>
      <w:r>
        <w:rPr>
          <w:bCs/>
          <w:iCs/>
          <w:szCs w:val="24"/>
        </w:rPr>
        <w:t>repeal</w:t>
      </w:r>
      <w:r w:rsidRPr="00CA1A3B">
        <w:rPr>
          <w:bCs/>
          <w:iCs/>
          <w:szCs w:val="24"/>
        </w:rPr>
        <w:t xml:space="preserve"> </w:t>
      </w:r>
      <w:r>
        <w:rPr>
          <w:bCs/>
          <w:iCs/>
          <w:szCs w:val="24"/>
        </w:rPr>
        <w:t>Schedule 1 – Fees and replace it with an amended fee schedule. The amended Schedule 1 will re</w:t>
      </w:r>
      <w:r w:rsidR="00E06E8F">
        <w:rPr>
          <w:bCs/>
          <w:iCs/>
          <w:szCs w:val="24"/>
        </w:rPr>
        <w:t>move</w:t>
      </w:r>
      <w:r>
        <w:rPr>
          <w:bCs/>
          <w:iCs/>
          <w:szCs w:val="24"/>
        </w:rPr>
        <w:t xml:space="preserve"> the provisions that refer to a ‘publicly listed company’ fee category</w:t>
      </w:r>
      <w:r w:rsidR="003662B9">
        <w:rPr>
          <w:bCs/>
          <w:iCs/>
          <w:szCs w:val="24"/>
        </w:rPr>
        <w:t xml:space="preserve"> (</w:t>
      </w:r>
      <w:r>
        <w:rPr>
          <w:bCs/>
          <w:iCs/>
          <w:szCs w:val="24"/>
        </w:rPr>
        <w:t xml:space="preserve">except </w:t>
      </w:r>
      <w:r w:rsidR="00E06E8F">
        <w:rPr>
          <w:bCs/>
          <w:iCs/>
          <w:szCs w:val="24"/>
        </w:rPr>
        <w:t>in the case of</w:t>
      </w:r>
      <w:r>
        <w:rPr>
          <w:bCs/>
          <w:iCs/>
          <w:szCs w:val="24"/>
        </w:rPr>
        <w:t xml:space="preserve"> distinct provisions relating to bankruptcy proceedings</w:t>
      </w:r>
      <w:r w:rsidR="003662B9">
        <w:rPr>
          <w:bCs/>
          <w:iCs/>
          <w:szCs w:val="24"/>
        </w:rPr>
        <w:t xml:space="preserve">) and </w:t>
      </w:r>
      <w:r>
        <w:rPr>
          <w:bCs/>
          <w:iCs/>
          <w:szCs w:val="24"/>
        </w:rPr>
        <w:t xml:space="preserve">provide for the distinct provisions relating to bankruptcy proceedings to have a separately specified fee for a ‘public authority’. </w:t>
      </w:r>
    </w:p>
    <w:p w:rsidR="00E17D4B" w:rsidRDefault="00E17D4B" w:rsidP="00191D5A">
      <w:pPr>
        <w:spacing w:before="0"/>
        <w:ind w:right="91"/>
        <w:rPr>
          <w:bCs/>
          <w:iCs/>
          <w:szCs w:val="24"/>
        </w:rPr>
      </w:pPr>
    </w:p>
    <w:p w:rsidR="00191D5A" w:rsidRDefault="00714A1D" w:rsidP="00191D5A">
      <w:pPr>
        <w:spacing w:before="0"/>
        <w:ind w:right="91"/>
        <w:rPr>
          <w:bCs/>
          <w:iCs/>
          <w:szCs w:val="24"/>
        </w:rPr>
      </w:pPr>
      <w:r>
        <w:rPr>
          <w:bCs/>
          <w:iCs/>
          <w:szCs w:val="24"/>
        </w:rPr>
        <w:t>All fee amounts will also be subject to a 10 per</w:t>
      </w:r>
      <w:r w:rsidR="00F8307C">
        <w:rPr>
          <w:bCs/>
          <w:iCs/>
          <w:szCs w:val="24"/>
        </w:rPr>
        <w:t xml:space="preserve"> </w:t>
      </w:r>
      <w:r>
        <w:rPr>
          <w:bCs/>
          <w:iCs/>
          <w:szCs w:val="24"/>
        </w:rPr>
        <w:t>cent increase.</w:t>
      </w:r>
      <w:r w:rsidR="00E17D4B">
        <w:rPr>
          <w:bCs/>
          <w:iCs/>
          <w:szCs w:val="24"/>
        </w:rPr>
        <w:t xml:space="preserve"> This is with the exception of categories where biennial fee increases do not apply—that is, fee items where there is no actual fee amount</w:t>
      </w:r>
      <w:r w:rsidR="006E0B8A">
        <w:rPr>
          <w:bCs/>
          <w:iCs/>
          <w:szCs w:val="24"/>
        </w:rPr>
        <w:t>,</w:t>
      </w:r>
      <w:r w:rsidR="00E17D4B">
        <w:rPr>
          <w:bCs/>
          <w:iCs/>
          <w:szCs w:val="24"/>
        </w:rPr>
        <w:t xml:space="preserve"> and fees for filing applications under</w:t>
      </w:r>
      <w:r w:rsidR="00E17D4B" w:rsidRPr="00EB0A5E">
        <w:rPr>
          <w:bCs/>
          <w:iCs/>
          <w:szCs w:val="24"/>
        </w:rPr>
        <w:t xml:space="preserve"> section 46PO or 46PP of the </w:t>
      </w:r>
      <w:r w:rsidR="00E17D4B" w:rsidRPr="00EB0A5E">
        <w:rPr>
          <w:bCs/>
          <w:i/>
          <w:iCs/>
          <w:szCs w:val="24"/>
        </w:rPr>
        <w:t>Australian Human Rights Commission Act 1986</w:t>
      </w:r>
      <w:r w:rsidR="00E17D4B">
        <w:rPr>
          <w:bCs/>
          <w:iCs/>
          <w:szCs w:val="24"/>
        </w:rPr>
        <w:t xml:space="preserve"> in the Federal Court and Federal Circuit Court.</w:t>
      </w:r>
    </w:p>
    <w:p w:rsidR="009B11CB" w:rsidRDefault="009B11CB" w:rsidP="00191D5A">
      <w:pPr>
        <w:spacing w:before="0"/>
        <w:ind w:right="91"/>
        <w:rPr>
          <w:bCs/>
          <w:iCs/>
          <w:szCs w:val="24"/>
        </w:rPr>
      </w:pPr>
    </w:p>
    <w:p w:rsidR="009B11CB" w:rsidRDefault="009B11CB" w:rsidP="009B11CB">
      <w:pPr>
        <w:spacing w:before="0"/>
        <w:ind w:right="91"/>
        <w:rPr>
          <w:bCs/>
          <w:iCs/>
          <w:szCs w:val="24"/>
        </w:rPr>
      </w:pPr>
      <w:r>
        <w:rPr>
          <w:bCs/>
          <w:iCs/>
          <w:szCs w:val="24"/>
        </w:rPr>
        <w:t>This item will replace fee item 107 with text that clarifies the fee amount as equal to the sum of the fees mentioned in items 106 and 109 for a corporation and in any other case. This w</w:t>
      </w:r>
      <w:r w:rsidR="00FF15EF">
        <w:rPr>
          <w:bCs/>
          <w:iCs/>
          <w:szCs w:val="24"/>
        </w:rPr>
        <w:t>ill</w:t>
      </w:r>
      <w:r>
        <w:rPr>
          <w:bCs/>
          <w:iCs/>
          <w:szCs w:val="24"/>
        </w:rPr>
        <w:t xml:space="preserve"> ensure that fee item 107 is always equal to the sum of fee items 106 and 109, even following a biennial fee increase.</w:t>
      </w:r>
    </w:p>
    <w:p w:rsidR="00191D5A" w:rsidRDefault="00191D5A" w:rsidP="00191D5A">
      <w:pPr>
        <w:ind w:right="91"/>
        <w:rPr>
          <w:szCs w:val="24"/>
        </w:rPr>
      </w:pPr>
      <w:r>
        <w:rPr>
          <w:szCs w:val="24"/>
        </w:rPr>
        <w:t>This item will</w:t>
      </w:r>
      <w:r w:rsidRPr="00965CCB">
        <w:rPr>
          <w:szCs w:val="24"/>
        </w:rPr>
        <w:t xml:space="preserve"> </w:t>
      </w:r>
      <w:r>
        <w:rPr>
          <w:szCs w:val="24"/>
        </w:rPr>
        <w:t xml:space="preserve">also </w:t>
      </w:r>
      <w:r w:rsidRPr="00965CCB">
        <w:rPr>
          <w:szCs w:val="24"/>
        </w:rPr>
        <w:t>amend a typographical error in item 218 of Part 2 of Schedule 1</w:t>
      </w:r>
      <w:r w:rsidR="003662B9">
        <w:rPr>
          <w:szCs w:val="24"/>
        </w:rPr>
        <w:t xml:space="preserve"> to </w:t>
      </w:r>
      <w:r w:rsidRPr="00965CCB">
        <w:rPr>
          <w:szCs w:val="24"/>
        </w:rPr>
        <w:t xml:space="preserve">clarify that the relevant provision is subsection 104(3) of the </w:t>
      </w:r>
      <w:r w:rsidRPr="00965CCB">
        <w:rPr>
          <w:i/>
          <w:szCs w:val="24"/>
        </w:rPr>
        <w:t>Federal Circuit Court of Australia Act</w:t>
      </w:r>
      <w:r w:rsidR="003662B9">
        <w:rPr>
          <w:i/>
          <w:szCs w:val="24"/>
        </w:rPr>
        <w:t> </w:t>
      </w:r>
      <w:r w:rsidRPr="00965CCB">
        <w:rPr>
          <w:i/>
          <w:szCs w:val="24"/>
        </w:rPr>
        <w:t>1999</w:t>
      </w:r>
      <w:r w:rsidRPr="00965CCB">
        <w:rPr>
          <w:szCs w:val="24"/>
        </w:rPr>
        <w:t>.</w:t>
      </w:r>
    </w:p>
    <w:p w:rsidR="00930FA8" w:rsidRDefault="00930FA8" w:rsidP="00C532D0">
      <w:pPr>
        <w:keepNext/>
        <w:ind w:right="91"/>
        <w:rPr>
          <w:b/>
          <w:bCs/>
          <w:szCs w:val="24"/>
          <w:u w:val="single"/>
        </w:rPr>
      </w:pPr>
      <w:r w:rsidRPr="001E1092">
        <w:rPr>
          <w:b/>
          <w:bCs/>
          <w:szCs w:val="24"/>
          <w:u w:val="single"/>
        </w:rPr>
        <w:t>Part 2 – Application of amendments</w:t>
      </w:r>
    </w:p>
    <w:p w:rsidR="00930FA8" w:rsidRPr="001E1092" w:rsidRDefault="00930FA8" w:rsidP="00C532D0">
      <w:pPr>
        <w:keepNext/>
        <w:ind w:right="91"/>
        <w:rPr>
          <w:bCs/>
          <w:i/>
          <w:szCs w:val="24"/>
        </w:rPr>
      </w:pPr>
      <w:r>
        <w:rPr>
          <w:bCs/>
          <w:i/>
          <w:szCs w:val="24"/>
        </w:rPr>
        <w:t>Federal Court and Federal Circuit Court Regulation 2012</w:t>
      </w:r>
    </w:p>
    <w:p w:rsidR="00930FA8" w:rsidRPr="00965CCB" w:rsidRDefault="00930FA8" w:rsidP="00316B5F">
      <w:pPr>
        <w:keepNext/>
        <w:ind w:right="91"/>
        <w:rPr>
          <w:b/>
          <w:bCs/>
          <w:szCs w:val="24"/>
        </w:rPr>
      </w:pPr>
      <w:r>
        <w:rPr>
          <w:b/>
          <w:bCs/>
          <w:szCs w:val="24"/>
        </w:rPr>
        <w:t>Item [</w:t>
      </w:r>
      <w:r w:rsidR="003662B9">
        <w:rPr>
          <w:b/>
          <w:bCs/>
          <w:szCs w:val="24"/>
        </w:rPr>
        <w:t>1</w:t>
      </w:r>
      <w:r w:rsidR="00DC15A0">
        <w:rPr>
          <w:b/>
          <w:bCs/>
          <w:szCs w:val="24"/>
        </w:rPr>
        <w:t>2</w:t>
      </w:r>
      <w:r w:rsidRPr="00965CCB">
        <w:rPr>
          <w:b/>
          <w:bCs/>
          <w:szCs w:val="24"/>
        </w:rPr>
        <w:t>] – Part 5 (heading)</w:t>
      </w:r>
    </w:p>
    <w:p w:rsidR="00930FA8" w:rsidRPr="00965CCB" w:rsidRDefault="00930FA8" w:rsidP="00930FA8">
      <w:pPr>
        <w:ind w:right="91"/>
        <w:rPr>
          <w:bCs/>
          <w:szCs w:val="24"/>
        </w:rPr>
      </w:pPr>
      <w:r w:rsidRPr="00965CCB">
        <w:rPr>
          <w:bCs/>
          <w:szCs w:val="24"/>
        </w:rPr>
        <w:t xml:space="preserve">This item </w:t>
      </w:r>
      <w:r>
        <w:rPr>
          <w:bCs/>
          <w:szCs w:val="24"/>
        </w:rPr>
        <w:t>will</w:t>
      </w:r>
      <w:r w:rsidRPr="00965CCB">
        <w:rPr>
          <w:bCs/>
          <w:szCs w:val="24"/>
        </w:rPr>
        <w:t xml:space="preserve"> amend the heading of Part 5 from ‘Repeal and transitional’ to ‘Transitional provisions’. This </w:t>
      </w:r>
      <w:r>
        <w:rPr>
          <w:bCs/>
          <w:szCs w:val="24"/>
        </w:rPr>
        <w:t>will</w:t>
      </w:r>
      <w:r w:rsidR="00191D5A">
        <w:rPr>
          <w:bCs/>
          <w:szCs w:val="24"/>
        </w:rPr>
        <w:t xml:space="preserve"> reflect that there will</w:t>
      </w:r>
      <w:r w:rsidRPr="00965CCB">
        <w:rPr>
          <w:bCs/>
          <w:szCs w:val="24"/>
        </w:rPr>
        <w:t xml:space="preserve"> no longer be any applicable repeal provisions under Part 5 of the </w:t>
      </w:r>
      <w:r w:rsidRPr="00965CCB">
        <w:rPr>
          <w:bCs/>
          <w:i/>
          <w:szCs w:val="24"/>
        </w:rPr>
        <w:t>Federal Court and Federal Circuit Court Regulation 2012</w:t>
      </w:r>
      <w:r w:rsidRPr="00965CCB">
        <w:rPr>
          <w:bCs/>
          <w:szCs w:val="24"/>
        </w:rPr>
        <w:t>.</w:t>
      </w:r>
    </w:p>
    <w:p w:rsidR="00930FA8" w:rsidRDefault="003662B9" w:rsidP="00930FA8">
      <w:pPr>
        <w:ind w:right="91"/>
        <w:rPr>
          <w:b/>
          <w:bCs/>
          <w:szCs w:val="24"/>
        </w:rPr>
      </w:pPr>
      <w:r>
        <w:rPr>
          <w:b/>
          <w:bCs/>
          <w:szCs w:val="24"/>
        </w:rPr>
        <w:t>Item [1</w:t>
      </w:r>
      <w:r w:rsidR="00DC15A0">
        <w:rPr>
          <w:b/>
          <w:bCs/>
          <w:szCs w:val="24"/>
        </w:rPr>
        <w:t>3</w:t>
      </w:r>
      <w:r w:rsidR="00930FA8" w:rsidRPr="00965CCB">
        <w:rPr>
          <w:b/>
          <w:bCs/>
          <w:szCs w:val="24"/>
        </w:rPr>
        <w:t xml:space="preserve">] – At the end of Part 5 </w:t>
      </w:r>
    </w:p>
    <w:p w:rsidR="00191D5A" w:rsidRPr="00965CCB" w:rsidRDefault="00191D5A" w:rsidP="00191D5A">
      <w:pPr>
        <w:ind w:right="91"/>
        <w:rPr>
          <w:bCs/>
          <w:szCs w:val="24"/>
        </w:rPr>
      </w:pPr>
      <w:r w:rsidRPr="00051774">
        <w:rPr>
          <w:bCs/>
          <w:szCs w:val="24"/>
        </w:rPr>
        <w:t>This item will provide that the Regulation will apply to fees for documents filed or services provided on or after 1 J</w:t>
      </w:r>
      <w:r w:rsidR="009D03DA" w:rsidRPr="00051774">
        <w:rPr>
          <w:bCs/>
          <w:szCs w:val="24"/>
        </w:rPr>
        <w:t>ul</w:t>
      </w:r>
      <w:r w:rsidRPr="00051774">
        <w:rPr>
          <w:bCs/>
          <w:szCs w:val="24"/>
        </w:rPr>
        <w:t>y 2015 in the Federal Court of Australia and Federal Circuit Court of Australia.</w:t>
      </w:r>
      <w:r w:rsidRPr="00965CCB">
        <w:rPr>
          <w:bCs/>
          <w:szCs w:val="24"/>
        </w:rPr>
        <w:t xml:space="preserve"> </w:t>
      </w:r>
    </w:p>
    <w:p w:rsidR="00930FA8" w:rsidRDefault="00930FA8" w:rsidP="00051774">
      <w:pPr>
        <w:keepNext/>
        <w:ind w:right="91"/>
        <w:rPr>
          <w:i/>
          <w:noProof/>
          <w:szCs w:val="24"/>
          <w:u w:val="single"/>
          <w:lang w:eastAsia="en-US"/>
        </w:rPr>
      </w:pPr>
      <w:r>
        <w:rPr>
          <w:noProof/>
          <w:szCs w:val="24"/>
          <w:u w:val="single"/>
          <w:lang w:eastAsia="en-US"/>
        </w:rPr>
        <w:t>Schedule 2</w:t>
      </w:r>
      <w:r w:rsidRPr="00586E84">
        <w:rPr>
          <w:noProof/>
          <w:szCs w:val="24"/>
          <w:u w:val="single"/>
          <w:lang w:eastAsia="en-US"/>
        </w:rPr>
        <w:t xml:space="preserve"> – Amendment of the </w:t>
      </w:r>
      <w:r w:rsidRPr="0005347F">
        <w:rPr>
          <w:i/>
          <w:noProof/>
          <w:szCs w:val="24"/>
          <w:u w:val="single"/>
          <w:lang w:eastAsia="en-US"/>
        </w:rPr>
        <w:t>Family Law (Fees) Regulation 2012</w:t>
      </w:r>
      <w:r w:rsidRPr="001E1092">
        <w:rPr>
          <w:i/>
          <w:noProof/>
          <w:szCs w:val="24"/>
          <w:u w:val="single"/>
          <w:lang w:eastAsia="en-US"/>
        </w:rPr>
        <w:t xml:space="preserve"> </w:t>
      </w:r>
    </w:p>
    <w:p w:rsidR="00930FA8" w:rsidRDefault="00930FA8" w:rsidP="00051774">
      <w:pPr>
        <w:keepNext/>
        <w:ind w:right="91"/>
        <w:rPr>
          <w:b/>
          <w:noProof/>
          <w:szCs w:val="24"/>
          <w:u w:val="single"/>
          <w:lang w:eastAsia="en-US"/>
        </w:rPr>
      </w:pPr>
      <w:r w:rsidRPr="00586E84">
        <w:rPr>
          <w:b/>
          <w:noProof/>
          <w:szCs w:val="24"/>
          <w:u w:val="single"/>
          <w:lang w:eastAsia="en-US"/>
        </w:rPr>
        <w:t xml:space="preserve">Part 1 – Main Amendments </w:t>
      </w:r>
    </w:p>
    <w:p w:rsidR="00930FA8" w:rsidRPr="008D5EBB" w:rsidRDefault="00930FA8" w:rsidP="00051774">
      <w:pPr>
        <w:keepNext/>
        <w:ind w:right="91"/>
        <w:rPr>
          <w:noProof/>
          <w:szCs w:val="24"/>
          <w:highlight w:val="yellow"/>
          <w:lang w:eastAsia="en-US"/>
        </w:rPr>
      </w:pPr>
      <w:r>
        <w:rPr>
          <w:i/>
          <w:noProof/>
          <w:szCs w:val="24"/>
          <w:lang w:eastAsia="en-US"/>
        </w:rPr>
        <w:t>Family Law (Fees) Regulation 2012</w:t>
      </w:r>
    </w:p>
    <w:p w:rsidR="00930FA8" w:rsidRPr="00557414" w:rsidRDefault="00930FA8" w:rsidP="00051774">
      <w:pPr>
        <w:keepNext/>
        <w:ind w:right="91"/>
        <w:rPr>
          <w:b/>
          <w:bCs/>
          <w:iCs/>
          <w:szCs w:val="24"/>
        </w:rPr>
      </w:pPr>
      <w:r>
        <w:rPr>
          <w:b/>
          <w:bCs/>
          <w:iCs/>
          <w:szCs w:val="24"/>
        </w:rPr>
        <w:t>Item [1</w:t>
      </w:r>
      <w:r w:rsidRPr="00557414">
        <w:rPr>
          <w:b/>
          <w:bCs/>
          <w:iCs/>
          <w:szCs w:val="24"/>
        </w:rPr>
        <w:t>] – Section 1.03</w:t>
      </w:r>
      <w:r w:rsidR="00AF2A53">
        <w:rPr>
          <w:b/>
          <w:bCs/>
          <w:iCs/>
          <w:szCs w:val="24"/>
        </w:rPr>
        <w:t xml:space="preserve"> (definition of a </w:t>
      </w:r>
      <w:r w:rsidR="00AF2A53" w:rsidRPr="003662B9">
        <w:rPr>
          <w:b/>
          <w:bCs/>
          <w:i/>
          <w:iCs/>
          <w:szCs w:val="24"/>
        </w:rPr>
        <w:t>filing fee</w:t>
      </w:r>
      <w:r w:rsidR="00AF2A53">
        <w:rPr>
          <w:b/>
          <w:bCs/>
          <w:iCs/>
          <w:szCs w:val="24"/>
        </w:rPr>
        <w:t>)</w:t>
      </w:r>
    </w:p>
    <w:p w:rsidR="00191D5A" w:rsidRDefault="00191D5A" w:rsidP="00191D5A">
      <w:pPr>
        <w:ind w:right="91"/>
        <w:rPr>
          <w:bCs/>
          <w:iCs/>
          <w:szCs w:val="24"/>
        </w:rPr>
      </w:pPr>
      <w:r w:rsidRPr="00557414">
        <w:rPr>
          <w:bCs/>
          <w:iCs/>
          <w:szCs w:val="24"/>
        </w:rPr>
        <w:t>This</w:t>
      </w:r>
      <w:r>
        <w:rPr>
          <w:bCs/>
          <w:iCs/>
          <w:szCs w:val="24"/>
        </w:rPr>
        <w:t xml:space="preserve"> item will amend the definition of a filing fee so that it includes the new fee item for filing an amended application. </w:t>
      </w:r>
    </w:p>
    <w:p w:rsidR="00714A1D" w:rsidRPr="00714A1D" w:rsidRDefault="00714A1D" w:rsidP="00714A1D">
      <w:pPr>
        <w:ind w:right="91"/>
        <w:rPr>
          <w:b/>
          <w:bCs/>
          <w:iCs/>
          <w:szCs w:val="24"/>
        </w:rPr>
      </w:pPr>
      <w:r w:rsidRPr="00714A1D">
        <w:rPr>
          <w:b/>
          <w:bCs/>
          <w:iCs/>
          <w:szCs w:val="24"/>
        </w:rPr>
        <w:t xml:space="preserve">Item [2] – Section 1.03 (definition of </w:t>
      </w:r>
      <w:r w:rsidRPr="00714A1D">
        <w:rPr>
          <w:b/>
          <w:bCs/>
          <w:i/>
          <w:iCs/>
          <w:szCs w:val="24"/>
        </w:rPr>
        <w:t>magistrate</w:t>
      </w:r>
      <w:r w:rsidRPr="00714A1D">
        <w:rPr>
          <w:b/>
          <w:bCs/>
          <w:iCs/>
          <w:szCs w:val="24"/>
        </w:rPr>
        <w:t>)</w:t>
      </w:r>
    </w:p>
    <w:p w:rsidR="00714A1D" w:rsidRPr="00714A1D" w:rsidRDefault="00714A1D" w:rsidP="00714A1D">
      <w:pPr>
        <w:ind w:right="91"/>
        <w:rPr>
          <w:bCs/>
          <w:iCs/>
          <w:szCs w:val="24"/>
        </w:rPr>
      </w:pPr>
      <w:r w:rsidRPr="00714A1D">
        <w:rPr>
          <w:bCs/>
          <w:iCs/>
          <w:szCs w:val="24"/>
        </w:rPr>
        <w:t>This item w</w:t>
      </w:r>
      <w:r>
        <w:rPr>
          <w:bCs/>
          <w:iCs/>
          <w:szCs w:val="24"/>
        </w:rPr>
        <w:t>ill</w:t>
      </w:r>
      <w:r w:rsidRPr="00714A1D">
        <w:rPr>
          <w:bCs/>
          <w:iCs/>
          <w:szCs w:val="24"/>
        </w:rPr>
        <w:t xml:space="preserve"> repeal the definition of ‘magistrate’ as it w</w:t>
      </w:r>
      <w:r>
        <w:rPr>
          <w:bCs/>
          <w:iCs/>
          <w:szCs w:val="24"/>
        </w:rPr>
        <w:t>ill</w:t>
      </w:r>
      <w:r w:rsidRPr="00714A1D">
        <w:rPr>
          <w:bCs/>
          <w:iCs/>
          <w:szCs w:val="24"/>
        </w:rPr>
        <w:t xml:space="preserve"> no longer be necessary. This w</w:t>
      </w:r>
      <w:r>
        <w:rPr>
          <w:bCs/>
          <w:iCs/>
          <w:szCs w:val="24"/>
        </w:rPr>
        <w:t>ill</w:t>
      </w:r>
      <w:r w:rsidRPr="00714A1D">
        <w:rPr>
          <w:bCs/>
          <w:iCs/>
          <w:szCs w:val="24"/>
        </w:rPr>
        <w:t xml:space="preserve"> reflect that, under the proposed Regulation, amended Schedule 1 w</w:t>
      </w:r>
      <w:r>
        <w:rPr>
          <w:bCs/>
          <w:iCs/>
          <w:szCs w:val="24"/>
        </w:rPr>
        <w:t>ill</w:t>
      </w:r>
      <w:r w:rsidRPr="00714A1D">
        <w:rPr>
          <w:bCs/>
          <w:iCs/>
          <w:szCs w:val="24"/>
        </w:rPr>
        <w:t xml:space="preserve"> refer to fees applicable to hearings by a magistrate</w:t>
      </w:r>
      <w:r w:rsidR="00F07150">
        <w:rPr>
          <w:bCs/>
          <w:iCs/>
          <w:szCs w:val="24"/>
        </w:rPr>
        <w:t>, as</w:t>
      </w:r>
      <w:r w:rsidRPr="00714A1D">
        <w:rPr>
          <w:bCs/>
          <w:iCs/>
          <w:szCs w:val="24"/>
        </w:rPr>
        <w:t xml:space="preserve"> distinct from fees applicable to hearings by a Judge of the Federal Circuit Court of Australia.</w:t>
      </w:r>
    </w:p>
    <w:p w:rsidR="00930FA8" w:rsidRDefault="00930FA8" w:rsidP="00714A1D">
      <w:pPr>
        <w:keepNext/>
        <w:ind w:right="91"/>
        <w:rPr>
          <w:b/>
          <w:bCs/>
          <w:iCs/>
          <w:szCs w:val="24"/>
        </w:rPr>
      </w:pPr>
      <w:r>
        <w:rPr>
          <w:b/>
          <w:bCs/>
          <w:iCs/>
          <w:szCs w:val="24"/>
        </w:rPr>
        <w:t>Item [</w:t>
      </w:r>
      <w:r w:rsidR="00957759">
        <w:rPr>
          <w:b/>
          <w:bCs/>
          <w:iCs/>
          <w:szCs w:val="24"/>
        </w:rPr>
        <w:t>3</w:t>
      </w:r>
      <w:r>
        <w:rPr>
          <w:b/>
          <w:bCs/>
          <w:iCs/>
          <w:szCs w:val="24"/>
        </w:rPr>
        <w:t>] – At the end of section 1.04</w:t>
      </w:r>
    </w:p>
    <w:p w:rsidR="00930FA8" w:rsidRPr="0019578A" w:rsidRDefault="00930FA8" w:rsidP="00930FA8">
      <w:pPr>
        <w:ind w:right="91"/>
        <w:rPr>
          <w:bCs/>
          <w:iCs/>
          <w:szCs w:val="24"/>
        </w:rPr>
      </w:pPr>
      <w:r>
        <w:rPr>
          <w:bCs/>
          <w:iCs/>
          <w:szCs w:val="24"/>
        </w:rPr>
        <w:t xml:space="preserve">This item will add a note directing readers to Part 3 for the other transitional provisions that will apply to the </w:t>
      </w:r>
      <w:r>
        <w:rPr>
          <w:bCs/>
          <w:i/>
          <w:iCs/>
          <w:szCs w:val="24"/>
        </w:rPr>
        <w:t>Family Law (Fees) Regulation 2012</w:t>
      </w:r>
      <w:r>
        <w:rPr>
          <w:bCs/>
          <w:iCs/>
          <w:szCs w:val="24"/>
        </w:rPr>
        <w:t xml:space="preserve">. </w:t>
      </w:r>
    </w:p>
    <w:p w:rsidR="00930FA8" w:rsidRPr="00557414" w:rsidRDefault="00714A1D" w:rsidP="00957759">
      <w:pPr>
        <w:keepNext/>
        <w:ind w:right="91"/>
        <w:rPr>
          <w:b/>
          <w:bCs/>
          <w:iCs/>
          <w:szCs w:val="24"/>
        </w:rPr>
      </w:pPr>
      <w:r>
        <w:rPr>
          <w:b/>
          <w:bCs/>
          <w:iCs/>
          <w:szCs w:val="24"/>
        </w:rPr>
        <w:t>Item [</w:t>
      </w:r>
      <w:r w:rsidR="00957759">
        <w:rPr>
          <w:b/>
          <w:bCs/>
          <w:iCs/>
          <w:szCs w:val="24"/>
        </w:rPr>
        <w:t>4</w:t>
      </w:r>
      <w:r w:rsidR="00930FA8" w:rsidRPr="002551D3">
        <w:rPr>
          <w:b/>
          <w:bCs/>
          <w:iCs/>
          <w:szCs w:val="24"/>
        </w:rPr>
        <w:t>] – Section 2.13</w:t>
      </w:r>
      <w:r w:rsidR="00930FA8">
        <w:rPr>
          <w:b/>
          <w:bCs/>
          <w:iCs/>
          <w:szCs w:val="24"/>
        </w:rPr>
        <w:t>(1)</w:t>
      </w:r>
    </w:p>
    <w:p w:rsidR="00191D5A" w:rsidRDefault="00191D5A" w:rsidP="00191D5A">
      <w:pPr>
        <w:ind w:right="91"/>
        <w:rPr>
          <w:szCs w:val="24"/>
        </w:rPr>
      </w:pPr>
      <w:r>
        <w:rPr>
          <w:szCs w:val="24"/>
        </w:rPr>
        <w:t>This item will</w:t>
      </w:r>
      <w:r w:rsidRPr="00965CCB">
        <w:rPr>
          <w:szCs w:val="24"/>
        </w:rPr>
        <w:t xml:space="preserve"> </w:t>
      </w:r>
      <w:r>
        <w:rPr>
          <w:szCs w:val="24"/>
        </w:rPr>
        <w:t xml:space="preserve">omit the reference to ‘1 July 2014’ and substitute it with ‘1 July 2016’, </w:t>
      </w:r>
      <w:r>
        <w:rPr>
          <w:bCs/>
          <w:iCs/>
          <w:szCs w:val="24"/>
        </w:rPr>
        <w:t>to</w:t>
      </w:r>
      <w:r>
        <w:rPr>
          <w:szCs w:val="24"/>
        </w:rPr>
        <w:t xml:space="preserve"> reflect the date of the next biennial fee increase</w:t>
      </w:r>
      <w:r w:rsidRPr="00965CCB">
        <w:rPr>
          <w:szCs w:val="24"/>
        </w:rPr>
        <w:t>.</w:t>
      </w:r>
    </w:p>
    <w:p w:rsidR="00714A1D" w:rsidRDefault="00957759" w:rsidP="00714A1D">
      <w:pPr>
        <w:ind w:right="91"/>
        <w:rPr>
          <w:b/>
          <w:bCs/>
          <w:iCs/>
          <w:szCs w:val="24"/>
        </w:rPr>
      </w:pPr>
      <w:r>
        <w:rPr>
          <w:b/>
          <w:bCs/>
          <w:iCs/>
          <w:szCs w:val="24"/>
        </w:rPr>
        <w:t>Item [5</w:t>
      </w:r>
      <w:r w:rsidR="00714A1D">
        <w:rPr>
          <w:b/>
          <w:bCs/>
          <w:iCs/>
          <w:szCs w:val="24"/>
        </w:rPr>
        <w:t>] – Subsections 2.13(2), (5) and (6)</w:t>
      </w:r>
    </w:p>
    <w:p w:rsidR="00714A1D" w:rsidRPr="00C12972" w:rsidRDefault="00714A1D" w:rsidP="00714A1D">
      <w:pPr>
        <w:ind w:right="91"/>
        <w:rPr>
          <w:szCs w:val="24"/>
        </w:rPr>
      </w:pPr>
      <w:r>
        <w:rPr>
          <w:szCs w:val="24"/>
        </w:rPr>
        <w:t xml:space="preserve">This item will </w:t>
      </w:r>
      <w:r w:rsidR="00F07150">
        <w:rPr>
          <w:szCs w:val="24"/>
        </w:rPr>
        <w:t>repeal</w:t>
      </w:r>
      <w:r>
        <w:rPr>
          <w:szCs w:val="24"/>
        </w:rPr>
        <w:t xml:space="preserve"> the </w:t>
      </w:r>
      <w:r w:rsidR="00F07150">
        <w:rPr>
          <w:szCs w:val="24"/>
        </w:rPr>
        <w:t xml:space="preserve">provisions referring to a specific </w:t>
      </w:r>
      <w:r>
        <w:rPr>
          <w:szCs w:val="24"/>
        </w:rPr>
        <w:t>biennial fee increase</w:t>
      </w:r>
      <w:r w:rsidR="00F07150">
        <w:rPr>
          <w:szCs w:val="24"/>
        </w:rPr>
        <w:t xml:space="preserve"> formula for </w:t>
      </w:r>
      <w:r>
        <w:rPr>
          <w:szCs w:val="24"/>
        </w:rPr>
        <w:t xml:space="preserve">reduced family law fees. </w:t>
      </w:r>
      <w:r w:rsidR="00F07150">
        <w:rPr>
          <w:szCs w:val="24"/>
        </w:rPr>
        <w:t>This will no longer be applicable as the reduced divorce fee in the Federal Circuit Court will not be one-third of the full divorce fee in that Court under the Regulation. It is also not applicable to the Family Court where there are no reduced divorce fee filings. No other family law fee items have reduced fees.</w:t>
      </w:r>
    </w:p>
    <w:p w:rsidR="00714A1D" w:rsidRDefault="00714A1D" w:rsidP="00714A1D">
      <w:pPr>
        <w:ind w:right="91"/>
        <w:rPr>
          <w:b/>
          <w:bCs/>
          <w:iCs/>
          <w:szCs w:val="24"/>
        </w:rPr>
      </w:pPr>
      <w:r>
        <w:rPr>
          <w:b/>
          <w:bCs/>
          <w:iCs/>
          <w:szCs w:val="24"/>
        </w:rPr>
        <w:t>Item [</w:t>
      </w:r>
      <w:r w:rsidR="00957759">
        <w:rPr>
          <w:b/>
          <w:bCs/>
          <w:iCs/>
          <w:szCs w:val="24"/>
        </w:rPr>
        <w:t>6</w:t>
      </w:r>
      <w:r>
        <w:rPr>
          <w:b/>
          <w:bCs/>
          <w:iCs/>
          <w:szCs w:val="24"/>
        </w:rPr>
        <w:t>] – Subsection 2.13(7) (heading)</w:t>
      </w:r>
    </w:p>
    <w:p w:rsidR="00714A1D" w:rsidRDefault="00714A1D" w:rsidP="00714A1D">
      <w:pPr>
        <w:ind w:right="91"/>
        <w:rPr>
          <w:szCs w:val="24"/>
        </w:rPr>
      </w:pPr>
      <w:r>
        <w:rPr>
          <w:szCs w:val="24"/>
        </w:rPr>
        <w:t xml:space="preserve">This item will repeal the heading of ‘reduced fee’ as </w:t>
      </w:r>
      <w:r w:rsidR="00F07150">
        <w:rPr>
          <w:szCs w:val="24"/>
        </w:rPr>
        <w:t>the specific biennial fee increase formula for reduced fees is repealed</w:t>
      </w:r>
      <w:r>
        <w:rPr>
          <w:szCs w:val="24"/>
        </w:rPr>
        <w:t>.</w:t>
      </w:r>
    </w:p>
    <w:p w:rsidR="00930FA8" w:rsidRDefault="00930FA8" w:rsidP="00930FA8">
      <w:pPr>
        <w:spacing w:before="0"/>
        <w:ind w:right="91"/>
        <w:rPr>
          <w:bCs/>
          <w:iCs/>
          <w:szCs w:val="24"/>
          <w:highlight w:val="yellow"/>
        </w:rPr>
      </w:pPr>
    </w:p>
    <w:p w:rsidR="00930FA8" w:rsidRPr="00CA1A3B" w:rsidRDefault="00957759" w:rsidP="00930FA8">
      <w:pPr>
        <w:spacing w:before="0"/>
        <w:ind w:right="91"/>
        <w:rPr>
          <w:b/>
          <w:bCs/>
          <w:iCs/>
          <w:szCs w:val="24"/>
        </w:rPr>
      </w:pPr>
      <w:r>
        <w:rPr>
          <w:b/>
          <w:bCs/>
          <w:iCs/>
          <w:szCs w:val="24"/>
        </w:rPr>
        <w:t>Item [7</w:t>
      </w:r>
      <w:r w:rsidR="00930FA8" w:rsidRPr="00CA1A3B">
        <w:rPr>
          <w:b/>
          <w:bCs/>
          <w:iCs/>
          <w:szCs w:val="24"/>
        </w:rPr>
        <w:t>] – Schedule 1 - Fees</w:t>
      </w:r>
    </w:p>
    <w:p w:rsidR="00930FA8" w:rsidRDefault="00930FA8" w:rsidP="00930FA8">
      <w:pPr>
        <w:spacing w:before="0"/>
        <w:ind w:right="91"/>
        <w:rPr>
          <w:b/>
          <w:bCs/>
          <w:iCs/>
          <w:szCs w:val="24"/>
          <w:highlight w:val="yellow"/>
        </w:rPr>
      </w:pPr>
    </w:p>
    <w:p w:rsidR="00930FA8" w:rsidRDefault="00930FA8" w:rsidP="00930FA8">
      <w:pPr>
        <w:spacing w:before="0"/>
        <w:ind w:right="91"/>
        <w:rPr>
          <w:bCs/>
          <w:iCs/>
          <w:szCs w:val="24"/>
        </w:rPr>
      </w:pPr>
      <w:r w:rsidRPr="00CA1A3B">
        <w:rPr>
          <w:bCs/>
          <w:iCs/>
          <w:szCs w:val="24"/>
        </w:rPr>
        <w:t xml:space="preserve">This item </w:t>
      </w:r>
      <w:r>
        <w:rPr>
          <w:bCs/>
          <w:iCs/>
          <w:szCs w:val="24"/>
        </w:rPr>
        <w:t>will</w:t>
      </w:r>
      <w:r w:rsidRPr="00CA1A3B">
        <w:rPr>
          <w:bCs/>
          <w:iCs/>
          <w:szCs w:val="24"/>
        </w:rPr>
        <w:t xml:space="preserve"> </w:t>
      </w:r>
      <w:r>
        <w:rPr>
          <w:bCs/>
          <w:iCs/>
          <w:szCs w:val="24"/>
        </w:rPr>
        <w:t>repeal</w:t>
      </w:r>
      <w:r w:rsidRPr="00CA1A3B">
        <w:rPr>
          <w:bCs/>
          <w:iCs/>
          <w:szCs w:val="24"/>
        </w:rPr>
        <w:t xml:space="preserve"> </w:t>
      </w:r>
      <w:r>
        <w:rPr>
          <w:bCs/>
          <w:iCs/>
          <w:szCs w:val="24"/>
        </w:rPr>
        <w:t xml:space="preserve">Schedule 1 – Fees and replace an amended fee schedule.  </w:t>
      </w:r>
    </w:p>
    <w:p w:rsidR="00714A1D" w:rsidRDefault="00714A1D" w:rsidP="00714A1D">
      <w:pPr>
        <w:ind w:right="91"/>
        <w:rPr>
          <w:szCs w:val="24"/>
        </w:rPr>
      </w:pPr>
      <w:r w:rsidRPr="002A6103">
        <w:rPr>
          <w:szCs w:val="24"/>
        </w:rPr>
        <w:t>This item w</w:t>
      </w:r>
      <w:r>
        <w:rPr>
          <w:szCs w:val="24"/>
        </w:rPr>
        <w:t>ill</w:t>
      </w:r>
      <w:r w:rsidRPr="002A6103">
        <w:rPr>
          <w:szCs w:val="24"/>
        </w:rPr>
        <w:t xml:space="preserve"> amend </w:t>
      </w:r>
      <w:r>
        <w:rPr>
          <w:szCs w:val="24"/>
        </w:rPr>
        <w:t xml:space="preserve">the categories for </w:t>
      </w:r>
      <w:r w:rsidRPr="002A6103">
        <w:rPr>
          <w:szCs w:val="24"/>
        </w:rPr>
        <w:t xml:space="preserve">fee items 11, 12, 13, 15, 16 and 17 </w:t>
      </w:r>
      <w:r>
        <w:rPr>
          <w:szCs w:val="24"/>
        </w:rPr>
        <w:t>to setting down for hearing</w:t>
      </w:r>
      <w:r w:rsidRPr="002A6103">
        <w:rPr>
          <w:szCs w:val="24"/>
        </w:rPr>
        <w:t>s and hearings</w:t>
      </w:r>
      <w:r>
        <w:rPr>
          <w:szCs w:val="24"/>
        </w:rPr>
        <w:t xml:space="preserve"> before a judge of a Family Court, judge of the Federal Circuit Court of Australia or a magistrate.</w:t>
      </w:r>
    </w:p>
    <w:p w:rsidR="00714A1D" w:rsidRPr="00CA1A3B" w:rsidRDefault="00714A1D" w:rsidP="00714A1D">
      <w:pPr>
        <w:ind w:right="91"/>
        <w:rPr>
          <w:bCs/>
          <w:iCs/>
          <w:szCs w:val="24"/>
        </w:rPr>
      </w:pPr>
      <w:r>
        <w:rPr>
          <w:szCs w:val="24"/>
        </w:rPr>
        <w:t xml:space="preserve">This item will also delete Note 2 to Schedule 1 – Fees ‘Magistrate includes a Judge of the Federal Circuit Court (see the definition of </w:t>
      </w:r>
      <w:r>
        <w:rPr>
          <w:i/>
          <w:szCs w:val="24"/>
        </w:rPr>
        <w:t>magistrate</w:t>
      </w:r>
      <w:r>
        <w:rPr>
          <w:szCs w:val="24"/>
        </w:rPr>
        <w:t xml:space="preserve"> in section 1.03), as it is no longer necessary.</w:t>
      </w:r>
    </w:p>
    <w:p w:rsidR="00930FA8" w:rsidRDefault="00930FA8" w:rsidP="00C532D0">
      <w:pPr>
        <w:keepNext/>
        <w:ind w:right="91"/>
        <w:rPr>
          <w:b/>
          <w:bCs/>
          <w:szCs w:val="24"/>
          <w:u w:val="single"/>
        </w:rPr>
      </w:pPr>
      <w:r w:rsidRPr="001E1092">
        <w:rPr>
          <w:b/>
          <w:bCs/>
          <w:szCs w:val="24"/>
          <w:u w:val="single"/>
        </w:rPr>
        <w:t>Part 2 – Application of amendments</w:t>
      </w:r>
    </w:p>
    <w:p w:rsidR="00930FA8" w:rsidRPr="008D5EBB" w:rsidRDefault="00930FA8" w:rsidP="00C532D0">
      <w:pPr>
        <w:keepNext/>
        <w:ind w:right="91"/>
        <w:rPr>
          <w:noProof/>
          <w:szCs w:val="24"/>
          <w:highlight w:val="yellow"/>
          <w:lang w:eastAsia="en-US"/>
        </w:rPr>
      </w:pPr>
      <w:r>
        <w:rPr>
          <w:i/>
          <w:noProof/>
          <w:szCs w:val="24"/>
          <w:lang w:eastAsia="en-US"/>
        </w:rPr>
        <w:t>Family Law (Fees) Regulation 2012</w:t>
      </w:r>
    </w:p>
    <w:p w:rsidR="00930FA8" w:rsidRDefault="00930FA8" w:rsidP="00930FA8">
      <w:pPr>
        <w:ind w:right="91"/>
        <w:rPr>
          <w:b/>
          <w:szCs w:val="24"/>
        </w:rPr>
      </w:pPr>
      <w:r>
        <w:rPr>
          <w:b/>
          <w:szCs w:val="24"/>
        </w:rPr>
        <w:t>Item [</w:t>
      </w:r>
      <w:r w:rsidR="00DC15A0">
        <w:rPr>
          <w:b/>
          <w:szCs w:val="24"/>
        </w:rPr>
        <w:t>8</w:t>
      </w:r>
      <w:r>
        <w:rPr>
          <w:b/>
          <w:szCs w:val="24"/>
        </w:rPr>
        <w:t>] – After Part 2</w:t>
      </w:r>
    </w:p>
    <w:p w:rsidR="002F0B70" w:rsidRPr="00051774" w:rsidRDefault="00191D5A" w:rsidP="00930FA8">
      <w:pPr>
        <w:ind w:right="91"/>
        <w:rPr>
          <w:bCs/>
          <w:szCs w:val="24"/>
        </w:rPr>
      </w:pPr>
      <w:r w:rsidRPr="00051774">
        <w:rPr>
          <w:bCs/>
          <w:szCs w:val="24"/>
        </w:rPr>
        <w:t>This item will provide that the Regulation will apply to fees for documents filed or services on or after 1 J</w:t>
      </w:r>
      <w:r w:rsidR="009D03DA" w:rsidRPr="00051774">
        <w:rPr>
          <w:bCs/>
          <w:szCs w:val="24"/>
        </w:rPr>
        <w:t>ul</w:t>
      </w:r>
      <w:r w:rsidRPr="00051774">
        <w:rPr>
          <w:bCs/>
          <w:szCs w:val="24"/>
        </w:rPr>
        <w:t>y 2015 in the Family Court of Australia and Fede</w:t>
      </w:r>
      <w:r w:rsidR="00051774">
        <w:rPr>
          <w:bCs/>
          <w:szCs w:val="24"/>
        </w:rPr>
        <w:t>ral Circuit Court of Australia.</w:t>
      </w:r>
    </w:p>
    <w:sectPr w:rsidR="002F0B70" w:rsidRPr="00051774" w:rsidSect="008055C0">
      <w:headerReference w:type="default" r:id="rId9"/>
      <w:footerReference w:type="default" r:id="rId1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67D" w:rsidRDefault="0073167D" w:rsidP="00BB2981">
      <w:pPr>
        <w:spacing w:before="0"/>
      </w:pPr>
      <w:r>
        <w:separator/>
      </w:r>
    </w:p>
  </w:endnote>
  <w:endnote w:type="continuationSeparator" w:id="0">
    <w:p w:rsidR="0073167D" w:rsidRDefault="0073167D" w:rsidP="00BB29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429879"/>
      <w:docPartObj>
        <w:docPartGallery w:val="Page Numbers (Bottom of Page)"/>
        <w:docPartUnique/>
      </w:docPartObj>
    </w:sdtPr>
    <w:sdtEndPr>
      <w:rPr>
        <w:noProof/>
      </w:rPr>
    </w:sdtEndPr>
    <w:sdtContent>
      <w:p w:rsidR="0073167D" w:rsidRDefault="0073167D">
        <w:pPr>
          <w:pStyle w:val="Footer"/>
          <w:jc w:val="center"/>
        </w:pPr>
        <w:r>
          <w:fldChar w:fldCharType="begin"/>
        </w:r>
        <w:r>
          <w:instrText xml:space="preserve"> PAGE   \* MERGEFORMAT </w:instrText>
        </w:r>
        <w:r>
          <w:fldChar w:fldCharType="separate"/>
        </w:r>
        <w:r w:rsidR="00D65032">
          <w:rPr>
            <w:noProof/>
          </w:rPr>
          <w:t>10</w:t>
        </w:r>
        <w:r>
          <w:rPr>
            <w:noProof/>
          </w:rPr>
          <w:fldChar w:fldCharType="end"/>
        </w:r>
      </w:p>
    </w:sdtContent>
  </w:sdt>
  <w:p w:rsidR="0073167D" w:rsidRDefault="00731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67D" w:rsidRDefault="0073167D" w:rsidP="00BB2981">
      <w:pPr>
        <w:spacing w:before="0"/>
      </w:pPr>
      <w:r>
        <w:separator/>
      </w:r>
    </w:p>
  </w:footnote>
  <w:footnote w:type="continuationSeparator" w:id="0">
    <w:p w:rsidR="0073167D" w:rsidRDefault="0073167D" w:rsidP="00BB298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7D" w:rsidRDefault="0073167D">
    <w:pPr>
      <w:pStyle w:val="Header"/>
      <w:jc w:val="center"/>
    </w:pPr>
  </w:p>
  <w:p w:rsidR="0073167D" w:rsidRDefault="00731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A3589"/>
    <w:multiLevelType w:val="hybridMultilevel"/>
    <w:tmpl w:val="F8207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4D26B2A"/>
    <w:multiLevelType w:val="hybridMultilevel"/>
    <w:tmpl w:val="CE7AA398"/>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B63822"/>
    <w:multiLevelType w:val="hybridMultilevel"/>
    <w:tmpl w:val="2752D0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727E2B"/>
    <w:multiLevelType w:val="hybridMultilevel"/>
    <w:tmpl w:val="44C00268"/>
    <w:lvl w:ilvl="0" w:tplc="5D783ABA">
      <w:start w:val="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4B15E7"/>
    <w:multiLevelType w:val="hybridMultilevel"/>
    <w:tmpl w:val="C5EC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5C0C95"/>
    <w:multiLevelType w:val="hybridMultilevel"/>
    <w:tmpl w:val="CE02A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A3C603C"/>
    <w:multiLevelType w:val="hybridMultilevel"/>
    <w:tmpl w:val="5A04D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A83428D"/>
    <w:multiLevelType w:val="hybridMultilevel"/>
    <w:tmpl w:val="B4BC2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E817A0A"/>
    <w:multiLevelType w:val="hybridMultilevel"/>
    <w:tmpl w:val="29087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18E0BAB"/>
    <w:multiLevelType w:val="hybridMultilevel"/>
    <w:tmpl w:val="8E944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30334C"/>
    <w:multiLevelType w:val="hybridMultilevel"/>
    <w:tmpl w:val="46C2C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5EB2F66"/>
    <w:multiLevelType w:val="hybridMultilevel"/>
    <w:tmpl w:val="0BA4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FDF1AF2"/>
    <w:multiLevelType w:val="hybridMultilevel"/>
    <w:tmpl w:val="EA82F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97673F2"/>
    <w:multiLevelType w:val="hybridMultilevel"/>
    <w:tmpl w:val="9BD83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0"/>
  </w:num>
  <w:num w:numId="5">
    <w:abstractNumId w:val="11"/>
  </w:num>
  <w:num w:numId="6">
    <w:abstractNumId w:val="12"/>
  </w:num>
  <w:num w:numId="7">
    <w:abstractNumId w:val="4"/>
  </w:num>
  <w:num w:numId="8">
    <w:abstractNumId w:val="13"/>
  </w:num>
  <w:num w:numId="9">
    <w:abstractNumId w:val="1"/>
  </w:num>
  <w:num w:numId="10">
    <w:abstractNumId w:val="2"/>
  </w:num>
  <w:num w:numId="11">
    <w:abstractNumId w:val="6"/>
  </w:num>
  <w:num w:numId="12">
    <w:abstractNumId w:val="9"/>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5A"/>
    <w:rsid w:val="00005151"/>
    <w:rsid w:val="00011254"/>
    <w:rsid w:val="0001279C"/>
    <w:rsid w:val="00012AE2"/>
    <w:rsid w:val="00014EAE"/>
    <w:rsid w:val="000319F9"/>
    <w:rsid w:val="00051774"/>
    <w:rsid w:val="00053962"/>
    <w:rsid w:val="00053B35"/>
    <w:rsid w:val="00064F3D"/>
    <w:rsid w:val="00070E08"/>
    <w:rsid w:val="00073DC9"/>
    <w:rsid w:val="00084019"/>
    <w:rsid w:val="000919E0"/>
    <w:rsid w:val="000940EF"/>
    <w:rsid w:val="000951C8"/>
    <w:rsid w:val="00097A17"/>
    <w:rsid w:val="000A4D0A"/>
    <w:rsid w:val="000A5F5C"/>
    <w:rsid w:val="000B1A70"/>
    <w:rsid w:val="000B6268"/>
    <w:rsid w:val="000C68CD"/>
    <w:rsid w:val="000C7FB9"/>
    <w:rsid w:val="000E0142"/>
    <w:rsid w:val="000F186A"/>
    <w:rsid w:val="0010136B"/>
    <w:rsid w:val="00107ECD"/>
    <w:rsid w:val="00115055"/>
    <w:rsid w:val="00123524"/>
    <w:rsid w:val="00124F3E"/>
    <w:rsid w:val="00143749"/>
    <w:rsid w:val="00146F5D"/>
    <w:rsid w:val="00147E7E"/>
    <w:rsid w:val="00157208"/>
    <w:rsid w:val="00162CA9"/>
    <w:rsid w:val="001668BB"/>
    <w:rsid w:val="001718EB"/>
    <w:rsid w:val="001723A0"/>
    <w:rsid w:val="00173480"/>
    <w:rsid w:val="00187C07"/>
    <w:rsid w:val="00191D5A"/>
    <w:rsid w:val="001931DC"/>
    <w:rsid w:val="001A0A89"/>
    <w:rsid w:val="001A699E"/>
    <w:rsid w:val="001A6F28"/>
    <w:rsid w:val="001B052B"/>
    <w:rsid w:val="001C0C88"/>
    <w:rsid w:val="001D3EDD"/>
    <w:rsid w:val="001D5EFC"/>
    <w:rsid w:val="001E247A"/>
    <w:rsid w:val="001E2CF6"/>
    <w:rsid w:val="001E637C"/>
    <w:rsid w:val="001F510D"/>
    <w:rsid w:val="002058AD"/>
    <w:rsid w:val="00212DB2"/>
    <w:rsid w:val="0021395E"/>
    <w:rsid w:val="00214CFE"/>
    <w:rsid w:val="002312B7"/>
    <w:rsid w:val="00235B03"/>
    <w:rsid w:val="002365C6"/>
    <w:rsid w:val="00241E23"/>
    <w:rsid w:val="00245650"/>
    <w:rsid w:val="00246859"/>
    <w:rsid w:val="00255007"/>
    <w:rsid w:val="00257822"/>
    <w:rsid w:val="00275998"/>
    <w:rsid w:val="00280098"/>
    <w:rsid w:val="0028118D"/>
    <w:rsid w:val="00284B98"/>
    <w:rsid w:val="00286F52"/>
    <w:rsid w:val="00291FC4"/>
    <w:rsid w:val="002A7CFC"/>
    <w:rsid w:val="002B487E"/>
    <w:rsid w:val="002B7367"/>
    <w:rsid w:val="002C328A"/>
    <w:rsid w:val="002D0A38"/>
    <w:rsid w:val="002F0B70"/>
    <w:rsid w:val="002F1E45"/>
    <w:rsid w:val="00316B5F"/>
    <w:rsid w:val="00320C97"/>
    <w:rsid w:val="00323447"/>
    <w:rsid w:val="00337C35"/>
    <w:rsid w:val="003531AC"/>
    <w:rsid w:val="003536A4"/>
    <w:rsid w:val="003662B9"/>
    <w:rsid w:val="00380123"/>
    <w:rsid w:val="00380C16"/>
    <w:rsid w:val="00394970"/>
    <w:rsid w:val="00396495"/>
    <w:rsid w:val="003A294B"/>
    <w:rsid w:val="003A52E6"/>
    <w:rsid w:val="003B1F26"/>
    <w:rsid w:val="003B64A4"/>
    <w:rsid w:val="003B74DD"/>
    <w:rsid w:val="003E06B4"/>
    <w:rsid w:val="003E6A57"/>
    <w:rsid w:val="003F18BC"/>
    <w:rsid w:val="003F33A7"/>
    <w:rsid w:val="003F6CF8"/>
    <w:rsid w:val="0040239E"/>
    <w:rsid w:val="00403A95"/>
    <w:rsid w:val="00404BF3"/>
    <w:rsid w:val="00407AD7"/>
    <w:rsid w:val="00411004"/>
    <w:rsid w:val="004126FE"/>
    <w:rsid w:val="0041430F"/>
    <w:rsid w:val="00416B48"/>
    <w:rsid w:val="00422A87"/>
    <w:rsid w:val="004371E2"/>
    <w:rsid w:val="004376BE"/>
    <w:rsid w:val="00437892"/>
    <w:rsid w:val="00446E0D"/>
    <w:rsid w:val="00446E5D"/>
    <w:rsid w:val="00454F36"/>
    <w:rsid w:val="00454FA2"/>
    <w:rsid w:val="00465E50"/>
    <w:rsid w:val="00466865"/>
    <w:rsid w:val="00473768"/>
    <w:rsid w:val="00473B92"/>
    <w:rsid w:val="004757BF"/>
    <w:rsid w:val="004905F0"/>
    <w:rsid w:val="004A12A8"/>
    <w:rsid w:val="004A6340"/>
    <w:rsid w:val="004B30C1"/>
    <w:rsid w:val="004B414F"/>
    <w:rsid w:val="004C394B"/>
    <w:rsid w:val="004C78CE"/>
    <w:rsid w:val="004E24F2"/>
    <w:rsid w:val="004E61DD"/>
    <w:rsid w:val="004F02DE"/>
    <w:rsid w:val="00506B62"/>
    <w:rsid w:val="00507AD6"/>
    <w:rsid w:val="00522F0B"/>
    <w:rsid w:val="0053332A"/>
    <w:rsid w:val="00563695"/>
    <w:rsid w:val="0057514C"/>
    <w:rsid w:val="005755AC"/>
    <w:rsid w:val="005756AF"/>
    <w:rsid w:val="0058532F"/>
    <w:rsid w:val="00592E36"/>
    <w:rsid w:val="00594B5F"/>
    <w:rsid w:val="005A7516"/>
    <w:rsid w:val="005B2E96"/>
    <w:rsid w:val="005C5559"/>
    <w:rsid w:val="005C7621"/>
    <w:rsid w:val="005E0151"/>
    <w:rsid w:val="006034E5"/>
    <w:rsid w:val="00614ECD"/>
    <w:rsid w:val="006317D2"/>
    <w:rsid w:val="00633FDD"/>
    <w:rsid w:val="006407E3"/>
    <w:rsid w:val="00642309"/>
    <w:rsid w:val="006548FD"/>
    <w:rsid w:val="00660D09"/>
    <w:rsid w:val="00665B83"/>
    <w:rsid w:val="00673BB7"/>
    <w:rsid w:val="0068416C"/>
    <w:rsid w:val="00685273"/>
    <w:rsid w:val="0068570E"/>
    <w:rsid w:val="00694A5A"/>
    <w:rsid w:val="006B1F73"/>
    <w:rsid w:val="006B6288"/>
    <w:rsid w:val="006C18A9"/>
    <w:rsid w:val="006E0B8A"/>
    <w:rsid w:val="006E4F16"/>
    <w:rsid w:val="006F3D4F"/>
    <w:rsid w:val="006F6F56"/>
    <w:rsid w:val="00702062"/>
    <w:rsid w:val="00702429"/>
    <w:rsid w:val="00714A1D"/>
    <w:rsid w:val="00720A54"/>
    <w:rsid w:val="00721495"/>
    <w:rsid w:val="00723BA2"/>
    <w:rsid w:val="00723CB4"/>
    <w:rsid w:val="007314C7"/>
    <w:rsid w:val="0073167D"/>
    <w:rsid w:val="00753AB6"/>
    <w:rsid w:val="0075697C"/>
    <w:rsid w:val="007615BF"/>
    <w:rsid w:val="00771544"/>
    <w:rsid w:val="0077486E"/>
    <w:rsid w:val="00775079"/>
    <w:rsid w:val="0078664E"/>
    <w:rsid w:val="007B6B5D"/>
    <w:rsid w:val="007C0A8C"/>
    <w:rsid w:val="007C4CCB"/>
    <w:rsid w:val="007C7B52"/>
    <w:rsid w:val="007D11FD"/>
    <w:rsid w:val="007D231A"/>
    <w:rsid w:val="007D5308"/>
    <w:rsid w:val="007D55D2"/>
    <w:rsid w:val="007D5D2B"/>
    <w:rsid w:val="007D6EA6"/>
    <w:rsid w:val="007E45E7"/>
    <w:rsid w:val="007F002D"/>
    <w:rsid w:val="007F0E34"/>
    <w:rsid w:val="007F10B8"/>
    <w:rsid w:val="007F2248"/>
    <w:rsid w:val="007F7F46"/>
    <w:rsid w:val="00805554"/>
    <w:rsid w:val="008055C0"/>
    <w:rsid w:val="0081379F"/>
    <w:rsid w:val="00821E7D"/>
    <w:rsid w:val="00824ACF"/>
    <w:rsid w:val="008319AD"/>
    <w:rsid w:val="00844001"/>
    <w:rsid w:val="0084758D"/>
    <w:rsid w:val="0085663B"/>
    <w:rsid w:val="00860161"/>
    <w:rsid w:val="00865998"/>
    <w:rsid w:val="00867334"/>
    <w:rsid w:val="008759D0"/>
    <w:rsid w:val="00892F31"/>
    <w:rsid w:val="008A2B6C"/>
    <w:rsid w:val="008C1B29"/>
    <w:rsid w:val="008C2AE4"/>
    <w:rsid w:val="008C74B6"/>
    <w:rsid w:val="008E2C7A"/>
    <w:rsid w:val="008F198F"/>
    <w:rsid w:val="008F3C75"/>
    <w:rsid w:val="008F3FDE"/>
    <w:rsid w:val="008F4C54"/>
    <w:rsid w:val="008F579C"/>
    <w:rsid w:val="00907237"/>
    <w:rsid w:val="009115F2"/>
    <w:rsid w:val="00915222"/>
    <w:rsid w:val="009218C9"/>
    <w:rsid w:val="00922D83"/>
    <w:rsid w:val="009244E7"/>
    <w:rsid w:val="00925609"/>
    <w:rsid w:val="00930FA8"/>
    <w:rsid w:val="009314F6"/>
    <w:rsid w:val="00932B00"/>
    <w:rsid w:val="00934941"/>
    <w:rsid w:val="00957759"/>
    <w:rsid w:val="00971B01"/>
    <w:rsid w:val="009815DB"/>
    <w:rsid w:val="009A36AB"/>
    <w:rsid w:val="009B11CB"/>
    <w:rsid w:val="009B6E77"/>
    <w:rsid w:val="009C1113"/>
    <w:rsid w:val="009D00B2"/>
    <w:rsid w:val="009D03DA"/>
    <w:rsid w:val="009E7CF3"/>
    <w:rsid w:val="009F13BE"/>
    <w:rsid w:val="009F1FDA"/>
    <w:rsid w:val="00A027EF"/>
    <w:rsid w:val="00A23E5C"/>
    <w:rsid w:val="00A322F3"/>
    <w:rsid w:val="00A35CCC"/>
    <w:rsid w:val="00A458D6"/>
    <w:rsid w:val="00A53B16"/>
    <w:rsid w:val="00A621F8"/>
    <w:rsid w:val="00A76566"/>
    <w:rsid w:val="00A77944"/>
    <w:rsid w:val="00A907CD"/>
    <w:rsid w:val="00A92E9B"/>
    <w:rsid w:val="00AA16FE"/>
    <w:rsid w:val="00AC32C2"/>
    <w:rsid w:val="00AC3FFF"/>
    <w:rsid w:val="00AC6260"/>
    <w:rsid w:val="00AC72A3"/>
    <w:rsid w:val="00AC7727"/>
    <w:rsid w:val="00AD1969"/>
    <w:rsid w:val="00AD4175"/>
    <w:rsid w:val="00AE0AC0"/>
    <w:rsid w:val="00AF2A53"/>
    <w:rsid w:val="00AF3239"/>
    <w:rsid w:val="00AF32AA"/>
    <w:rsid w:val="00AF6B98"/>
    <w:rsid w:val="00B006A0"/>
    <w:rsid w:val="00B0567A"/>
    <w:rsid w:val="00B14F1C"/>
    <w:rsid w:val="00B16F7D"/>
    <w:rsid w:val="00B24711"/>
    <w:rsid w:val="00B362D4"/>
    <w:rsid w:val="00B3793A"/>
    <w:rsid w:val="00B471B9"/>
    <w:rsid w:val="00B57F5A"/>
    <w:rsid w:val="00B62AD4"/>
    <w:rsid w:val="00B76F4D"/>
    <w:rsid w:val="00B83F31"/>
    <w:rsid w:val="00B87538"/>
    <w:rsid w:val="00B936F1"/>
    <w:rsid w:val="00B93879"/>
    <w:rsid w:val="00B952F7"/>
    <w:rsid w:val="00BA0866"/>
    <w:rsid w:val="00BA3886"/>
    <w:rsid w:val="00BB2981"/>
    <w:rsid w:val="00BB567F"/>
    <w:rsid w:val="00BB790C"/>
    <w:rsid w:val="00BC07B9"/>
    <w:rsid w:val="00BC1C31"/>
    <w:rsid w:val="00BC77DB"/>
    <w:rsid w:val="00BD28D9"/>
    <w:rsid w:val="00BD5D49"/>
    <w:rsid w:val="00BF46ED"/>
    <w:rsid w:val="00BF5912"/>
    <w:rsid w:val="00BF7CEE"/>
    <w:rsid w:val="00C1162A"/>
    <w:rsid w:val="00C12D6B"/>
    <w:rsid w:val="00C156C3"/>
    <w:rsid w:val="00C1572A"/>
    <w:rsid w:val="00C20ABE"/>
    <w:rsid w:val="00C30886"/>
    <w:rsid w:val="00C33A6F"/>
    <w:rsid w:val="00C34C82"/>
    <w:rsid w:val="00C434F5"/>
    <w:rsid w:val="00C532D0"/>
    <w:rsid w:val="00C7035A"/>
    <w:rsid w:val="00C724BA"/>
    <w:rsid w:val="00C836E3"/>
    <w:rsid w:val="00C86049"/>
    <w:rsid w:val="00C90628"/>
    <w:rsid w:val="00C95BF6"/>
    <w:rsid w:val="00CA37F1"/>
    <w:rsid w:val="00CA3E4E"/>
    <w:rsid w:val="00CB0C90"/>
    <w:rsid w:val="00CE28D7"/>
    <w:rsid w:val="00CE2B02"/>
    <w:rsid w:val="00CE5A8C"/>
    <w:rsid w:val="00CE7448"/>
    <w:rsid w:val="00CF0F2C"/>
    <w:rsid w:val="00CF52F0"/>
    <w:rsid w:val="00CF6C9C"/>
    <w:rsid w:val="00CF7AD1"/>
    <w:rsid w:val="00D033F6"/>
    <w:rsid w:val="00D04199"/>
    <w:rsid w:val="00D0478C"/>
    <w:rsid w:val="00D16A5C"/>
    <w:rsid w:val="00D21134"/>
    <w:rsid w:val="00D23C5B"/>
    <w:rsid w:val="00D30FC3"/>
    <w:rsid w:val="00D31187"/>
    <w:rsid w:val="00D36085"/>
    <w:rsid w:val="00D37117"/>
    <w:rsid w:val="00D434BD"/>
    <w:rsid w:val="00D43B92"/>
    <w:rsid w:val="00D4413A"/>
    <w:rsid w:val="00D533CB"/>
    <w:rsid w:val="00D56238"/>
    <w:rsid w:val="00D63ABB"/>
    <w:rsid w:val="00D6461F"/>
    <w:rsid w:val="00D65032"/>
    <w:rsid w:val="00D82F2D"/>
    <w:rsid w:val="00D93FC4"/>
    <w:rsid w:val="00D9597B"/>
    <w:rsid w:val="00DA6A75"/>
    <w:rsid w:val="00DB34EC"/>
    <w:rsid w:val="00DB424B"/>
    <w:rsid w:val="00DC15A0"/>
    <w:rsid w:val="00DC4D15"/>
    <w:rsid w:val="00DD05D9"/>
    <w:rsid w:val="00E01E66"/>
    <w:rsid w:val="00E03AE7"/>
    <w:rsid w:val="00E04013"/>
    <w:rsid w:val="00E06E8F"/>
    <w:rsid w:val="00E10FD0"/>
    <w:rsid w:val="00E11EC8"/>
    <w:rsid w:val="00E17C8B"/>
    <w:rsid w:val="00E17D4B"/>
    <w:rsid w:val="00E2237A"/>
    <w:rsid w:val="00E27233"/>
    <w:rsid w:val="00E3604E"/>
    <w:rsid w:val="00E37AFC"/>
    <w:rsid w:val="00E37FDA"/>
    <w:rsid w:val="00E51C25"/>
    <w:rsid w:val="00E57B05"/>
    <w:rsid w:val="00E63F6B"/>
    <w:rsid w:val="00E6709B"/>
    <w:rsid w:val="00E83183"/>
    <w:rsid w:val="00E84F54"/>
    <w:rsid w:val="00E91C83"/>
    <w:rsid w:val="00E92089"/>
    <w:rsid w:val="00EA3EA3"/>
    <w:rsid w:val="00EA475D"/>
    <w:rsid w:val="00EB46DE"/>
    <w:rsid w:val="00EB5299"/>
    <w:rsid w:val="00EB7BF6"/>
    <w:rsid w:val="00ED3789"/>
    <w:rsid w:val="00EF51AD"/>
    <w:rsid w:val="00F0031C"/>
    <w:rsid w:val="00F05928"/>
    <w:rsid w:val="00F07150"/>
    <w:rsid w:val="00F10003"/>
    <w:rsid w:val="00F146A3"/>
    <w:rsid w:val="00F179E7"/>
    <w:rsid w:val="00F17E8D"/>
    <w:rsid w:val="00F21EA0"/>
    <w:rsid w:val="00F2210A"/>
    <w:rsid w:val="00F222A1"/>
    <w:rsid w:val="00F24929"/>
    <w:rsid w:val="00F3229C"/>
    <w:rsid w:val="00F4124D"/>
    <w:rsid w:val="00F43C9B"/>
    <w:rsid w:val="00F44727"/>
    <w:rsid w:val="00F45BB4"/>
    <w:rsid w:val="00F46A79"/>
    <w:rsid w:val="00F606B5"/>
    <w:rsid w:val="00F60D4C"/>
    <w:rsid w:val="00F6142E"/>
    <w:rsid w:val="00F8307C"/>
    <w:rsid w:val="00F8496A"/>
    <w:rsid w:val="00F94C73"/>
    <w:rsid w:val="00FB6BB1"/>
    <w:rsid w:val="00FC43B4"/>
    <w:rsid w:val="00FC5A00"/>
    <w:rsid w:val="00FD0DE3"/>
    <w:rsid w:val="00FE2CE2"/>
    <w:rsid w:val="00FE5D11"/>
    <w:rsid w:val="00FF15EF"/>
    <w:rsid w:val="00FF1EDB"/>
    <w:rsid w:val="00FF2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5A"/>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semiHidden/>
    <w:unhideWhenUsed/>
    <w:qFormat/>
    <w:rsid w:val="00694A5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94A5A"/>
    <w:rPr>
      <w:rFonts w:ascii="Times New Roman" w:eastAsia="Times New Roman" w:hAnsi="Times New Roman" w:cs="Times New Roman"/>
      <w:sz w:val="24"/>
      <w:szCs w:val="20"/>
      <w:u w:val="single"/>
      <w:lang w:eastAsia="en-AU"/>
    </w:rPr>
  </w:style>
  <w:style w:type="paragraph" w:customStyle="1" w:styleId="Paragraph">
    <w:name w:val="Paragraph"/>
    <w:basedOn w:val="Normal"/>
    <w:rsid w:val="00694A5A"/>
    <w:pPr>
      <w:numPr>
        <w:ilvl w:val="12"/>
      </w:numPr>
    </w:pPr>
  </w:style>
  <w:style w:type="paragraph" w:styleId="ListParagraph">
    <w:name w:val="List Paragraph"/>
    <w:basedOn w:val="Normal"/>
    <w:uiPriority w:val="34"/>
    <w:qFormat/>
    <w:rsid w:val="00EB7BF6"/>
    <w:pPr>
      <w:ind w:left="720"/>
      <w:contextualSpacing/>
    </w:pPr>
  </w:style>
  <w:style w:type="paragraph" w:styleId="BalloonText">
    <w:name w:val="Balloon Text"/>
    <w:basedOn w:val="Normal"/>
    <w:link w:val="BalloonTextChar"/>
    <w:uiPriority w:val="99"/>
    <w:semiHidden/>
    <w:unhideWhenUsed/>
    <w:rsid w:val="0058532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32F"/>
    <w:rPr>
      <w:rFonts w:ascii="Tahoma" w:eastAsia="Times New Roman" w:hAnsi="Tahoma" w:cs="Tahoma"/>
      <w:sz w:val="16"/>
      <w:szCs w:val="16"/>
      <w:lang w:eastAsia="en-AU"/>
    </w:rPr>
  </w:style>
  <w:style w:type="paragraph" w:styleId="Header">
    <w:name w:val="header"/>
    <w:basedOn w:val="Normal"/>
    <w:link w:val="HeaderChar"/>
    <w:uiPriority w:val="99"/>
    <w:unhideWhenUsed/>
    <w:rsid w:val="00BB2981"/>
    <w:pPr>
      <w:tabs>
        <w:tab w:val="center" w:pos="4513"/>
        <w:tab w:val="right" w:pos="9026"/>
      </w:tabs>
      <w:spacing w:before="0"/>
    </w:pPr>
  </w:style>
  <w:style w:type="character" w:customStyle="1" w:styleId="HeaderChar">
    <w:name w:val="Header Char"/>
    <w:basedOn w:val="DefaultParagraphFont"/>
    <w:link w:val="Header"/>
    <w:uiPriority w:val="99"/>
    <w:rsid w:val="00BB298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B2981"/>
    <w:pPr>
      <w:tabs>
        <w:tab w:val="center" w:pos="4513"/>
        <w:tab w:val="right" w:pos="9026"/>
      </w:tabs>
      <w:spacing w:before="0"/>
    </w:pPr>
  </w:style>
  <w:style w:type="character" w:customStyle="1" w:styleId="FooterChar">
    <w:name w:val="Footer Char"/>
    <w:basedOn w:val="DefaultParagraphFont"/>
    <w:link w:val="Footer"/>
    <w:uiPriority w:val="99"/>
    <w:rsid w:val="00BB2981"/>
    <w:rPr>
      <w:rFonts w:ascii="Times New Roman" w:eastAsia="Times New Roman" w:hAnsi="Times New Roman" w:cs="Times New Roman"/>
      <w:sz w:val="24"/>
      <w:szCs w:val="20"/>
      <w:lang w:eastAsia="en-AU"/>
    </w:rPr>
  </w:style>
  <w:style w:type="paragraph" w:customStyle="1" w:styleId="emtextprelim">
    <w:name w:val="emtextprelim"/>
    <w:basedOn w:val="Normal"/>
    <w:rsid w:val="00115055"/>
    <w:pPr>
      <w:spacing w:before="100" w:beforeAutospacing="1" w:after="100" w:afterAutospacing="1"/>
    </w:pPr>
    <w:rPr>
      <w:szCs w:val="24"/>
    </w:rPr>
  </w:style>
  <w:style w:type="paragraph" w:customStyle="1" w:styleId="Default">
    <w:name w:val="Default"/>
    <w:rsid w:val="004C394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06B62"/>
    <w:rPr>
      <w:sz w:val="16"/>
      <w:szCs w:val="16"/>
    </w:rPr>
  </w:style>
  <w:style w:type="paragraph" w:styleId="CommentText">
    <w:name w:val="annotation text"/>
    <w:basedOn w:val="Normal"/>
    <w:link w:val="CommentTextChar"/>
    <w:uiPriority w:val="99"/>
    <w:semiHidden/>
    <w:unhideWhenUsed/>
    <w:rsid w:val="00506B62"/>
    <w:rPr>
      <w:sz w:val="20"/>
    </w:rPr>
  </w:style>
  <w:style w:type="character" w:customStyle="1" w:styleId="CommentTextChar">
    <w:name w:val="Comment Text Char"/>
    <w:basedOn w:val="DefaultParagraphFont"/>
    <w:link w:val="CommentText"/>
    <w:uiPriority w:val="99"/>
    <w:semiHidden/>
    <w:rsid w:val="00506B6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06B62"/>
    <w:rPr>
      <w:b/>
      <w:bCs/>
    </w:rPr>
  </w:style>
  <w:style w:type="character" w:customStyle="1" w:styleId="CommentSubjectChar">
    <w:name w:val="Comment Subject Char"/>
    <w:basedOn w:val="CommentTextChar"/>
    <w:link w:val="CommentSubject"/>
    <w:uiPriority w:val="99"/>
    <w:semiHidden/>
    <w:rsid w:val="00506B62"/>
    <w:rPr>
      <w:rFonts w:ascii="Times New Roman" w:eastAsia="Times New Roman" w:hAnsi="Times New Roman" w:cs="Times New Roman"/>
      <w:b/>
      <w:bCs/>
      <w:sz w:val="20"/>
      <w:szCs w:val="20"/>
      <w:lang w:eastAsia="en-AU"/>
    </w:rPr>
  </w:style>
  <w:style w:type="paragraph" w:customStyle="1" w:styleId="subsection">
    <w:name w:val="subsection"/>
    <w:basedOn w:val="Normal"/>
    <w:rsid w:val="007B6B5D"/>
    <w:pPr>
      <w:spacing w:before="100" w:beforeAutospacing="1" w:after="100" w:afterAutospacing="1"/>
    </w:pPr>
    <w:rPr>
      <w:szCs w:val="24"/>
    </w:rPr>
  </w:style>
  <w:style w:type="paragraph" w:styleId="NormalWeb">
    <w:name w:val="Normal (Web)"/>
    <w:basedOn w:val="Normal"/>
    <w:uiPriority w:val="99"/>
    <w:unhideWhenUsed/>
    <w:rsid w:val="00A23E5C"/>
    <w:pPr>
      <w:spacing w:before="100" w:beforeAutospacing="1" w:after="100" w:afterAutospacing="1"/>
    </w:pPr>
    <w:rPr>
      <w:szCs w:val="24"/>
    </w:rPr>
  </w:style>
  <w:style w:type="character" w:customStyle="1" w:styleId="charamschtext">
    <w:name w:val="charamschtext"/>
    <w:basedOn w:val="DefaultParagraphFont"/>
    <w:rsid w:val="00A23E5C"/>
  </w:style>
  <w:style w:type="paragraph" w:customStyle="1" w:styleId="tabletext">
    <w:name w:val="tabletext"/>
    <w:basedOn w:val="Normal"/>
    <w:rsid w:val="00A23E5C"/>
    <w:pPr>
      <w:spacing w:before="100" w:beforeAutospacing="1" w:after="100" w:afterAutospacing="1"/>
    </w:pPr>
    <w:rPr>
      <w:szCs w:val="24"/>
    </w:rPr>
  </w:style>
  <w:style w:type="character" w:styleId="Hyperlink">
    <w:name w:val="Hyperlink"/>
    <w:basedOn w:val="DefaultParagraphFont"/>
    <w:uiPriority w:val="99"/>
    <w:unhideWhenUsed/>
    <w:rsid w:val="00A23E5C"/>
    <w:rPr>
      <w:color w:val="0000FF" w:themeColor="hyperlink"/>
      <w:u w:val="single"/>
    </w:rPr>
  </w:style>
  <w:style w:type="paragraph" w:customStyle="1" w:styleId="rc">
    <w:name w:val="rc"/>
    <w:basedOn w:val="Normal"/>
    <w:rsid w:val="00A23E5C"/>
    <w:pPr>
      <w:spacing w:before="100" w:beforeAutospacing="1" w:after="100" w:afterAutospacing="1"/>
    </w:pPr>
    <w:rPr>
      <w:szCs w:val="24"/>
    </w:rPr>
  </w:style>
  <w:style w:type="paragraph" w:customStyle="1" w:styleId="r1">
    <w:name w:val="r1"/>
    <w:basedOn w:val="Normal"/>
    <w:rsid w:val="00A23E5C"/>
    <w:pPr>
      <w:spacing w:before="100" w:beforeAutospacing="1" w:after="100" w:afterAutospacing="1"/>
    </w:pPr>
    <w:rPr>
      <w:szCs w:val="24"/>
    </w:rPr>
  </w:style>
  <w:style w:type="paragraph" w:customStyle="1" w:styleId="p1">
    <w:name w:val="p1"/>
    <w:basedOn w:val="Normal"/>
    <w:rsid w:val="00A23E5C"/>
    <w:pPr>
      <w:spacing w:before="100" w:beforeAutospacing="1" w:after="100" w:afterAutospacing="1"/>
    </w:pPr>
    <w:rPr>
      <w:szCs w:val="24"/>
    </w:rPr>
  </w:style>
  <w:style w:type="paragraph" w:customStyle="1" w:styleId="p2">
    <w:name w:val="p2"/>
    <w:basedOn w:val="Normal"/>
    <w:rsid w:val="00A23E5C"/>
    <w:pPr>
      <w:spacing w:before="100" w:beforeAutospacing="1" w:after="100" w:afterAutospacing="1"/>
    </w:pPr>
    <w:rPr>
      <w:szCs w:val="24"/>
    </w:rPr>
  </w:style>
  <w:style w:type="paragraph" w:customStyle="1" w:styleId="r2">
    <w:name w:val="r2"/>
    <w:basedOn w:val="Normal"/>
    <w:rsid w:val="00A23E5C"/>
    <w:pPr>
      <w:spacing w:before="100" w:beforeAutospacing="1" w:after="100" w:afterAutospacing="1"/>
    </w:pPr>
    <w:rPr>
      <w:szCs w:val="24"/>
    </w:rPr>
  </w:style>
  <w:style w:type="character" w:styleId="FollowedHyperlink">
    <w:name w:val="FollowedHyperlink"/>
    <w:basedOn w:val="DefaultParagraphFont"/>
    <w:uiPriority w:val="99"/>
    <w:semiHidden/>
    <w:unhideWhenUsed/>
    <w:rsid w:val="00A23E5C"/>
    <w:rPr>
      <w:color w:val="800080" w:themeColor="followedHyperlink"/>
      <w:u w:val="single"/>
    </w:rPr>
  </w:style>
  <w:style w:type="paragraph" w:customStyle="1" w:styleId="hr">
    <w:name w:val="hr"/>
    <w:basedOn w:val="Normal"/>
    <w:rsid w:val="00A23E5C"/>
    <w:pPr>
      <w:spacing w:before="100" w:beforeAutospacing="1" w:after="100" w:afterAutospacing="1"/>
    </w:pPr>
    <w:rPr>
      <w:szCs w:val="24"/>
    </w:rPr>
  </w:style>
  <w:style w:type="character" w:customStyle="1" w:styleId="charsectno">
    <w:name w:val="charsectno"/>
    <w:basedOn w:val="DefaultParagraphFont"/>
    <w:rsid w:val="00A23E5C"/>
  </w:style>
  <w:style w:type="paragraph" w:customStyle="1" w:styleId="note">
    <w:name w:val="note"/>
    <w:basedOn w:val="Normal"/>
    <w:rsid w:val="00A23E5C"/>
    <w:pPr>
      <w:spacing w:before="100" w:beforeAutospacing="1" w:after="100" w:afterAutospacing="1"/>
    </w:pPr>
    <w:rPr>
      <w:szCs w:val="24"/>
    </w:rPr>
  </w:style>
  <w:style w:type="paragraph" w:customStyle="1" w:styleId="zr1">
    <w:name w:val="zr1"/>
    <w:basedOn w:val="Normal"/>
    <w:rsid w:val="00A23E5C"/>
    <w:pPr>
      <w:spacing w:before="100" w:beforeAutospacing="1" w:after="100" w:afterAutospacing="1"/>
    </w:pPr>
    <w:rPr>
      <w:szCs w:val="24"/>
    </w:rPr>
  </w:style>
  <w:style w:type="paragraph" w:customStyle="1" w:styleId="zp1">
    <w:name w:val="zp1"/>
    <w:basedOn w:val="Normal"/>
    <w:rsid w:val="00A23E5C"/>
    <w:pPr>
      <w:spacing w:before="100" w:beforeAutospacing="1" w:after="100" w:afterAutospacing="1"/>
    </w:pPr>
    <w:rPr>
      <w:szCs w:val="24"/>
    </w:rPr>
  </w:style>
  <w:style w:type="paragraph" w:customStyle="1" w:styleId="zr2">
    <w:name w:val="zr2"/>
    <w:basedOn w:val="Normal"/>
    <w:rsid w:val="00A23E5C"/>
    <w:pPr>
      <w:spacing w:before="100" w:beforeAutospacing="1" w:after="100" w:afterAutospacing="1"/>
    </w:pPr>
    <w:rPr>
      <w:szCs w:val="24"/>
    </w:rPr>
  </w:style>
  <w:style w:type="paragraph" w:customStyle="1" w:styleId="tablecolhead">
    <w:name w:val="tablecolhead"/>
    <w:basedOn w:val="Normal"/>
    <w:rsid w:val="00A23E5C"/>
    <w:pPr>
      <w:spacing w:before="100" w:beforeAutospacing="1" w:after="100" w:afterAutospacing="1"/>
    </w:pPr>
    <w:rPr>
      <w:szCs w:val="24"/>
    </w:rPr>
  </w:style>
  <w:style w:type="paragraph" w:customStyle="1" w:styleId="paragraph0">
    <w:name w:val="paragraph"/>
    <w:aliases w:val="a"/>
    <w:basedOn w:val="Normal"/>
    <w:uiPriority w:val="99"/>
    <w:rsid w:val="00A23E5C"/>
    <w:pPr>
      <w:spacing w:before="100" w:beforeAutospacing="1" w:after="100" w:afterAutospacing="1"/>
    </w:pPr>
    <w:rPr>
      <w:szCs w:val="24"/>
    </w:rPr>
  </w:style>
  <w:style w:type="character" w:customStyle="1" w:styleId="charschpttext">
    <w:name w:val="charschpttext"/>
    <w:basedOn w:val="DefaultParagraphFont"/>
    <w:rsid w:val="00A23E5C"/>
  </w:style>
  <w:style w:type="paragraph" w:customStyle="1" w:styleId="hsr">
    <w:name w:val="hsr"/>
    <w:basedOn w:val="Normal"/>
    <w:rsid w:val="00A23E5C"/>
    <w:pPr>
      <w:spacing w:before="100" w:beforeAutospacing="1" w:after="100" w:afterAutospacing="1"/>
    </w:pPr>
    <w:rPr>
      <w:szCs w:val="24"/>
    </w:rPr>
  </w:style>
  <w:style w:type="paragraph" w:customStyle="1" w:styleId="schedulepara">
    <w:name w:val="schedulepara"/>
    <w:basedOn w:val="Normal"/>
    <w:rsid w:val="00A23E5C"/>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5A"/>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semiHidden/>
    <w:unhideWhenUsed/>
    <w:qFormat/>
    <w:rsid w:val="00694A5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94A5A"/>
    <w:rPr>
      <w:rFonts w:ascii="Times New Roman" w:eastAsia="Times New Roman" w:hAnsi="Times New Roman" w:cs="Times New Roman"/>
      <w:sz w:val="24"/>
      <w:szCs w:val="20"/>
      <w:u w:val="single"/>
      <w:lang w:eastAsia="en-AU"/>
    </w:rPr>
  </w:style>
  <w:style w:type="paragraph" w:customStyle="1" w:styleId="Paragraph">
    <w:name w:val="Paragraph"/>
    <w:basedOn w:val="Normal"/>
    <w:rsid w:val="00694A5A"/>
    <w:pPr>
      <w:numPr>
        <w:ilvl w:val="12"/>
      </w:numPr>
    </w:pPr>
  </w:style>
  <w:style w:type="paragraph" w:styleId="ListParagraph">
    <w:name w:val="List Paragraph"/>
    <w:basedOn w:val="Normal"/>
    <w:uiPriority w:val="34"/>
    <w:qFormat/>
    <w:rsid w:val="00EB7BF6"/>
    <w:pPr>
      <w:ind w:left="720"/>
      <w:contextualSpacing/>
    </w:pPr>
  </w:style>
  <w:style w:type="paragraph" w:styleId="BalloonText">
    <w:name w:val="Balloon Text"/>
    <w:basedOn w:val="Normal"/>
    <w:link w:val="BalloonTextChar"/>
    <w:uiPriority w:val="99"/>
    <w:semiHidden/>
    <w:unhideWhenUsed/>
    <w:rsid w:val="0058532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32F"/>
    <w:rPr>
      <w:rFonts w:ascii="Tahoma" w:eastAsia="Times New Roman" w:hAnsi="Tahoma" w:cs="Tahoma"/>
      <w:sz w:val="16"/>
      <w:szCs w:val="16"/>
      <w:lang w:eastAsia="en-AU"/>
    </w:rPr>
  </w:style>
  <w:style w:type="paragraph" w:styleId="Header">
    <w:name w:val="header"/>
    <w:basedOn w:val="Normal"/>
    <w:link w:val="HeaderChar"/>
    <w:uiPriority w:val="99"/>
    <w:unhideWhenUsed/>
    <w:rsid w:val="00BB2981"/>
    <w:pPr>
      <w:tabs>
        <w:tab w:val="center" w:pos="4513"/>
        <w:tab w:val="right" w:pos="9026"/>
      </w:tabs>
      <w:spacing w:before="0"/>
    </w:pPr>
  </w:style>
  <w:style w:type="character" w:customStyle="1" w:styleId="HeaderChar">
    <w:name w:val="Header Char"/>
    <w:basedOn w:val="DefaultParagraphFont"/>
    <w:link w:val="Header"/>
    <w:uiPriority w:val="99"/>
    <w:rsid w:val="00BB298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B2981"/>
    <w:pPr>
      <w:tabs>
        <w:tab w:val="center" w:pos="4513"/>
        <w:tab w:val="right" w:pos="9026"/>
      </w:tabs>
      <w:spacing w:before="0"/>
    </w:pPr>
  </w:style>
  <w:style w:type="character" w:customStyle="1" w:styleId="FooterChar">
    <w:name w:val="Footer Char"/>
    <w:basedOn w:val="DefaultParagraphFont"/>
    <w:link w:val="Footer"/>
    <w:uiPriority w:val="99"/>
    <w:rsid w:val="00BB2981"/>
    <w:rPr>
      <w:rFonts w:ascii="Times New Roman" w:eastAsia="Times New Roman" w:hAnsi="Times New Roman" w:cs="Times New Roman"/>
      <w:sz w:val="24"/>
      <w:szCs w:val="20"/>
      <w:lang w:eastAsia="en-AU"/>
    </w:rPr>
  </w:style>
  <w:style w:type="paragraph" w:customStyle="1" w:styleId="emtextprelim">
    <w:name w:val="emtextprelim"/>
    <w:basedOn w:val="Normal"/>
    <w:rsid w:val="00115055"/>
    <w:pPr>
      <w:spacing w:before="100" w:beforeAutospacing="1" w:after="100" w:afterAutospacing="1"/>
    </w:pPr>
    <w:rPr>
      <w:szCs w:val="24"/>
    </w:rPr>
  </w:style>
  <w:style w:type="paragraph" w:customStyle="1" w:styleId="Default">
    <w:name w:val="Default"/>
    <w:rsid w:val="004C394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06B62"/>
    <w:rPr>
      <w:sz w:val="16"/>
      <w:szCs w:val="16"/>
    </w:rPr>
  </w:style>
  <w:style w:type="paragraph" w:styleId="CommentText">
    <w:name w:val="annotation text"/>
    <w:basedOn w:val="Normal"/>
    <w:link w:val="CommentTextChar"/>
    <w:uiPriority w:val="99"/>
    <w:semiHidden/>
    <w:unhideWhenUsed/>
    <w:rsid w:val="00506B62"/>
    <w:rPr>
      <w:sz w:val="20"/>
    </w:rPr>
  </w:style>
  <w:style w:type="character" w:customStyle="1" w:styleId="CommentTextChar">
    <w:name w:val="Comment Text Char"/>
    <w:basedOn w:val="DefaultParagraphFont"/>
    <w:link w:val="CommentText"/>
    <w:uiPriority w:val="99"/>
    <w:semiHidden/>
    <w:rsid w:val="00506B6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06B62"/>
    <w:rPr>
      <w:b/>
      <w:bCs/>
    </w:rPr>
  </w:style>
  <w:style w:type="character" w:customStyle="1" w:styleId="CommentSubjectChar">
    <w:name w:val="Comment Subject Char"/>
    <w:basedOn w:val="CommentTextChar"/>
    <w:link w:val="CommentSubject"/>
    <w:uiPriority w:val="99"/>
    <w:semiHidden/>
    <w:rsid w:val="00506B62"/>
    <w:rPr>
      <w:rFonts w:ascii="Times New Roman" w:eastAsia="Times New Roman" w:hAnsi="Times New Roman" w:cs="Times New Roman"/>
      <w:b/>
      <w:bCs/>
      <w:sz w:val="20"/>
      <w:szCs w:val="20"/>
      <w:lang w:eastAsia="en-AU"/>
    </w:rPr>
  </w:style>
  <w:style w:type="paragraph" w:customStyle="1" w:styleId="subsection">
    <w:name w:val="subsection"/>
    <w:basedOn w:val="Normal"/>
    <w:rsid w:val="007B6B5D"/>
    <w:pPr>
      <w:spacing w:before="100" w:beforeAutospacing="1" w:after="100" w:afterAutospacing="1"/>
    </w:pPr>
    <w:rPr>
      <w:szCs w:val="24"/>
    </w:rPr>
  </w:style>
  <w:style w:type="paragraph" w:styleId="NormalWeb">
    <w:name w:val="Normal (Web)"/>
    <w:basedOn w:val="Normal"/>
    <w:uiPriority w:val="99"/>
    <w:unhideWhenUsed/>
    <w:rsid w:val="00A23E5C"/>
    <w:pPr>
      <w:spacing w:before="100" w:beforeAutospacing="1" w:after="100" w:afterAutospacing="1"/>
    </w:pPr>
    <w:rPr>
      <w:szCs w:val="24"/>
    </w:rPr>
  </w:style>
  <w:style w:type="character" w:customStyle="1" w:styleId="charamschtext">
    <w:name w:val="charamschtext"/>
    <w:basedOn w:val="DefaultParagraphFont"/>
    <w:rsid w:val="00A23E5C"/>
  </w:style>
  <w:style w:type="paragraph" w:customStyle="1" w:styleId="tabletext">
    <w:name w:val="tabletext"/>
    <w:basedOn w:val="Normal"/>
    <w:rsid w:val="00A23E5C"/>
    <w:pPr>
      <w:spacing w:before="100" w:beforeAutospacing="1" w:after="100" w:afterAutospacing="1"/>
    </w:pPr>
    <w:rPr>
      <w:szCs w:val="24"/>
    </w:rPr>
  </w:style>
  <w:style w:type="character" w:styleId="Hyperlink">
    <w:name w:val="Hyperlink"/>
    <w:basedOn w:val="DefaultParagraphFont"/>
    <w:uiPriority w:val="99"/>
    <w:unhideWhenUsed/>
    <w:rsid w:val="00A23E5C"/>
    <w:rPr>
      <w:color w:val="0000FF" w:themeColor="hyperlink"/>
      <w:u w:val="single"/>
    </w:rPr>
  </w:style>
  <w:style w:type="paragraph" w:customStyle="1" w:styleId="rc">
    <w:name w:val="rc"/>
    <w:basedOn w:val="Normal"/>
    <w:rsid w:val="00A23E5C"/>
    <w:pPr>
      <w:spacing w:before="100" w:beforeAutospacing="1" w:after="100" w:afterAutospacing="1"/>
    </w:pPr>
    <w:rPr>
      <w:szCs w:val="24"/>
    </w:rPr>
  </w:style>
  <w:style w:type="paragraph" w:customStyle="1" w:styleId="r1">
    <w:name w:val="r1"/>
    <w:basedOn w:val="Normal"/>
    <w:rsid w:val="00A23E5C"/>
    <w:pPr>
      <w:spacing w:before="100" w:beforeAutospacing="1" w:after="100" w:afterAutospacing="1"/>
    </w:pPr>
    <w:rPr>
      <w:szCs w:val="24"/>
    </w:rPr>
  </w:style>
  <w:style w:type="paragraph" w:customStyle="1" w:styleId="p1">
    <w:name w:val="p1"/>
    <w:basedOn w:val="Normal"/>
    <w:rsid w:val="00A23E5C"/>
    <w:pPr>
      <w:spacing w:before="100" w:beforeAutospacing="1" w:after="100" w:afterAutospacing="1"/>
    </w:pPr>
    <w:rPr>
      <w:szCs w:val="24"/>
    </w:rPr>
  </w:style>
  <w:style w:type="paragraph" w:customStyle="1" w:styleId="p2">
    <w:name w:val="p2"/>
    <w:basedOn w:val="Normal"/>
    <w:rsid w:val="00A23E5C"/>
    <w:pPr>
      <w:spacing w:before="100" w:beforeAutospacing="1" w:after="100" w:afterAutospacing="1"/>
    </w:pPr>
    <w:rPr>
      <w:szCs w:val="24"/>
    </w:rPr>
  </w:style>
  <w:style w:type="paragraph" w:customStyle="1" w:styleId="r2">
    <w:name w:val="r2"/>
    <w:basedOn w:val="Normal"/>
    <w:rsid w:val="00A23E5C"/>
    <w:pPr>
      <w:spacing w:before="100" w:beforeAutospacing="1" w:after="100" w:afterAutospacing="1"/>
    </w:pPr>
    <w:rPr>
      <w:szCs w:val="24"/>
    </w:rPr>
  </w:style>
  <w:style w:type="character" w:styleId="FollowedHyperlink">
    <w:name w:val="FollowedHyperlink"/>
    <w:basedOn w:val="DefaultParagraphFont"/>
    <w:uiPriority w:val="99"/>
    <w:semiHidden/>
    <w:unhideWhenUsed/>
    <w:rsid w:val="00A23E5C"/>
    <w:rPr>
      <w:color w:val="800080" w:themeColor="followedHyperlink"/>
      <w:u w:val="single"/>
    </w:rPr>
  </w:style>
  <w:style w:type="paragraph" w:customStyle="1" w:styleId="hr">
    <w:name w:val="hr"/>
    <w:basedOn w:val="Normal"/>
    <w:rsid w:val="00A23E5C"/>
    <w:pPr>
      <w:spacing w:before="100" w:beforeAutospacing="1" w:after="100" w:afterAutospacing="1"/>
    </w:pPr>
    <w:rPr>
      <w:szCs w:val="24"/>
    </w:rPr>
  </w:style>
  <w:style w:type="character" w:customStyle="1" w:styleId="charsectno">
    <w:name w:val="charsectno"/>
    <w:basedOn w:val="DefaultParagraphFont"/>
    <w:rsid w:val="00A23E5C"/>
  </w:style>
  <w:style w:type="paragraph" w:customStyle="1" w:styleId="note">
    <w:name w:val="note"/>
    <w:basedOn w:val="Normal"/>
    <w:rsid w:val="00A23E5C"/>
    <w:pPr>
      <w:spacing w:before="100" w:beforeAutospacing="1" w:after="100" w:afterAutospacing="1"/>
    </w:pPr>
    <w:rPr>
      <w:szCs w:val="24"/>
    </w:rPr>
  </w:style>
  <w:style w:type="paragraph" w:customStyle="1" w:styleId="zr1">
    <w:name w:val="zr1"/>
    <w:basedOn w:val="Normal"/>
    <w:rsid w:val="00A23E5C"/>
    <w:pPr>
      <w:spacing w:before="100" w:beforeAutospacing="1" w:after="100" w:afterAutospacing="1"/>
    </w:pPr>
    <w:rPr>
      <w:szCs w:val="24"/>
    </w:rPr>
  </w:style>
  <w:style w:type="paragraph" w:customStyle="1" w:styleId="zp1">
    <w:name w:val="zp1"/>
    <w:basedOn w:val="Normal"/>
    <w:rsid w:val="00A23E5C"/>
    <w:pPr>
      <w:spacing w:before="100" w:beforeAutospacing="1" w:after="100" w:afterAutospacing="1"/>
    </w:pPr>
    <w:rPr>
      <w:szCs w:val="24"/>
    </w:rPr>
  </w:style>
  <w:style w:type="paragraph" w:customStyle="1" w:styleId="zr2">
    <w:name w:val="zr2"/>
    <w:basedOn w:val="Normal"/>
    <w:rsid w:val="00A23E5C"/>
    <w:pPr>
      <w:spacing w:before="100" w:beforeAutospacing="1" w:after="100" w:afterAutospacing="1"/>
    </w:pPr>
    <w:rPr>
      <w:szCs w:val="24"/>
    </w:rPr>
  </w:style>
  <w:style w:type="paragraph" w:customStyle="1" w:styleId="tablecolhead">
    <w:name w:val="tablecolhead"/>
    <w:basedOn w:val="Normal"/>
    <w:rsid w:val="00A23E5C"/>
    <w:pPr>
      <w:spacing w:before="100" w:beforeAutospacing="1" w:after="100" w:afterAutospacing="1"/>
    </w:pPr>
    <w:rPr>
      <w:szCs w:val="24"/>
    </w:rPr>
  </w:style>
  <w:style w:type="paragraph" w:customStyle="1" w:styleId="paragraph0">
    <w:name w:val="paragraph"/>
    <w:aliases w:val="a"/>
    <w:basedOn w:val="Normal"/>
    <w:uiPriority w:val="99"/>
    <w:rsid w:val="00A23E5C"/>
    <w:pPr>
      <w:spacing w:before="100" w:beforeAutospacing="1" w:after="100" w:afterAutospacing="1"/>
    </w:pPr>
    <w:rPr>
      <w:szCs w:val="24"/>
    </w:rPr>
  </w:style>
  <w:style w:type="character" w:customStyle="1" w:styleId="charschpttext">
    <w:name w:val="charschpttext"/>
    <w:basedOn w:val="DefaultParagraphFont"/>
    <w:rsid w:val="00A23E5C"/>
  </w:style>
  <w:style w:type="paragraph" w:customStyle="1" w:styleId="hsr">
    <w:name w:val="hsr"/>
    <w:basedOn w:val="Normal"/>
    <w:rsid w:val="00A23E5C"/>
    <w:pPr>
      <w:spacing w:before="100" w:beforeAutospacing="1" w:after="100" w:afterAutospacing="1"/>
    </w:pPr>
    <w:rPr>
      <w:szCs w:val="24"/>
    </w:rPr>
  </w:style>
  <w:style w:type="paragraph" w:customStyle="1" w:styleId="schedulepara">
    <w:name w:val="schedulepara"/>
    <w:basedOn w:val="Normal"/>
    <w:rsid w:val="00A23E5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0998">
      <w:bodyDiv w:val="1"/>
      <w:marLeft w:val="0"/>
      <w:marRight w:val="0"/>
      <w:marTop w:val="0"/>
      <w:marBottom w:val="0"/>
      <w:divBdr>
        <w:top w:val="none" w:sz="0" w:space="0" w:color="auto"/>
        <w:left w:val="none" w:sz="0" w:space="0" w:color="auto"/>
        <w:bottom w:val="none" w:sz="0" w:space="0" w:color="auto"/>
        <w:right w:val="none" w:sz="0" w:space="0" w:color="auto"/>
      </w:divBdr>
    </w:div>
    <w:div w:id="545607980">
      <w:bodyDiv w:val="1"/>
      <w:marLeft w:val="0"/>
      <w:marRight w:val="0"/>
      <w:marTop w:val="0"/>
      <w:marBottom w:val="0"/>
      <w:divBdr>
        <w:top w:val="none" w:sz="0" w:space="0" w:color="auto"/>
        <w:left w:val="none" w:sz="0" w:space="0" w:color="auto"/>
        <w:bottom w:val="none" w:sz="0" w:space="0" w:color="auto"/>
        <w:right w:val="none" w:sz="0" w:space="0" w:color="auto"/>
      </w:divBdr>
      <w:divsChild>
        <w:div w:id="1545478751">
          <w:marLeft w:val="0"/>
          <w:marRight w:val="0"/>
          <w:marTop w:val="0"/>
          <w:marBottom w:val="0"/>
          <w:divBdr>
            <w:top w:val="none" w:sz="0" w:space="0" w:color="auto"/>
            <w:left w:val="none" w:sz="0" w:space="0" w:color="auto"/>
            <w:bottom w:val="none" w:sz="0" w:space="0" w:color="auto"/>
            <w:right w:val="none" w:sz="0" w:space="0" w:color="auto"/>
          </w:divBdr>
          <w:divsChild>
            <w:div w:id="1617372402">
              <w:marLeft w:val="0"/>
              <w:marRight w:val="0"/>
              <w:marTop w:val="0"/>
              <w:marBottom w:val="0"/>
              <w:divBdr>
                <w:top w:val="none" w:sz="0" w:space="0" w:color="auto"/>
                <w:left w:val="none" w:sz="0" w:space="0" w:color="auto"/>
                <w:bottom w:val="none" w:sz="0" w:space="0" w:color="auto"/>
                <w:right w:val="none" w:sz="0" w:space="0" w:color="auto"/>
              </w:divBdr>
              <w:divsChild>
                <w:div w:id="1219711404">
                  <w:marLeft w:val="0"/>
                  <w:marRight w:val="0"/>
                  <w:marTop w:val="0"/>
                  <w:marBottom w:val="0"/>
                  <w:divBdr>
                    <w:top w:val="none" w:sz="0" w:space="0" w:color="auto"/>
                    <w:left w:val="none" w:sz="0" w:space="0" w:color="auto"/>
                    <w:bottom w:val="none" w:sz="0" w:space="0" w:color="auto"/>
                    <w:right w:val="none" w:sz="0" w:space="0" w:color="auto"/>
                  </w:divBdr>
                  <w:divsChild>
                    <w:div w:id="224074539">
                      <w:marLeft w:val="0"/>
                      <w:marRight w:val="0"/>
                      <w:marTop w:val="0"/>
                      <w:marBottom w:val="0"/>
                      <w:divBdr>
                        <w:top w:val="none" w:sz="0" w:space="0" w:color="auto"/>
                        <w:left w:val="none" w:sz="0" w:space="0" w:color="auto"/>
                        <w:bottom w:val="none" w:sz="0" w:space="0" w:color="auto"/>
                        <w:right w:val="none" w:sz="0" w:space="0" w:color="auto"/>
                      </w:divBdr>
                      <w:divsChild>
                        <w:div w:id="652831825">
                          <w:marLeft w:val="0"/>
                          <w:marRight w:val="0"/>
                          <w:marTop w:val="0"/>
                          <w:marBottom w:val="0"/>
                          <w:divBdr>
                            <w:top w:val="single" w:sz="6" w:space="0" w:color="828282"/>
                            <w:left w:val="single" w:sz="6" w:space="0" w:color="828282"/>
                            <w:bottom w:val="single" w:sz="6" w:space="0" w:color="828282"/>
                            <w:right w:val="single" w:sz="6" w:space="0" w:color="828282"/>
                          </w:divBdr>
                          <w:divsChild>
                            <w:div w:id="1164125204">
                              <w:marLeft w:val="0"/>
                              <w:marRight w:val="0"/>
                              <w:marTop w:val="0"/>
                              <w:marBottom w:val="0"/>
                              <w:divBdr>
                                <w:top w:val="none" w:sz="0" w:space="0" w:color="auto"/>
                                <w:left w:val="none" w:sz="0" w:space="0" w:color="auto"/>
                                <w:bottom w:val="none" w:sz="0" w:space="0" w:color="auto"/>
                                <w:right w:val="none" w:sz="0" w:space="0" w:color="auto"/>
                              </w:divBdr>
                              <w:divsChild>
                                <w:div w:id="2050445396">
                                  <w:marLeft w:val="0"/>
                                  <w:marRight w:val="0"/>
                                  <w:marTop w:val="0"/>
                                  <w:marBottom w:val="0"/>
                                  <w:divBdr>
                                    <w:top w:val="none" w:sz="0" w:space="0" w:color="auto"/>
                                    <w:left w:val="none" w:sz="0" w:space="0" w:color="auto"/>
                                    <w:bottom w:val="none" w:sz="0" w:space="0" w:color="auto"/>
                                    <w:right w:val="none" w:sz="0" w:space="0" w:color="auto"/>
                                  </w:divBdr>
                                  <w:divsChild>
                                    <w:div w:id="253637355">
                                      <w:marLeft w:val="0"/>
                                      <w:marRight w:val="0"/>
                                      <w:marTop w:val="0"/>
                                      <w:marBottom w:val="0"/>
                                      <w:divBdr>
                                        <w:top w:val="none" w:sz="0" w:space="0" w:color="auto"/>
                                        <w:left w:val="none" w:sz="0" w:space="0" w:color="auto"/>
                                        <w:bottom w:val="none" w:sz="0" w:space="0" w:color="auto"/>
                                        <w:right w:val="none" w:sz="0" w:space="0" w:color="auto"/>
                                      </w:divBdr>
                                      <w:divsChild>
                                        <w:div w:id="1304889545">
                                          <w:marLeft w:val="0"/>
                                          <w:marRight w:val="0"/>
                                          <w:marTop w:val="0"/>
                                          <w:marBottom w:val="0"/>
                                          <w:divBdr>
                                            <w:top w:val="none" w:sz="0" w:space="0" w:color="auto"/>
                                            <w:left w:val="none" w:sz="0" w:space="0" w:color="auto"/>
                                            <w:bottom w:val="none" w:sz="0" w:space="0" w:color="auto"/>
                                            <w:right w:val="none" w:sz="0" w:space="0" w:color="auto"/>
                                          </w:divBdr>
                                          <w:divsChild>
                                            <w:div w:id="1924334944">
                                              <w:marLeft w:val="0"/>
                                              <w:marRight w:val="0"/>
                                              <w:marTop w:val="0"/>
                                              <w:marBottom w:val="0"/>
                                              <w:divBdr>
                                                <w:top w:val="none" w:sz="0" w:space="0" w:color="auto"/>
                                                <w:left w:val="none" w:sz="0" w:space="0" w:color="auto"/>
                                                <w:bottom w:val="none" w:sz="0" w:space="0" w:color="auto"/>
                                                <w:right w:val="none" w:sz="0" w:space="0" w:color="auto"/>
                                              </w:divBdr>
                                              <w:divsChild>
                                                <w:div w:id="10488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8220768">
      <w:bodyDiv w:val="1"/>
      <w:marLeft w:val="0"/>
      <w:marRight w:val="0"/>
      <w:marTop w:val="0"/>
      <w:marBottom w:val="0"/>
      <w:divBdr>
        <w:top w:val="none" w:sz="0" w:space="0" w:color="auto"/>
        <w:left w:val="none" w:sz="0" w:space="0" w:color="auto"/>
        <w:bottom w:val="none" w:sz="0" w:space="0" w:color="auto"/>
        <w:right w:val="none" w:sz="0" w:space="0" w:color="auto"/>
      </w:divBdr>
    </w:div>
    <w:div w:id="722026173">
      <w:bodyDiv w:val="1"/>
      <w:marLeft w:val="0"/>
      <w:marRight w:val="0"/>
      <w:marTop w:val="0"/>
      <w:marBottom w:val="0"/>
      <w:divBdr>
        <w:top w:val="none" w:sz="0" w:space="0" w:color="auto"/>
        <w:left w:val="none" w:sz="0" w:space="0" w:color="auto"/>
        <w:bottom w:val="none" w:sz="0" w:space="0" w:color="auto"/>
        <w:right w:val="none" w:sz="0" w:space="0" w:color="auto"/>
      </w:divBdr>
      <w:divsChild>
        <w:div w:id="1401824556">
          <w:marLeft w:val="0"/>
          <w:marRight w:val="0"/>
          <w:marTop w:val="0"/>
          <w:marBottom w:val="0"/>
          <w:divBdr>
            <w:top w:val="none" w:sz="0" w:space="0" w:color="auto"/>
            <w:left w:val="none" w:sz="0" w:space="0" w:color="auto"/>
            <w:bottom w:val="none" w:sz="0" w:space="0" w:color="auto"/>
            <w:right w:val="none" w:sz="0" w:space="0" w:color="auto"/>
          </w:divBdr>
          <w:divsChild>
            <w:div w:id="1814442386">
              <w:marLeft w:val="0"/>
              <w:marRight w:val="0"/>
              <w:marTop w:val="0"/>
              <w:marBottom w:val="0"/>
              <w:divBdr>
                <w:top w:val="none" w:sz="0" w:space="0" w:color="auto"/>
                <w:left w:val="none" w:sz="0" w:space="0" w:color="auto"/>
                <w:bottom w:val="none" w:sz="0" w:space="0" w:color="auto"/>
                <w:right w:val="none" w:sz="0" w:space="0" w:color="auto"/>
              </w:divBdr>
              <w:divsChild>
                <w:div w:id="2104952285">
                  <w:marLeft w:val="0"/>
                  <w:marRight w:val="0"/>
                  <w:marTop w:val="0"/>
                  <w:marBottom w:val="0"/>
                  <w:divBdr>
                    <w:top w:val="none" w:sz="0" w:space="0" w:color="auto"/>
                    <w:left w:val="none" w:sz="0" w:space="0" w:color="auto"/>
                    <w:bottom w:val="none" w:sz="0" w:space="0" w:color="auto"/>
                    <w:right w:val="none" w:sz="0" w:space="0" w:color="auto"/>
                  </w:divBdr>
                  <w:divsChild>
                    <w:div w:id="1086658375">
                      <w:marLeft w:val="0"/>
                      <w:marRight w:val="0"/>
                      <w:marTop w:val="0"/>
                      <w:marBottom w:val="0"/>
                      <w:divBdr>
                        <w:top w:val="none" w:sz="0" w:space="0" w:color="auto"/>
                        <w:left w:val="none" w:sz="0" w:space="0" w:color="auto"/>
                        <w:bottom w:val="none" w:sz="0" w:space="0" w:color="auto"/>
                        <w:right w:val="none" w:sz="0" w:space="0" w:color="auto"/>
                      </w:divBdr>
                      <w:divsChild>
                        <w:div w:id="906500016">
                          <w:marLeft w:val="0"/>
                          <w:marRight w:val="0"/>
                          <w:marTop w:val="0"/>
                          <w:marBottom w:val="0"/>
                          <w:divBdr>
                            <w:top w:val="single" w:sz="6" w:space="0" w:color="828282"/>
                            <w:left w:val="single" w:sz="6" w:space="0" w:color="828282"/>
                            <w:bottom w:val="single" w:sz="6" w:space="0" w:color="828282"/>
                            <w:right w:val="single" w:sz="6" w:space="0" w:color="828282"/>
                          </w:divBdr>
                          <w:divsChild>
                            <w:div w:id="1906984015">
                              <w:marLeft w:val="0"/>
                              <w:marRight w:val="0"/>
                              <w:marTop w:val="0"/>
                              <w:marBottom w:val="0"/>
                              <w:divBdr>
                                <w:top w:val="none" w:sz="0" w:space="0" w:color="auto"/>
                                <w:left w:val="none" w:sz="0" w:space="0" w:color="auto"/>
                                <w:bottom w:val="none" w:sz="0" w:space="0" w:color="auto"/>
                                <w:right w:val="none" w:sz="0" w:space="0" w:color="auto"/>
                              </w:divBdr>
                              <w:divsChild>
                                <w:div w:id="316496892">
                                  <w:marLeft w:val="0"/>
                                  <w:marRight w:val="0"/>
                                  <w:marTop w:val="0"/>
                                  <w:marBottom w:val="0"/>
                                  <w:divBdr>
                                    <w:top w:val="none" w:sz="0" w:space="0" w:color="auto"/>
                                    <w:left w:val="none" w:sz="0" w:space="0" w:color="auto"/>
                                    <w:bottom w:val="none" w:sz="0" w:space="0" w:color="auto"/>
                                    <w:right w:val="none" w:sz="0" w:space="0" w:color="auto"/>
                                  </w:divBdr>
                                  <w:divsChild>
                                    <w:div w:id="767623309">
                                      <w:marLeft w:val="0"/>
                                      <w:marRight w:val="0"/>
                                      <w:marTop w:val="0"/>
                                      <w:marBottom w:val="0"/>
                                      <w:divBdr>
                                        <w:top w:val="none" w:sz="0" w:space="0" w:color="auto"/>
                                        <w:left w:val="none" w:sz="0" w:space="0" w:color="auto"/>
                                        <w:bottom w:val="none" w:sz="0" w:space="0" w:color="auto"/>
                                        <w:right w:val="none" w:sz="0" w:space="0" w:color="auto"/>
                                      </w:divBdr>
                                      <w:divsChild>
                                        <w:div w:id="1711222184">
                                          <w:marLeft w:val="0"/>
                                          <w:marRight w:val="0"/>
                                          <w:marTop w:val="0"/>
                                          <w:marBottom w:val="0"/>
                                          <w:divBdr>
                                            <w:top w:val="none" w:sz="0" w:space="0" w:color="auto"/>
                                            <w:left w:val="none" w:sz="0" w:space="0" w:color="auto"/>
                                            <w:bottom w:val="none" w:sz="0" w:space="0" w:color="auto"/>
                                            <w:right w:val="none" w:sz="0" w:space="0" w:color="auto"/>
                                          </w:divBdr>
                                          <w:divsChild>
                                            <w:div w:id="902134989">
                                              <w:marLeft w:val="0"/>
                                              <w:marRight w:val="0"/>
                                              <w:marTop w:val="0"/>
                                              <w:marBottom w:val="0"/>
                                              <w:divBdr>
                                                <w:top w:val="none" w:sz="0" w:space="0" w:color="auto"/>
                                                <w:left w:val="none" w:sz="0" w:space="0" w:color="auto"/>
                                                <w:bottom w:val="none" w:sz="0" w:space="0" w:color="auto"/>
                                                <w:right w:val="none" w:sz="0" w:space="0" w:color="auto"/>
                                              </w:divBdr>
                                              <w:divsChild>
                                                <w:div w:id="17521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455244">
      <w:bodyDiv w:val="1"/>
      <w:marLeft w:val="0"/>
      <w:marRight w:val="0"/>
      <w:marTop w:val="0"/>
      <w:marBottom w:val="0"/>
      <w:divBdr>
        <w:top w:val="none" w:sz="0" w:space="0" w:color="auto"/>
        <w:left w:val="none" w:sz="0" w:space="0" w:color="auto"/>
        <w:bottom w:val="none" w:sz="0" w:space="0" w:color="auto"/>
        <w:right w:val="none" w:sz="0" w:space="0" w:color="auto"/>
      </w:divBdr>
    </w:div>
    <w:div w:id="188247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C8A2C-14A6-427B-A9F3-43AA944F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2675</Words>
  <Characters>14606</Characters>
  <Application>Microsoft Office Word</Application>
  <DocSecurity>0</DocSecurity>
  <Lines>1825</Lines>
  <Paragraphs>960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meibus</dc:creator>
  <cp:lastModifiedBy>Gibson, Vikki</cp:lastModifiedBy>
  <cp:revision>3</cp:revision>
  <cp:lastPrinted>2015-05-14T07:14:00Z</cp:lastPrinted>
  <dcterms:created xsi:type="dcterms:W3CDTF">2015-05-26T04:11:00Z</dcterms:created>
  <dcterms:modified xsi:type="dcterms:W3CDTF">2015-05-26T04:11:00Z</dcterms:modified>
</cp:coreProperties>
</file>