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fb0472f2594b45f4"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398" w:rsidRPr="002F5398" w:rsidRDefault="002F5398" w:rsidP="002F5398">
      <w:pPr>
        <w:tabs>
          <w:tab w:val="right" w:pos="8931"/>
        </w:tabs>
        <w:spacing w:line="240" w:lineRule="exact"/>
        <w:ind w:right="91"/>
        <w:jc w:val="center"/>
      </w:pPr>
      <w:r w:rsidRPr="002F5398">
        <w:rPr>
          <w:b/>
        </w:rPr>
        <w:t>EXPLANATORY STATEMENT</w:t>
      </w:r>
    </w:p>
    <w:p w:rsidR="002F5398" w:rsidRPr="002F5398" w:rsidRDefault="002F5398" w:rsidP="002F5398">
      <w:pPr>
        <w:pStyle w:val="Heading6"/>
        <w:jc w:val="center"/>
        <w:rPr>
          <w:rFonts w:ascii="Times New Roman" w:hAnsi="Times New Roman"/>
          <w:sz w:val="24"/>
          <w:szCs w:val="24"/>
          <w:lang w:val="en-AU"/>
        </w:rPr>
      </w:pPr>
    </w:p>
    <w:p w:rsidR="002F5398" w:rsidRPr="002F5398" w:rsidRDefault="002F5398" w:rsidP="002F5398">
      <w:pPr>
        <w:rPr>
          <w:lang w:eastAsia="x-none"/>
        </w:rPr>
      </w:pPr>
    </w:p>
    <w:p w:rsidR="002F5398" w:rsidRPr="002F5398" w:rsidRDefault="002F5398" w:rsidP="002F5398">
      <w:pPr>
        <w:tabs>
          <w:tab w:val="left" w:pos="1418"/>
        </w:tabs>
        <w:ind w:right="91"/>
        <w:jc w:val="center"/>
        <w:rPr>
          <w:b/>
        </w:rPr>
      </w:pPr>
      <w:r w:rsidRPr="002F5398">
        <w:rPr>
          <w:b/>
        </w:rPr>
        <w:t>AGRICULTURAL AND VETERINARY CHEMICALS CODE INGREDIENT DETERMINATION 2015</w:t>
      </w:r>
    </w:p>
    <w:p w:rsidR="002F5398" w:rsidRPr="002F5398" w:rsidRDefault="002F5398" w:rsidP="002F5398">
      <w:pPr>
        <w:pStyle w:val="Heading6"/>
        <w:jc w:val="center"/>
        <w:rPr>
          <w:rFonts w:ascii="Times New Roman" w:hAnsi="Times New Roman"/>
          <w:b w:val="0"/>
          <w:sz w:val="24"/>
          <w:szCs w:val="24"/>
        </w:rPr>
      </w:pPr>
    </w:p>
    <w:p w:rsidR="002F5398" w:rsidRPr="002F5398" w:rsidRDefault="002F5398" w:rsidP="002F5398">
      <w:pPr>
        <w:tabs>
          <w:tab w:val="right" w:pos="8931"/>
        </w:tabs>
        <w:spacing w:line="240" w:lineRule="exact"/>
        <w:ind w:right="91"/>
        <w:jc w:val="center"/>
        <w:rPr>
          <w:b/>
          <w:u w:val="single"/>
        </w:rPr>
      </w:pPr>
    </w:p>
    <w:p w:rsidR="002F5398" w:rsidRPr="002F5398" w:rsidRDefault="002F5398" w:rsidP="002F5398">
      <w:pPr>
        <w:pStyle w:val="Bodytext"/>
        <w:spacing w:before="0"/>
        <w:rPr>
          <w:rFonts w:ascii="Times New Roman" w:hAnsi="Times New Roman" w:cs="Times New Roman"/>
          <w:lang w:val="en-AU"/>
        </w:rPr>
      </w:pPr>
      <w:bookmarkStart w:id="0" w:name="_Toc360284715"/>
      <w:bookmarkStart w:id="1" w:name="_Toc340506950"/>
      <w:bookmarkStart w:id="2" w:name="_Toc360284656"/>
    </w:p>
    <w:p w:rsidR="002F5398" w:rsidRPr="002F5398" w:rsidRDefault="002F5398" w:rsidP="002F5398">
      <w:pPr>
        <w:pStyle w:val="Bodytext"/>
        <w:spacing w:before="0"/>
        <w:rPr>
          <w:rFonts w:ascii="Times New Roman" w:hAnsi="Times New Roman" w:cs="Times New Roman"/>
          <w:lang w:val="en-AU"/>
        </w:rPr>
      </w:pPr>
      <w:r w:rsidRPr="002F5398">
        <w:rPr>
          <w:rFonts w:ascii="Times New Roman" w:hAnsi="Times New Roman" w:cs="Times New Roman"/>
          <w:lang w:val="en-AU"/>
        </w:rPr>
        <w:t xml:space="preserve">The </w:t>
      </w:r>
      <w:r w:rsidRPr="002F5398">
        <w:rPr>
          <w:rFonts w:ascii="Times New Roman" w:hAnsi="Times New Roman" w:cs="Times New Roman"/>
          <w:i/>
        </w:rPr>
        <w:t xml:space="preserve">Agricultural and Veterinary Chemicals Code Act 1994 </w:t>
      </w:r>
      <w:r w:rsidRPr="002F5398">
        <w:rPr>
          <w:rFonts w:ascii="Times New Roman" w:hAnsi="Times New Roman" w:cs="Times New Roman"/>
          <w:lang w:val="en-AU"/>
        </w:rPr>
        <w:t xml:space="preserve">(Act) provides, within a Code set out in the Schedule to the Act (Agvet Code), a low regulatory scheme for agricultural and veterinary chemicals. </w:t>
      </w:r>
      <w:r w:rsidRPr="002F5398">
        <w:rPr>
          <w:rFonts w:ascii="Times New Roman" w:hAnsi="Times New Roman" w:cs="Times New Roman"/>
        </w:rPr>
        <w:t>Subsection 6(1) of the</w:t>
      </w:r>
      <w:r w:rsidRPr="002F5398">
        <w:rPr>
          <w:rFonts w:ascii="Times New Roman" w:hAnsi="Times New Roman" w:cs="Times New Roman"/>
          <w:lang w:val="en-AU"/>
        </w:rPr>
        <w:t xml:space="preserve"> Act </w:t>
      </w:r>
      <w:r w:rsidRPr="002F5398">
        <w:rPr>
          <w:rFonts w:ascii="Times New Roman" w:hAnsi="Times New Roman" w:cs="Times New Roman"/>
        </w:rPr>
        <w:t xml:space="preserve">provides, in part, that the Governor-General may make regulations prescribing matters required or permitted by the Agvet Code to be prescribed by regulations or necessary or convenient to be prescribed by such regulations for carrying out or giving effect to the Agvet Code. </w:t>
      </w:r>
      <w:r w:rsidRPr="002F5398">
        <w:rPr>
          <w:rFonts w:ascii="Times New Roman" w:hAnsi="Times New Roman" w:cs="Times New Roman"/>
          <w:lang w:val="en-AU"/>
        </w:rPr>
        <w:t xml:space="preserve">The regulations made by the Governor-General are the </w:t>
      </w:r>
      <w:r w:rsidRPr="002F5398">
        <w:rPr>
          <w:rFonts w:ascii="Times New Roman" w:hAnsi="Times New Roman" w:cs="Times New Roman"/>
          <w:i/>
        </w:rPr>
        <w:t xml:space="preserve">Agricultural and Veterinary Chemicals Code Regulations 1995 </w:t>
      </w:r>
      <w:r w:rsidRPr="002F5398">
        <w:rPr>
          <w:rFonts w:ascii="Times New Roman" w:hAnsi="Times New Roman" w:cs="Times New Roman"/>
        </w:rPr>
        <w:t>(Regulations)</w:t>
      </w:r>
      <w:r w:rsidRPr="002F5398">
        <w:rPr>
          <w:rFonts w:ascii="Times New Roman" w:hAnsi="Times New Roman" w:cs="Times New Roman"/>
          <w:lang w:val="en-AU"/>
        </w:rPr>
        <w:t xml:space="preserve">. </w:t>
      </w:r>
    </w:p>
    <w:p w:rsidR="002F5398" w:rsidRPr="002F5398" w:rsidRDefault="002F5398" w:rsidP="002F5398">
      <w:pPr>
        <w:pStyle w:val="Bodytext"/>
        <w:spacing w:before="0"/>
        <w:rPr>
          <w:rFonts w:ascii="Times New Roman" w:hAnsi="Times New Roman" w:cs="Times New Roman"/>
          <w:lang w:val="en-AU"/>
        </w:rPr>
      </w:pPr>
    </w:p>
    <w:p w:rsidR="002F5398" w:rsidRPr="002F5398" w:rsidRDefault="002F5398" w:rsidP="002F5398">
      <w:r w:rsidRPr="002F5398">
        <w:rPr>
          <w:lang w:val="en-US"/>
        </w:rPr>
        <w:t xml:space="preserve">The recent amendments to the </w:t>
      </w:r>
      <w:r w:rsidRPr="002F5398">
        <w:t>Regulations</w:t>
      </w:r>
      <w:r w:rsidRPr="002F5398">
        <w:rPr>
          <w:i/>
        </w:rPr>
        <w:t xml:space="preserve"> </w:t>
      </w:r>
      <w:r w:rsidRPr="002F5398">
        <w:rPr>
          <w:lang w:val="en-US"/>
        </w:rPr>
        <w:t xml:space="preserve">have simplified </w:t>
      </w:r>
      <w:r w:rsidRPr="002F5398">
        <w:t>existing regulations relating to whether animal feed products are declared to be, or not to be, veterinary chemical products</w:t>
      </w:r>
      <w:r w:rsidRPr="002F5398">
        <w:rPr>
          <w:lang w:val="en-US"/>
        </w:rPr>
        <w:t xml:space="preserve">. These amendments provided </w:t>
      </w:r>
      <w:r w:rsidRPr="002F5398">
        <w:t>that animal feeds that meet certain requirements for ingredients, labelling, claims and manufacture are not veterinary chemical products</w:t>
      </w:r>
      <w:r w:rsidRPr="002F5398">
        <w:rPr>
          <w:lang w:val="en-US"/>
        </w:rPr>
        <w:t xml:space="preserve">. </w:t>
      </w:r>
      <w:r w:rsidRPr="002F5398">
        <w:t xml:space="preserve">Australian Pesticides and Veterinary Medicines Authority (APVMA) </w:t>
      </w:r>
      <w:r w:rsidRPr="002F5398">
        <w:rPr>
          <w:lang w:val="en-US"/>
        </w:rPr>
        <w:t>must</w:t>
      </w:r>
      <w:r w:rsidRPr="002F5398">
        <w:t xml:space="preserve"> make an ingredient determination to support the amendments to the Regulations. This Ingredient Determination authorises the constituent to be used , for the purpose or purposes set out in the heading of a Part of the </w:t>
      </w:r>
      <w:r w:rsidRPr="002F5398">
        <w:rPr>
          <w:i/>
        </w:rPr>
        <w:t xml:space="preserve">Veterinary Chemicals Products (Excluded Stockfood Non-active Constituents) Order 1995 </w:t>
      </w:r>
      <w:r w:rsidRPr="002F5398">
        <w:t xml:space="preserve">(SNAC Order) under which the constituent is specified, in all substances or mixtures of substances. </w:t>
      </w:r>
    </w:p>
    <w:p w:rsidR="002F5398" w:rsidRPr="002F5398" w:rsidRDefault="002F5398" w:rsidP="002F5398">
      <w:pPr>
        <w:pStyle w:val="Bodytext"/>
        <w:spacing w:before="0"/>
        <w:rPr>
          <w:rFonts w:ascii="Times New Roman" w:hAnsi="Times New Roman" w:cs="Times New Roman"/>
          <w:lang w:val="en-AU"/>
        </w:rPr>
      </w:pPr>
    </w:p>
    <w:p w:rsidR="002F5398" w:rsidRPr="002F5398" w:rsidRDefault="002F5398" w:rsidP="002F5398">
      <w:pPr>
        <w:pStyle w:val="Bodytext"/>
        <w:spacing w:before="0"/>
        <w:rPr>
          <w:rFonts w:ascii="Times New Roman" w:hAnsi="Times New Roman" w:cs="Times New Roman"/>
          <w:lang w:val="en-AU"/>
        </w:rPr>
      </w:pPr>
      <w:r w:rsidRPr="002F5398">
        <w:rPr>
          <w:rFonts w:ascii="Times New Roman" w:hAnsi="Times New Roman" w:cs="Times New Roman"/>
        </w:rPr>
        <w:t>Subclause 9(1) of Schedule 3AA to the Code Regulations</w:t>
      </w:r>
      <w:r w:rsidRPr="002F5398">
        <w:rPr>
          <w:rFonts w:ascii="Times New Roman" w:hAnsi="Times New Roman" w:cs="Times New Roman"/>
          <w:i/>
        </w:rPr>
        <w:t xml:space="preserve"> </w:t>
      </w:r>
      <w:r w:rsidRPr="002F5398">
        <w:rPr>
          <w:rFonts w:ascii="Times New Roman" w:hAnsi="Times New Roman" w:cs="Times New Roman"/>
        </w:rPr>
        <w:t>provides that the APVMA</w:t>
      </w:r>
      <w:r w:rsidRPr="002F5398">
        <w:rPr>
          <w:rFonts w:ascii="Times New Roman" w:hAnsi="Times New Roman" w:cs="Times New Roman"/>
          <w:lang w:val="en-AU"/>
        </w:rPr>
        <w:t xml:space="preserve"> </w:t>
      </w:r>
      <w:r w:rsidRPr="002F5398">
        <w:rPr>
          <w:rFonts w:ascii="Times New Roman" w:hAnsi="Times New Roman" w:cs="Times New Roman"/>
        </w:rPr>
        <w:t>may, by legislative instrument, determine that one or more ingredients, or classes of ingredients, are authorised to be used in one or more classes or substances or mixtures of substances.</w:t>
      </w:r>
      <w:r w:rsidRPr="002F5398">
        <w:rPr>
          <w:rFonts w:ascii="Times New Roman" w:hAnsi="Times New Roman" w:cs="Times New Roman"/>
          <w:lang w:val="en-US"/>
        </w:rPr>
        <w:t xml:space="preserve"> </w:t>
      </w:r>
      <w:r w:rsidRPr="002F5398">
        <w:rPr>
          <w:rFonts w:ascii="Times New Roman" w:hAnsi="Times New Roman" w:cs="Times New Roman"/>
        </w:rPr>
        <w:t>Subclause 9(3) of Schedule 3AA to the Code Regulations provides that t</w:t>
      </w:r>
      <w:r w:rsidRPr="002F5398">
        <w:rPr>
          <w:rFonts w:ascii="Times New Roman" w:hAnsi="Times New Roman" w:cs="Times New Roman"/>
          <w:lang w:val="en-US"/>
        </w:rPr>
        <w:t>his</w:t>
      </w:r>
      <w:r w:rsidRPr="002F5398">
        <w:rPr>
          <w:rFonts w:ascii="Times New Roman" w:hAnsi="Times New Roman" w:cs="Times New Roman"/>
        </w:rPr>
        <w:t xml:space="preserve"> power may be exercised on the APVMA’s own initiative.</w:t>
      </w:r>
    </w:p>
    <w:p w:rsidR="002F5398" w:rsidRPr="002F5398" w:rsidRDefault="002F5398" w:rsidP="002F5398">
      <w:pPr>
        <w:pStyle w:val="Bodytext"/>
        <w:spacing w:before="0"/>
        <w:rPr>
          <w:rFonts w:ascii="Times New Roman" w:hAnsi="Times New Roman" w:cs="Times New Roman"/>
          <w:lang w:val="en-AU"/>
        </w:rPr>
      </w:pPr>
    </w:p>
    <w:p w:rsidR="002F5398" w:rsidRPr="002F5398" w:rsidRDefault="002F5398" w:rsidP="002F5398">
      <w:pPr>
        <w:pStyle w:val="Bodytext"/>
        <w:spacing w:before="0"/>
        <w:rPr>
          <w:rFonts w:ascii="Times New Roman" w:hAnsi="Times New Roman" w:cs="Times New Roman"/>
          <w:lang w:val="en-AU"/>
        </w:rPr>
      </w:pPr>
      <w:r w:rsidRPr="002F5398">
        <w:rPr>
          <w:rFonts w:ascii="Times New Roman" w:hAnsi="Times New Roman" w:cs="Times New Roman"/>
          <w:lang w:val="en-AU"/>
        </w:rPr>
        <w:t xml:space="preserve">Regulation 88(2) of the Regulations provides that ingredients currently listed in the </w:t>
      </w:r>
      <w:r w:rsidRPr="002F5398">
        <w:rPr>
          <w:rFonts w:ascii="Times New Roman" w:hAnsi="Times New Roman" w:cs="Times New Roman"/>
          <w:i/>
        </w:rPr>
        <w:t xml:space="preserve">Chemicals Products (Excluded Stockfood Non-active Constituents) Order </w:t>
      </w:r>
      <w:r w:rsidRPr="002F5398">
        <w:rPr>
          <w:rFonts w:ascii="Times New Roman" w:hAnsi="Times New Roman" w:cs="Times New Roman"/>
          <w:i/>
          <w:lang w:val="en-AU"/>
        </w:rPr>
        <w:t xml:space="preserve">1995 </w:t>
      </w:r>
      <w:r w:rsidRPr="002F5398">
        <w:rPr>
          <w:rFonts w:ascii="Times New Roman" w:hAnsi="Times New Roman" w:cs="Times New Roman"/>
        </w:rPr>
        <w:t>(SNAC Order)</w:t>
      </w:r>
      <w:r w:rsidRPr="002F5398">
        <w:rPr>
          <w:rFonts w:ascii="Times New Roman" w:hAnsi="Times New Roman" w:cs="Times New Roman"/>
          <w:lang w:val="en-AU"/>
        </w:rPr>
        <w:t xml:space="preserve"> are taken to be ingredients permitted in excluded nutritional or digestive products until ingredient determinations for those ingredients are made. Regulation 88 of the </w:t>
      </w:r>
      <w:r w:rsidRPr="002F5398">
        <w:rPr>
          <w:rFonts w:ascii="Times New Roman" w:hAnsi="Times New Roman" w:cs="Times New Roman"/>
        </w:rPr>
        <w:t>Regulations</w:t>
      </w:r>
      <w:r w:rsidRPr="002F5398">
        <w:rPr>
          <w:rFonts w:ascii="Times New Roman" w:hAnsi="Times New Roman" w:cs="Times New Roman"/>
          <w:lang w:val="en-AU"/>
        </w:rPr>
        <w:t xml:space="preserve"> requires </w:t>
      </w:r>
      <w:r w:rsidRPr="002F5398">
        <w:rPr>
          <w:rFonts w:ascii="Times New Roman" w:hAnsi="Times New Roman" w:cs="Times New Roman"/>
        </w:rPr>
        <w:t>the APVMA</w:t>
      </w:r>
      <w:r w:rsidRPr="002F5398">
        <w:rPr>
          <w:rFonts w:ascii="Times New Roman" w:hAnsi="Times New Roman" w:cs="Times New Roman"/>
          <w:lang w:val="en-AU"/>
        </w:rPr>
        <w:t xml:space="preserve"> to make an ingredient determination for all ingredients in the </w:t>
      </w:r>
      <w:r w:rsidRPr="002F5398">
        <w:rPr>
          <w:rFonts w:ascii="Times New Roman" w:hAnsi="Times New Roman" w:cs="Times New Roman"/>
        </w:rPr>
        <w:t>SNAC Order</w:t>
      </w:r>
      <w:r w:rsidRPr="002F5398">
        <w:rPr>
          <w:rFonts w:ascii="Times New Roman" w:hAnsi="Times New Roman" w:cs="Times New Roman"/>
          <w:lang w:val="en-AU"/>
        </w:rPr>
        <w:t xml:space="preserve"> by 5 June 2015. It requires that the ingredient determination authorises all existing uses of an ingredient permitted under the SNAC Order. </w:t>
      </w:r>
    </w:p>
    <w:p w:rsidR="002F5398" w:rsidRPr="002F5398" w:rsidRDefault="002F5398" w:rsidP="002F5398">
      <w:pPr>
        <w:pStyle w:val="Bodytext"/>
        <w:spacing w:before="0"/>
        <w:rPr>
          <w:rFonts w:ascii="Times New Roman" w:hAnsi="Times New Roman" w:cs="Times New Roman"/>
          <w:lang w:val="en-AU"/>
        </w:rPr>
      </w:pPr>
    </w:p>
    <w:p w:rsidR="002F5398" w:rsidRPr="002F5398" w:rsidRDefault="002F5398" w:rsidP="002F5398">
      <w:pPr>
        <w:pStyle w:val="Bodytext"/>
        <w:spacing w:before="0"/>
        <w:rPr>
          <w:rFonts w:ascii="Times New Roman" w:hAnsi="Times New Roman" w:cs="Times New Roman"/>
          <w:lang w:val="en-AU"/>
        </w:rPr>
      </w:pPr>
      <w:bookmarkStart w:id="3" w:name="_Toc360450257"/>
      <w:bookmarkStart w:id="4" w:name="_Toc360450053"/>
      <w:r w:rsidRPr="002F5398">
        <w:rPr>
          <w:rFonts w:ascii="Times New Roman" w:hAnsi="Times New Roman" w:cs="Times New Roman"/>
        </w:rPr>
        <w:t>Th</w:t>
      </w:r>
      <w:r w:rsidRPr="002F5398">
        <w:rPr>
          <w:rFonts w:ascii="Times New Roman" w:hAnsi="Times New Roman" w:cs="Times New Roman"/>
          <w:lang w:val="en-AU"/>
        </w:rPr>
        <w:t xml:space="preserve">e </w:t>
      </w:r>
      <w:r w:rsidRPr="002F5398">
        <w:rPr>
          <w:rFonts w:ascii="Times New Roman" w:hAnsi="Times New Roman" w:cs="Times New Roman"/>
          <w:i/>
        </w:rPr>
        <w:t xml:space="preserve">Agricultural and Veterinary Chemicals Code Ingredient Determination 2015 </w:t>
      </w:r>
      <w:r w:rsidRPr="002F5398">
        <w:rPr>
          <w:rFonts w:ascii="Times New Roman" w:hAnsi="Times New Roman" w:cs="Times New Roman"/>
          <w:lang w:val="en-AU"/>
        </w:rPr>
        <w:t>(Determination) fulfils the regulation 88(3) requirement</w:t>
      </w:r>
      <w:r w:rsidRPr="002F5398">
        <w:rPr>
          <w:rFonts w:ascii="Times New Roman" w:hAnsi="Times New Roman" w:cs="Times New Roman"/>
        </w:rPr>
        <w:t>.</w:t>
      </w:r>
      <w:r w:rsidRPr="002F5398">
        <w:rPr>
          <w:rFonts w:ascii="Times New Roman" w:hAnsi="Times New Roman" w:cs="Times New Roman"/>
          <w:lang w:val="en-AU"/>
        </w:rPr>
        <w:t xml:space="preserve"> The Determination </w:t>
      </w:r>
      <w:r w:rsidRPr="002F5398">
        <w:rPr>
          <w:rFonts w:ascii="Times New Roman" w:hAnsi="Times New Roman" w:cs="Times New Roman"/>
        </w:rPr>
        <w:t>authoris</w:t>
      </w:r>
      <w:r w:rsidRPr="002F5398">
        <w:rPr>
          <w:rFonts w:ascii="Times New Roman" w:hAnsi="Times New Roman" w:cs="Times New Roman"/>
          <w:lang w:val="en-AU"/>
        </w:rPr>
        <w:t>es</w:t>
      </w:r>
      <w:r w:rsidRPr="002F5398">
        <w:rPr>
          <w:rFonts w:ascii="Times New Roman" w:hAnsi="Times New Roman" w:cs="Times New Roman"/>
        </w:rPr>
        <w:t xml:space="preserve"> the use of </w:t>
      </w:r>
      <w:r w:rsidRPr="002F5398">
        <w:rPr>
          <w:rFonts w:ascii="Times New Roman" w:hAnsi="Times New Roman" w:cs="Times New Roman"/>
          <w:lang w:val="en-AU"/>
        </w:rPr>
        <w:t xml:space="preserve">the </w:t>
      </w:r>
      <w:r w:rsidRPr="002F5398">
        <w:rPr>
          <w:rFonts w:ascii="Times New Roman" w:hAnsi="Times New Roman" w:cs="Times New Roman"/>
        </w:rPr>
        <w:t xml:space="preserve">ingredients </w:t>
      </w:r>
      <w:r w:rsidRPr="002F5398">
        <w:rPr>
          <w:rFonts w:ascii="Times New Roman" w:hAnsi="Times New Roman" w:cs="Times New Roman"/>
          <w:lang w:val="en-AU"/>
        </w:rPr>
        <w:t>that were listed on the former SNAC Order</w:t>
      </w:r>
      <w:r w:rsidRPr="002F5398">
        <w:rPr>
          <w:rFonts w:ascii="Times New Roman" w:hAnsi="Times New Roman" w:cs="Times New Roman"/>
        </w:rPr>
        <w:t xml:space="preserve">. </w:t>
      </w:r>
    </w:p>
    <w:p w:rsidR="002F5398" w:rsidRPr="002F5398" w:rsidRDefault="002F5398" w:rsidP="002F5398">
      <w:pPr>
        <w:pStyle w:val="Bodytext"/>
        <w:spacing w:before="0"/>
        <w:rPr>
          <w:rFonts w:ascii="Times New Roman" w:hAnsi="Times New Roman" w:cs="Times New Roman"/>
          <w:lang w:val="en-AU"/>
        </w:rPr>
      </w:pPr>
    </w:p>
    <w:p w:rsidR="002F5398" w:rsidRPr="002F5398" w:rsidRDefault="002F5398" w:rsidP="002F5398">
      <w:pPr>
        <w:pStyle w:val="Bodytext"/>
        <w:spacing w:before="0"/>
        <w:rPr>
          <w:rFonts w:ascii="Times New Roman" w:hAnsi="Times New Roman" w:cs="Times New Roman"/>
          <w:lang w:val="en-AU"/>
        </w:rPr>
      </w:pPr>
      <w:r w:rsidRPr="002F5398">
        <w:rPr>
          <w:rFonts w:ascii="Times New Roman" w:hAnsi="Times New Roman" w:cs="Times New Roman"/>
          <w:lang w:val="en-AU"/>
        </w:rPr>
        <w:t>Sections 1 to 4 of the Determination set out preliminary details of the instrument, including the name of the determination and commencement. Section 5 provides that the constituents listed in the Schedule are authorised to be use</w:t>
      </w:r>
      <w:bookmarkStart w:id="5" w:name="_GoBack"/>
      <w:bookmarkEnd w:id="5"/>
      <w:r w:rsidRPr="002F5398">
        <w:rPr>
          <w:rFonts w:ascii="Times New Roman" w:hAnsi="Times New Roman" w:cs="Times New Roman"/>
          <w:lang w:val="en-AU"/>
        </w:rPr>
        <w:t xml:space="preserve">d for the purpose or purposes set out in the </w:t>
      </w:r>
      <w:r w:rsidRPr="002F5398">
        <w:rPr>
          <w:rFonts w:ascii="Times New Roman" w:hAnsi="Times New Roman" w:cs="Times New Roman"/>
          <w:lang w:val="en-AU"/>
        </w:rPr>
        <w:lastRenderedPageBreak/>
        <w:t xml:space="preserve">heading of a Part of the Schedule under which the constituent is specified, in all substances or mixtures of substances. </w:t>
      </w:r>
    </w:p>
    <w:p w:rsidR="002F5398" w:rsidRPr="002F5398" w:rsidRDefault="002F5398" w:rsidP="002F5398">
      <w:pPr>
        <w:pStyle w:val="Heading3noTC"/>
        <w:spacing w:before="0" w:after="0"/>
        <w:rPr>
          <w:rFonts w:ascii="Times New Roman" w:hAnsi="Times New Roman" w:cs="Times New Roman"/>
          <w:sz w:val="24"/>
          <w:szCs w:val="24"/>
        </w:rPr>
      </w:pPr>
    </w:p>
    <w:p w:rsidR="002F5398" w:rsidRPr="002F5398" w:rsidRDefault="002F5398" w:rsidP="002F5398">
      <w:pPr>
        <w:pStyle w:val="Heading3noTC"/>
        <w:spacing w:before="0" w:after="0"/>
        <w:rPr>
          <w:rFonts w:ascii="Times New Roman" w:hAnsi="Times New Roman" w:cs="Times New Roman"/>
          <w:b w:val="0"/>
          <w:sz w:val="24"/>
          <w:szCs w:val="24"/>
        </w:rPr>
      </w:pPr>
      <w:r w:rsidRPr="002F5398">
        <w:rPr>
          <w:rFonts w:ascii="Times New Roman" w:hAnsi="Times New Roman" w:cs="Times New Roman"/>
          <w:b w:val="0"/>
          <w:sz w:val="24"/>
          <w:szCs w:val="24"/>
        </w:rPr>
        <w:t xml:space="preserve">Regulatory impacts were considered as part of the recent amendments to the Agvet Code, in particular, the </w:t>
      </w:r>
      <w:r w:rsidRPr="002F5398">
        <w:rPr>
          <w:rFonts w:ascii="Times New Roman" w:hAnsi="Times New Roman" w:cs="Times New Roman"/>
          <w:b w:val="0"/>
          <w:i/>
          <w:sz w:val="24"/>
          <w:szCs w:val="24"/>
        </w:rPr>
        <w:t xml:space="preserve">Agricultural and Veterinary Chemicals Legislation Amendment (Animal Feed Reform and Other Measures) Regulation 2015. </w:t>
      </w:r>
      <w:r w:rsidRPr="002F5398">
        <w:rPr>
          <w:rFonts w:ascii="Times New Roman" w:hAnsi="Times New Roman" w:cs="Times New Roman"/>
          <w:b w:val="0"/>
          <w:sz w:val="24"/>
          <w:szCs w:val="24"/>
        </w:rPr>
        <w:t xml:space="preserve"> The Regularity Impact Statement prepared by the Department of Agriculture, Fisheries and Forestry, assessed by OBPR (OBPR reference 16908) and published on 29 October 2014 applies for the purpose of the making of this Determination. The purpose of this Determination is to support the legislative amendments. The Office of Best Practice Regulations was consulted about this Determination and has advised that no further analysis is required. </w:t>
      </w:r>
    </w:p>
    <w:p w:rsidR="002F5398" w:rsidRPr="002F5398" w:rsidRDefault="002F5398" w:rsidP="002F5398">
      <w:pPr>
        <w:pStyle w:val="Heading3noTC"/>
        <w:spacing w:before="0" w:after="0"/>
        <w:rPr>
          <w:rFonts w:ascii="Times New Roman" w:hAnsi="Times New Roman" w:cs="Times New Roman"/>
          <w:b w:val="0"/>
          <w:sz w:val="24"/>
          <w:szCs w:val="24"/>
        </w:rPr>
      </w:pPr>
    </w:p>
    <w:p w:rsidR="002F5398" w:rsidRPr="002F5398" w:rsidRDefault="002F5398" w:rsidP="002F5398">
      <w:pPr>
        <w:pStyle w:val="Heading3noTC"/>
        <w:spacing w:before="0" w:after="0"/>
        <w:rPr>
          <w:rFonts w:ascii="Times New Roman" w:hAnsi="Times New Roman" w:cs="Times New Roman"/>
          <w:b w:val="0"/>
          <w:sz w:val="24"/>
          <w:szCs w:val="24"/>
        </w:rPr>
      </w:pPr>
      <w:r w:rsidRPr="002F5398">
        <w:rPr>
          <w:rFonts w:ascii="Times New Roman" w:hAnsi="Times New Roman" w:cs="Times New Roman"/>
          <w:b w:val="0"/>
          <w:sz w:val="24"/>
          <w:szCs w:val="24"/>
        </w:rPr>
        <w:t xml:space="preserve">The Determination commences on the day after it is registered. </w:t>
      </w:r>
    </w:p>
    <w:p w:rsidR="002F5398" w:rsidRPr="002F5398" w:rsidRDefault="002F5398" w:rsidP="002F5398">
      <w:pPr>
        <w:pStyle w:val="Heading3noTC"/>
        <w:spacing w:before="0" w:after="0"/>
        <w:rPr>
          <w:rFonts w:ascii="Times New Roman" w:hAnsi="Times New Roman" w:cs="Times New Roman"/>
          <w:b w:val="0"/>
          <w:sz w:val="24"/>
          <w:szCs w:val="24"/>
        </w:rPr>
      </w:pPr>
    </w:p>
    <w:bookmarkEnd w:id="3"/>
    <w:bookmarkEnd w:id="4"/>
    <w:p w:rsidR="002F5398" w:rsidRPr="002F5398" w:rsidRDefault="002F5398" w:rsidP="002F5398">
      <w:pPr>
        <w:pStyle w:val="Bodytext"/>
        <w:spacing w:before="0"/>
        <w:rPr>
          <w:rFonts w:ascii="Times New Roman" w:hAnsi="Times New Roman" w:cs="Times New Roman"/>
          <w:lang w:val="en-AU"/>
        </w:rPr>
      </w:pPr>
      <w:r w:rsidRPr="002F5398">
        <w:rPr>
          <w:rFonts w:ascii="Times New Roman" w:hAnsi="Times New Roman" w:cs="Times New Roman"/>
        </w:rPr>
        <w:t>Th</w:t>
      </w:r>
      <w:r w:rsidRPr="002F5398">
        <w:rPr>
          <w:rFonts w:ascii="Times New Roman" w:hAnsi="Times New Roman" w:cs="Times New Roman"/>
          <w:lang w:val="en-AU"/>
        </w:rPr>
        <w:t xml:space="preserve">is Determination </w:t>
      </w:r>
      <w:r w:rsidRPr="002F5398">
        <w:rPr>
          <w:rFonts w:ascii="Times New Roman" w:hAnsi="Times New Roman" w:cs="Times New Roman"/>
        </w:rPr>
        <w:t xml:space="preserve">is a disallowable legislative instrument for the purposes of the </w:t>
      </w:r>
      <w:r w:rsidRPr="002F5398">
        <w:rPr>
          <w:rFonts w:ascii="Times New Roman" w:hAnsi="Times New Roman" w:cs="Times New Roman"/>
          <w:i/>
        </w:rPr>
        <w:t xml:space="preserve">Legislative Instruments Act 2003 </w:t>
      </w:r>
      <w:r w:rsidRPr="002F5398">
        <w:rPr>
          <w:rFonts w:ascii="Times New Roman" w:hAnsi="Times New Roman" w:cs="Times New Roman"/>
        </w:rPr>
        <w:t xml:space="preserve">(LI Act). </w:t>
      </w:r>
    </w:p>
    <w:p w:rsidR="002F5398" w:rsidRPr="002F5398" w:rsidRDefault="002F5398" w:rsidP="002F5398">
      <w:pPr>
        <w:pStyle w:val="Heading3noTC"/>
        <w:spacing w:before="0" w:after="0"/>
        <w:rPr>
          <w:rFonts w:ascii="Times New Roman" w:hAnsi="Times New Roman" w:cs="Times New Roman"/>
          <w:sz w:val="24"/>
          <w:szCs w:val="24"/>
        </w:rPr>
      </w:pPr>
    </w:p>
    <w:p w:rsidR="002F5398" w:rsidRPr="002F5398" w:rsidRDefault="002F5398" w:rsidP="002F5398">
      <w:pPr>
        <w:pStyle w:val="bodytext1"/>
        <w:shd w:val="clear" w:color="auto" w:fill="FFFFFF"/>
        <w:rPr>
          <w:b/>
          <w:color w:val="auto"/>
          <w:lang w:val="en-US"/>
        </w:rPr>
      </w:pPr>
      <w:bookmarkStart w:id="6" w:name="_Toc360284660"/>
      <w:bookmarkStart w:id="7" w:name="_Toc327863112"/>
      <w:bookmarkEnd w:id="0"/>
      <w:bookmarkEnd w:id="1"/>
      <w:bookmarkEnd w:id="2"/>
      <w:r w:rsidRPr="002F5398">
        <w:rPr>
          <w:b/>
          <w:color w:val="auto"/>
          <w:lang w:val="en-US"/>
        </w:rPr>
        <w:t>Public Consultation</w:t>
      </w:r>
    </w:p>
    <w:p w:rsidR="002F5398" w:rsidRPr="002F5398" w:rsidRDefault="002F5398" w:rsidP="002F5398">
      <w:pPr>
        <w:pStyle w:val="Dotpoint1"/>
        <w:numPr>
          <w:ilvl w:val="0"/>
          <w:numId w:val="0"/>
        </w:numPr>
        <w:tabs>
          <w:tab w:val="clear" w:pos="284"/>
          <w:tab w:val="left" w:pos="720"/>
        </w:tabs>
        <w:spacing w:before="0"/>
        <w:rPr>
          <w:rFonts w:ascii="Times New Roman" w:hAnsi="Times New Roman" w:cs="Times New Roman"/>
        </w:rPr>
      </w:pPr>
      <w:r w:rsidRPr="002F5398">
        <w:rPr>
          <w:rFonts w:ascii="Times New Roman" w:hAnsi="Times New Roman" w:cs="Times New Roman"/>
          <w:lang w:val="en-US"/>
        </w:rPr>
        <w:t>This Determination implements t</w:t>
      </w:r>
      <w:r w:rsidRPr="002F5398">
        <w:rPr>
          <w:rFonts w:ascii="Times New Roman" w:hAnsi="Times New Roman" w:cs="Times New Roman"/>
        </w:rPr>
        <w:t>he legislative reforms</w:t>
      </w:r>
      <w:r w:rsidRPr="002F5398">
        <w:rPr>
          <w:rFonts w:ascii="Times New Roman" w:hAnsi="Times New Roman" w:cs="Times New Roman"/>
          <w:lang w:val="en-AU"/>
        </w:rPr>
        <w:t xml:space="preserve"> to the Regulations that resulted in the </w:t>
      </w:r>
      <w:r w:rsidRPr="002F5398">
        <w:rPr>
          <w:rFonts w:ascii="Times New Roman" w:hAnsi="Times New Roman" w:cs="Times New Roman"/>
          <w:i/>
          <w:lang w:eastAsia="en-AU"/>
        </w:rPr>
        <w:t xml:space="preserve">Agricultural and Veterinary Chemicals Legislation Amendment (Animal Feed Reform and Other Measures) Regulation 2015. </w:t>
      </w:r>
      <w:r w:rsidRPr="002F5398">
        <w:rPr>
          <w:rFonts w:ascii="Times New Roman" w:hAnsi="Times New Roman" w:cs="Times New Roman"/>
          <w:lang w:val="en-AU" w:eastAsia="en-AU"/>
        </w:rPr>
        <w:t xml:space="preserve">As part of those amendments, </w:t>
      </w:r>
      <w:r w:rsidRPr="002F5398">
        <w:rPr>
          <w:rFonts w:ascii="Times New Roman" w:hAnsi="Times New Roman" w:cs="Times New Roman"/>
          <w:lang w:val="en-US"/>
        </w:rPr>
        <w:t xml:space="preserve">extensive stakeholder consultation was undertaken by the Department of Agriculture, Fisheries and Forestry. All the reform options were open for comment. Specific consultation was not undertaken as this Determination directly reflects only that which was previously provided by the </w:t>
      </w:r>
      <w:r w:rsidRPr="002F5398">
        <w:rPr>
          <w:rFonts w:ascii="Times New Roman" w:hAnsi="Times New Roman" w:cs="Times New Roman"/>
          <w:lang w:val="en-AU"/>
        </w:rPr>
        <w:t xml:space="preserve">SNAC Order. </w:t>
      </w:r>
    </w:p>
    <w:p w:rsidR="002F5398" w:rsidRPr="002F5398" w:rsidRDefault="002F5398" w:rsidP="002F5398">
      <w:pPr>
        <w:pStyle w:val="Bodytext"/>
        <w:rPr>
          <w:rFonts w:ascii="Times New Roman" w:hAnsi="Times New Roman" w:cs="Times New Roman"/>
          <w:b/>
          <w:lang w:val="en-AU"/>
        </w:rPr>
      </w:pPr>
      <w:bookmarkStart w:id="8" w:name="_Toc360284662"/>
      <w:bookmarkStart w:id="9" w:name="_Toc327863115"/>
      <w:bookmarkEnd w:id="6"/>
      <w:bookmarkEnd w:id="7"/>
    </w:p>
    <w:p w:rsidR="002F5398" w:rsidRPr="002F5398" w:rsidRDefault="002F5398" w:rsidP="002F5398">
      <w:pPr>
        <w:pStyle w:val="Bodytext"/>
        <w:rPr>
          <w:rFonts w:ascii="Times New Roman" w:hAnsi="Times New Roman" w:cs="Times New Roman"/>
          <w:b/>
          <w:lang w:val="en-AU"/>
        </w:rPr>
      </w:pPr>
      <w:r w:rsidRPr="002F5398">
        <w:rPr>
          <w:rFonts w:ascii="Times New Roman" w:hAnsi="Times New Roman" w:cs="Times New Roman"/>
          <w:b/>
          <w:lang w:val="en-AU"/>
        </w:rPr>
        <w:t xml:space="preserve">Statement of Compatibility with Human Rights </w:t>
      </w:r>
    </w:p>
    <w:p w:rsidR="002F5398" w:rsidRPr="002F5398" w:rsidRDefault="002F5398" w:rsidP="002F5398">
      <w:pPr>
        <w:pStyle w:val="Bodytext"/>
        <w:spacing w:before="0"/>
        <w:rPr>
          <w:rFonts w:ascii="Times New Roman" w:hAnsi="Times New Roman" w:cs="Times New Roman"/>
          <w:lang w:val="en-AU"/>
        </w:rPr>
      </w:pPr>
    </w:p>
    <w:p w:rsidR="002F5398" w:rsidRPr="002F5398" w:rsidRDefault="002F5398" w:rsidP="002F5398">
      <w:pPr>
        <w:ind w:right="-568"/>
        <w:rPr>
          <w:rFonts w:eastAsia="Calibri"/>
          <w:i/>
        </w:rPr>
      </w:pPr>
      <w:r w:rsidRPr="002F5398">
        <w:rPr>
          <w:rFonts w:eastAsia="Calibri"/>
          <w:i/>
        </w:rPr>
        <w:t>Prepared in accordance with Part 3 of the Human Rights (Parliamentary Scrutiny) Act 2011</w:t>
      </w:r>
    </w:p>
    <w:p w:rsidR="002F5398" w:rsidRPr="002F5398" w:rsidRDefault="002F5398" w:rsidP="002F5398">
      <w:pPr>
        <w:ind w:right="-568"/>
        <w:rPr>
          <w:rFonts w:eastAsia="Calibri"/>
        </w:rPr>
      </w:pPr>
    </w:p>
    <w:p w:rsidR="002F5398" w:rsidRPr="002F5398" w:rsidRDefault="002F5398" w:rsidP="002F5398">
      <w:pPr>
        <w:pStyle w:val="BodyTextIndent"/>
        <w:spacing w:after="0"/>
        <w:ind w:left="0" w:right="-568"/>
        <w:jc w:val="both"/>
        <w:rPr>
          <w:b/>
          <w:i/>
          <w:lang w:val="en-AU"/>
        </w:rPr>
      </w:pPr>
      <w:r w:rsidRPr="002F5398">
        <w:rPr>
          <w:b/>
          <w:i/>
        </w:rPr>
        <w:t>Agricultural and Veterinary Chemicals Code Ingredient Determination 2015</w:t>
      </w:r>
    </w:p>
    <w:p w:rsidR="002F5398" w:rsidRPr="002F5398" w:rsidRDefault="002F5398" w:rsidP="002F5398">
      <w:pPr>
        <w:pStyle w:val="BodyTextIndent"/>
        <w:spacing w:after="0"/>
        <w:ind w:left="0" w:right="-568"/>
        <w:jc w:val="both"/>
        <w:rPr>
          <w:b/>
          <w:i/>
          <w:lang w:val="en-AU"/>
        </w:rPr>
      </w:pPr>
    </w:p>
    <w:p w:rsidR="002F5398" w:rsidRPr="002F5398" w:rsidRDefault="002F5398" w:rsidP="002F5398">
      <w:pPr>
        <w:pStyle w:val="BodyTextIndent"/>
        <w:spacing w:after="0"/>
        <w:ind w:left="0" w:right="-568"/>
        <w:jc w:val="both"/>
        <w:rPr>
          <w:b/>
        </w:rPr>
      </w:pPr>
      <w:r w:rsidRPr="002F5398">
        <w:rPr>
          <w:rFonts w:eastAsia="Calibri"/>
        </w:rPr>
        <w:t xml:space="preserve">This </w:t>
      </w:r>
      <w:r w:rsidRPr="002F5398">
        <w:rPr>
          <w:rFonts w:eastAsia="Calibri"/>
          <w:lang w:val="en-AU"/>
        </w:rPr>
        <w:t>Determination</w:t>
      </w:r>
      <w:r w:rsidRPr="002F5398">
        <w:rPr>
          <w:rFonts w:eastAsia="Calibri"/>
        </w:rPr>
        <w:t xml:space="preserve"> is compatible with the human rights and freedoms recognised or declared in the international instruments listed in section 3 of the </w:t>
      </w:r>
      <w:r w:rsidRPr="002F5398">
        <w:rPr>
          <w:rFonts w:eastAsia="Calibri"/>
          <w:i/>
        </w:rPr>
        <w:t>Human Rights (Parliamentary Scrutiny) Act 2011</w:t>
      </w:r>
      <w:r w:rsidRPr="002F5398">
        <w:rPr>
          <w:rFonts w:eastAsia="Calibri"/>
        </w:rPr>
        <w:t>.</w:t>
      </w:r>
    </w:p>
    <w:p w:rsidR="002F5398" w:rsidRPr="002F5398" w:rsidRDefault="002F5398" w:rsidP="002F5398">
      <w:pPr>
        <w:pStyle w:val="Heading3noTC"/>
        <w:spacing w:before="0" w:after="0"/>
        <w:rPr>
          <w:rFonts w:ascii="Times New Roman" w:hAnsi="Times New Roman" w:cs="Times New Roman"/>
          <w:b w:val="0"/>
          <w:sz w:val="24"/>
          <w:szCs w:val="24"/>
          <w:u w:val="single"/>
        </w:rPr>
      </w:pPr>
    </w:p>
    <w:p w:rsidR="002F5398" w:rsidRPr="002F5398" w:rsidRDefault="002F5398" w:rsidP="002F5398">
      <w:pPr>
        <w:pStyle w:val="Heading3noTC"/>
        <w:spacing w:before="0" w:after="0"/>
        <w:rPr>
          <w:rFonts w:ascii="Times New Roman" w:hAnsi="Times New Roman" w:cs="Times New Roman"/>
          <w:b w:val="0"/>
          <w:sz w:val="24"/>
          <w:szCs w:val="24"/>
          <w:u w:val="single"/>
        </w:rPr>
      </w:pPr>
      <w:r w:rsidRPr="002F5398">
        <w:rPr>
          <w:rFonts w:ascii="Times New Roman" w:hAnsi="Times New Roman" w:cs="Times New Roman"/>
          <w:b w:val="0"/>
          <w:sz w:val="24"/>
          <w:szCs w:val="24"/>
          <w:u w:val="single"/>
        </w:rPr>
        <w:t>Overview of the Legislative Instrument</w:t>
      </w:r>
    </w:p>
    <w:p w:rsidR="002F5398" w:rsidRPr="002F5398" w:rsidRDefault="002F5398" w:rsidP="002F5398">
      <w:pPr>
        <w:pStyle w:val="Bodytext"/>
        <w:spacing w:before="0"/>
        <w:rPr>
          <w:rFonts w:ascii="Times New Roman" w:hAnsi="Times New Roman" w:cs="Times New Roman"/>
          <w:lang w:val="en-AU"/>
        </w:rPr>
      </w:pPr>
    </w:p>
    <w:p w:rsidR="002F5398" w:rsidRPr="002F5398" w:rsidRDefault="002F5398" w:rsidP="002F5398">
      <w:pPr>
        <w:pStyle w:val="Bodytext"/>
        <w:spacing w:before="0"/>
        <w:rPr>
          <w:rFonts w:ascii="Times New Roman" w:hAnsi="Times New Roman" w:cs="Times New Roman"/>
          <w:lang w:val="en-AU"/>
        </w:rPr>
      </w:pPr>
      <w:r w:rsidRPr="002F5398">
        <w:rPr>
          <w:rFonts w:ascii="Times New Roman" w:hAnsi="Times New Roman" w:cs="Times New Roman"/>
          <w:lang w:val="en-AU"/>
        </w:rPr>
        <w:t xml:space="preserve">This </w:t>
      </w:r>
      <w:r w:rsidRPr="002F5398">
        <w:rPr>
          <w:rFonts w:ascii="Times New Roman" w:eastAsia="Calibri" w:hAnsi="Times New Roman" w:cs="Times New Roman"/>
          <w:lang w:val="en-AU"/>
        </w:rPr>
        <w:t>Determination</w:t>
      </w:r>
      <w:r w:rsidRPr="002F5398">
        <w:rPr>
          <w:rFonts w:ascii="Times New Roman" w:hAnsi="Times New Roman" w:cs="Times New Roman"/>
          <w:lang w:val="en-AU"/>
        </w:rPr>
        <w:t xml:space="preserve"> authorises the constituent to be used, for the purpose or purposes set out in the heading of a Part of the SNAC Order under which the constituent is specified, in all substances or mixtures of substances. The Schedule to the </w:t>
      </w:r>
      <w:r w:rsidRPr="002F5398">
        <w:rPr>
          <w:rFonts w:ascii="Times New Roman" w:eastAsia="Calibri" w:hAnsi="Times New Roman" w:cs="Times New Roman"/>
          <w:lang w:val="en-AU"/>
        </w:rPr>
        <w:t>Determination</w:t>
      </w:r>
      <w:r w:rsidRPr="002F5398">
        <w:rPr>
          <w:rFonts w:ascii="Times New Roman" w:hAnsi="Times New Roman" w:cs="Times New Roman"/>
          <w:lang w:val="en-AU"/>
        </w:rPr>
        <w:t xml:space="preserve"> specifies the authorised constituent. These substances or mixtures of substances </w:t>
      </w:r>
      <w:r w:rsidRPr="002F5398">
        <w:rPr>
          <w:rFonts w:ascii="Times New Roman" w:hAnsi="Times New Roman" w:cs="Times New Roman"/>
        </w:rPr>
        <w:t>are regarded by relevant experts as posing no danger to animals, humans, non-target animals or the environment.</w:t>
      </w:r>
    </w:p>
    <w:p w:rsidR="002F5398" w:rsidRPr="002F5398" w:rsidRDefault="002F5398" w:rsidP="002F5398">
      <w:pPr>
        <w:ind w:right="-568"/>
        <w:rPr>
          <w:rFonts w:eastAsia="Calibri"/>
        </w:rPr>
      </w:pPr>
    </w:p>
    <w:p w:rsidR="002F5398" w:rsidRPr="002F5398" w:rsidRDefault="002F5398" w:rsidP="002F5398">
      <w:pPr>
        <w:ind w:right="-568"/>
      </w:pPr>
      <w:r w:rsidRPr="002F5398">
        <w:rPr>
          <w:u w:val="single"/>
        </w:rPr>
        <w:t>Human rights implications</w:t>
      </w:r>
    </w:p>
    <w:p w:rsidR="002F5398" w:rsidRPr="002F5398" w:rsidRDefault="002F5398" w:rsidP="002F5398">
      <w:pPr>
        <w:ind w:right="-568"/>
      </w:pPr>
    </w:p>
    <w:p w:rsidR="002F5398" w:rsidRPr="002F5398" w:rsidRDefault="002F5398" w:rsidP="002F5398">
      <w:pPr>
        <w:pStyle w:val="bodytext1"/>
        <w:shd w:val="clear" w:color="auto" w:fill="FFFFFF"/>
        <w:spacing w:before="0" w:after="0"/>
        <w:rPr>
          <w:color w:val="auto"/>
        </w:rPr>
      </w:pPr>
      <w:r w:rsidRPr="002F5398">
        <w:rPr>
          <w:color w:val="auto"/>
          <w:lang w:val="en-US"/>
        </w:rPr>
        <w:t xml:space="preserve">This </w:t>
      </w:r>
      <w:r w:rsidRPr="002F5398">
        <w:rPr>
          <w:rFonts w:eastAsia="Calibri"/>
          <w:color w:val="auto"/>
        </w:rPr>
        <w:t>Determination</w:t>
      </w:r>
      <w:r w:rsidRPr="002F5398">
        <w:rPr>
          <w:color w:val="auto"/>
          <w:lang w:val="en-US"/>
        </w:rPr>
        <w:t xml:space="preserve"> engages the </w:t>
      </w:r>
      <w:r w:rsidRPr="002F5398">
        <w:rPr>
          <w:color w:val="auto"/>
        </w:rPr>
        <w:t xml:space="preserve">the right to health and a healthy environment (Article 12) in the </w:t>
      </w:r>
      <w:r w:rsidRPr="002F5398">
        <w:rPr>
          <w:i/>
          <w:iCs/>
          <w:color w:val="auto"/>
        </w:rPr>
        <w:t>International Covenant on Economic, Social and Cultural Rights</w:t>
      </w:r>
      <w:r w:rsidRPr="002F5398">
        <w:rPr>
          <w:color w:val="auto"/>
        </w:rPr>
        <w:t xml:space="preserve"> (ICESCR).</w:t>
      </w:r>
      <w:r w:rsidRPr="002F5398">
        <w:rPr>
          <w:color w:val="auto"/>
          <w:lang w:val="en-US"/>
        </w:rPr>
        <w:t xml:space="preserve"> The United </w:t>
      </w:r>
      <w:r w:rsidRPr="002F5398">
        <w:rPr>
          <w:color w:val="auto"/>
          <w:lang w:val="en-US"/>
        </w:rPr>
        <w:lastRenderedPageBreak/>
        <w:t>Nations Committee on Economic, Social and Cultural Rights has interpreted Article 12 to extend to the underlying determinants of health, including a healthy environment.</w:t>
      </w:r>
    </w:p>
    <w:p w:rsidR="002F5398" w:rsidRPr="002F5398" w:rsidRDefault="002F5398" w:rsidP="002F5398">
      <w:pPr>
        <w:pStyle w:val="bodytext1"/>
        <w:shd w:val="clear" w:color="auto" w:fill="FFFFFF"/>
        <w:spacing w:before="0" w:after="0"/>
        <w:rPr>
          <w:color w:val="auto"/>
        </w:rPr>
      </w:pPr>
    </w:p>
    <w:p w:rsidR="002F5398" w:rsidRPr="002F5398" w:rsidRDefault="002F5398" w:rsidP="002F5398">
      <w:pPr>
        <w:pStyle w:val="bodytext1"/>
        <w:shd w:val="clear" w:color="auto" w:fill="FFFFFF"/>
        <w:spacing w:before="0" w:after="0"/>
        <w:rPr>
          <w:color w:val="auto"/>
          <w:lang w:val="en-US"/>
        </w:rPr>
      </w:pPr>
      <w:r w:rsidRPr="002F5398">
        <w:rPr>
          <w:color w:val="auto"/>
        </w:rPr>
        <w:t xml:space="preserve">This </w:t>
      </w:r>
      <w:r w:rsidRPr="002F5398">
        <w:rPr>
          <w:rFonts w:eastAsia="Calibri"/>
          <w:color w:val="auto"/>
        </w:rPr>
        <w:t>Determination</w:t>
      </w:r>
      <w:r w:rsidRPr="002F5398">
        <w:rPr>
          <w:color w:val="auto"/>
          <w:lang w:val="en-US"/>
        </w:rPr>
        <w:t xml:space="preserve"> engages and promotes the right to health in Article 12 of the ICESCR by limiting </w:t>
      </w:r>
      <w:r w:rsidRPr="002F5398">
        <w:rPr>
          <w:color w:val="auto"/>
        </w:rPr>
        <w:t>the use of ingredients in one or more classes of excluded nutritional or digestive products to</w:t>
      </w:r>
      <w:r w:rsidRPr="002F5398">
        <w:rPr>
          <w:color w:val="auto"/>
          <w:lang w:val="en-US"/>
        </w:rPr>
        <w:t xml:space="preserve"> ones recognized as appropriate for animal feeds having regard to the likelihood of residues that may impact human health.</w:t>
      </w:r>
    </w:p>
    <w:p w:rsidR="002F5398" w:rsidRPr="002F5398" w:rsidRDefault="002F5398" w:rsidP="002F5398">
      <w:pPr>
        <w:ind w:right="-568"/>
      </w:pPr>
    </w:p>
    <w:p w:rsidR="002F5398" w:rsidRPr="002F5398" w:rsidRDefault="002F5398" w:rsidP="002F5398">
      <w:pPr>
        <w:ind w:right="-568"/>
      </w:pPr>
      <w:r w:rsidRPr="002F5398">
        <w:t xml:space="preserve">This </w:t>
      </w:r>
      <w:r w:rsidRPr="002F5398">
        <w:rPr>
          <w:rFonts w:eastAsia="Calibri"/>
        </w:rPr>
        <w:t>Determination</w:t>
      </w:r>
      <w:r w:rsidRPr="002F5398">
        <w:t xml:space="preserve"> does not otherwise engage any of the applicable rights or freedoms.</w:t>
      </w:r>
    </w:p>
    <w:p w:rsidR="002F5398" w:rsidRPr="002F5398" w:rsidRDefault="002F5398" w:rsidP="002F5398">
      <w:pPr>
        <w:ind w:right="-568"/>
      </w:pPr>
    </w:p>
    <w:p w:rsidR="002F5398" w:rsidRPr="002F5398" w:rsidRDefault="002F5398" w:rsidP="002F5398">
      <w:pPr>
        <w:ind w:right="-568"/>
      </w:pPr>
      <w:r w:rsidRPr="002F5398">
        <w:rPr>
          <w:u w:val="single"/>
        </w:rPr>
        <w:t>Conclusion</w:t>
      </w:r>
    </w:p>
    <w:p w:rsidR="002F5398" w:rsidRPr="002F5398" w:rsidRDefault="002F5398" w:rsidP="002F5398">
      <w:pPr>
        <w:ind w:right="-568"/>
      </w:pPr>
    </w:p>
    <w:p w:rsidR="002F5398" w:rsidRPr="002F5398" w:rsidRDefault="002F5398" w:rsidP="002F5398">
      <w:pPr>
        <w:ind w:right="-568"/>
        <w:rPr>
          <w:color w:val="000000"/>
        </w:rPr>
      </w:pPr>
      <w:r w:rsidRPr="002F5398">
        <w:t xml:space="preserve">This Legislative Instrument is compatible with human rights as it promotes the </w:t>
      </w:r>
      <w:r w:rsidRPr="002F5398">
        <w:rPr>
          <w:lang w:val="en-GB"/>
        </w:rPr>
        <w:t>right to health and a healthy environment through controlling ingredients of feed fed to food producing animal species</w:t>
      </w:r>
      <w:r w:rsidRPr="002F5398">
        <w:t xml:space="preserve"> and does not otherwise raise any human rights issues.</w:t>
      </w:r>
      <w:bookmarkEnd w:id="8"/>
      <w:bookmarkEnd w:id="9"/>
    </w:p>
    <w:p w:rsidR="00CA2B1E" w:rsidRDefault="002F5398"/>
    <w:sectPr w:rsidR="00CA2B1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398" w:rsidRDefault="002F5398" w:rsidP="002F5398">
      <w:r>
        <w:separator/>
      </w:r>
    </w:p>
  </w:endnote>
  <w:endnote w:type="continuationSeparator" w:id="0">
    <w:p w:rsidR="002F5398" w:rsidRDefault="002F5398" w:rsidP="002F5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7717886"/>
      <w:docPartObj>
        <w:docPartGallery w:val="Page Numbers (Bottom of Page)"/>
        <w:docPartUnique/>
      </w:docPartObj>
    </w:sdtPr>
    <w:sdtEndPr>
      <w:rPr>
        <w:noProof/>
      </w:rPr>
    </w:sdtEndPr>
    <w:sdtContent>
      <w:p w:rsidR="002F5398" w:rsidRDefault="002F539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2F5398" w:rsidRPr="002F5398" w:rsidRDefault="002F5398" w:rsidP="002F5398">
    <w:pPr>
      <w:pStyle w:val="Footer"/>
      <w:jc w:val="center"/>
      <w:rPr>
        <w:sz w:val="18"/>
        <w:szCs w:val="18"/>
      </w:rPr>
    </w:pPr>
    <w:r w:rsidRPr="002F5398">
      <w:rPr>
        <w:sz w:val="18"/>
        <w:szCs w:val="18"/>
      </w:rPr>
      <w:t>Explanatory Statement</w:t>
    </w:r>
  </w:p>
  <w:p w:rsidR="002F5398" w:rsidRPr="002F5398" w:rsidRDefault="002F5398" w:rsidP="002F5398">
    <w:pPr>
      <w:pStyle w:val="Footer"/>
      <w:jc w:val="center"/>
      <w:rPr>
        <w:sz w:val="18"/>
        <w:szCs w:val="18"/>
      </w:rPr>
    </w:pPr>
    <w:r w:rsidRPr="002F5398">
      <w:rPr>
        <w:sz w:val="18"/>
        <w:szCs w:val="18"/>
      </w:rPr>
      <w:t>Agricultural and Veterinary Chemicals Code Ingredient Determination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398" w:rsidRDefault="002F5398" w:rsidP="002F5398">
      <w:r>
        <w:separator/>
      </w:r>
    </w:p>
  </w:footnote>
  <w:footnote w:type="continuationSeparator" w:id="0">
    <w:p w:rsidR="002F5398" w:rsidRDefault="002F5398" w:rsidP="002F53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2E1C7B"/>
    <w:multiLevelType w:val="hybridMultilevel"/>
    <w:tmpl w:val="E2CA0286"/>
    <w:lvl w:ilvl="0" w:tplc="35FEC3EE">
      <w:start w:val="1"/>
      <w:numFmt w:val="bullet"/>
      <w:pStyle w:val="Dotpoint1"/>
      <w:lvlText w:val=""/>
      <w:lvlJc w:val="left"/>
      <w:pPr>
        <w:ind w:left="360" w:hanging="360"/>
      </w:pPr>
      <w:rPr>
        <w:rFonts w:ascii="Symbol" w:hAnsi="Symbol" w:hint="default"/>
        <w:sz w:val="16"/>
      </w:rPr>
    </w:lvl>
    <w:lvl w:ilvl="1" w:tplc="E06C3BFC">
      <w:start w:val="1"/>
      <w:numFmt w:val="bullet"/>
      <w:pStyle w:val="Dashpoint1"/>
      <w:lvlText w:val="­"/>
      <w:lvlJc w:val="left"/>
      <w:pPr>
        <w:ind w:left="1080" w:hanging="360"/>
      </w:pPr>
      <w:rPr>
        <w:rFonts w:ascii="Courier New" w:hAnsi="Courier New" w:cs="Times New Roman" w:hint="default"/>
        <w:sz w:val="16"/>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398"/>
    <w:rsid w:val="002F5398"/>
    <w:rsid w:val="00882033"/>
    <w:rsid w:val="00B432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398"/>
    <w:pPr>
      <w:spacing w:after="0" w:line="240" w:lineRule="auto"/>
    </w:pPr>
    <w:rPr>
      <w:rFonts w:ascii="Times New Roman" w:eastAsia="Times New Roman" w:hAnsi="Times New Roman" w:cs="Times New Roman"/>
      <w:sz w:val="24"/>
      <w:szCs w:val="24"/>
      <w:lang w:eastAsia="en-AU"/>
    </w:rPr>
  </w:style>
  <w:style w:type="paragraph" w:styleId="Heading6">
    <w:name w:val="heading 6"/>
    <w:basedOn w:val="Normal"/>
    <w:next w:val="Normal"/>
    <w:link w:val="Heading6Char"/>
    <w:uiPriority w:val="9"/>
    <w:semiHidden/>
    <w:unhideWhenUsed/>
    <w:qFormat/>
    <w:rsid w:val="002F5398"/>
    <w:pPr>
      <w:keepNext/>
      <w:ind w:right="91"/>
      <w:outlineLvl w:val="5"/>
    </w:pPr>
    <w:rPr>
      <w:rFonts w:ascii="Calibri" w:hAnsi="Calibri"/>
      <w:b/>
      <w:bCs/>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semiHidden/>
    <w:rsid w:val="002F5398"/>
    <w:rPr>
      <w:rFonts w:ascii="Calibri" w:eastAsia="Times New Roman" w:hAnsi="Calibri" w:cs="Times New Roman"/>
      <w:b/>
      <w:bCs/>
      <w:lang w:val="x-none" w:eastAsia="x-none"/>
    </w:rPr>
  </w:style>
  <w:style w:type="paragraph" w:styleId="BodyTextIndent">
    <w:name w:val="Body Text Indent"/>
    <w:basedOn w:val="Normal"/>
    <w:link w:val="BodyTextIndentChar"/>
    <w:semiHidden/>
    <w:unhideWhenUsed/>
    <w:rsid w:val="002F5398"/>
    <w:pPr>
      <w:spacing w:after="120"/>
      <w:ind w:left="283"/>
    </w:pPr>
    <w:rPr>
      <w:lang w:val="x-none" w:eastAsia="x-none"/>
    </w:rPr>
  </w:style>
  <w:style w:type="character" w:customStyle="1" w:styleId="BodyTextIndentChar">
    <w:name w:val="Body Text Indent Char"/>
    <w:basedOn w:val="DefaultParagraphFont"/>
    <w:link w:val="BodyTextIndent"/>
    <w:semiHidden/>
    <w:rsid w:val="002F5398"/>
    <w:rPr>
      <w:rFonts w:ascii="Times New Roman" w:eastAsia="Times New Roman" w:hAnsi="Times New Roman" w:cs="Times New Roman"/>
      <w:sz w:val="24"/>
      <w:szCs w:val="24"/>
      <w:lang w:val="x-none" w:eastAsia="x-none"/>
    </w:rPr>
  </w:style>
  <w:style w:type="paragraph" w:customStyle="1" w:styleId="bodytext1">
    <w:name w:val="bodytext1"/>
    <w:basedOn w:val="Normal"/>
    <w:rsid w:val="002F5398"/>
    <w:pPr>
      <w:spacing w:before="180" w:after="180"/>
    </w:pPr>
    <w:rPr>
      <w:color w:val="444444"/>
    </w:rPr>
  </w:style>
  <w:style w:type="character" w:customStyle="1" w:styleId="BodytextChar">
    <w:name w:val="Body text Char"/>
    <w:link w:val="Bodytext"/>
    <w:locked/>
    <w:rsid w:val="002F5398"/>
    <w:rPr>
      <w:sz w:val="24"/>
      <w:szCs w:val="24"/>
      <w:lang w:val="x-none" w:eastAsia="x-none"/>
    </w:rPr>
  </w:style>
  <w:style w:type="paragraph" w:customStyle="1" w:styleId="Bodytext">
    <w:name w:val="Body text"/>
    <w:basedOn w:val="ListParagraph"/>
    <w:link w:val="BodytextChar"/>
    <w:qFormat/>
    <w:rsid w:val="002F5398"/>
    <w:pPr>
      <w:spacing w:before="120"/>
      <w:ind w:left="0"/>
      <w:contextualSpacing w:val="0"/>
    </w:pPr>
    <w:rPr>
      <w:rFonts w:asciiTheme="minorHAnsi" w:eastAsiaTheme="minorHAnsi" w:hAnsiTheme="minorHAnsi" w:cstheme="minorBidi"/>
      <w:lang w:val="x-none" w:eastAsia="x-none"/>
    </w:rPr>
  </w:style>
  <w:style w:type="character" w:customStyle="1" w:styleId="Dotpoint1Char">
    <w:name w:val="Dot point 1 Char"/>
    <w:link w:val="Dotpoint1"/>
    <w:locked/>
    <w:rsid w:val="002F5398"/>
    <w:rPr>
      <w:sz w:val="24"/>
      <w:szCs w:val="24"/>
      <w:lang w:val="x-none" w:eastAsia="x-none"/>
    </w:rPr>
  </w:style>
  <w:style w:type="paragraph" w:customStyle="1" w:styleId="Dotpoint1">
    <w:name w:val="Dot point 1"/>
    <w:basedOn w:val="Normal"/>
    <w:link w:val="Dotpoint1Char"/>
    <w:qFormat/>
    <w:rsid w:val="002F5398"/>
    <w:pPr>
      <w:numPr>
        <w:numId w:val="1"/>
      </w:numPr>
      <w:tabs>
        <w:tab w:val="left" w:pos="284"/>
      </w:tabs>
      <w:autoSpaceDE w:val="0"/>
      <w:autoSpaceDN w:val="0"/>
      <w:spacing w:before="60"/>
    </w:pPr>
    <w:rPr>
      <w:rFonts w:asciiTheme="minorHAnsi" w:eastAsiaTheme="minorHAnsi" w:hAnsiTheme="minorHAnsi" w:cstheme="minorBidi"/>
      <w:lang w:val="x-none" w:eastAsia="x-none"/>
    </w:rPr>
  </w:style>
  <w:style w:type="paragraph" w:customStyle="1" w:styleId="Dashpoint1">
    <w:name w:val="Dash point 1"/>
    <w:basedOn w:val="Dotpoint1"/>
    <w:rsid w:val="002F5398"/>
    <w:pPr>
      <w:numPr>
        <w:ilvl w:val="1"/>
      </w:numPr>
      <w:tabs>
        <w:tab w:val="clear" w:pos="284"/>
        <w:tab w:val="num" w:pos="360"/>
        <w:tab w:val="left" w:pos="709"/>
      </w:tabs>
    </w:pPr>
  </w:style>
  <w:style w:type="character" w:customStyle="1" w:styleId="Heading3noTCChar">
    <w:name w:val="Heading 3_no_TC Char"/>
    <w:link w:val="Heading3noTC"/>
    <w:locked/>
    <w:rsid w:val="002F5398"/>
    <w:rPr>
      <w:b/>
      <w:bCs/>
      <w:sz w:val="28"/>
      <w:szCs w:val="26"/>
    </w:rPr>
  </w:style>
  <w:style w:type="paragraph" w:customStyle="1" w:styleId="Heading3noTC">
    <w:name w:val="Heading_3_no_TC"/>
    <w:link w:val="Heading3noTCChar"/>
    <w:qFormat/>
    <w:rsid w:val="002F5398"/>
    <w:pPr>
      <w:spacing w:before="360" w:after="60" w:line="240" w:lineRule="auto"/>
    </w:pPr>
    <w:rPr>
      <w:b/>
      <w:bCs/>
      <w:sz w:val="28"/>
      <w:szCs w:val="26"/>
    </w:rPr>
  </w:style>
  <w:style w:type="paragraph" w:styleId="ListParagraph">
    <w:name w:val="List Paragraph"/>
    <w:basedOn w:val="Normal"/>
    <w:uiPriority w:val="34"/>
    <w:qFormat/>
    <w:rsid w:val="002F5398"/>
    <w:pPr>
      <w:ind w:left="720"/>
      <w:contextualSpacing/>
    </w:pPr>
  </w:style>
  <w:style w:type="paragraph" w:styleId="Header">
    <w:name w:val="header"/>
    <w:basedOn w:val="Normal"/>
    <w:link w:val="HeaderChar"/>
    <w:uiPriority w:val="99"/>
    <w:unhideWhenUsed/>
    <w:rsid w:val="002F5398"/>
    <w:pPr>
      <w:tabs>
        <w:tab w:val="center" w:pos="4513"/>
        <w:tab w:val="right" w:pos="9026"/>
      </w:tabs>
    </w:pPr>
  </w:style>
  <w:style w:type="character" w:customStyle="1" w:styleId="HeaderChar">
    <w:name w:val="Header Char"/>
    <w:basedOn w:val="DefaultParagraphFont"/>
    <w:link w:val="Header"/>
    <w:uiPriority w:val="99"/>
    <w:rsid w:val="002F5398"/>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2F5398"/>
    <w:pPr>
      <w:tabs>
        <w:tab w:val="center" w:pos="4513"/>
        <w:tab w:val="right" w:pos="9026"/>
      </w:tabs>
    </w:pPr>
  </w:style>
  <w:style w:type="character" w:customStyle="1" w:styleId="FooterChar">
    <w:name w:val="Footer Char"/>
    <w:basedOn w:val="DefaultParagraphFont"/>
    <w:link w:val="Footer"/>
    <w:uiPriority w:val="99"/>
    <w:rsid w:val="002F5398"/>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398"/>
    <w:pPr>
      <w:spacing w:after="0" w:line="240" w:lineRule="auto"/>
    </w:pPr>
    <w:rPr>
      <w:rFonts w:ascii="Times New Roman" w:eastAsia="Times New Roman" w:hAnsi="Times New Roman" w:cs="Times New Roman"/>
      <w:sz w:val="24"/>
      <w:szCs w:val="24"/>
      <w:lang w:eastAsia="en-AU"/>
    </w:rPr>
  </w:style>
  <w:style w:type="paragraph" w:styleId="Heading6">
    <w:name w:val="heading 6"/>
    <w:basedOn w:val="Normal"/>
    <w:next w:val="Normal"/>
    <w:link w:val="Heading6Char"/>
    <w:uiPriority w:val="9"/>
    <w:semiHidden/>
    <w:unhideWhenUsed/>
    <w:qFormat/>
    <w:rsid w:val="002F5398"/>
    <w:pPr>
      <w:keepNext/>
      <w:ind w:right="91"/>
      <w:outlineLvl w:val="5"/>
    </w:pPr>
    <w:rPr>
      <w:rFonts w:ascii="Calibri" w:hAnsi="Calibri"/>
      <w:b/>
      <w:bCs/>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semiHidden/>
    <w:rsid w:val="002F5398"/>
    <w:rPr>
      <w:rFonts w:ascii="Calibri" w:eastAsia="Times New Roman" w:hAnsi="Calibri" w:cs="Times New Roman"/>
      <w:b/>
      <w:bCs/>
      <w:lang w:val="x-none" w:eastAsia="x-none"/>
    </w:rPr>
  </w:style>
  <w:style w:type="paragraph" w:styleId="BodyTextIndent">
    <w:name w:val="Body Text Indent"/>
    <w:basedOn w:val="Normal"/>
    <w:link w:val="BodyTextIndentChar"/>
    <w:semiHidden/>
    <w:unhideWhenUsed/>
    <w:rsid w:val="002F5398"/>
    <w:pPr>
      <w:spacing w:after="120"/>
      <w:ind w:left="283"/>
    </w:pPr>
    <w:rPr>
      <w:lang w:val="x-none" w:eastAsia="x-none"/>
    </w:rPr>
  </w:style>
  <w:style w:type="character" w:customStyle="1" w:styleId="BodyTextIndentChar">
    <w:name w:val="Body Text Indent Char"/>
    <w:basedOn w:val="DefaultParagraphFont"/>
    <w:link w:val="BodyTextIndent"/>
    <w:semiHidden/>
    <w:rsid w:val="002F5398"/>
    <w:rPr>
      <w:rFonts w:ascii="Times New Roman" w:eastAsia="Times New Roman" w:hAnsi="Times New Roman" w:cs="Times New Roman"/>
      <w:sz w:val="24"/>
      <w:szCs w:val="24"/>
      <w:lang w:val="x-none" w:eastAsia="x-none"/>
    </w:rPr>
  </w:style>
  <w:style w:type="paragraph" w:customStyle="1" w:styleId="bodytext1">
    <w:name w:val="bodytext1"/>
    <w:basedOn w:val="Normal"/>
    <w:rsid w:val="002F5398"/>
    <w:pPr>
      <w:spacing w:before="180" w:after="180"/>
    </w:pPr>
    <w:rPr>
      <w:color w:val="444444"/>
    </w:rPr>
  </w:style>
  <w:style w:type="character" w:customStyle="1" w:styleId="BodytextChar">
    <w:name w:val="Body text Char"/>
    <w:link w:val="Bodytext"/>
    <w:locked/>
    <w:rsid w:val="002F5398"/>
    <w:rPr>
      <w:sz w:val="24"/>
      <w:szCs w:val="24"/>
      <w:lang w:val="x-none" w:eastAsia="x-none"/>
    </w:rPr>
  </w:style>
  <w:style w:type="paragraph" w:customStyle="1" w:styleId="Bodytext">
    <w:name w:val="Body text"/>
    <w:basedOn w:val="ListParagraph"/>
    <w:link w:val="BodytextChar"/>
    <w:qFormat/>
    <w:rsid w:val="002F5398"/>
    <w:pPr>
      <w:spacing w:before="120"/>
      <w:ind w:left="0"/>
      <w:contextualSpacing w:val="0"/>
    </w:pPr>
    <w:rPr>
      <w:rFonts w:asciiTheme="minorHAnsi" w:eastAsiaTheme="minorHAnsi" w:hAnsiTheme="minorHAnsi" w:cstheme="minorBidi"/>
      <w:lang w:val="x-none" w:eastAsia="x-none"/>
    </w:rPr>
  </w:style>
  <w:style w:type="character" w:customStyle="1" w:styleId="Dotpoint1Char">
    <w:name w:val="Dot point 1 Char"/>
    <w:link w:val="Dotpoint1"/>
    <w:locked/>
    <w:rsid w:val="002F5398"/>
    <w:rPr>
      <w:sz w:val="24"/>
      <w:szCs w:val="24"/>
      <w:lang w:val="x-none" w:eastAsia="x-none"/>
    </w:rPr>
  </w:style>
  <w:style w:type="paragraph" w:customStyle="1" w:styleId="Dotpoint1">
    <w:name w:val="Dot point 1"/>
    <w:basedOn w:val="Normal"/>
    <w:link w:val="Dotpoint1Char"/>
    <w:qFormat/>
    <w:rsid w:val="002F5398"/>
    <w:pPr>
      <w:numPr>
        <w:numId w:val="1"/>
      </w:numPr>
      <w:tabs>
        <w:tab w:val="left" w:pos="284"/>
      </w:tabs>
      <w:autoSpaceDE w:val="0"/>
      <w:autoSpaceDN w:val="0"/>
      <w:spacing w:before="60"/>
    </w:pPr>
    <w:rPr>
      <w:rFonts w:asciiTheme="minorHAnsi" w:eastAsiaTheme="minorHAnsi" w:hAnsiTheme="minorHAnsi" w:cstheme="minorBidi"/>
      <w:lang w:val="x-none" w:eastAsia="x-none"/>
    </w:rPr>
  </w:style>
  <w:style w:type="paragraph" w:customStyle="1" w:styleId="Dashpoint1">
    <w:name w:val="Dash point 1"/>
    <w:basedOn w:val="Dotpoint1"/>
    <w:rsid w:val="002F5398"/>
    <w:pPr>
      <w:numPr>
        <w:ilvl w:val="1"/>
      </w:numPr>
      <w:tabs>
        <w:tab w:val="clear" w:pos="284"/>
        <w:tab w:val="num" w:pos="360"/>
        <w:tab w:val="left" w:pos="709"/>
      </w:tabs>
    </w:pPr>
  </w:style>
  <w:style w:type="character" w:customStyle="1" w:styleId="Heading3noTCChar">
    <w:name w:val="Heading 3_no_TC Char"/>
    <w:link w:val="Heading3noTC"/>
    <w:locked/>
    <w:rsid w:val="002F5398"/>
    <w:rPr>
      <w:b/>
      <w:bCs/>
      <w:sz w:val="28"/>
      <w:szCs w:val="26"/>
    </w:rPr>
  </w:style>
  <w:style w:type="paragraph" w:customStyle="1" w:styleId="Heading3noTC">
    <w:name w:val="Heading_3_no_TC"/>
    <w:link w:val="Heading3noTCChar"/>
    <w:qFormat/>
    <w:rsid w:val="002F5398"/>
    <w:pPr>
      <w:spacing w:before="360" w:after="60" w:line="240" w:lineRule="auto"/>
    </w:pPr>
    <w:rPr>
      <w:b/>
      <w:bCs/>
      <w:sz w:val="28"/>
      <w:szCs w:val="26"/>
    </w:rPr>
  </w:style>
  <w:style w:type="paragraph" w:styleId="ListParagraph">
    <w:name w:val="List Paragraph"/>
    <w:basedOn w:val="Normal"/>
    <w:uiPriority w:val="34"/>
    <w:qFormat/>
    <w:rsid w:val="002F5398"/>
    <w:pPr>
      <w:ind w:left="720"/>
      <w:contextualSpacing/>
    </w:pPr>
  </w:style>
  <w:style w:type="paragraph" w:styleId="Header">
    <w:name w:val="header"/>
    <w:basedOn w:val="Normal"/>
    <w:link w:val="HeaderChar"/>
    <w:uiPriority w:val="99"/>
    <w:unhideWhenUsed/>
    <w:rsid w:val="002F5398"/>
    <w:pPr>
      <w:tabs>
        <w:tab w:val="center" w:pos="4513"/>
        <w:tab w:val="right" w:pos="9026"/>
      </w:tabs>
    </w:pPr>
  </w:style>
  <w:style w:type="character" w:customStyle="1" w:styleId="HeaderChar">
    <w:name w:val="Header Char"/>
    <w:basedOn w:val="DefaultParagraphFont"/>
    <w:link w:val="Header"/>
    <w:uiPriority w:val="99"/>
    <w:rsid w:val="002F5398"/>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2F5398"/>
    <w:pPr>
      <w:tabs>
        <w:tab w:val="center" w:pos="4513"/>
        <w:tab w:val="right" w:pos="9026"/>
      </w:tabs>
    </w:pPr>
  </w:style>
  <w:style w:type="character" w:customStyle="1" w:styleId="FooterChar">
    <w:name w:val="Footer Char"/>
    <w:basedOn w:val="DefaultParagraphFont"/>
    <w:link w:val="Footer"/>
    <w:uiPriority w:val="99"/>
    <w:rsid w:val="002F5398"/>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89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977</Words>
  <Characters>5571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APVMA</Company>
  <LinksUpToDate>false</LinksUpToDate>
  <CharactersWithSpaces>6535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VELLA, Debora</dc:creator>
  <cp:lastModifiedBy>VELLA, Debora</cp:lastModifiedBy>
  <cp:revision>1</cp:revision>
  <cp:lastPrinted>2015-05-11T03:28:00Z</cp:lastPrinted>
  <dcterms:created xsi:type="dcterms:W3CDTF">2015-05-11T03:26:00Z</dcterms:created>
  <dcterms:modified xsi:type="dcterms:W3CDTF">2015-05-11T03:29:00Z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A295169</vt:lpwstr>
  </property>
  <property fmtid="{D5CDD505-2E9C-101B-9397-08002B2CF9AE}" pid="4" name="Objective-Title">
    <vt:lpwstr>Explanatory Statement - Agricultural and Veterinary Chemicals Code Ingredient Determination 2015</vt:lpwstr>
  </property>
  <property fmtid="{D5CDD505-2E9C-101B-9397-08002B2CF9AE}" pid="5" name="Objective-Comment">
    <vt:lpwstr>Draft of ES for Ingredient Determination</vt:lpwstr>
  </property>
  <property fmtid="{D5CDD505-2E9C-101B-9397-08002B2CF9AE}" pid="6" name="Objective-CreationStamp">
    <vt:filetime>2015-04-27T06:29:03Z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2015-05-13T06:07:46Z</vt:filetime>
  </property>
  <property fmtid="{D5CDD505-2E9C-101B-9397-08002B2CF9AE}" pid="10" name="Objective-ModificationStamp">
    <vt:filetime>2015-06-01T01:48:14Z</vt:filetime>
  </property>
  <property fmtid="{D5CDD505-2E9C-101B-9397-08002B2CF9AE}" pid="11" name="Objective-Owner">
    <vt:lpwstr>Debora Vella</vt:lpwstr>
  </property>
  <property fmtid="{D5CDD505-2E9C-101B-9397-08002B2CF9AE}" pid="12" name="Objective-Path">
    <vt:lpwstr>APVMA:LEGAL SERVICES:Legal Services - Legislative Instruments:Legal Services - Legislative Instruments - Agricultural and Veterinary Chemicals Code (Excluded Stockfood Non-active Constituents) Ingredient Determination (No.1) 2015:Explanatory Statement - Ingredients Determination 2015:</vt:lpwstr>
  </property>
  <property fmtid="{D5CDD505-2E9C-101B-9397-08002B2CF9AE}" pid="13" name="Objective-Parent">
    <vt:lpwstr>Explanatory Statement - Ingredients Determination 2015</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9</vt:r8>
  </property>
  <property fmtid="{D5CDD505-2E9C-101B-9397-08002B2CF9AE}" pid="17" name="Objective-VersionComment">
    <vt:lpwstr>New Version because last version doesn't print - technical error</vt:lpwstr>
  </property>
  <property fmtid="{D5CDD505-2E9C-101B-9397-08002B2CF9AE}" pid="18" name="Objective-FileNumber">
    <vt:lpwstr/>
  </property>
  <property fmtid="{D5CDD505-2E9C-101B-9397-08002B2CF9AE}" pid="19" name="Objective-Classification">
    <vt:lpwstr>[Inherited - Unclassified]</vt:lpwstr>
  </property>
  <property fmtid="{D5CDD505-2E9C-101B-9397-08002B2CF9AE}" pid="20" name="Objective-Caveats">
    <vt:lpwstr/>
  </property>
</Properties>
</file>