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228A" w:rsidRPr="003F7530" w:rsidRDefault="00825478" w:rsidP="00056DC2">
      <w:pPr>
        <w:pStyle w:val="Heading"/>
        <w:spacing w:before="0" w:after="240"/>
        <w:jc w:val="center"/>
        <w:rPr>
          <w:rFonts w:cs="Times New Roman"/>
          <w:sz w:val="24"/>
          <w:szCs w:val="24"/>
        </w:rPr>
      </w:pPr>
      <w:bookmarkStart w:id="0" w:name="bkInstrumentSubTitle"/>
      <w:bookmarkStart w:id="1" w:name="_GoBack"/>
      <w:bookmarkEnd w:id="0"/>
      <w:bookmarkEnd w:id="1"/>
      <w:r w:rsidRPr="003F7530">
        <w:rPr>
          <w:rFonts w:cs="Times New Roman"/>
          <w:sz w:val="24"/>
          <w:szCs w:val="24"/>
        </w:rPr>
        <w:t>Financial Sector (Collection of Data) (reporting standard) determination</w:t>
      </w:r>
      <w:r w:rsidR="00CB3E9A">
        <w:rPr>
          <w:rFonts w:cs="Times New Roman"/>
          <w:sz w:val="24"/>
          <w:szCs w:val="24"/>
        </w:rPr>
        <w:t>s</w:t>
      </w:r>
      <w:r w:rsidRPr="003F7530">
        <w:rPr>
          <w:rFonts w:cs="Times New Roman"/>
          <w:sz w:val="24"/>
          <w:szCs w:val="24"/>
        </w:rPr>
        <w:t xml:space="preserve"> </w:t>
      </w:r>
      <w:r w:rsidR="00865B6D" w:rsidRPr="00EF40BB">
        <w:rPr>
          <w:rFonts w:cs="Times New Roman"/>
          <w:sz w:val="24"/>
          <w:szCs w:val="24"/>
        </w:rPr>
        <w:t xml:space="preserve">No. 1 to </w:t>
      </w:r>
      <w:r w:rsidR="00865B6D">
        <w:rPr>
          <w:rFonts w:cs="Times New Roman"/>
          <w:sz w:val="24"/>
          <w:szCs w:val="24"/>
        </w:rPr>
        <w:t xml:space="preserve">No. </w:t>
      </w:r>
      <w:r w:rsidR="00424402">
        <w:rPr>
          <w:rFonts w:cs="Times New Roman"/>
          <w:sz w:val="24"/>
          <w:szCs w:val="24"/>
        </w:rPr>
        <w:t>10, No. 14 to No. 20</w:t>
      </w:r>
      <w:r w:rsidR="00ED1D91">
        <w:rPr>
          <w:rFonts w:cs="Times New Roman"/>
          <w:sz w:val="24"/>
          <w:szCs w:val="24"/>
        </w:rPr>
        <w:t>, No. 22, No. 24</w:t>
      </w:r>
      <w:r w:rsidR="00865B6D" w:rsidRPr="00EF40BB">
        <w:rPr>
          <w:rFonts w:cs="Times New Roman"/>
          <w:sz w:val="24"/>
          <w:szCs w:val="24"/>
        </w:rPr>
        <w:t xml:space="preserve"> and </w:t>
      </w:r>
      <w:r w:rsidR="00865B6D">
        <w:rPr>
          <w:rFonts w:cs="Times New Roman"/>
          <w:sz w:val="24"/>
          <w:szCs w:val="24"/>
        </w:rPr>
        <w:t xml:space="preserve">No. </w:t>
      </w:r>
      <w:r w:rsidR="00865B6D" w:rsidRPr="00EF40BB">
        <w:rPr>
          <w:rFonts w:cs="Times New Roman"/>
          <w:sz w:val="24"/>
          <w:szCs w:val="24"/>
        </w:rPr>
        <w:t>26 of 2015</w:t>
      </w:r>
    </w:p>
    <w:p w:rsidR="005941E1" w:rsidRPr="003F7530" w:rsidRDefault="00825478" w:rsidP="00056DC2">
      <w:pPr>
        <w:pStyle w:val="Heading"/>
        <w:tabs>
          <w:tab w:val="left" w:pos="360"/>
        </w:tabs>
        <w:spacing w:before="0" w:after="240"/>
        <w:ind w:left="-360"/>
        <w:jc w:val="center"/>
        <w:rPr>
          <w:rFonts w:cs="Times New Roman"/>
          <w:sz w:val="24"/>
          <w:szCs w:val="24"/>
          <w:u w:val="single"/>
        </w:rPr>
      </w:pPr>
      <w:bookmarkStart w:id="2" w:name="bkStart"/>
      <w:bookmarkEnd w:id="2"/>
      <w:r w:rsidRPr="003F7530">
        <w:rPr>
          <w:rFonts w:cs="Times New Roman"/>
          <w:sz w:val="24"/>
          <w:szCs w:val="24"/>
          <w:u w:val="single"/>
        </w:rPr>
        <w:t>EXPLANATORY STATEMENT</w:t>
      </w:r>
    </w:p>
    <w:p w:rsidR="00102F9E" w:rsidRPr="003F7530" w:rsidRDefault="00825478" w:rsidP="00056DC2">
      <w:pPr>
        <w:pStyle w:val="Heading"/>
        <w:spacing w:before="0" w:after="240"/>
        <w:jc w:val="center"/>
        <w:rPr>
          <w:rFonts w:cs="Times New Roman"/>
          <w:sz w:val="24"/>
          <w:szCs w:val="24"/>
        </w:rPr>
      </w:pPr>
      <w:r w:rsidRPr="003F7530">
        <w:rPr>
          <w:rFonts w:cs="Times New Roman"/>
          <w:sz w:val="24"/>
          <w:szCs w:val="24"/>
        </w:rPr>
        <w:t>Prepared by the Australian Prudential Regulation Authority</w:t>
      </w:r>
      <w:r w:rsidR="00882496" w:rsidRPr="003F7530">
        <w:rPr>
          <w:rFonts w:cs="Times New Roman"/>
          <w:sz w:val="24"/>
          <w:szCs w:val="24"/>
        </w:rPr>
        <w:t xml:space="preserve"> (APRA)</w:t>
      </w:r>
    </w:p>
    <w:p w:rsidR="00746F83" w:rsidRPr="003F7530" w:rsidRDefault="00825478" w:rsidP="00845EFE">
      <w:pPr>
        <w:spacing w:after="240"/>
        <w:jc w:val="center"/>
      </w:pPr>
      <w:bookmarkStart w:id="3" w:name="bkAct"/>
      <w:bookmarkStart w:id="4" w:name="bkExplanatory"/>
      <w:bookmarkEnd w:id="3"/>
      <w:bookmarkEnd w:id="4"/>
      <w:r w:rsidRPr="003F7530">
        <w:rPr>
          <w:i/>
        </w:rPr>
        <w:t>Financial Sector (Collection of Data) Act 2001</w:t>
      </w:r>
      <w:r w:rsidRPr="003F7530">
        <w:t xml:space="preserve">, </w:t>
      </w:r>
      <w:r w:rsidR="007A09EC" w:rsidRPr="003F7530">
        <w:t>sections</w:t>
      </w:r>
      <w:r w:rsidRPr="003F7530">
        <w:t xml:space="preserve"> 13 and 15</w:t>
      </w:r>
    </w:p>
    <w:p w:rsidR="00B51A76" w:rsidRDefault="00B31081" w:rsidP="00B51A76">
      <w:pPr>
        <w:spacing w:after="240"/>
        <w:jc w:val="both"/>
      </w:pPr>
      <w:r w:rsidRPr="003F7530">
        <w:t>Under</w:t>
      </w:r>
      <w:r w:rsidR="00825478" w:rsidRPr="003F7530">
        <w:t xml:space="preserve"> </w:t>
      </w:r>
      <w:r w:rsidR="00D8110D">
        <w:t>subsection</w:t>
      </w:r>
      <w:r w:rsidR="00825478" w:rsidRPr="003F7530">
        <w:t xml:space="preserve"> 13(1) of the </w:t>
      </w:r>
      <w:r w:rsidR="00825478" w:rsidRPr="003F7530">
        <w:rPr>
          <w:i/>
        </w:rPr>
        <w:t xml:space="preserve">Financial Sector (Collection of Data) Act 2001 </w:t>
      </w:r>
      <w:r w:rsidR="00825478" w:rsidRPr="003F7530">
        <w:t>(</w:t>
      </w:r>
      <w:r w:rsidR="00D8110D">
        <w:t>the Act</w:t>
      </w:r>
      <w:r w:rsidR="00825478" w:rsidRPr="003F7530">
        <w:t xml:space="preserve">), APRA </w:t>
      </w:r>
      <w:r w:rsidR="007A09EC" w:rsidRPr="003F7530">
        <w:t>has the power to</w:t>
      </w:r>
      <w:r w:rsidR="00825478" w:rsidRPr="003F7530">
        <w:t xml:space="preserve"> determine reporting standards</w:t>
      </w:r>
      <w:r w:rsidR="007A09EC" w:rsidRPr="003F7530">
        <w:t>, in writing,</w:t>
      </w:r>
      <w:r w:rsidR="00825478" w:rsidRPr="003F7530">
        <w:t xml:space="preserve"> with which financial sector entities must comply. Such standards relate to reporting financial or accounting data and other information regarding the business </w:t>
      </w:r>
      <w:r w:rsidR="00D8110D">
        <w:t>or activities of the entities.</w:t>
      </w:r>
    </w:p>
    <w:p w:rsidR="00B51A76" w:rsidRDefault="00B51A76" w:rsidP="00400D96">
      <w:pPr>
        <w:tabs>
          <w:tab w:val="left" w:pos="0"/>
        </w:tabs>
        <w:spacing w:after="240"/>
        <w:jc w:val="both"/>
      </w:pPr>
      <w:r w:rsidRPr="00B51A76">
        <w:t xml:space="preserve">On </w:t>
      </w:r>
      <w:r w:rsidR="008A5534">
        <w:t xml:space="preserve">10 June </w:t>
      </w:r>
      <w:r>
        <w:t>201</w:t>
      </w:r>
      <w:r w:rsidR="00C1076B">
        <w:t>5</w:t>
      </w:r>
      <w:r w:rsidRPr="00B51A76">
        <w:t xml:space="preserve">, APRA made </w:t>
      </w:r>
      <w:r w:rsidR="003250DE">
        <w:t xml:space="preserve">the following determinations (the </w:t>
      </w:r>
      <w:r w:rsidR="003250DE" w:rsidRPr="003250DE">
        <w:rPr>
          <w:b/>
        </w:rPr>
        <w:t>revised reporting standards</w:t>
      </w:r>
      <w:r w:rsidR="003250DE">
        <w:t>):</w:t>
      </w:r>
    </w:p>
    <w:p w:rsidR="00163C7F" w:rsidRDefault="00163C7F" w:rsidP="003250DE">
      <w:pPr>
        <w:pStyle w:val="ListParagraph"/>
        <w:numPr>
          <w:ilvl w:val="0"/>
          <w:numId w:val="43"/>
        </w:numPr>
        <w:tabs>
          <w:tab w:val="left" w:pos="0"/>
        </w:tabs>
        <w:spacing w:after="240"/>
        <w:jc w:val="both"/>
        <w:rPr>
          <w:sz w:val="24"/>
          <w:szCs w:val="24"/>
          <w:lang w:val="en-AU" w:eastAsia="en-US"/>
        </w:rPr>
      </w:pPr>
      <w:r w:rsidRPr="003250DE">
        <w:rPr>
          <w:sz w:val="24"/>
          <w:szCs w:val="24"/>
          <w:lang w:val="en-AU" w:eastAsia="en-US"/>
        </w:rPr>
        <w:t xml:space="preserve">Financial Sector (Collection of Data) (reporting standard) determination No. </w:t>
      </w:r>
      <w:r>
        <w:rPr>
          <w:sz w:val="24"/>
          <w:szCs w:val="24"/>
          <w:lang w:val="en-AU" w:eastAsia="en-US"/>
        </w:rPr>
        <w:t>1 of 2015, which:</w:t>
      </w:r>
    </w:p>
    <w:p w:rsidR="00163C7F" w:rsidRDefault="00F2628B" w:rsidP="00EF40BB">
      <w:pPr>
        <w:pStyle w:val="ListParagraph"/>
        <w:numPr>
          <w:ilvl w:val="0"/>
          <w:numId w:val="45"/>
        </w:numPr>
        <w:tabs>
          <w:tab w:val="left" w:pos="0"/>
        </w:tabs>
        <w:spacing w:after="240"/>
        <w:jc w:val="both"/>
        <w:rPr>
          <w:sz w:val="24"/>
          <w:szCs w:val="24"/>
          <w:lang w:val="en-AU" w:eastAsia="en-US"/>
        </w:rPr>
      </w:pPr>
      <w:r>
        <w:rPr>
          <w:sz w:val="24"/>
          <w:szCs w:val="24"/>
          <w:lang w:val="en-AU" w:eastAsia="en-US"/>
        </w:rPr>
        <w:t>r</w:t>
      </w:r>
      <w:r w:rsidR="00163C7F">
        <w:rPr>
          <w:sz w:val="24"/>
          <w:szCs w:val="24"/>
          <w:lang w:val="en-AU" w:eastAsia="en-US"/>
        </w:rPr>
        <w:t xml:space="preserve">evokes </w:t>
      </w:r>
      <w:r w:rsidR="00163C7F" w:rsidRPr="00EF40BB">
        <w:rPr>
          <w:i/>
          <w:sz w:val="24"/>
          <w:szCs w:val="24"/>
          <w:lang w:val="en-AU" w:eastAsia="en-US"/>
        </w:rPr>
        <w:t>Reporting Standard SRS</w:t>
      </w:r>
      <w:r w:rsidR="00163C7F">
        <w:rPr>
          <w:sz w:val="24"/>
          <w:szCs w:val="24"/>
          <w:lang w:val="en-AU" w:eastAsia="en-US"/>
        </w:rPr>
        <w:t xml:space="preserve"> </w:t>
      </w:r>
      <w:r w:rsidR="00163C7F" w:rsidRPr="00EF40BB">
        <w:rPr>
          <w:i/>
          <w:sz w:val="24"/>
          <w:szCs w:val="24"/>
          <w:lang w:val="en-AU" w:eastAsia="en-US"/>
        </w:rPr>
        <w:t>001.</w:t>
      </w:r>
      <w:r w:rsidR="004C5C4F">
        <w:rPr>
          <w:i/>
          <w:sz w:val="24"/>
          <w:szCs w:val="24"/>
          <w:lang w:val="en-AU" w:eastAsia="en-US"/>
        </w:rPr>
        <w:t>0</w:t>
      </w:r>
      <w:r w:rsidR="00163C7F" w:rsidRPr="00EF40BB">
        <w:rPr>
          <w:i/>
          <w:sz w:val="24"/>
          <w:szCs w:val="24"/>
          <w:lang w:val="en-AU" w:eastAsia="en-US"/>
        </w:rPr>
        <w:t xml:space="preserve"> Profile and Structure </w:t>
      </w:r>
      <w:r w:rsidRPr="00EF40BB">
        <w:rPr>
          <w:i/>
          <w:sz w:val="24"/>
          <w:szCs w:val="24"/>
          <w:lang w:val="en-AU" w:eastAsia="en-US"/>
        </w:rPr>
        <w:t>(Baseline)</w:t>
      </w:r>
      <w:r>
        <w:rPr>
          <w:sz w:val="24"/>
          <w:szCs w:val="24"/>
          <w:lang w:val="en-AU" w:eastAsia="en-US"/>
        </w:rPr>
        <w:t xml:space="preserve"> made under </w:t>
      </w:r>
      <w:r w:rsidRPr="003250DE">
        <w:rPr>
          <w:sz w:val="24"/>
          <w:szCs w:val="24"/>
          <w:lang w:val="en-AU" w:eastAsia="en-US"/>
        </w:rPr>
        <w:t>Financial Sector (Collection of Data) (reporting standard) determination No.</w:t>
      </w:r>
      <w:r>
        <w:rPr>
          <w:sz w:val="24"/>
          <w:szCs w:val="24"/>
          <w:lang w:val="en-AU" w:eastAsia="en-US"/>
        </w:rPr>
        <w:t xml:space="preserve"> 16 of 2014; and </w:t>
      </w:r>
    </w:p>
    <w:p w:rsidR="00F2628B" w:rsidRDefault="00F2628B" w:rsidP="00EF40BB">
      <w:pPr>
        <w:pStyle w:val="ListParagraph"/>
        <w:numPr>
          <w:ilvl w:val="0"/>
          <w:numId w:val="45"/>
        </w:numPr>
        <w:tabs>
          <w:tab w:val="left" w:pos="0"/>
        </w:tabs>
        <w:spacing w:after="240"/>
        <w:jc w:val="both"/>
        <w:rPr>
          <w:sz w:val="24"/>
          <w:szCs w:val="24"/>
          <w:lang w:val="en-AU" w:eastAsia="en-US"/>
        </w:rPr>
      </w:pPr>
      <w:r>
        <w:rPr>
          <w:sz w:val="24"/>
          <w:szCs w:val="24"/>
          <w:lang w:val="en-AU" w:eastAsia="en-US"/>
        </w:rPr>
        <w:t xml:space="preserve">determines </w:t>
      </w:r>
      <w:r w:rsidRPr="00E80402">
        <w:rPr>
          <w:i/>
          <w:sz w:val="24"/>
          <w:szCs w:val="24"/>
          <w:lang w:val="en-AU" w:eastAsia="en-US"/>
        </w:rPr>
        <w:t>Reporting Standard SRS</w:t>
      </w:r>
      <w:r>
        <w:rPr>
          <w:sz w:val="24"/>
          <w:szCs w:val="24"/>
          <w:lang w:val="en-AU" w:eastAsia="en-US"/>
        </w:rPr>
        <w:t xml:space="preserve"> </w:t>
      </w:r>
      <w:r w:rsidRPr="00E80402">
        <w:rPr>
          <w:i/>
          <w:sz w:val="24"/>
          <w:szCs w:val="24"/>
          <w:lang w:val="en-AU" w:eastAsia="en-US"/>
        </w:rPr>
        <w:t>001.</w:t>
      </w:r>
      <w:r w:rsidR="004C5C4F">
        <w:rPr>
          <w:i/>
          <w:sz w:val="24"/>
          <w:szCs w:val="24"/>
          <w:lang w:val="en-AU" w:eastAsia="en-US"/>
        </w:rPr>
        <w:t>0</w:t>
      </w:r>
      <w:r w:rsidRPr="00E80402">
        <w:rPr>
          <w:i/>
          <w:sz w:val="24"/>
          <w:szCs w:val="24"/>
          <w:lang w:val="en-AU" w:eastAsia="en-US"/>
        </w:rPr>
        <w:t xml:space="preserve"> Profile and Structure (Baseline)</w:t>
      </w:r>
      <w:r w:rsidRPr="00EF40BB">
        <w:rPr>
          <w:sz w:val="24"/>
          <w:szCs w:val="24"/>
          <w:lang w:val="en-AU" w:eastAsia="en-US"/>
        </w:rPr>
        <w:t>;</w:t>
      </w:r>
    </w:p>
    <w:p w:rsidR="0093075A" w:rsidRDefault="003250DE" w:rsidP="003250DE">
      <w:pPr>
        <w:pStyle w:val="ListParagraph"/>
        <w:numPr>
          <w:ilvl w:val="0"/>
          <w:numId w:val="43"/>
        </w:numPr>
        <w:tabs>
          <w:tab w:val="left" w:pos="0"/>
        </w:tabs>
        <w:spacing w:after="240"/>
        <w:jc w:val="both"/>
        <w:rPr>
          <w:sz w:val="24"/>
          <w:szCs w:val="24"/>
          <w:lang w:val="en-AU" w:eastAsia="en-US"/>
        </w:rPr>
      </w:pPr>
      <w:r w:rsidRPr="003250DE">
        <w:rPr>
          <w:sz w:val="24"/>
          <w:szCs w:val="24"/>
          <w:lang w:val="en-AU" w:eastAsia="en-US"/>
        </w:rPr>
        <w:t xml:space="preserve">Financial Sector (Collection of Data) (reporting standard) determination No. </w:t>
      </w:r>
      <w:r w:rsidR="00F2628B">
        <w:rPr>
          <w:sz w:val="24"/>
          <w:szCs w:val="24"/>
          <w:lang w:val="en-AU" w:eastAsia="en-US"/>
        </w:rPr>
        <w:t xml:space="preserve">2 </w:t>
      </w:r>
      <w:r>
        <w:rPr>
          <w:sz w:val="24"/>
          <w:szCs w:val="24"/>
          <w:lang w:val="en-AU" w:eastAsia="en-US"/>
        </w:rPr>
        <w:t>of 2015</w:t>
      </w:r>
      <w:r w:rsidRPr="003250DE">
        <w:rPr>
          <w:sz w:val="24"/>
          <w:szCs w:val="24"/>
          <w:lang w:val="en-AU" w:eastAsia="en-US"/>
        </w:rPr>
        <w:t>, which</w:t>
      </w:r>
      <w:r w:rsidR="00A450CC">
        <w:rPr>
          <w:sz w:val="24"/>
          <w:szCs w:val="24"/>
          <w:lang w:val="en-AU" w:eastAsia="en-US"/>
        </w:rPr>
        <w:t>:</w:t>
      </w:r>
    </w:p>
    <w:p w:rsidR="0093075A" w:rsidRDefault="0093075A" w:rsidP="0093075A">
      <w:pPr>
        <w:pStyle w:val="ListParagraph"/>
        <w:numPr>
          <w:ilvl w:val="1"/>
          <w:numId w:val="43"/>
        </w:numPr>
        <w:tabs>
          <w:tab w:val="left" w:pos="0"/>
        </w:tabs>
        <w:spacing w:after="240"/>
        <w:jc w:val="both"/>
        <w:rPr>
          <w:sz w:val="24"/>
          <w:szCs w:val="24"/>
          <w:lang w:val="en-AU" w:eastAsia="en-US"/>
        </w:rPr>
      </w:pPr>
      <w:r>
        <w:rPr>
          <w:sz w:val="24"/>
          <w:szCs w:val="24"/>
          <w:lang w:val="en-AU" w:eastAsia="en-US"/>
        </w:rPr>
        <w:t xml:space="preserve">revokes </w:t>
      </w:r>
      <w:r w:rsidRPr="00B830BA">
        <w:rPr>
          <w:i/>
          <w:sz w:val="24"/>
          <w:szCs w:val="24"/>
          <w:lang w:val="en-AU" w:eastAsia="en-US"/>
        </w:rPr>
        <w:t>Reporting Standard SRS</w:t>
      </w:r>
      <w:r w:rsidR="00163C7F">
        <w:rPr>
          <w:i/>
          <w:sz w:val="24"/>
          <w:szCs w:val="24"/>
          <w:lang w:val="en-AU" w:eastAsia="en-US"/>
        </w:rPr>
        <w:t xml:space="preserve"> </w:t>
      </w:r>
      <w:r w:rsidRPr="00B830BA">
        <w:rPr>
          <w:i/>
          <w:sz w:val="24"/>
          <w:szCs w:val="24"/>
          <w:lang w:val="en-AU" w:eastAsia="en-US"/>
        </w:rPr>
        <w:t>114.0 Operational Risk Financial Requirement</w:t>
      </w:r>
      <w:r>
        <w:rPr>
          <w:i/>
          <w:sz w:val="24"/>
          <w:szCs w:val="24"/>
          <w:lang w:val="en-AU" w:eastAsia="en-US"/>
        </w:rPr>
        <w:t xml:space="preserve"> </w:t>
      </w:r>
      <w:r>
        <w:rPr>
          <w:sz w:val="24"/>
          <w:szCs w:val="24"/>
          <w:lang w:val="en-AU" w:eastAsia="en-US"/>
        </w:rPr>
        <w:t xml:space="preserve">made under </w:t>
      </w:r>
      <w:r w:rsidRPr="003250DE">
        <w:rPr>
          <w:sz w:val="24"/>
          <w:szCs w:val="24"/>
          <w:lang w:val="en-AU" w:eastAsia="en-US"/>
        </w:rPr>
        <w:t xml:space="preserve">Financial Sector (Collection of Data) (reporting standard) determination No. </w:t>
      </w:r>
      <w:r w:rsidR="000410A5">
        <w:rPr>
          <w:sz w:val="24"/>
          <w:szCs w:val="24"/>
          <w:lang w:val="en-AU" w:eastAsia="en-US"/>
        </w:rPr>
        <w:t>64 of 2013; and</w:t>
      </w:r>
    </w:p>
    <w:p w:rsidR="003250DE" w:rsidRPr="00424402" w:rsidRDefault="00A450CC" w:rsidP="0093075A">
      <w:pPr>
        <w:pStyle w:val="ListParagraph"/>
        <w:numPr>
          <w:ilvl w:val="1"/>
          <w:numId w:val="43"/>
        </w:numPr>
        <w:tabs>
          <w:tab w:val="left" w:pos="0"/>
        </w:tabs>
        <w:spacing w:after="240"/>
        <w:jc w:val="both"/>
        <w:rPr>
          <w:sz w:val="24"/>
          <w:szCs w:val="24"/>
          <w:lang w:val="en-AU" w:eastAsia="en-US"/>
        </w:rPr>
      </w:pPr>
      <w:r w:rsidRPr="00DA687A">
        <w:rPr>
          <w:sz w:val="24"/>
          <w:szCs w:val="24"/>
          <w:lang w:val="en-AU" w:eastAsia="en-US"/>
        </w:rPr>
        <w:t>determines</w:t>
      </w:r>
      <w:r>
        <w:rPr>
          <w:sz w:val="24"/>
          <w:szCs w:val="24"/>
          <w:lang w:val="en-AU" w:eastAsia="en-US"/>
        </w:rPr>
        <w:t xml:space="preserve"> </w:t>
      </w:r>
      <w:r w:rsidR="003250DE" w:rsidRPr="00B830BA">
        <w:rPr>
          <w:i/>
          <w:sz w:val="24"/>
          <w:szCs w:val="24"/>
          <w:lang w:val="en-AU" w:eastAsia="en-US"/>
        </w:rPr>
        <w:t>Reporting Standard SRS 114.0 Operational Risk Financial Requirement</w:t>
      </w:r>
      <w:r w:rsidR="00B830BA" w:rsidRPr="00EF40BB">
        <w:rPr>
          <w:sz w:val="24"/>
          <w:szCs w:val="24"/>
          <w:lang w:val="en-AU" w:eastAsia="en-US"/>
        </w:rPr>
        <w:t>;</w:t>
      </w:r>
    </w:p>
    <w:p w:rsidR="00A450CC" w:rsidRDefault="00A450CC" w:rsidP="00A450CC">
      <w:pPr>
        <w:pStyle w:val="ListParagraph"/>
        <w:numPr>
          <w:ilvl w:val="0"/>
          <w:numId w:val="43"/>
        </w:numPr>
        <w:tabs>
          <w:tab w:val="left" w:pos="0"/>
        </w:tabs>
        <w:spacing w:after="240"/>
        <w:jc w:val="both"/>
        <w:rPr>
          <w:sz w:val="24"/>
          <w:szCs w:val="24"/>
          <w:lang w:val="en-AU" w:eastAsia="en-US"/>
        </w:rPr>
      </w:pPr>
      <w:r w:rsidRPr="003250DE">
        <w:rPr>
          <w:sz w:val="24"/>
          <w:szCs w:val="24"/>
          <w:lang w:val="en-AU" w:eastAsia="en-US"/>
        </w:rPr>
        <w:t xml:space="preserve">Financial Sector (Collection of Data) (reporting standard) determination No. </w:t>
      </w:r>
      <w:r w:rsidR="00F2628B">
        <w:rPr>
          <w:sz w:val="24"/>
          <w:szCs w:val="24"/>
          <w:lang w:val="en-AU" w:eastAsia="en-US"/>
        </w:rPr>
        <w:t xml:space="preserve">3 </w:t>
      </w:r>
      <w:r>
        <w:rPr>
          <w:sz w:val="24"/>
          <w:szCs w:val="24"/>
          <w:lang w:val="en-AU" w:eastAsia="en-US"/>
        </w:rPr>
        <w:t>of 2015</w:t>
      </w:r>
      <w:r w:rsidRPr="003250DE">
        <w:rPr>
          <w:sz w:val="24"/>
          <w:szCs w:val="24"/>
          <w:lang w:val="en-AU" w:eastAsia="en-US"/>
        </w:rPr>
        <w:t>, which</w:t>
      </w:r>
      <w:r>
        <w:rPr>
          <w:sz w:val="24"/>
          <w:szCs w:val="24"/>
          <w:lang w:val="en-AU" w:eastAsia="en-US"/>
        </w:rPr>
        <w:t>:</w:t>
      </w:r>
    </w:p>
    <w:p w:rsidR="00A450CC" w:rsidRPr="00FC1634" w:rsidRDefault="00FC1634" w:rsidP="00FC1634">
      <w:pPr>
        <w:pStyle w:val="ListParagraph"/>
        <w:numPr>
          <w:ilvl w:val="1"/>
          <w:numId w:val="43"/>
        </w:numPr>
        <w:tabs>
          <w:tab w:val="left" w:pos="0"/>
        </w:tabs>
        <w:spacing w:after="240"/>
        <w:jc w:val="both"/>
        <w:rPr>
          <w:sz w:val="24"/>
          <w:szCs w:val="24"/>
          <w:lang w:val="en-AU" w:eastAsia="en-US"/>
        </w:rPr>
      </w:pPr>
      <w:r>
        <w:rPr>
          <w:sz w:val="24"/>
          <w:szCs w:val="24"/>
          <w:lang w:val="en-AU" w:eastAsia="en-US"/>
        </w:rPr>
        <w:t>r</w:t>
      </w:r>
      <w:r w:rsidR="00A450CC">
        <w:rPr>
          <w:sz w:val="24"/>
          <w:szCs w:val="24"/>
          <w:lang w:val="en-AU" w:eastAsia="en-US"/>
        </w:rPr>
        <w:t xml:space="preserve">evokes </w:t>
      </w:r>
      <w:r w:rsidR="00A450CC" w:rsidRPr="00FC1634">
        <w:rPr>
          <w:i/>
          <w:sz w:val="24"/>
          <w:szCs w:val="24"/>
          <w:lang w:val="en-AU" w:eastAsia="en-US"/>
        </w:rPr>
        <w:t>Reporting Standard SRS 160.0 Defined Benefit Matters</w:t>
      </w:r>
      <w:r w:rsidR="00A450CC" w:rsidRPr="00FC1634">
        <w:rPr>
          <w:sz w:val="24"/>
          <w:szCs w:val="24"/>
          <w:lang w:val="en-AU" w:eastAsia="en-US"/>
        </w:rPr>
        <w:t xml:space="preserve"> </w:t>
      </w:r>
      <w:r w:rsidR="00A450CC">
        <w:rPr>
          <w:sz w:val="24"/>
          <w:szCs w:val="24"/>
          <w:lang w:val="en-AU" w:eastAsia="en-US"/>
        </w:rPr>
        <w:t xml:space="preserve">made under </w:t>
      </w:r>
      <w:r w:rsidR="00A450CC" w:rsidRPr="003250DE">
        <w:rPr>
          <w:sz w:val="24"/>
          <w:szCs w:val="24"/>
          <w:lang w:val="en-AU" w:eastAsia="en-US"/>
        </w:rPr>
        <w:t xml:space="preserve">Financial Sector (Collection of Data) (reporting standard) determination No. </w:t>
      </w:r>
      <w:r w:rsidR="00A450CC">
        <w:rPr>
          <w:sz w:val="24"/>
          <w:szCs w:val="24"/>
          <w:lang w:val="en-AU" w:eastAsia="en-US"/>
        </w:rPr>
        <w:t>6</w:t>
      </w:r>
      <w:r>
        <w:rPr>
          <w:sz w:val="24"/>
          <w:szCs w:val="24"/>
          <w:lang w:val="en-AU" w:eastAsia="en-US"/>
        </w:rPr>
        <w:t>6</w:t>
      </w:r>
      <w:r w:rsidR="000410A5">
        <w:rPr>
          <w:sz w:val="24"/>
          <w:szCs w:val="24"/>
          <w:lang w:val="en-AU" w:eastAsia="en-US"/>
        </w:rPr>
        <w:t xml:space="preserve"> of 2013; and</w:t>
      </w:r>
    </w:p>
    <w:p w:rsidR="00A450CC" w:rsidRPr="00FC1634" w:rsidRDefault="00FC1634" w:rsidP="00FC1634">
      <w:pPr>
        <w:pStyle w:val="ListParagraph"/>
        <w:numPr>
          <w:ilvl w:val="1"/>
          <w:numId w:val="43"/>
        </w:numPr>
        <w:tabs>
          <w:tab w:val="left" w:pos="0"/>
        </w:tabs>
        <w:spacing w:after="240"/>
        <w:jc w:val="both"/>
        <w:rPr>
          <w:sz w:val="24"/>
          <w:szCs w:val="24"/>
          <w:lang w:val="en-AU" w:eastAsia="en-US"/>
        </w:rPr>
      </w:pPr>
      <w:r>
        <w:rPr>
          <w:sz w:val="24"/>
          <w:szCs w:val="24"/>
          <w:lang w:val="en-AU" w:eastAsia="en-US"/>
        </w:rPr>
        <w:t>d</w:t>
      </w:r>
      <w:r w:rsidRPr="00FC1634">
        <w:rPr>
          <w:sz w:val="24"/>
          <w:szCs w:val="24"/>
          <w:lang w:val="en-AU" w:eastAsia="en-US"/>
        </w:rPr>
        <w:t>etermines</w:t>
      </w:r>
      <w:r>
        <w:rPr>
          <w:sz w:val="24"/>
          <w:szCs w:val="24"/>
          <w:lang w:val="en-AU" w:eastAsia="en-US"/>
        </w:rPr>
        <w:t xml:space="preserve"> </w:t>
      </w:r>
      <w:r w:rsidR="00A450CC" w:rsidRPr="00FC1634">
        <w:rPr>
          <w:i/>
          <w:sz w:val="24"/>
          <w:szCs w:val="24"/>
          <w:lang w:val="en-AU" w:eastAsia="en-US"/>
        </w:rPr>
        <w:t>Reporting Standard SRS 160.0 Defined Benefit Matters</w:t>
      </w:r>
      <w:r>
        <w:rPr>
          <w:sz w:val="24"/>
          <w:szCs w:val="24"/>
          <w:lang w:val="en-AU" w:eastAsia="en-US"/>
        </w:rPr>
        <w:t>;</w:t>
      </w:r>
    </w:p>
    <w:p w:rsidR="00D77EF0" w:rsidRDefault="00D77EF0" w:rsidP="00D77EF0">
      <w:pPr>
        <w:pStyle w:val="ListParagraph"/>
        <w:numPr>
          <w:ilvl w:val="0"/>
          <w:numId w:val="43"/>
        </w:numPr>
        <w:tabs>
          <w:tab w:val="left" w:pos="0"/>
        </w:tabs>
        <w:spacing w:after="240"/>
        <w:jc w:val="both"/>
        <w:rPr>
          <w:sz w:val="24"/>
          <w:szCs w:val="24"/>
          <w:lang w:val="en-AU" w:eastAsia="en-US"/>
        </w:rPr>
      </w:pPr>
      <w:r w:rsidRPr="003250DE">
        <w:rPr>
          <w:sz w:val="24"/>
          <w:szCs w:val="24"/>
          <w:lang w:val="en-AU" w:eastAsia="en-US"/>
        </w:rPr>
        <w:t xml:space="preserve">Financial Sector (Collection of Data) (reporting standard) determination No. </w:t>
      </w:r>
      <w:r w:rsidR="00F2628B">
        <w:rPr>
          <w:sz w:val="24"/>
          <w:szCs w:val="24"/>
          <w:lang w:val="en-AU" w:eastAsia="en-US"/>
        </w:rPr>
        <w:t xml:space="preserve">4 </w:t>
      </w:r>
      <w:r>
        <w:rPr>
          <w:sz w:val="24"/>
          <w:szCs w:val="24"/>
          <w:lang w:val="en-AU" w:eastAsia="en-US"/>
        </w:rPr>
        <w:t>of 2015</w:t>
      </w:r>
      <w:r w:rsidRPr="003250DE">
        <w:rPr>
          <w:sz w:val="24"/>
          <w:szCs w:val="24"/>
          <w:lang w:val="en-AU" w:eastAsia="en-US"/>
        </w:rPr>
        <w:t>, which</w:t>
      </w:r>
      <w:r>
        <w:rPr>
          <w:sz w:val="24"/>
          <w:szCs w:val="24"/>
          <w:lang w:val="en-AU" w:eastAsia="en-US"/>
        </w:rPr>
        <w:t>:</w:t>
      </w:r>
    </w:p>
    <w:p w:rsidR="00D77EF0" w:rsidRPr="00FC1634" w:rsidRDefault="00D77EF0" w:rsidP="00D77EF0">
      <w:pPr>
        <w:pStyle w:val="ListParagraph"/>
        <w:numPr>
          <w:ilvl w:val="1"/>
          <w:numId w:val="43"/>
        </w:numPr>
        <w:tabs>
          <w:tab w:val="left" w:pos="0"/>
        </w:tabs>
        <w:spacing w:after="240"/>
        <w:jc w:val="both"/>
        <w:rPr>
          <w:sz w:val="24"/>
          <w:szCs w:val="24"/>
          <w:lang w:val="en-AU" w:eastAsia="en-US"/>
        </w:rPr>
      </w:pPr>
      <w:r>
        <w:rPr>
          <w:sz w:val="24"/>
          <w:szCs w:val="24"/>
          <w:lang w:val="en-AU" w:eastAsia="en-US"/>
        </w:rPr>
        <w:lastRenderedPageBreak/>
        <w:t xml:space="preserve">revokes </w:t>
      </w:r>
      <w:r w:rsidRPr="00B830BA">
        <w:rPr>
          <w:i/>
          <w:sz w:val="24"/>
          <w:szCs w:val="24"/>
          <w:lang w:val="en-AU" w:eastAsia="en-US"/>
        </w:rPr>
        <w:t>Reporting Standard SRS 160.1 Defined Benefit Member Flows</w:t>
      </w:r>
      <w:r w:rsidRPr="00FC1634">
        <w:rPr>
          <w:i/>
          <w:sz w:val="24"/>
          <w:szCs w:val="24"/>
          <w:lang w:val="en-AU" w:eastAsia="en-US"/>
        </w:rPr>
        <w:t xml:space="preserve"> </w:t>
      </w:r>
      <w:r>
        <w:rPr>
          <w:sz w:val="24"/>
          <w:szCs w:val="24"/>
          <w:lang w:val="en-AU" w:eastAsia="en-US"/>
        </w:rPr>
        <w:t xml:space="preserve">made under </w:t>
      </w:r>
      <w:r w:rsidRPr="003250DE">
        <w:rPr>
          <w:sz w:val="24"/>
          <w:szCs w:val="24"/>
          <w:lang w:val="en-AU" w:eastAsia="en-US"/>
        </w:rPr>
        <w:t xml:space="preserve">Financial Sector (Collection of Data) (reporting standard) determination No. </w:t>
      </w:r>
      <w:r w:rsidR="00F23B04">
        <w:rPr>
          <w:sz w:val="24"/>
          <w:szCs w:val="24"/>
          <w:lang w:val="en-AU" w:eastAsia="en-US"/>
        </w:rPr>
        <w:t>17</w:t>
      </w:r>
      <w:r>
        <w:rPr>
          <w:sz w:val="24"/>
          <w:szCs w:val="24"/>
          <w:lang w:val="en-AU" w:eastAsia="en-US"/>
        </w:rPr>
        <w:t xml:space="preserve"> of </w:t>
      </w:r>
      <w:r w:rsidR="00F23B04">
        <w:rPr>
          <w:sz w:val="24"/>
          <w:szCs w:val="24"/>
          <w:lang w:val="en-AU" w:eastAsia="en-US"/>
        </w:rPr>
        <w:t>2014</w:t>
      </w:r>
      <w:r w:rsidR="000410A5">
        <w:rPr>
          <w:sz w:val="24"/>
          <w:szCs w:val="24"/>
          <w:lang w:val="en-AU" w:eastAsia="en-US"/>
        </w:rPr>
        <w:t>; and</w:t>
      </w:r>
    </w:p>
    <w:p w:rsidR="00D77EF0" w:rsidRPr="00FC1634" w:rsidRDefault="00D77EF0" w:rsidP="00D77EF0">
      <w:pPr>
        <w:pStyle w:val="ListParagraph"/>
        <w:numPr>
          <w:ilvl w:val="1"/>
          <w:numId w:val="43"/>
        </w:numPr>
        <w:tabs>
          <w:tab w:val="left" w:pos="0"/>
        </w:tabs>
        <w:spacing w:after="240"/>
        <w:jc w:val="both"/>
        <w:rPr>
          <w:sz w:val="24"/>
          <w:szCs w:val="24"/>
          <w:lang w:val="en-AU" w:eastAsia="en-US"/>
        </w:rPr>
      </w:pPr>
      <w:r>
        <w:rPr>
          <w:sz w:val="24"/>
          <w:szCs w:val="24"/>
          <w:lang w:val="en-AU" w:eastAsia="en-US"/>
        </w:rPr>
        <w:t>d</w:t>
      </w:r>
      <w:r w:rsidRPr="00FC1634">
        <w:rPr>
          <w:sz w:val="24"/>
          <w:szCs w:val="24"/>
          <w:lang w:val="en-AU" w:eastAsia="en-US"/>
        </w:rPr>
        <w:t>etermines</w:t>
      </w:r>
      <w:r>
        <w:rPr>
          <w:sz w:val="24"/>
          <w:szCs w:val="24"/>
          <w:lang w:val="en-AU" w:eastAsia="en-US"/>
        </w:rPr>
        <w:t xml:space="preserve"> </w:t>
      </w:r>
      <w:r w:rsidR="00F23B04" w:rsidRPr="00B830BA">
        <w:rPr>
          <w:i/>
          <w:sz w:val="24"/>
          <w:szCs w:val="24"/>
          <w:lang w:val="en-AU" w:eastAsia="en-US"/>
        </w:rPr>
        <w:t>Reporting Standard SRS 160.1 Defined Benefit Member Flows</w:t>
      </w:r>
      <w:r>
        <w:rPr>
          <w:sz w:val="24"/>
          <w:szCs w:val="24"/>
          <w:lang w:val="en-AU" w:eastAsia="en-US"/>
        </w:rPr>
        <w:t>;</w:t>
      </w:r>
    </w:p>
    <w:p w:rsidR="00217BBE" w:rsidRDefault="00217BBE" w:rsidP="00217BBE">
      <w:pPr>
        <w:pStyle w:val="ListParagraph"/>
        <w:numPr>
          <w:ilvl w:val="0"/>
          <w:numId w:val="43"/>
        </w:numPr>
        <w:tabs>
          <w:tab w:val="left" w:pos="0"/>
        </w:tabs>
        <w:spacing w:after="240"/>
        <w:jc w:val="both"/>
        <w:rPr>
          <w:sz w:val="24"/>
          <w:szCs w:val="24"/>
          <w:lang w:val="en-AU" w:eastAsia="en-US"/>
        </w:rPr>
      </w:pPr>
      <w:r w:rsidRPr="003250DE">
        <w:rPr>
          <w:sz w:val="24"/>
          <w:szCs w:val="24"/>
          <w:lang w:val="en-AU" w:eastAsia="en-US"/>
        </w:rPr>
        <w:t xml:space="preserve">Financial Sector (Collection of Data) (reporting standard) determination No. </w:t>
      </w:r>
      <w:r w:rsidR="00F2628B">
        <w:rPr>
          <w:sz w:val="24"/>
          <w:szCs w:val="24"/>
          <w:lang w:val="en-AU" w:eastAsia="en-US"/>
        </w:rPr>
        <w:t xml:space="preserve">5 </w:t>
      </w:r>
      <w:r>
        <w:rPr>
          <w:sz w:val="24"/>
          <w:szCs w:val="24"/>
          <w:lang w:val="en-AU" w:eastAsia="en-US"/>
        </w:rPr>
        <w:t>of 2015</w:t>
      </w:r>
      <w:r w:rsidRPr="003250DE">
        <w:rPr>
          <w:sz w:val="24"/>
          <w:szCs w:val="24"/>
          <w:lang w:val="en-AU" w:eastAsia="en-US"/>
        </w:rPr>
        <w:t>, which</w:t>
      </w:r>
      <w:r>
        <w:rPr>
          <w:sz w:val="24"/>
          <w:szCs w:val="24"/>
          <w:lang w:val="en-AU" w:eastAsia="en-US"/>
        </w:rPr>
        <w:t>:</w:t>
      </w:r>
    </w:p>
    <w:p w:rsidR="00217BBE" w:rsidRPr="00FC1634" w:rsidRDefault="00217BBE" w:rsidP="00217BBE">
      <w:pPr>
        <w:pStyle w:val="ListParagraph"/>
        <w:numPr>
          <w:ilvl w:val="1"/>
          <w:numId w:val="43"/>
        </w:numPr>
        <w:tabs>
          <w:tab w:val="left" w:pos="0"/>
        </w:tabs>
        <w:spacing w:after="240"/>
        <w:jc w:val="both"/>
        <w:rPr>
          <w:sz w:val="24"/>
          <w:szCs w:val="24"/>
          <w:lang w:val="en-AU" w:eastAsia="en-US"/>
        </w:rPr>
      </w:pPr>
      <w:r>
        <w:rPr>
          <w:sz w:val="24"/>
          <w:szCs w:val="24"/>
          <w:lang w:val="en-AU" w:eastAsia="en-US"/>
        </w:rPr>
        <w:t xml:space="preserve">revokes </w:t>
      </w:r>
      <w:r w:rsidRPr="00B830BA">
        <w:rPr>
          <w:i/>
          <w:sz w:val="24"/>
          <w:szCs w:val="24"/>
          <w:lang w:val="en-AU" w:eastAsia="en-US"/>
        </w:rPr>
        <w:t>Reporting Standard SRS 161.0 Self-Insurance</w:t>
      </w:r>
      <w:r w:rsidRPr="00FC1634">
        <w:rPr>
          <w:i/>
          <w:sz w:val="24"/>
          <w:szCs w:val="24"/>
          <w:lang w:val="en-AU" w:eastAsia="en-US"/>
        </w:rPr>
        <w:t xml:space="preserve"> </w:t>
      </w:r>
      <w:r>
        <w:rPr>
          <w:sz w:val="24"/>
          <w:szCs w:val="24"/>
          <w:lang w:val="en-AU" w:eastAsia="en-US"/>
        </w:rPr>
        <w:t xml:space="preserve">made under </w:t>
      </w:r>
      <w:r w:rsidRPr="003250DE">
        <w:rPr>
          <w:sz w:val="24"/>
          <w:szCs w:val="24"/>
          <w:lang w:val="en-AU" w:eastAsia="en-US"/>
        </w:rPr>
        <w:t xml:space="preserve">Financial Sector (Collection of Data) (reporting standard) determination No. </w:t>
      </w:r>
      <w:r w:rsidR="000410A5">
        <w:rPr>
          <w:sz w:val="24"/>
          <w:szCs w:val="24"/>
          <w:lang w:val="en-AU" w:eastAsia="en-US"/>
        </w:rPr>
        <w:t>68 of 2013; and</w:t>
      </w:r>
    </w:p>
    <w:p w:rsidR="00217BBE" w:rsidRPr="00FC1634" w:rsidRDefault="00217BBE" w:rsidP="00217BBE">
      <w:pPr>
        <w:pStyle w:val="ListParagraph"/>
        <w:numPr>
          <w:ilvl w:val="1"/>
          <w:numId w:val="43"/>
        </w:numPr>
        <w:tabs>
          <w:tab w:val="left" w:pos="0"/>
        </w:tabs>
        <w:spacing w:after="240"/>
        <w:jc w:val="both"/>
        <w:rPr>
          <w:sz w:val="24"/>
          <w:szCs w:val="24"/>
          <w:lang w:val="en-AU" w:eastAsia="en-US"/>
        </w:rPr>
      </w:pPr>
      <w:r>
        <w:rPr>
          <w:sz w:val="24"/>
          <w:szCs w:val="24"/>
          <w:lang w:val="en-AU" w:eastAsia="en-US"/>
        </w:rPr>
        <w:t>d</w:t>
      </w:r>
      <w:r w:rsidRPr="00FC1634">
        <w:rPr>
          <w:sz w:val="24"/>
          <w:szCs w:val="24"/>
          <w:lang w:val="en-AU" w:eastAsia="en-US"/>
        </w:rPr>
        <w:t>etermines</w:t>
      </w:r>
      <w:r>
        <w:rPr>
          <w:sz w:val="24"/>
          <w:szCs w:val="24"/>
          <w:lang w:val="en-AU" w:eastAsia="en-US"/>
        </w:rPr>
        <w:t xml:space="preserve"> </w:t>
      </w:r>
      <w:r w:rsidRPr="00B830BA">
        <w:rPr>
          <w:i/>
          <w:sz w:val="24"/>
          <w:szCs w:val="24"/>
          <w:lang w:val="en-AU" w:eastAsia="en-US"/>
        </w:rPr>
        <w:t>Reporting Standard SRS 161.0 Self-Insurance</w:t>
      </w:r>
      <w:r>
        <w:rPr>
          <w:sz w:val="24"/>
          <w:szCs w:val="24"/>
          <w:lang w:val="en-AU" w:eastAsia="en-US"/>
        </w:rPr>
        <w:t>;</w:t>
      </w:r>
    </w:p>
    <w:p w:rsidR="00B81F29" w:rsidRDefault="00B81F29" w:rsidP="00B81F29">
      <w:pPr>
        <w:pStyle w:val="ListParagraph"/>
        <w:numPr>
          <w:ilvl w:val="0"/>
          <w:numId w:val="43"/>
        </w:numPr>
        <w:tabs>
          <w:tab w:val="left" w:pos="0"/>
        </w:tabs>
        <w:spacing w:after="240"/>
        <w:jc w:val="both"/>
        <w:rPr>
          <w:sz w:val="24"/>
          <w:szCs w:val="24"/>
          <w:lang w:val="en-AU" w:eastAsia="en-US"/>
        </w:rPr>
      </w:pPr>
      <w:r w:rsidRPr="003250DE">
        <w:rPr>
          <w:sz w:val="24"/>
          <w:szCs w:val="24"/>
          <w:lang w:val="en-AU" w:eastAsia="en-US"/>
        </w:rPr>
        <w:t xml:space="preserve">Financial Sector (Collection of Data) (reporting standard) determination No. </w:t>
      </w:r>
      <w:r w:rsidR="00F2628B">
        <w:rPr>
          <w:sz w:val="24"/>
          <w:szCs w:val="24"/>
          <w:lang w:val="en-AU" w:eastAsia="en-US"/>
        </w:rPr>
        <w:t>6</w:t>
      </w:r>
      <w:r>
        <w:rPr>
          <w:sz w:val="24"/>
          <w:szCs w:val="24"/>
          <w:lang w:val="en-AU" w:eastAsia="en-US"/>
        </w:rPr>
        <w:t xml:space="preserve"> of 2015</w:t>
      </w:r>
      <w:r w:rsidRPr="003250DE">
        <w:rPr>
          <w:sz w:val="24"/>
          <w:szCs w:val="24"/>
          <w:lang w:val="en-AU" w:eastAsia="en-US"/>
        </w:rPr>
        <w:t>, which</w:t>
      </w:r>
      <w:r>
        <w:rPr>
          <w:sz w:val="24"/>
          <w:szCs w:val="24"/>
          <w:lang w:val="en-AU" w:eastAsia="en-US"/>
        </w:rPr>
        <w:t>:</w:t>
      </w:r>
    </w:p>
    <w:p w:rsidR="00B81F29" w:rsidRPr="00FC1634" w:rsidRDefault="00B81F29" w:rsidP="00B81F29">
      <w:pPr>
        <w:pStyle w:val="ListParagraph"/>
        <w:numPr>
          <w:ilvl w:val="1"/>
          <w:numId w:val="43"/>
        </w:numPr>
        <w:tabs>
          <w:tab w:val="left" w:pos="0"/>
        </w:tabs>
        <w:spacing w:after="240"/>
        <w:jc w:val="both"/>
        <w:rPr>
          <w:sz w:val="24"/>
          <w:szCs w:val="24"/>
          <w:lang w:val="en-AU" w:eastAsia="en-US"/>
        </w:rPr>
      </w:pPr>
      <w:r>
        <w:rPr>
          <w:sz w:val="24"/>
          <w:szCs w:val="24"/>
          <w:lang w:val="en-AU" w:eastAsia="en-US"/>
        </w:rPr>
        <w:t xml:space="preserve">revokes </w:t>
      </w:r>
      <w:r w:rsidRPr="00B830BA">
        <w:rPr>
          <w:i/>
          <w:sz w:val="24"/>
          <w:szCs w:val="24"/>
          <w:lang w:val="en-AU" w:eastAsia="en-US"/>
        </w:rPr>
        <w:t>Reporting Standard SRS 250.0 Acquired Insurance</w:t>
      </w:r>
      <w:r w:rsidRPr="00FC1634">
        <w:rPr>
          <w:i/>
          <w:sz w:val="24"/>
          <w:szCs w:val="24"/>
          <w:lang w:val="en-AU" w:eastAsia="en-US"/>
        </w:rPr>
        <w:t xml:space="preserve"> </w:t>
      </w:r>
      <w:r>
        <w:rPr>
          <w:sz w:val="24"/>
          <w:szCs w:val="24"/>
          <w:lang w:val="en-AU" w:eastAsia="en-US"/>
        </w:rPr>
        <w:t xml:space="preserve">made under </w:t>
      </w:r>
      <w:r w:rsidRPr="003250DE">
        <w:rPr>
          <w:sz w:val="24"/>
          <w:szCs w:val="24"/>
          <w:lang w:val="en-AU" w:eastAsia="en-US"/>
        </w:rPr>
        <w:t xml:space="preserve">Financial Sector (Collection of Data) (reporting standard) determination No. </w:t>
      </w:r>
      <w:r w:rsidR="000410A5">
        <w:rPr>
          <w:sz w:val="24"/>
          <w:szCs w:val="24"/>
          <w:lang w:val="en-AU" w:eastAsia="en-US"/>
        </w:rPr>
        <w:t>69 of 2013; and</w:t>
      </w:r>
    </w:p>
    <w:p w:rsidR="00B81F29" w:rsidRPr="00FC1634" w:rsidRDefault="00B81F29" w:rsidP="00B81F29">
      <w:pPr>
        <w:pStyle w:val="ListParagraph"/>
        <w:numPr>
          <w:ilvl w:val="1"/>
          <w:numId w:val="43"/>
        </w:numPr>
        <w:tabs>
          <w:tab w:val="left" w:pos="0"/>
        </w:tabs>
        <w:spacing w:after="240"/>
        <w:jc w:val="both"/>
        <w:rPr>
          <w:sz w:val="24"/>
          <w:szCs w:val="24"/>
          <w:lang w:val="en-AU" w:eastAsia="en-US"/>
        </w:rPr>
      </w:pPr>
      <w:r>
        <w:rPr>
          <w:sz w:val="24"/>
          <w:szCs w:val="24"/>
          <w:lang w:val="en-AU" w:eastAsia="en-US"/>
        </w:rPr>
        <w:t>d</w:t>
      </w:r>
      <w:r w:rsidRPr="00FC1634">
        <w:rPr>
          <w:sz w:val="24"/>
          <w:szCs w:val="24"/>
          <w:lang w:val="en-AU" w:eastAsia="en-US"/>
        </w:rPr>
        <w:t>etermines</w:t>
      </w:r>
      <w:r>
        <w:rPr>
          <w:sz w:val="24"/>
          <w:szCs w:val="24"/>
          <w:lang w:val="en-AU" w:eastAsia="en-US"/>
        </w:rPr>
        <w:t xml:space="preserve"> </w:t>
      </w:r>
      <w:r w:rsidRPr="00B830BA">
        <w:rPr>
          <w:i/>
          <w:sz w:val="24"/>
          <w:szCs w:val="24"/>
          <w:lang w:val="en-AU" w:eastAsia="en-US"/>
        </w:rPr>
        <w:t>Reporting Standard SRS 250.0 Acquired Insurance</w:t>
      </w:r>
      <w:r>
        <w:rPr>
          <w:sz w:val="24"/>
          <w:szCs w:val="24"/>
          <w:lang w:val="en-AU" w:eastAsia="en-US"/>
        </w:rPr>
        <w:t>;</w:t>
      </w:r>
    </w:p>
    <w:p w:rsidR="00B81F29" w:rsidRDefault="00B81F29" w:rsidP="00B81F29">
      <w:pPr>
        <w:pStyle w:val="ListParagraph"/>
        <w:numPr>
          <w:ilvl w:val="0"/>
          <w:numId w:val="43"/>
        </w:numPr>
        <w:tabs>
          <w:tab w:val="left" w:pos="0"/>
        </w:tabs>
        <w:spacing w:after="240"/>
        <w:jc w:val="both"/>
        <w:rPr>
          <w:sz w:val="24"/>
          <w:szCs w:val="24"/>
          <w:lang w:val="en-AU" w:eastAsia="en-US"/>
        </w:rPr>
      </w:pPr>
      <w:r w:rsidRPr="003250DE">
        <w:rPr>
          <w:sz w:val="24"/>
          <w:szCs w:val="24"/>
          <w:lang w:val="en-AU" w:eastAsia="en-US"/>
        </w:rPr>
        <w:t xml:space="preserve">Financial Sector (Collection of Data) (reporting standard) determination No. </w:t>
      </w:r>
      <w:r w:rsidR="00F2628B">
        <w:rPr>
          <w:sz w:val="24"/>
          <w:szCs w:val="24"/>
          <w:lang w:val="en-AU" w:eastAsia="en-US"/>
        </w:rPr>
        <w:t>7</w:t>
      </w:r>
      <w:r>
        <w:rPr>
          <w:sz w:val="24"/>
          <w:szCs w:val="24"/>
          <w:lang w:val="en-AU" w:eastAsia="en-US"/>
        </w:rPr>
        <w:t xml:space="preserve"> of 2015</w:t>
      </w:r>
      <w:r w:rsidRPr="003250DE">
        <w:rPr>
          <w:sz w:val="24"/>
          <w:szCs w:val="24"/>
          <w:lang w:val="en-AU" w:eastAsia="en-US"/>
        </w:rPr>
        <w:t>, which</w:t>
      </w:r>
      <w:r>
        <w:rPr>
          <w:sz w:val="24"/>
          <w:szCs w:val="24"/>
          <w:lang w:val="en-AU" w:eastAsia="en-US"/>
        </w:rPr>
        <w:t>:</w:t>
      </w:r>
    </w:p>
    <w:p w:rsidR="00B81F29" w:rsidRPr="00FC1634" w:rsidRDefault="00B81F29" w:rsidP="00B81F29">
      <w:pPr>
        <w:pStyle w:val="ListParagraph"/>
        <w:numPr>
          <w:ilvl w:val="1"/>
          <w:numId w:val="43"/>
        </w:numPr>
        <w:tabs>
          <w:tab w:val="left" w:pos="0"/>
        </w:tabs>
        <w:spacing w:after="240"/>
        <w:ind w:left="1077" w:hanging="357"/>
        <w:jc w:val="both"/>
        <w:rPr>
          <w:sz w:val="24"/>
          <w:szCs w:val="24"/>
          <w:lang w:val="en-AU" w:eastAsia="en-US"/>
        </w:rPr>
      </w:pPr>
      <w:r>
        <w:rPr>
          <w:sz w:val="24"/>
          <w:szCs w:val="24"/>
          <w:lang w:val="en-AU" w:eastAsia="en-US"/>
        </w:rPr>
        <w:t xml:space="preserve">revokes </w:t>
      </w:r>
      <w:r w:rsidRPr="00B830BA">
        <w:rPr>
          <w:i/>
          <w:sz w:val="24"/>
          <w:szCs w:val="24"/>
          <w:lang w:val="en-AU" w:eastAsia="en-US"/>
        </w:rPr>
        <w:t>Reporting Standard SRS 320.</w:t>
      </w:r>
      <w:r w:rsidR="00BA1792">
        <w:rPr>
          <w:i/>
          <w:sz w:val="24"/>
          <w:szCs w:val="24"/>
          <w:lang w:val="en-AU" w:eastAsia="en-US"/>
        </w:rPr>
        <w:t>1</w:t>
      </w:r>
      <w:r w:rsidRPr="00B830BA">
        <w:rPr>
          <w:i/>
          <w:sz w:val="24"/>
          <w:szCs w:val="24"/>
          <w:lang w:val="en-AU" w:eastAsia="en-US"/>
        </w:rPr>
        <w:t xml:space="preserve"> Statement of Financial Position</w:t>
      </w:r>
      <w:r w:rsidRPr="00FC1634">
        <w:rPr>
          <w:i/>
          <w:sz w:val="24"/>
          <w:szCs w:val="24"/>
          <w:lang w:val="en-AU" w:eastAsia="en-US"/>
        </w:rPr>
        <w:t xml:space="preserve"> </w:t>
      </w:r>
      <w:r>
        <w:rPr>
          <w:sz w:val="24"/>
          <w:szCs w:val="24"/>
          <w:lang w:val="en-AU" w:eastAsia="en-US"/>
        </w:rPr>
        <w:t xml:space="preserve">made under </w:t>
      </w:r>
      <w:r w:rsidRPr="003250DE">
        <w:rPr>
          <w:sz w:val="24"/>
          <w:szCs w:val="24"/>
          <w:lang w:val="en-AU" w:eastAsia="en-US"/>
        </w:rPr>
        <w:t xml:space="preserve">Financial Sector (Collection of Data) (reporting standard) determination No. </w:t>
      </w:r>
      <w:r w:rsidR="00BA1792">
        <w:rPr>
          <w:sz w:val="24"/>
          <w:szCs w:val="24"/>
          <w:lang w:val="en-AU" w:eastAsia="en-US"/>
        </w:rPr>
        <w:t xml:space="preserve">71 </w:t>
      </w:r>
      <w:r w:rsidR="000410A5">
        <w:rPr>
          <w:sz w:val="24"/>
          <w:szCs w:val="24"/>
          <w:lang w:val="en-AU" w:eastAsia="en-US"/>
        </w:rPr>
        <w:t>of 201</w:t>
      </w:r>
      <w:r w:rsidR="00BA1792">
        <w:rPr>
          <w:sz w:val="24"/>
          <w:szCs w:val="24"/>
          <w:lang w:val="en-AU" w:eastAsia="en-US"/>
        </w:rPr>
        <w:t>3</w:t>
      </w:r>
      <w:r w:rsidR="000410A5">
        <w:rPr>
          <w:sz w:val="24"/>
          <w:szCs w:val="24"/>
          <w:lang w:val="en-AU" w:eastAsia="en-US"/>
        </w:rPr>
        <w:t>; and</w:t>
      </w:r>
    </w:p>
    <w:p w:rsidR="00B81F29" w:rsidRPr="00FC1634" w:rsidRDefault="00B81F29" w:rsidP="00B81F29">
      <w:pPr>
        <w:pStyle w:val="ListParagraph"/>
        <w:numPr>
          <w:ilvl w:val="1"/>
          <w:numId w:val="43"/>
        </w:numPr>
        <w:tabs>
          <w:tab w:val="left" w:pos="0"/>
        </w:tabs>
        <w:spacing w:after="240"/>
        <w:ind w:left="1077" w:hanging="357"/>
        <w:jc w:val="both"/>
        <w:rPr>
          <w:sz w:val="24"/>
          <w:szCs w:val="24"/>
          <w:lang w:val="en-AU" w:eastAsia="en-US"/>
        </w:rPr>
      </w:pPr>
      <w:r>
        <w:rPr>
          <w:sz w:val="24"/>
          <w:szCs w:val="24"/>
          <w:lang w:val="en-AU" w:eastAsia="en-US"/>
        </w:rPr>
        <w:t>d</w:t>
      </w:r>
      <w:r w:rsidRPr="00FC1634">
        <w:rPr>
          <w:sz w:val="24"/>
          <w:szCs w:val="24"/>
          <w:lang w:val="en-AU" w:eastAsia="en-US"/>
        </w:rPr>
        <w:t>etermines</w:t>
      </w:r>
      <w:r>
        <w:rPr>
          <w:sz w:val="24"/>
          <w:szCs w:val="24"/>
          <w:lang w:val="en-AU" w:eastAsia="en-US"/>
        </w:rPr>
        <w:t xml:space="preserve"> </w:t>
      </w:r>
      <w:r w:rsidRPr="00B830BA">
        <w:rPr>
          <w:i/>
          <w:sz w:val="24"/>
          <w:szCs w:val="24"/>
          <w:lang w:val="en-AU" w:eastAsia="en-US"/>
        </w:rPr>
        <w:t>Reporting Standard SRS 320.</w:t>
      </w:r>
      <w:r w:rsidR="00BA1792">
        <w:rPr>
          <w:i/>
          <w:sz w:val="24"/>
          <w:szCs w:val="24"/>
          <w:lang w:val="en-AU" w:eastAsia="en-US"/>
        </w:rPr>
        <w:t>1</w:t>
      </w:r>
      <w:r w:rsidRPr="00B830BA">
        <w:rPr>
          <w:i/>
          <w:sz w:val="24"/>
          <w:szCs w:val="24"/>
          <w:lang w:val="en-AU" w:eastAsia="en-US"/>
        </w:rPr>
        <w:t xml:space="preserve"> Statement of Financial Position</w:t>
      </w:r>
      <w:r>
        <w:rPr>
          <w:sz w:val="24"/>
          <w:szCs w:val="24"/>
          <w:lang w:val="en-AU" w:eastAsia="en-US"/>
        </w:rPr>
        <w:t>;</w:t>
      </w:r>
    </w:p>
    <w:p w:rsidR="00B81F29" w:rsidRDefault="00B81F29" w:rsidP="00B81F29">
      <w:pPr>
        <w:pStyle w:val="ListParagraph"/>
        <w:numPr>
          <w:ilvl w:val="0"/>
          <w:numId w:val="43"/>
        </w:numPr>
        <w:tabs>
          <w:tab w:val="left" w:pos="0"/>
        </w:tabs>
        <w:spacing w:after="240"/>
        <w:jc w:val="both"/>
        <w:rPr>
          <w:sz w:val="24"/>
          <w:szCs w:val="24"/>
          <w:lang w:val="en-AU" w:eastAsia="en-US"/>
        </w:rPr>
      </w:pPr>
      <w:r w:rsidRPr="003250DE">
        <w:rPr>
          <w:sz w:val="24"/>
          <w:szCs w:val="24"/>
          <w:lang w:val="en-AU" w:eastAsia="en-US"/>
        </w:rPr>
        <w:t xml:space="preserve">Financial Sector (Collection of Data) (reporting standard) determination No. </w:t>
      </w:r>
      <w:r w:rsidR="00F2628B">
        <w:rPr>
          <w:sz w:val="24"/>
          <w:szCs w:val="24"/>
          <w:lang w:val="en-AU" w:eastAsia="en-US"/>
        </w:rPr>
        <w:t>8</w:t>
      </w:r>
      <w:r>
        <w:rPr>
          <w:sz w:val="24"/>
          <w:szCs w:val="24"/>
          <w:lang w:val="en-AU" w:eastAsia="en-US"/>
        </w:rPr>
        <w:t xml:space="preserve"> of 2015</w:t>
      </w:r>
      <w:r w:rsidRPr="003250DE">
        <w:rPr>
          <w:sz w:val="24"/>
          <w:szCs w:val="24"/>
          <w:lang w:val="en-AU" w:eastAsia="en-US"/>
        </w:rPr>
        <w:t>, which</w:t>
      </w:r>
      <w:r>
        <w:rPr>
          <w:sz w:val="24"/>
          <w:szCs w:val="24"/>
          <w:lang w:val="en-AU" w:eastAsia="en-US"/>
        </w:rPr>
        <w:t>:</w:t>
      </w:r>
    </w:p>
    <w:p w:rsidR="00B81F29" w:rsidRPr="00FC1634" w:rsidRDefault="00B81F29" w:rsidP="00B81F29">
      <w:pPr>
        <w:pStyle w:val="ListParagraph"/>
        <w:numPr>
          <w:ilvl w:val="1"/>
          <w:numId w:val="43"/>
        </w:numPr>
        <w:tabs>
          <w:tab w:val="left" w:pos="0"/>
        </w:tabs>
        <w:spacing w:after="240"/>
        <w:ind w:left="1077" w:hanging="357"/>
        <w:jc w:val="both"/>
        <w:rPr>
          <w:sz w:val="24"/>
          <w:szCs w:val="24"/>
          <w:lang w:val="en-AU" w:eastAsia="en-US"/>
        </w:rPr>
      </w:pPr>
      <w:r>
        <w:rPr>
          <w:sz w:val="24"/>
          <w:szCs w:val="24"/>
          <w:lang w:val="en-AU" w:eastAsia="en-US"/>
        </w:rPr>
        <w:t xml:space="preserve">revokes </w:t>
      </w:r>
      <w:r w:rsidRPr="00B830BA">
        <w:rPr>
          <w:i/>
          <w:sz w:val="24"/>
          <w:szCs w:val="24"/>
          <w:lang w:val="en-AU" w:eastAsia="en-US"/>
        </w:rPr>
        <w:t>Reporting Standard SRS 3</w:t>
      </w:r>
      <w:r w:rsidR="009C2504">
        <w:rPr>
          <w:i/>
          <w:sz w:val="24"/>
          <w:szCs w:val="24"/>
          <w:lang w:val="en-AU" w:eastAsia="en-US"/>
        </w:rPr>
        <w:t>3</w:t>
      </w:r>
      <w:r w:rsidRPr="00B830BA">
        <w:rPr>
          <w:i/>
          <w:sz w:val="24"/>
          <w:szCs w:val="24"/>
          <w:lang w:val="en-AU" w:eastAsia="en-US"/>
        </w:rPr>
        <w:t>0.</w:t>
      </w:r>
      <w:r w:rsidR="009C2504">
        <w:rPr>
          <w:i/>
          <w:sz w:val="24"/>
          <w:szCs w:val="24"/>
          <w:lang w:val="en-AU" w:eastAsia="en-US"/>
        </w:rPr>
        <w:t>2</w:t>
      </w:r>
      <w:r w:rsidRPr="00B830BA">
        <w:rPr>
          <w:i/>
          <w:sz w:val="24"/>
          <w:szCs w:val="24"/>
          <w:lang w:val="en-AU" w:eastAsia="en-US"/>
        </w:rPr>
        <w:t xml:space="preserve"> Statement of Financial </w:t>
      </w:r>
      <w:r w:rsidR="009C2504">
        <w:rPr>
          <w:i/>
          <w:sz w:val="24"/>
          <w:szCs w:val="24"/>
          <w:lang w:val="en-AU" w:eastAsia="en-US"/>
        </w:rPr>
        <w:t xml:space="preserve">Performance </w:t>
      </w:r>
      <w:r>
        <w:rPr>
          <w:sz w:val="24"/>
          <w:szCs w:val="24"/>
          <w:lang w:val="en-AU" w:eastAsia="en-US"/>
        </w:rPr>
        <w:t xml:space="preserve">made under </w:t>
      </w:r>
      <w:r w:rsidRPr="003250DE">
        <w:rPr>
          <w:sz w:val="24"/>
          <w:szCs w:val="24"/>
          <w:lang w:val="en-AU" w:eastAsia="en-US"/>
        </w:rPr>
        <w:t xml:space="preserve">Financial Sector (Collection of Data) (reporting standard) determination No. </w:t>
      </w:r>
      <w:r w:rsidR="009C2504">
        <w:rPr>
          <w:sz w:val="24"/>
          <w:szCs w:val="24"/>
          <w:lang w:val="en-AU" w:eastAsia="en-US"/>
        </w:rPr>
        <w:t>13</w:t>
      </w:r>
      <w:r w:rsidR="000410A5">
        <w:rPr>
          <w:sz w:val="24"/>
          <w:szCs w:val="24"/>
          <w:lang w:val="en-AU" w:eastAsia="en-US"/>
        </w:rPr>
        <w:t xml:space="preserve"> of 201</w:t>
      </w:r>
      <w:r w:rsidR="009C2504">
        <w:rPr>
          <w:sz w:val="24"/>
          <w:szCs w:val="24"/>
          <w:lang w:val="en-AU" w:eastAsia="en-US"/>
        </w:rPr>
        <w:t>4</w:t>
      </w:r>
      <w:r w:rsidR="000410A5">
        <w:rPr>
          <w:sz w:val="24"/>
          <w:szCs w:val="24"/>
          <w:lang w:val="en-AU" w:eastAsia="en-US"/>
        </w:rPr>
        <w:t>; and</w:t>
      </w:r>
    </w:p>
    <w:p w:rsidR="00B81F29" w:rsidRPr="00FC1634" w:rsidRDefault="00B81F29" w:rsidP="00B81F29">
      <w:pPr>
        <w:pStyle w:val="ListParagraph"/>
        <w:numPr>
          <w:ilvl w:val="1"/>
          <w:numId w:val="43"/>
        </w:numPr>
        <w:tabs>
          <w:tab w:val="left" w:pos="0"/>
        </w:tabs>
        <w:spacing w:after="240"/>
        <w:ind w:left="1077" w:hanging="357"/>
        <w:jc w:val="both"/>
        <w:rPr>
          <w:sz w:val="24"/>
          <w:szCs w:val="24"/>
          <w:lang w:val="en-AU" w:eastAsia="en-US"/>
        </w:rPr>
      </w:pPr>
      <w:r>
        <w:rPr>
          <w:sz w:val="24"/>
          <w:szCs w:val="24"/>
          <w:lang w:val="en-AU" w:eastAsia="en-US"/>
        </w:rPr>
        <w:t>d</w:t>
      </w:r>
      <w:r w:rsidRPr="00FC1634">
        <w:rPr>
          <w:sz w:val="24"/>
          <w:szCs w:val="24"/>
          <w:lang w:val="en-AU" w:eastAsia="en-US"/>
        </w:rPr>
        <w:t>etermines</w:t>
      </w:r>
      <w:r>
        <w:rPr>
          <w:sz w:val="24"/>
          <w:szCs w:val="24"/>
          <w:lang w:val="en-AU" w:eastAsia="en-US"/>
        </w:rPr>
        <w:t xml:space="preserve"> </w:t>
      </w:r>
      <w:r w:rsidRPr="00B830BA">
        <w:rPr>
          <w:i/>
          <w:sz w:val="24"/>
          <w:szCs w:val="24"/>
          <w:lang w:val="en-AU" w:eastAsia="en-US"/>
        </w:rPr>
        <w:t>Reporting Standard SRS 3</w:t>
      </w:r>
      <w:r w:rsidR="009C2504">
        <w:rPr>
          <w:i/>
          <w:sz w:val="24"/>
          <w:szCs w:val="24"/>
          <w:lang w:val="en-AU" w:eastAsia="en-US"/>
        </w:rPr>
        <w:t>3</w:t>
      </w:r>
      <w:r w:rsidRPr="00B830BA">
        <w:rPr>
          <w:i/>
          <w:sz w:val="24"/>
          <w:szCs w:val="24"/>
          <w:lang w:val="en-AU" w:eastAsia="en-US"/>
        </w:rPr>
        <w:t>0.</w:t>
      </w:r>
      <w:r w:rsidR="009C2504">
        <w:rPr>
          <w:i/>
          <w:sz w:val="24"/>
          <w:szCs w:val="24"/>
          <w:lang w:val="en-AU" w:eastAsia="en-US"/>
        </w:rPr>
        <w:t>2</w:t>
      </w:r>
      <w:r w:rsidRPr="00B830BA">
        <w:rPr>
          <w:i/>
          <w:sz w:val="24"/>
          <w:szCs w:val="24"/>
          <w:lang w:val="en-AU" w:eastAsia="en-US"/>
        </w:rPr>
        <w:t xml:space="preserve"> Statement of Financial </w:t>
      </w:r>
      <w:r w:rsidR="009C2504" w:rsidRPr="00B830BA">
        <w:rPr>
          <w:i/>
          <w:sz w:val="24"/>
          <w:szCs w:val="24"/>
          <w:lang w:val="en-AU" w:eastAsia="en-US"/>
        </w:rPr>
        <w:t>P</w:t>
      </w:r>
      <w:r w:rsidR="009C2504">
        <w:rPr>
          <w:i/>
          <w:sz w:val="24"/>
          <w:szCs w:val="24"/>
          <w:lang w:val="en-AU" w:eastAsia="en-US"/>
        </w:rPr>
        <w:t>erformance</w:t>
      </w:r>
      <w:r>
        <w:rPr>
          <w:sz w:val="24"/>
          <w:szCs w:val="24"/>
          <w:lang w:val="en-AU" w:eastAsia="en-US"/>
        </w:rPr>
        <w:t>;</w:t>
      </w:r>
    </w:p>
    <w:p w:rsidR="008D247D" w:rsidRDefault="008D247D" w:rsidP="008D247D">
      <w:pPr>
        <w:pStyle w:val="ListParagraph"/>
        <w:numPr>
          <w:ilvl w:val="0"/>
          <w:numId w:val="43"/>
        </w:numPr>
        <w:tabs>
          <w:tab w:val="left" w:pos="0"/>
        </w:tabs>
        <w:spacing w:after="240"/>
        <w:jc w:val="both"/>
        <w:rPr>
          <w:sz w:val="24"/>
          <w:szCs w:val="24"/>
          <w:lang w:val="en-AU" w:eastAsia="en-US"/>
        </w:rPr>
      </w:pPr>
      <w:r w:rsidRPr="003250DE">
        <w:rPr>
          <w:sz w:val="24"/>
          <w:szCs w:val="24"/>
          <w:lang w:val="en-AU" w:eastAsia="en-US"/>
        </w:rPr>
        <w:t xml:space="preserve">Financial Sector (Collection of Data) (reporting standard) determination No. </w:t>
      </w:r>
      <w:r w:rsidR="009C2504">
        <w:rPr>
          <w:sz w:val="24"/>
          <w:szCs w:val="24"/>
          <w:lang w:val="en-AU" w:eastAsia="en-US"/>
        </w:rPr>
        <w:t>9</w:t>
      </w:r>
      <w:r>
        <w:rPr>
          <w:sz w:val="24"/>
          <w:szCs w:val="24"/>
          <w:lang w:val="en-AU" w:eastAsia="en-US"/>
        </w:rPr>
        <w:t xml:space="preserve"> of 2015</w:t>
      </w:r>
      <w:r w:rsidRPr="003250DE">
        <w:rPr>
          <w:sz w:val="24"/>
          <w:szCs w:val="24"/>
          <w:lang w:val="en-AU" w:eastAsia="en-US"/>
        </w:rPr>
        <w:t>, which</w:t>
      </w:r>
      <w:r>
        <w:rPr>
          <w:sz w:val="24"/>
          <w:szCs w:val="24"/>
          <w:lang w:val="en-AU" w:eastAsia="en-US"/>
        </w:rPr>
        <w:t>:</w:t>
      </w:r>
    </w:p>
    <w:p w:rsidR="008D247D" w:rsidRPr="00FC1634" w:rsidRDefault="008D247D" w:rsidP="008D247D">
      <w:pPr>
        <w:pStyle w:val="ListParagraph"/>
        <w:numPr>
          <w:ilvl w:val="1"/>
          <w:numId w:val="43"/>
        </w:numPr>
        <w:tabs>
          <w:tab w:val="left" w:pos="0"/>
        </w:tabs>
        <w:spacing w:after="240"/>
        <w:ind w:left="1077" w:hanging="357"/>
        <w:jc w:val="both"/>
        <w:rPr>
          <w:sz w:val="24"/>
          <w:szCs w:val="24"/>
          <w:lang w:val="en-AU" w:eastAsia="en-US"/>
        </w:rPr>
      </w:pPr>
      <w:r>
        <w:rPr>
          <w:sz w:val="24"/>
          <w:szCs w:val="24"/>
          <w:lang w:val="en-AU" w:eastAsia="en-US"/>
        </w:rPr>
        <w:t xml:space="preserve">revokes </w:t>
      </w:r>
      <w:r w:rsidRPr="00B830BA">
        <w:rPr>
          <w:i/>
          <w:sz w:val="24"/>
          <w:szCs w:val="24"/>
          <w:lang w:val="en-AU" w:eastAsia="en-US"/>
        </w:rPr>
        <w:t>Reporting Standard SRS 331.0 Services</w:t>
      </w:r>
      <w:r>
        <w:rPr>
          <w:sz w:val="24"/>
          <w:szCs w:val="24"/>
          <w:lang w:val="en-AU" w:eastAsia="en-US"/>
        </w:rPr>
        <w:t xml:space="preserve"> made under </w:t>
      </w:r>
      <w:r w:rsidRPr="003250DE">
        <w:rPr>
          <w:sz w:val="24"/>
          <w:szCs w:val="24"/>
          <w:lang w:val="en-AU" w:eastAsia="en-US"/>
        </w:rPr>
        <w:t xml:space="preserve">Financial Sector (Collection of Data) (reporting standard) determination No. </w:t>
      </w:r>
      <w:r w:rsidR="000410A5">
        <w:rPr>
          <w:sz w:val="24"/>
          <w:szCs w:val="24"/>
          <w:lang w:val="en-AU" w:eastAsia="en-US"/>
        </w:rPr>
        <w:t>75 of 2013; and</w:t>
      </w:r>
    </w:p>
    <w:p w:rsidR="008D247D" w:rsidRPr="00FC1634" w:rsidRDefault="008D247D" w:rsidP="008D247D">
      <w:pPr>
        <w:pStyle w:val="ListParagraph"/>
        <w:numPr>
          <w:ilvl w:val="1"/>
          <w:numId w:val="43"/>
        </w:numPr>
        <w:tabs>
          <w:tab w:val="left" w:pos="0"/>
        </w:tabs>
        <w:spacing w:after="240"/>
        <w:ind w:left="1077" w:hanging="357"/>
        <w:jc w:val="both"/>
        <w:rPr>
          <w:sz w:val="24"/>
          <w:szCs w:val="24"/>
          <w:lang w:val="en-AU" w:eastAsia="en-US"/>
        </w:rPr>
      </w:pPr>
      <w:r>
        <w:rPr>
          <w:sz w:val="24"/>
          <w:szCs w:val="24"/>
          <w:lang w:val="en-AU" w:eastAsia="en-US"/>
        </w:rPr>
        <w:t>d</w:t>
      </w:r>
      <w:r w:rsidRPr="00FC1634">
        <w:rPr>
          <w:sz w:val="24"/>
          <w:szCs w:val="24"/>
          <w:lang w:val="en-AU" w:eastAsia="en-US"/>
        </w:rPr>
        <w:t>etermines</w:t>
      </w:r>
      <w:r>
        <w:rPr>
          <w:sz w:val="24"/>
          <w:szCs w:val="24"/>
          <w:lang w:val="en-AU" w:eastAsia="en-US"/>
        </w:rPr>
        <w:t xml:space="preserve"> </w:t>
      </w:r>
      <w:r w:rsidRPr="00B830BA">
        <w:rPr>
          <w:i/>
          <w:sz w:val="24"/>
          <w:szCs w:val="24"/>
          <w:lang w:val="en-AU" w:eastAsia="en-US"/>
        </w:rPr>
        <w:t>Reporting Standard SRS 331.0 Services</w:t>
      </w:r>
      <w:r>
        <w:rPr>
          <w:sz w:val="24"/>
          <w:szCs w:val="24"/>
          <w:lang w:val="en-AU" w:eastAsia="en-US"/>
        </w:rPr>
        <w:t>;</w:t>
      </w:r>
    </w:p>
    <w:p w:rsidR="007C7D78" w:rsidRDefault="007C7D78" w:rsidP="007C7D78">
      <w:pPr>
        <w:pStyle w:val="ListParagraph"/>
        <w:numPr>
          <w:ilvl w:val="0"/>
          <w:numId w:val="43"/>
        </w:numPr>
        <w:tabs>
          <w:tab w:val="left" w:pos="0"/>
        </w:tabs>
        <w:spacing w:after="240"/>
        <w:jc w:val="both"/>
        <w:rPr>
          <w:sz w:val="24"/>
          <w:szCs w:val="24"/>
          <w:lang w:val="en-AU" w:eastAsia="en-US"/>
        </w:rPr>
      </w:pPr>
      <w:r w:rsidRPr="003250DE">
        <w:rPr>
          <w:sz w:val="24"/>
          <w:szCs w:val="24"/>
          <w:lang w:val="en-AU" w:eastAsia="en-US"/>
        </w:rPr>
        <w:lastRenderedPageBreak/>
        <w:t xml:space="preserve">Financial Sector (Collection of Data) (reporting standard) determination No. </w:t>
      </w:r>
      <w:r>
        <w:rPr>
          <w:sz w:val="24"/>
          <w:szCs w:val="24"/>
          <w:lang w:val="en-AU" w:eastAsia="en-US"/>
        </w:rPr>
        <w:t>1</w:t>
      </w:r>
      <w:r w:rsidR="009C2504">
        <w:rPr>
          <w:sz w:val="24"/>
          <w:szCs w:val="24"/>
          <w:lang w:val="en-AU" w:eastAsia="en-US"/>
        </w:rPr>
        <w:t>0</w:t>
      </w:r>
      <w:r>
        <w:rPr>
          <w:sz w:val="24"/>
          <w:szCs w:val="24"/>
          <w:lang w:val="en-AU" w:eastAsia="en-US"/>
        </w:rPr>
        <w:t xml:space="preserve"> of 2015</w:t>
      </w:r>
      <w:r w:rsidRPr="003250DE">
        <w:rPr>
          <w:sz w:val="24"/>
          <w:szCs w:val="24"/>
          <w:lang w:val="en-AU" w:eastAsia="en-US"/>
        </w:rPr>
        <w:t>, which</w:t>
      </w:r>
      <w:r>
        <w:rPr>
          <w:sz w:val="24"/>
          <w:szCs w:val="24"/>
          <w:lang w:val="en-AU" w:eastAsia="en-US"/>
        </w:rPr>
        <w:t>:</w:t>
      </w:r>
    </w:p>
    <w:p w:rsidR="007C7D78" w:rsidRPr="00FC1634" w:rsidRDefault="007C7D78" w:rsidP="007C7D78">
      <w:pPr>
        <w:pStyle w:val="ListParagraph"/>
        <w:numPr>
          <w:ilvl w:val="1"/>
          <w:numId w:val="43"/>
        </w:numPr>
        <w:tabs>
          <w:tab w:val="left" w:pos="0"/>
        </w:tabs>
        <w:spacing w:after="240"/>
        <w:ind w:left="1077" w:hanging="357"/>
        <w:jc w:val="both"/>
        <w:rPr>
          <w:sz w:val="24"/>
          <w:szCs w:val="24"/>
          <w:lang w:val="en-AU" w:eastAsia="en-US"/>
        </w:rPr>
      </w:pPr>
      <w:r>
        <w:rPr>
          <w:sz w:val="24"/>
          <w:szCs w:val="24"/>
          <w:lang w:val="en-AU" w:eastAsia="en-US"/>
        </w:rPr>
        <w:t xml:space="preserve">revokes </w:t>
      </w:r>
      <w:r w:rsidRPr="00B830BA">
        <w:rPr>
          <w:i/>
          <w:sz w:val="24"/>
          <w:szCs w:val="24"/>
          <w:lang w:val="en-AU" w:eastAsia="en-US"/>
        </w:rPr>
        <w:t xml:space="preserve">Reporting Standard SRS 410.0 </w:t>
      </w:r>
      <w:r w:rsidRPr="00EF40BB">
        <w:rPr>
          <w:i/>
          <w:sz w:val="24"/>
          <w:szCs w:val="24"/>
          <w:lang w:val="en-AU" w:eastAsia="en-US"/>
        </w:rPr>
        <w:t>Accrued Default Amount</w:t>
      </w:r>
      <w:r>
        <w:rPr>
          <w:sz w:val="24"/>
          <w:szCs w:val="24"/>
          <w:lang w:val="en-AU" w:eastAsia="en-US"/>
        </w:rPr>
        <w:t xml:space="preserve"> made under </w:t>
      </w:r>
      <w:r w:rsidRPr="003250DE">
        <w:rPr>
          <w:sz w:val="24"/>
          <w:szCs w:val="24"/>
          <w:lang w:val="en-AU" w:eastAsia="en-US"/>
        </w:rPr>
        <w:t>Financial Sector (Collection of Data) (reporting standard) determination No.</w:t>
      </w:r>
      <w:r w:rsidR="00962B7F">
        <w:rPr>
          <w:sz w:val="24"/>
          <w:szCs w:val="24"/>
          <w:lang w:val="en-AU" w:eastAsia="en-US"/>
        </w:rPr>
        <w:t xml:space="preserve"> 20 </w:t>
      </w:r>
      <w:r>
        <w:rPr>
          <w:sz w:val="24"/>
          <w:szCs w:val="24"/>
          <w:lang w:val="en-AU" w:eastAsia="en-US"/>
        </w:rPr>
        <w:t>of 201</w:t>
      </w:r>
      <w:r w:rsidR="00962B7F">
        <w:rPr>
          <w:sz w:val="24"/>
          <w:szCs w:val="24"/>
          <w:lang w:val="en-AU" w:eastAsia="en-US"/>
        </w:rPr>
        <w:t>4</w:t>
      </w:r>
      <w:r w:rsidR="000410A5">
        <w:rPr>
          <w:sz w:val="24"/>
          <w:szCs w:val="24"/>
          <w:lang w:val="en-AU" w:eastAsia="en-US"/>
        </w:rPr>
        <w:t>; and</w:t>
      </w:r>
    </w:p>
    <w:p w:rsidR="00BE0C68" w:rsidRDefault="00BE0C68" w:rsidP="00E1272F">
      <w:pPr>
        <w:pStyle w:val="ListParagraph"/>
        <w:tabs>
          <w:tab w:val="left" w:pos="0"/>
        </w:tabs>
        <w:spacing w:after="240"/>
        <w:ind w:left="360"/>
        <w:jc w:val="both"/>
        <w:rPr>
          <w:sz w:val="24"/>
          <w:szCs w:val="24"/>
        </w:rPr>
      </w:pPr>
      <w:r>
        <w:rPr>
          <w:sz w:val="24"/>
          <w:szCs w:val="24"/>
        </w:rPr>
        <w:t xml:space="preserve">(ii) </w:t>
      </w:r>
      <w:proofErr w:type="gramStart"/>
      <w:r w:rsidR="007C7D78" w:rsidRPr="00EF40BB">
        <w:rPr>
          <w:sz w:val="24"/>
          <w:szCs w:val="24"/>
        </w:rPr>
        <w:t>determines</w:t>
      </w:r>
      <w:proofErr w:type="gramEnd"/>
      <w:r w:rsidR="007C7D78" w:rsidRPr="00EF40BB">
        <w:rPr>
          <w:sz w:val="24"/>
          <w:szCs w:val="24"/>
        </w:rPr>
        <w:t xml:space="preserve"> </w:t>
      </w:r>
      <w:r w:rsidR="007C7D78" w:rsidRPr="00EF40BB">
        <w:rPr>
          <w:i/>
          <w:sz w:val="24"/>
          <w:szCs w:val="24"/>
        </w:rPr>
        <w:t>Reporting Standard SRS 410.0 Accrued Default Amounts</w:t>
      </w:r>
      <w:r w:rsidR="007C7D78" w:rsidRPr="00EF40BB">
        <w:rPr>
          <w:sz w:val="24"/>
          <w:szCs w:val="24"/>
        </w:rPr>
        <w:t>;</w:t>
      </w:r>
      <w:r>
        <w:rPr>
          <w:sz w:val="24"/>
          <w:szCs w:val="24"/>
        </w:rPr>
        <w:t xml:space="preserve"> </w:t>
      </w:r>
    </w:p>
    <w:p w:rsidR="006802EF" w:rsidRPr="00E1272F" w:rsidRDefault="00BE0C68" w:rsidP="00E1272F">
      <w:pPr>
        <w:pStyle w:val="ListParagraph"/>
        <w:numPr>
          <w:ilvl w:val="0"/>
          <w:numId w:val="43"/>
        </w:numPr>
        <w:tabs>
          <w:tab w:val="left" w:pos="0"/>
        </w:tabs>
        <w:spacing w:after="240"/>
        <w:jc w:val="both"/>
        <w:rPr>
          <w:sz w:val="24"/>
          <w:szCs w:val="24"/>
          <w:lang w:val="en-AU" w:eastAsia="en-US"/>
        </w:rPr>
      </w:pPr>
      <w:r>
        <w:t xml:space="preserve"> </w:t>
      </w:r>
      <w:r w:rsidR="006802EF" w:rsidRPr="00E1272F">
        <w:rPr>
          <w:sz w:val="24"/>
          <w:szCs w:val="24"/>
          <w:lang w:val="en-AU" w:eastAsia="en-US"/>
        </w:rPr>
        <w:t>Financial Sector (Collection of Data) (reporting standard) determination No. 1</w:t>
      </w:r>
      <w:r w:rsidR="004D4AEA" w:rsidRPr="00E1272F">
        <w:rPr>
          <w:sz w:val="24"/>
          <w:szCs w:val="24"/>
          <w:lang w:val="en-AU" w:eastAsia="en-US"/>
        </w:rPr>
        <w:t>4</w:t>
      </w:r>
      <w:r w:rsidR="006802EF" w:rsidRPr="00E1272F">
        <w:rPr>
          <w:sz w:val="24"/>
          <w:szCs w:val="24"/>
          <w:lang w:val="en-AU" w:eastAsia="en-US"/>
        </w:rPr>
        <w:t xml:space="preserve"> of 2015, which:</w:t>
      </w:r>
    </w:p>
    <w:p w:rsidR="006802EF" w:rsidRPr="00FC1634" w:rsidRDefault="006802EF" w:rsidP="006802EF">
      <w:pPr>
        <w:pStyle w:val="ListParagraph"/>
        <w:numPr>
          <w:ilvl w:val="1"/>
          <w:numId w:val="43"/>
        </w:numPr>
        <w:tabs>
          <w:tab w:val="left" w:pos="0"/>
        </w:tabs>
        <w:spacing w:after="240"/>
        <w:ind w:left="1077" w:hanging="357"/>
        <w:jc w:val="both"/>
        <w:rPr>
          <w:sz w:val="24"/>
          <w:szCs w:val="24"/>
          <w:lang w:val="en-AU" w:eastAsia="en-US"/>
        </w:rPr>
      </w:pPr>
      <w:r>
        <w:rPr>
          <w:sz w:val="24"/>
          <w:szCs w:val="24"/>
          <w:lang w:val="en-AU" w:eastAsia="en-US"/>
        </w:rPr>
        <w:t xml:space="preserve">revokes </w:t>
      </w:r>
      <w:r w:rsidRPr="00B830BA">
        <w:rPr>
          <w:i/>
          <w:sz w:val="24"/>
          <w:szCs w:val="24"/>
          <w:lang w:val="en-AU" w:eastAsia="en-US"/>
        </w:rPr>
        <w:t>Reporting Standard SRS 540.0 Fees</w:t>
      </w:r>
      <w:r>
        <w:rPr>
          <w:sz w:val="24"/>
          <w:szCs w:val="24"/>
          <w:lang w:val="en-AU" w:eastAsia="en-US"/>
        </w:rPr>
        <w:t xml:space="preserve"> made under </w:t>
      </w:r>
      <w:r w:rsidRPr="003250DE">
        <w:rPr>
          <w:sz w:val="24"/>
          <w:szCs w:val="24"/>
          <w:lang w:val="en-AU" w:eastAsia="en-US"/>
        </w:rPr>
        <w:t xml:space="preserve">Financial Sector (Collection of Data) (reporting standard) determination No. </w:t>
      </w:r>
      <w:r w:rsidR="000410A5">
        <w:rPr>
          <w:sz w:val="24"/>
          <w:szCs w:val="24"/>
          <w:lang w:val="en-AU" w:eastAsia="en-US"/>
        </w:rPr>
        <w:t>85 of 2013; and</w:t>
      </w:r>
    </w:p>
    <w:p w:rsidR="006802EF" w:rsidRPr="00FC1634" w:rsidRDefault="006802EF" w:rsidP="006802EF">
      <w:pPr>
        <w:pStyle w:val="ListParagraph"/>
        <w:numPr>
          <w:ilvl w:val="1"/>
          <w:numId w:val="43"/>
        </w:numPr>
        <w:tabs>
          <w:tab w:val="left" w:pos="0"/>
        </w:tabs>
        <w:spacing w:after="240"/>
        <w:ind w:left="1077" w:hanging="357"/>
        <w:jc w:val="both"/>
        <w:rPr>
          <w:sz w:val="24"/>
          <w:szCs w:val="24"/>
          <w:lang w:val="en-AU" w:eastAsia="en-US"/>
        </w:rPr>
      </w:pPr>
      <w:r>
        <w:rPr>
          <w:sz w:val="24"/>
          <w:szCs w:val="24"/>
          <w:lang w:val="en-AU" w:eastAsia="en-US"/>
        </w:rPr>
        <w:t>d</w:t>
      </w:r>
      <w:r w:rsidRPr="00FC1634">
        <w:rPr>
          <w:sz w:val="24"/>
          <w:szCs w:val="24"/>
          <w:lang w:val="en-AU" w:eastAsia="en-US"/>
        </w:rPr>
        <w:t>etermines</w:t>
      </w:r>
      <w:r>
        <w:rPr>
          <w:sz w:val="24"/>
          <w:szCs w:val="24"/>
          <w:lang w:val="en-AU" w:eastAsia="en-US"/>
        </w:rPr>
        <w:t xml:space="preserve"> </w:t>
      </w:r>
      <w:r w:rsidRPr="00B830BA">
        <w:rPr>
          <w:i/>
          <w:sz w:val="24"/>
          <w:szCs w:val="24"/>
          <w:lang w:val="en-AU" w:eastAsia="en-US"/>
        </w:rPr>
        <w:t>Reporting Standard SRS 540.0 Fees</w:t>
      </w:r>
      <w:r>
        <w:rPr>
          <w:sz w:val="24"/>
          <w:szCs w:val="24"/>
          <w:lang w:val="en-AU" w:eastAsia="en-US"/>
        </w:rPr>
        <w:t>;</w:t>
      </w:r>
    </w:p>
    <w:p w:rsidR="00CC1863" w:rsidRDefault="00CC1863" w:rsidP="00CC1863">
      <w:pPr>
        <w:pStyle w:val="ListParagraph"/>
        <w:numPr>
          <w:ilvl w:val="0"/>
          <w:numId w:val="43"/>
        </w:numPr>
        <w:tabs>
          <w:tab w:val="left" w:pos="0"/>
        </w:tabs>
        <w:spacing w:after="240"/>
        <w:jc w:val="both"/>
        <w:rPr>
          <w:sz w:val="24"/>
          <w:szCs w:val="24"/>
          <w:lang w:val="en-AU" w:eastAsia="en-US"/>
        </w:rPr>
      </w:pPr>
      <w:r w:rsidRPr="003250DE">
        <w:rPr>
          <w:sz w:val="24"/>
          <w:szCs w:val="24"/>
          <w:lang w:val="en-AU" w:eastAsia="en-US"/>
        </w:rPr>
        <w:t xml:space="preserve">Financial Sector (Collection of Data) (reporting standard) determination No. </w:t>
      </w:r>
      <w:r>
        <w:rPr>
          <w:sz w:val="24"/>
          <w:szCs w:val="24"/>
          <w:lang w:val="en-AU" w:eastAsia="en-US"/>
        </w:rPr>
        <w:t>1</w:t>
      </w:r>
      <w:r w:rsidR="00776B64">
        <w:rPr>
          <w:sz w:val="24"/>
          <w:szCs w:val="24"/>
          <w:lang w:val="en-AU" w:eastAsia="en-US"/>
        </w:rPr>
        <w:t>5</w:t>
      </w:r>
      <w:r>
        <w:rPr>
          <w:sz w:val="24"/>
          <w:szCs w:val="24"/>
          <w:lang w:val="en-AU" w:eastAsia="en-US"/>
        </w:rPr>
        <w:t xml:space="preserve"> of 2015</w:t>
      </w:r>
      <w:r w:rsidRPr="003250DE">
        <w:rPr>
          <w:sz w:val="24"/>
          <w:szCs w:val="24"/>
          <w:lang w:val="en-AU" w:eastAsia="en-US"/>
        </w:rPr>
        <w:t>, which</w:t>
      </w:r>
      <w:r>
        <w:rPr>
          <w:sz w:val="24"/>
          <w:szCs w:val="24"/>
          <w:lang w:val="en-AU" w:eastAsia="en-US"/>
        </w:rPr>
        <w:t>:</w:t>
      </w:r>
    </w:p>
    <w:p w:rsidR="00CC1863" w:rsidRPr="00FC1634" w:rsidRDefault="00CC1863" w:rsidP="00CC1863">
      <w:pPr>
        <w:pStyle w:val="ListParagraph"/>
        <w:numPr>
          <w:ilvl w:val="1"/>
          <w:numId w:val="43"/>
        </w:numPr>
        <w:tabs>
          <w:tab w:val="left" w:pos="0"/>
        </w:tabs>
        <w:spacing w:after="240"/>
        <w:ind w:left="1077" w:hanging="357"/>
        <w:jc w:val="both"/>
        <w:rPr>
          <w:sz w:val="24"/>
          <w:szCs w:val="24"/>
          <w:lang w:val="en-AU" w:eastAsia="en-US"/>
        </w:rPr>
      </w:pPr>
      <w:r>
        <w:rPr>
          <w:sz w:val="24"/>
          <w:szCs w:val="24"/>
          <w:lang w:val="en-AU" w:eastAsia="en-US"/>
        </w:rPr>
        <w:t xml:space="preserve">revokes </w:t>
      </w:r>
      <w:r w:rsidRPr="00B830BA">
        <w:rPr>
          <w:i/>
          <w:sz w:val="24"/>
          <w:szCs w:val="24"/>
          <w:lang w:val="en-AU" w:eastAsia="en-US"/>
        </w:rPr>
        <w:t>Reporting Standard SRS 600.0 Profile and Structure (RSE Licensee)</w:t>
      </w:r>
      <w:r>
        <w:rPr>
          <w:i/>
          <w:sz w:val="24"/>
          <w:szCs w:val="24"/>
          <w:lang w:val="en-AU" w:eastAsia="en-US"/>
        </w:rPr>
        <w:t xml:space="preserve"> </w:t>
      </w:r>
      <w:r>
        <w:rPr>
          <w:sz w:val="24"/>
          <w:szCs w:val="24"/>
          <w:lang w:val="en-AU" w:eastAsia="en-US"/>
        </w:rPr>
        <w:t xml:space="preserve">made under </w:t>
      </w:r>
      <w:r w:rsidRPr="003250DE">
        <w:rPr>
          <w:sz w:val="24"/>
          <w:szCs w:val="24"/>
          <w:lang w:val="en-AU" w:eastAsia="en-US"/>
        </w:rPr>
        <w:t xml:space="preserve">Financial Sector (Collection of Data) (reporting standard) determination No. </w:t>
      </w:r>
      <w:r w:rsidR="000410A5">
        <w:rPr>
          <w:sz w:val="24"/>
          <w:szCs w:val="24"/>
          <w:lang w:val="en-AU" w:eastAsia="en-US"/>
        </w:rPr>
        <w:t>86 of 2013; and</w:t>
      </w:r>
    </w:p>
    <w:p w:rsidR="00CC1863" w:rsidRPr="00FC1634" w:rsidRDefault="00CC1863" w:rsidP="00CC1863">
      <w:pPr>
        <w:pStyle w:val="ListParagraph"/>
        <w:numPr>
          <w:ilvl w:val="1"/>
          <w:numId w:val="43"/>
        </w:numPr>
        <w:tabs>
          <w:tab w:val="left" w:pos="0"/>
        </w:tabs>
        <w:spacing w:after="240"/>
        <w:ind w:left="1077" w:hanging="357"/>
        <w:jc w:val="both"/>
        <w:rPr>
          <w:sz w:val="24"/>
          <w:szCs w:val="24"/>
          <w:lang w:val="en-AU" w:eastAsia="en-US"/>
        </w:rPr>
      </w:pPr>
      <w:r>
        <w:rPr>
          <w:sz w:val="24"/>
          <w:szCs w:val="24"/>
          <w:lang w:val="en-AU" w:eastAsia="en-US"/>
        </w:rPr>
        <w:t>d</w:t>
      </w:r>
      <w:r w:rsidRPr="00FC1634">
        <w:rPr>
          <w:sz w:val="24"/>
          <w:szCs w:val="24"/>
          <w:lang w:val="en-AU" w:eastAsia="en-US"/>
        </w:rPr>
        <w:t>etermines</w:t>
      </w:r>
      <w:r>
        <w:rPr>
          <w:sz w:val="24"/>
          <w:szCs w:val="24"/>
          <w:lang w:val="en-AU" w:eastAsia="en-US"/>
        </w:rPr>
        <w:t xml:space="preserve"> </w:t>
      </w:r>
      <w:r w:rsidRPr="00B830BA">
        <w:rPr>
          <w:i/>
          <w:sz w:val="24"/>
          <w:szCs w:val="24"/>
          <w:lang w:val="en-AU" w:eastAsia="en-US"/>
        </w:rPr>
        <w:t>Reporting Standard SRS 600.0 Profile and Structure (RSE Licensee)</w:t>
      </w:r>
      <w:r>
        <w:rPr>
          <w:sz w:val="24"/>
          <w:szCs w:val="24"/>
          <w:lang w:val="en-AU" w:eastAsia="en-US"/>
        </w:rPr>
        <w:t>;</w:t>
      </w:r>
    </w:p>
    <w:p w:rsidR="00776B64" w:rsidRDefault="00776B64" w:rsidP="00776B64">
      <w:pPr>
        <w:pStyle w:val="ListParagraph"/>
        <w:numPr>
          <w:ilvl w:val="0"/>
          <w:numId w:val="43"/>
        </w:numPr>
        <w:tabs>
          <w:tab w:val="left" w:pos="0"/>
        </w:tabs>
        <w:spacing w:after="240"/>
        <w:jc w:val="both"/>
        <w:rPr>
          <w:sz w:val="24"/>
          <w:szCs w:val="24"/>
          <w:lang w:val="en-AU" w:eastAsia="en-US"/>
        </w:rPr>
      </w:pPr>
      <w:r w:rsidRPr="003250DE">
        <w:rPr>
          <w:sz w:val="24"/>
          <w:szCs w:val="24"/>
          <w:lang w:val="en-AU" w:eastAsia="en-US"/>
        </w:rPr>
        <w:t xml:space="preserve">Financial Sector (Collection of Data) (reporting standard) determination No. </w:t>
      </w:r>
      <w:r>
        <w:rPr>
          <w:sz w:val="24"/>
          <w:szCs w:val="24"/>
          <w:lang w:val="en-AU" w:eastAsia="en-US"/>
        </w:rPr>
        <w:t>16 of 2015</w:t>
      </w:r>
      <w:r w:rsidRPr="003250DE">
        <w:rPr>
          <w:sz w:val="24"/>
          <w:szCs w:val="24"/>
          <w:lang w:val="en-AU" w:eastAsia="en-US"/>
        </w:rPr>
        <w:t>, which</w:t>
      </w:r>
      <w:r>
        <w:rPr>
          <w:sz w:val="24"/>
          <w:szCs w:val="24"/>
          <w:lang w:val="en-AU" w:eastAsia="en-US"/>
        </w:rPr>
        <w:t>:</w:t>
      </w:r>
    </w:p>
    <w:p w:rsidR="00776B64" w:rsidRDefault="00776B64" w:rsidP="00EF40BB">
      <w:pPr>
        <w:pStyle w:val="ListParagraph"/>
        <w:numPr>
          <w:ilvl w:val="0"/>
          <w:numId w:val="48"/>
        </w:numPr>
        <w:tabs>
          <w:tab w:val="left" w:pos="0"/>
        </w:tabs>
        <w:spacing w:after="240"/>
        <w:jc w:val="both"/>
        <w:rPr>
          <w:i/>
          <w:sz w:val="24"/>
          <w:szCs w:val="24"/>
          <w:lang w:val="en-AU" w:eastAsia="en-US"/>
        </w:rPr>
      </w:pPr>
      <w:r>
        <w:rPr>
          <w:sz w:val="24"/>
          <w:szCs w:val="24"/>
          <w:lang w:val="en-AU" w:eastAsia="en-US"/>
        </w:rPr>
        <w:t xml:space="preserve">revokes </w:t>
      </w:r>
      <w:r w:rsidRPr="00B830BA">
        <w:rPr>
          <w:i/>
          <w:sz w:val="24"/>
          <w:szCs w:val="24"/>
          <w:lang w:val="en-AU" w:eastAsia="en-US"/>
        </w:rPr>
        <w:t>Reporting Standard SRS</w:t>
      </w:r>
      <w:r>
        <w:rPr>
          <w:i/>
          <w:sz w:val="24"/>
          <w:szCs w:val="24"/>
          <w:lang w:val="en-AU" w:eastAsia="en-US"/>
        </w:rPr>
        <w:t xml:space="preserve"> 601.0 Profile and Structure (RSE)</w:t>
      </w:r>
      <w:r w:rsidRPr="00776B64">
        <w:rPr>
          <w:sz w:val="24"/>
          <w:szCs w:val="24"/>
          <w:lang w:val="en-AU" w:eastAsia="en-US"/>
        </w:rPr>
        <w:t xml:space="preserve"> </w:t>
      </w:r>
      <w:r>
        <w:rPr>
          <w:sz w:val="24"/>
          <w:szCs w:val="24"/>
          <w:lang w:val="en-AU" w:eastAsia="en-US"/>
        </w:rPr>
        <w:t xml:space="preserve">made under </w:t>
      </w:r>
      <w:r w:rsidRPr="003250DE">
        <w:rPr>
          <w:sz w:val="24"/>
          <w:szCs w:val="24"/>
          <w:lang w:val="en-AU" w:eastAsia="en-US"/>
        </w:rPr>
        <w:t xml:space="preserve">Financial Sector (Collection of Data) (reporting standard) determination No. </w:t>
      </w:r>
      <w:r>
        <w:rPr>
          <w:sz w:val="24"/>
          <w:szCs w:val="24"/>
          <w:lang w:val="en-AU" w:eastAsia="en-US"/>
        </w:rPr>
        <w:t>87 of 2013</w:t>
      </w:r>
      <w:r w:rsidRPr="00EF40BB">
        <w:rPr>
          <w:sz w:val="24"/>
          <w:szCs w:val="24"/>
          <w:lang w:val="en-AU" w:eastAsia="en-US"/>
        </w:rPr>
        <w:t>; and</w:t>
      </w:r>
    </w:p>
    <w:p w:rsidR="00776B64" w:rsidRDefault="00776B64" w:rsidP="00EF40BB">
      <w:pPr>
        <w:pStyle w:val="ListParagraph"/>
        <w:numPr>
          <w:ilvl w:val="0"/>
          <w:numId w:val="48"/>
        </w:numPr>
        <w:tabs>
          <w:tab w:val="left" w:pos="0"/>
        </w:tabs>
        <w:spacing w:after="240"/>
        <w:jc w:val="both"/>
        <w:rPr>
          <w:sz w:val="24"/>
          <w:szCs w:val="24"/>
          <w:lang w:val="en-AU" w:eastAsia="en-US"/>
        </w:rPr>
      </w:pPr>
      <w:r w:rsidRPr="00EF40BB">
        <w:rPr>
          <w:sz w:val="24"/>
          <w:szCs w:val="24"/>
          <w:lang w:val="en-AU" w:eastAsia="en-US"/>
        </w:rPr>
        <w:t>deter</w:t>
      </w:r>
      <w:r w:rsidR="008A5534">
        <w:rPr>
          <w:sz w:val="24"/>
          <w:szCs w:val="24"/>
          <w:lang w:val="en-AU" w:eastAsia="en-US"/>
        </w:rPr>
        <w:t>mine</w:t>
      </w:r>
      <w:r w:rsidR="00BE0C68">
        <w:rPr>
          <w:sz w:val="24"/>
          <w:szCs w:val="24"/>
          <w:lang w:val="en-AU" w:eastAsia="en-US"/>
        </w:rPr>
        <w:t>s</w:t>
      </w:r>
      <w:r w:rsidRPr="00776B64">
        <w:rPr>
          <w:i/>
          <w:sz w:val="24"/>
          <w:szCs w:val="24"/>
          <w:lang w:val="en-AU" w:eastAsia="en-US"/>
        </w:rPr>
        <w:t xml:space="preserve"> </w:t>
      </w:r>
      <w:r w:rsidRPr="00B830BA">
        <w:rPr>
          <w:i/>
          <w:sz w:val="24"/>
          <w:szCs w:val="24"/>
          <w:lang w:val="en-AU" w:eastAsia="en-US"/>
        </w:rPr>
        <w:t>Reporting Standard SRS</w:t>
      </w:r>
      <w:r>
        <w:rPr>
          <w:i/>
          <w:sz w:val="24"/>
          <w:szCs w:val="24"/>
          <w:lang w:val="en-AU" w:eastAsia="en-US"/>
        </w:rPr>
        <w:t xml:space="preserve"> 601.0 Profile and Structure (RSE)</w:t>
      </w:r>
      <w:r w:rsidRPr="00EF40BB">
        <w:rPr>
          <w:sz w:val="24"/>
          <w:szCs w:val="24"/>
          <w:lang w:val="en-AU" w:eastAsia="en-US"/>
        </w:rPr>
        <w:t>;</w:t>
      </w:r>
    </w:p>
    <w:p w:rsidR="004E074D" w:rsidRDefault="004E074D" w:rsidP="004E074D">
      <w:pPr>
        <w:pStyle w:val="ListParagraph"/>
        <w:numPr>
          <w:ilvl w:val="0"/>
          <w:numId w:val="43"/>
        </w:numPr>
        <w:tabs>
          <w:tab w:val="left" w:pos="0"/>
        </w:tabs>
        <w:spacing w:after="240"/>
        <w:jc w:val="both"/>
        <w:rPr>
          <w:sz w:val="24"/>
          <w:szCs w:val="24"/>
          <w:lang w:val="en-AU" w:eastAsia="en-US"/>
        </w:rPr>
      </w:pPr>
      <w:r w:rsidRPr="003250DE">
        <w:rPr>
          <w:sz w:val="24"/>
          <w:szCs w:val="24"/>
          <w:lang w:val="en-AU" w:eastAsia="en-US"/>
        </w:rPr>
        <w:t xml:space="preserve">Financial Sector (Collection of Data) (reporting standard) determination No. </w:t>
      </w:r>
      <w:r>
        <w:rPr>
          <w:sz w:val="24"/>
          <w:szCs w:val="24"/>
          <w:lang w:val="en-AU" w:eastAsia="en-US"/>
        </w:rPr>
        <w:t>1</w:t>
      </w:r>
      <w:r w:rsidR="00F2628B">
        <w:rPr>
          <w:sz w:val="24"/>
          <w:szCs w:val="24"/>
          <w:lang w:val="en-AU" w:eastAsia="en-US"/>
        </w:rPr>
        <w:t>7</w:t>
      </w:r>
      <w:r>
        <w:rPr>
          <w:sz w:val="24"/>
          <w:szCs w:val="24"/>
          <w:lang w:val="en-AU" w:eastAsia="en-US"/>
        </w:rPr>
        <w:t xml:space="preserve"> of 2015</w:t>
      </w:r>
      <w:r w:rsidRPr="003250DE">
        <w:rPr>
          <w:sz w:val="24"/>
          <w:szCs w:val="24"/>
          <w:lang w:val="en-AU" w:eastAsia="en-US"/>
        </w:rPr>
        <w:t>, which</w:t>
      </w:r>
      <w:r>
        <w:rPr>
          <w:sz w:val="24"/>
          <w:szCs w:val="24"/>
          <w:lang w:val="en-AU" w:eastAsia="en-US"/>
        </w:rPr>
        <w:t>:</w:t>
      </w:r>
    </w:p>
    <w:p w:rsidR="004E074D" w:rsidRPr="00FC1634" w:rsidRDefault="004E074D" w:rsidP="004E074D">
      <w:pPr>
        <w:pStyle w:val="ListParagraph"/>
        <w:numPr>
          <w:ilvl w:val="1"/>
          <w:numId w:val="43"/>
        </w:numPr>
        <w:tabs>
          <w:tab w:val="left" w:pos="0"/>
        </w:tabs>
        <w:spacing w:after="240"/>
        <w:ind w:left="1077" w:hanging="357"/>
        <w:jc w:val="both"/>
        <w:rPr>
          <w:sz w:val="24"/>
          <w:szCs w:val="24"/>
          <w:lang w:val="en-AU" w:eastAsia="en-US"/>
        </w:rPr>
      </w:pPr>
      <w:r>
        <w:rPr>
          <w:sz w:val="24"/>
          <w:szCs w:val="24"/>
          <w:lang w:val="en-AU" w:eastAsia="en-US"/>
        </w:rPr>
        <w:t xml:space="preserve">revokes </w:t>
      </w:r>
      <w:r w:rsidRPr="00B830BA">
        <w:rPr>
          <w:i/>
          <w:sz w:val="24"/>
          <w:szCs w:val="24"/>
          <w:lang w:val="en-AU" w:eastAsia="en-US"/>
        </w:rPr>
        <w:t>Reporting Standard SRS 602.0 Wind-up</w:t>
      </w:r>
      <w:r>
        <w:rPr>
          <w:i/>
          <w:sz w:val="24"/>
          <w:szCs w:val="24"/>
          <w:lang w:val="en-AU" w:eastAsia="en-US"/>
        </w:rPr>
        <w:t xml:space="preserve"> </w:t>
      </w:r>
      <w:r>
        <w:rPr>
          <w:sz w:val="24"/>
          <w:szCs w:val="24"/>
          <w:lang w:val="en-AU" w:eastAsia="en-US"/>
        </w:rPr>
        <w:t xml:space="preserve">made under </w:t>
      </w:r>
      <w:r w:rsidRPr="003250DE">
        <w:rPr>
          <w:sz w:val="24"/>
          <w:szCs w:val="24"/>
          <w:lang w:val="en-AU" w:eastAsia="en-US"/>
        </w:rPr>
        <w:t xml:space="preserve">Financial Sector (Collection of Data) (reporting standard) determination No. </w:t>
      </w:r>
      <w:r w:rsidR="000410A5">
        <w:rPr>
          <w:sz w:val="24"/>
          <w:szCs w:val="24"/>
          <w:lang w:val="en-AU" w:eastAsia="en-US"/>
        </w:rPr>
        <w:t>88 of 2013; and</w:t>
      </w:r>
    </w:p>
    <w:p w:rsidR="004E074D" w:rsidRPr="00FC1634" w:rsidRDefault="004E074D">
      <w:pPr>
        <w:pStyle w:val="ListParagraph"/>
        <w:numPr>
          <w:ilvl w:val="1"/>
          <w:numId w:val="43"/>
        </w:numPr>
        <w:tabs>
          <w:tab w:val="left" w:pos="0"/>
        </w:tabs>
        <w:spacing w:after="240"/>
        <w:ind w:left="1077" w:hanging="357"/>
        <w:jc w:val="both"/>
        <w:rPr>
          <w:sz w:val="24"/>
          <w:szCs w:val="24"/>
          <w:lang w:val="en-AU" w:eastAsia="en-US"/>
        </w:rPr>
      </w:pPr>
      <w:r>
        <w:rPr>
          <w:sz w:val="24"/>
          <w:szCs w:val="24"/>
          <w:lang w:val="en-AU" w:eastAsia="en-US"/>
        </w:rPr>
        <w:t>d</w:t>
      </w:r>
      <w:r w:rsidRPr="00FC1634">
        <w:rPr>
          <w:sz w:val="24"/>
          <w:szCs w:val="24"/>
          <w:lang w:val="en-AU" w:eastAsia="en-US"/>
        </w:rPr>
        <w:t>etermines</w:t>
      </w:r>
      <w:r>
        <w:rPr>
          <w:sz w:val="24"/>
          <w:szCs w:val="24"/>
          <w:lang w:val="en-AU" w:eastAsia="en-US"/>
        </w:rPr>
        <w:t xml:space="preserve"> </w:t>
      </w:r>
      <w:r w:rsidRPr="00B830BA">
        <w:rPr>
          <w:i/>
          <w:sz w:val="24"/>
          <w:szCs w:val="24"/>
          <w:lang w:val="en-AU" w:eastAsia="en-US"/>
        </w:rPr>
        <w:t>Reporting Standard SRS 602.0 Wind-up</w:t>
      </w:r>
      <w:r>
        <w:rPr>
          <w:sz w:val="24"/>
          <w:szCs w:val="24"/>
          <w:lang w:val="en-AU" w:eastAsia="en-US"/>
        </w:rPr>
        <w:t>;</w:t>
      </w:r>
    </w:p>
    <w:p w:rsidR="004776B9" w:rsidRDefault="004776B9" w:rsidP="004776B9">
      <w:pPr>
        <w:pStyle w:val="ListParagraph"/>
        <w:numPr>
          <w:ilvl w:val="0"/>
          <w:numId w:val="43"/>
        </w:numPr>
        <w:tabs>
          <w:tab w:val="left" w:pos="0"/>
        </w:tabs>
        <w:spacing w:after="240"/>
        <w:jc w:val="both"/>
        <w:rPr>
          <w:sz w:val="24"/>
          <w:szCs w:val="24"/>
          <w:lang w:val="en-AU" w:eastAsia="en-US"/>
        </w:rPr>
      </w:pPr>
      <w:r w:rsidRPr="003250DE">
        <w:rPr>
          <w:sz w:val="24"/>
          <w:szCs w:val="24"/>
          <w:lang w:val="en-AU" w:eastAsia="en-US"/>
        </w:rPr>
        <w:t xml:space="preserve">Financial Sector (Collection of Data) (reporting standard) determination No. </w:t>
      </w:r>
      <w:r>
        <w:rPr>
          <w:sz w:val="24"/>
          <w:szCs w:val="24"/>
          <w:lang w:val="en-AU" w:eastAsia="en-US"/>
        </w:rPr>
        <w:t>1</w:t>
      </w:r>
      <w:r w:rsidR="00F2628B">
        <w:rPr>
          <w:sz w:val="24"/>
          <w:szCs w:val="24"/>
          <w:lang w:val="en-AU" w:eastAsia="en-US"/>
        </w:rPr>
        <w:t>8</w:t>
      </w:r>
      <w:r>
        <w:rPr>
          <w:sz w:val="24"/>
          <w:szCs w:val="24"/>
          <w:lang w:val="en-AU" w:eastAsia="en-US"/>
        </w:rPr>
        <w:t xml:space="preserve"> of 2015</w:t>
      </w:r>
      <w:r w:rsidRPr="003250DE">
        <w:rPr>
          <w:sz w:val="24"/>
          <w:szCs w:val="24"/>
          <w:lang w:val="en-AU" w:eastAsia="en-US"/>
        </w:rPr>
        <w:t>, which</w:t>
      </w:r>
      <w:r>
        <w:rPr>
          <w:sz w:val="24"/>
          <w:szCs w:val="24"/>
          <w:lang w:val="en-AU" w:eastAsia="en-US"/>
        </w:rPr>
        <w:t>:</w:t>
      </w:r>
    </w:p>
    <w:p w:rsidR="004776B9" w:rsidRPr="00FC1634" w:rsidRDefault="004776B9" w:rsidP="004776B9">
      <w:pPr>
        <w:pStyle w:val="ListParagraph"/>
        <w:numPr>
          <w:ilvl w:val="1"/>
          <w:numId w:val="43"/>
        </w:numPr>
        <w:tabs>
          <w:tab w:val="left" w:pos="0"/>
        </w:tabs>
        <w:spacing w:after="240"/>
        <w:ind w:left="1077" w:hanging="357"/>
        <w:jc w:val="both"/>
        <w:rPr>
          <w:sz w:val="24"/>
          <w:szCs w:val="24"/>
          <w:lang w:val="en-AU" w:eastAsia="en-US"/>
        </w:rPr>
      </w:pPr>
      <w:r>
        <w:rPr>
          <w:sz w:val="24"/>
          <w:szCs w:val="24"/>
          <w:lang w:val="en-AU" w:eastAsia="en-US"/>
        </w:rPr>
        <w:t xml:space="preserve">revokes </w:t>
      </w:r>
      <w:r w:rsidRPr="00B830BA">
        <w:rPr>
          <w:i/>
          <w:sz w:val="24"/>
          <w:szCs w:val="24"/>
          <w:lang w:val="en-AU" w:eastAsia="en-US"/>
        </w:rPr>
        <w:t>Reporting Standard SRS 610.0 Membership Profile</w:t>
      </w:r>
      <w:r>
        <w:rPr>
          <w:sz w:val="24"/>
          <w:szCs w:val="24"/>
          <w:lang w:val="en-AU" w:eastAsia="en-US"/>
        </w:rPr>
        <w:t xml:space="preserve"> made under </w:t>
      </w:r>
      <w:r w:rsidRPr="003250DE">
        <w:rPr>
          <w:sz w:val="24"/>
          <w:szCs w:val="24"/>
          <w:lang w:val="en-AU" w:eastAsia="en-US"/>
        </w:rPr>
        <w:t xml:space="preserve">Financial Sector (Collection of Data) (reporting standard) determination No. </w:t>
      </w:r>
      <w:r w:rsidR="000410A5">
        <w:rPr>
          <w:sz w:val="24"/>
          <w:szCs w:val="24"/>
          <w:lang w:val="en-AU" w:eastAsia="en-US"/>
        </w:rPr>
        <w:t>89 of 2013; and</w:t>
      </w:r>
    </w:p>
    <w:p w:rsidR="004776B9" w:rsidRPr="00FC1634" w:rsidRDefault="004776B9" w:rsidP="004776B9">
      <w:pPr>
        <w:pStyle w:val="ListParagraph"/>
        <w:numPr>
          <w:ilvl w:val="1"/>
          <w:numId w:val="43"/>
        </w:numPr>
        <w:tabs>
          <w:tab w:val="left" w:pos="0"/>
        </w:tabs>
        <w:spacing w:after="240"/>
        <w:ind w:left="1077" w:hanging="357"/>
        <w:jc w:val="both"/>
        <w:rPr>
          <w:sz w:val="24"/>
          <w:szCs w:val="24"/>
          <w:lang w:val="en-AU" w:eastAsia="en-US"/>
        </w:rPr>
      </w:pPr>
      <w:r>
        <w:rPr>
          <w:sz w:val="24"/>
          <w:szCs w:val="24"/>
          <w:lang w:val="en-AU" w:eastAsia="en-US"/>
        </w:rPr>
        <w:lastRenderedPageBreak/>
        <w:t>d</w:t>
      </w:r>
      <w:r w:rsidRPr="00FC1634">
        <w:rPr>
          <w:sz w:val="24"/>
          <w:szCs w:val="24"/>
          <w:lang w:val="en-AU" w:eastAsia="en-US"/>
        </w:rPr>
        <w:t>etermines</w:t>
      </w:r>
      <w:r>
        <w:rPr>
          <w:sz w:val="24"/>
          <w:szCs w:val="24"/>
          <w:lang w:val="en-AU" w:eastAsia="en-US"/>
        </w:rPr>
        <w:t xml:space="preserve"> </w:t>
      </w:r>
      <w:r w:rsidRPr="00B830BA">
        <w:rPr>
          <w:i/>
          <w:sz w:val="24"/>
          <w:szCs w:val="24"/>
          <w:lang w:val="en-AU" w:eastAsia="en-US"/>
        </w:rPr>
        <w:t>Reporting Standard SRS 610.0 Membership Profile</w:t>
      </w:r>
      <w:r>
        <w:rPr>
          <w:sz w:val="24"/>
          <w:szCs w:val="24"/>
          <w:lang w:val="en-AU" w:eastAsia="en-US"/>
        </w:rPr>
        <w:t>;</w:t>
      </w:r>
    </w:p>
    <w:p w:rsidR="004776B9" w:rsidRDefault="004776B9" w:rsidP="004776B9">
      <w:pPr>
        <w:pStyle w:val="ListParagraph"/>
        <w:numPr>
          <w:ilvl w:val="0"/>
          <w:numId w:val="43"/>
        </w:numPr>
        <w:tabs>
          <w:tab w:val="left" w:pos="0"/>
        </w:tabs>
        <w:spacing w:after="240"/>
        <w:jc w:val="both"/>
        <w:rPr>
          <w:sz w:val="24"/>
          <w:szCs w:val="24"/>
          <w:lang w:val="en-AU" w:eastAsia="en-US"/>
        </w:rPr>
      </w:pPr>
      <w:r w:rsidRPr="003250DE">
        <w:rPr>
          <w:sz w:val="24"/>
          <w:szCs w:val="24"/>
          <w:lang w:val="en-AU" w:eastAsia="en-US"/>
        </w:rPr>
        <w:t xml:space="preserve">Financial Sector (Collection of Data) (reporting standard) determination No. </w:t>
      </w:r>
      <w:r>
        <w:rPr>
          <w:sz w:val="24"/>
          <w:szCs w:val="24"/>
          <w:lang w:val="en-AU" w:eastAsia="en-US"/>
        </w:rPr>
        <w:t>1</w:t>
      </w:r>
      <w:r w:rsidR="00F2628B">
        <w:rPr>
          <w:sz w:val="24"/>
          <w:szCs w:val="24"/>
          <w:lang w:val="en-AU" w:eastAsia="en-US"/>
        </w:rPr>
        <w:t>9</w:t>
      </w:r>
      <w:r>
        <w:rPr>
          <w:sz w:val="24"/>
          <w:szCs w:val="24"/>
          <w:lang w:val="en-AU" w:eastAsia="en-US"/>
        </w:rPr>
        <w:t xml:space="preserve"> of 2015</w:t>
      </w:r>
      <w:r w:rsidRPr="003250DE">
        <w:rPr>
          <w:sz w:val="24"/>
          <w:szCs w:val="24"/>
          <w:lang w:val="en-AU" w:eastAsia="en-US"/>
        </w:rPr>
        <w:t>, which</w:t>
      </w:r>
      <w:r>
        <w:rPr>
          <w:sz w:val="24"/>
          <w:szCs w:val="24"/>
          <w:lang w:val="en-AU" w:eastAsia="en-US"/>
        </w:rPr>
        <w:t>:</w:t>
      </w:r>
    </w:p>
    <w:p w:rsidR="004776B9" w:rsidRPr="00FC1634" w:rsidRDefault="004776B9" w:rsidP="004776B9">
      <w:pPr>
        <w:pStyle w:val="ListParagraph"/>
        <w:numPr>
          <w:ilvl w:val="1"/>
          <w:numId w:val="43"/>
        </w:numPr>
        <w:tabs>
          <w:tab w:val="left" w:pos="0"/>
        </w:tabs>
        <w:spacing w:after="240"/>
        <w:ind w:left="1077" w:hanging="357"/>
        <w:jc w:val="both"/>
        <w:rPr>
          <w:sz w:val="24"/>
          <w:szCs w:val="24"/>
          <w:lang w:val="en-AU" w:eastAsia="en-US"/>
        </w:rPr>
      </w:pPr>
      <w:r>
        <w:rPr>
          <w:sz w:val="24"/>
          <w:szCs w:val="24"/>
          <w:lang w:val="en-AU" w:eastAsia="en-US"/>
        </w:rPr>
        <w:t xml:space="preserve">revokes </w:t>
      </w:r>
      <w:r w:rsidRPr="00B830BA">
        <w:rPr>
          <w:i/>
          <w:sz w:val="24"/>
          <w:szCs w:val="24"/>
          <w:lang w:val="en-AU" w:eastAsia="en-US"/>
        </w:rPr>
        <w:t>Reporting Standard SRS 610.1 Changes in Membership Profile</w:t>
      </w:r>
      <w:r>
        <w:rPr>
          <w:sz w:val="24"/>
          <w:szCs w:val="24"/>
          <w:lang w:val="en-AU" w:eastAsia="en-US"/>
        </w:rPr>
        <w:t xml:space="preserve"> made under </w:t>
      </w:r>
      <w:r w:rsidRPr="003250DE">
        <w:rPr>
          <w:sz w:val="24"/>
          <w:szCs w:val="24"/>
          <w:lang w:val="en-AU" w:eastAsia="en-US"/>
        </w:rPr>
        <w:t xml:space="preserve">Financial Sector (Collection of Data) (reporting standard) determination No. </w:t>
      </w:r>
      <w:r>
        <w:rPr>
          <w:sz w:val="24"/>
          <w:szCs w:val="24"/>
          <w:lang w:val="en-AU" w:eastAsia="en-US"/>
        </w:rPr>
        <w:t>90 o</w:t>
      </w:r>
      <w:r w:rsidR="000410A5">
        <w:rPr>
          <w:sz w:val="24"/>
          <w:szCs w:val="24"/>
          <w:lang w:val="en-AU" w:eastAsia="en-US"/>
        </w:rPr>
        <w:t>f 2013; and</w:t>
      </w:r>
    </w:p>
    <w:p w:rsidR="004776B9" w:rsidRPr="00FC1634" w:rsidRDefault="004776B9" w:rsidP="004776B9">
      <w:pPr>
        <w:pStyle w:val="ListParagraph"/>
        <w:numPr>
          <w:ilvl w:val="1"/>
          <w:numId w:val="43"/>
        </w:numPr>
        <w:tabs>
          <w:tab w:val="left" w:pos="0"/>
        </w:tabs>
        <w:spacing w:after="240"/>
        <w:ind w:left="1077" w:hanging="357"/>
        <w:jc w:val="both"/>
        <w:rPr>
          <w:sz w:val="24"/>
          <w:szCs w:val="24"/>
          <w:lang w:val="en-AU" w:eastAsia="en-US"/>
        </w:rPr>
      </w:pPr>
      <w:r>
        <w:rPr>
          <w:sz w:val="24"/>
          <w:szCs w:val="24"/>
          <w:lang w:val="en-AU" w:eastAsia="en-US"/>
        </w:rPr>
        <w:t>d</w:t>
      </w:r>
      <w:r w:rsidRPr="00FC1634">
        <w:rPr>
          <w:sz w:val="24"/>
          <w:szCs w:val="24"/>
          <w:lang w:val="en-AU" w:eastAsia="en-US"/>
        </w:rPr>
        <w:t>etermines</w:t>
      </w:r>
      <w:r>
        <w:rPr>
          <w:sz w:val="24"/>
          <w:szCs w:val="24"/>
          <w:lang w:val="en-AU" w:eastAsia="en-US"/>
        </w:rPr>
        <w:t xml:space="preserve"> </w:t>
      </w:r>
      <w:r w:rsidRPr="00B830BA">
        <w:rPr>
          <w:i/>
          <w:sz w:val="24"/>
          <w:szCs w:val="24"/>
          <w:lang w:val="en-AU" w:eastAsia="en-US"/>
        </w:rPr>
        <w:t>Reporting Standard SRS 610.1 Changes in Membership Profile</w:t>
      </w:r>
      <w:r>
        <w:rPr>
          <w:sz w:val="24"/>
          <w:szCs w:val="24"/>
          <w:lang w:val="en-AU" w:eastAsia="en-US"/>
        </w:rPr>
        <w:t>;</w:t>
      </w:r>
    </w:p>
    <w:p w:rsidR="004776B9" w:rsidRDefault="004776B9" w:rsidP="004776B9">
      <w:pPr>
        <w:pStyle w:val="ListParagraph"/>
        <w:numPr>
          <w:ilvl w:val="0"/>
          <w:numId w:val="43"/>
        </w:numPr>
        <w:tabs>
          <w:tab w:val="left" w:pos="0"/>
        </w:tabs>
        <w:spacing w:after="240"/>
        <w:jc w:val="both"/>
        <w:rPr>
          <w:sz w:val="24"/>
          <w:szCs w:val="24"/>
          <w:lang w:val="en-AU" w:eastAsia="en-US"/>
        </w:rPr>
      </w:pPr>
      <w:r w:rsidRPr="003250DE">
        <w:rPr>
          <w:sz w:val="24"/>
          <w:szCs w:val="24"/>
          <w:lang w:val="en-AU" w:eastAsia="en-US"/>
        </w:rPr>
        <w:t xml:space="preserve">Financial Sector (Collection of Data) (reporting standard) determination No. </w:t>
      </w:r>
      <w:r w:rsidR="00F2628B">
        <w:rPr>
          <w:sz w:val="24"/>
          <w:szCs w:val="24"/>
          <w:lang w:val="en-AU" w:eastAsia="en-US"/>
        </w:rPr>
        <w:t>20</w:t>
      </w:r>
      <w:r>
        <w:rPr>
          <w:sz w:val="24"/>
          <w:szCs w:val="24"/>
          <w:lang w:val="en-AU" w:eastAsia="en-US"/>
        </w:rPr>
        <w:t xml:space="preserve"> of 2015</w:t>
      </w:r>
      <w:r w:rsidRPr="003250DE">
        <w:rPr>
          <w:sz w:val="24"/>
          <w:szCs w:val="24"/>
          <w:lang w:val="en-AU" w:eastAsia="en-US"/>
        </w:rPr>
        <w:t>, which</w:t>
      </w:r>
      <w:r>
        <w:rPr>
          <w:sz w:val="24"/>
          <w:szCs w:val="24"/>
          <w:lang w:val="en-AU" w:eastAsia="en-US"/>
        </w:rPr>
        <w:t>:</w:t>
      </w:r>
    </w:p>
    <w:p w:rsidR="004776B9" w:rsidRPr="00FC1634" w:rsidRDefault="004776B9" w:rsidP="004776B9">
      <w:pPr>
        <w:pStyle w:val="ListParagraph"/>
        <w:numPr>
          <w:ilvl w:val="1"/>
          <w:numId w:val="43"/>
        </w:numPr>
        <w:tabs>
          <w:tab w:val="left" w:pos="0"/>
        </w:tabs>
        <w:spacing w:after="240"/>
        <w:ind w:left="1077" w:hanging="357"/>
        <w:jc w:val="both"/>
        <w:rPr>
          <w:sz w:val="24"/>
          <w:szCs w:val="24"/>
          <w:lang w:val="en-AU" w:eastAsia="en-US"/>
        </w:rPr>
      </w:pPr>
      <w:r>
        <w:rPr>
          <w:sz w:val="24"/>
          <w:szCs w:val="24"/>
          <w:lang w:val="en-AU" w:eastAsia="en-US"/>
        </w:rPr>
        <w:t xml:space="preserve">revokes </w:t>
      </w:r>
      <w:r w:rsidRPr="00B830BA">
        <w:rPr>
          <w:i/>
          <w:sz w:val="24"/>
          <w:szCs w:val="24"/>
          <w:lang w:val="en-AU" w:eastAsia="en-US"/>
        </w:rPr>
        <w:t>Reporting Standard SRS 610.2 Membership Profile</w:t>
      </w:r>
      <w:r>
        <w:rPr>
          <w:sz w:val="24"/>
          <w:szCs w:val="24"/>
          <w:lang w:val="en-AU" w:eastAsia="en-US"/>
        </w:rPr>
        <w:t xml:space="preserve"> made under </w:t>
      </w:r>
      <w:r w:rsidRPr="003250DE">
        <w:rPr>
          <w:sz w:val="24"/>
          <w:szCs w:val="24"/>
          <w:lang w:val="en-AU" w:eastAsia="en-US"/>
        </w:rPr>
        <w:t xml:space="preserve">Financial Sector (Collection of Data) (reporting standard) determination No. </w:t>
      </w:r>
      <w:r w:rsidR="000410A5">
        <w:rPr>
          <w:sz w:val="24"/>
          <w:szCs w:val="24"/>
          <w:lang w:val="en-AU" w:eastAsia="en-US"/>
        </w:rPr>
        <w:t>91 of 2013; and</w:t>
      </w:r>
    </w:p>
    <w:p w:rsidR="004776B9" w:rsidRPr="00FC1634" w:rsidRDefault="004776B9" w:rsidP="004776B9">
      <w:pPr>
        <w:pStyle w:val="ListParagraph"/>
        <w:numPr>
          <w:ilvl w:val="1"/>
          <w:numId w:val="43"/>
        </w:numPr>
        <w:tabs>
          <w:tab w:val="left" w:pos="0"/>
        </w:tabs>
        <w:spacing w:after="240"/>
        <w:ind w:left="1077" w:hanging="357"/>
        <w:jc w:val="both"/>
        <w:rPr>
          <w:sz w:val="24"/>
          <w:szCs w:val="24"/>
          <w:lang w:val="en-AU" w:eastAsia="en-US"/>
        </w:rPr>
      </w:pPr>
      <w:r>
        <w:rPr>
          <w:sz w:val="24"/>
          <w:szCs w:val="24"/>
          <w:lang w:val="en-AU" w:eastAsia="en-US"/>
        </w:rPr>
        <w:t>d</w:t>
      </w:r>
      <w:r w:rsidRPr="00FC1634">
        <w:rPr>
          <w:sz w:val="24"/>
          <w:szCs w:val="24"/>
          <w:lang w:val="en-AU" w:eastAsia="en-US"/>
        </w:rPr>
        <w:t>etermines</w:t>
      </w:r>
      <w:r>
        <w:rPr>
          <w:sz w:val="24"/>
          <w:szCs w:val="24"/>
          <w:lang w:val="en-AU" w:eastAsia="en-US"/>
        </w:rPr>
        <w:t xml:space="preserve"> </w:t>
      </w:r>
      <w:r w:rsidRPr="00B830BA">
        <w:rPr>
          <w:i/>
          <w:sz w:val="24"/>
          <w:szCs w:val="24"/>
          <w:lang w:val="en-AU" w:eastAsia="en-US"/>
        </w:rPr>
        <w:t>Reporting Standard SRS 610.2 Membership Profile</w:t>
      </w:r>
      <w:r>
        <w:rPr>
          <w:sz w:val="24"/>
          <w:szCs w:val="24"/>
          <w:lang w:val="en-AU" w:eastAsia="en-US"/>
        </w:rPr>
        <w:t>;</w:t>
      </w:r>
    </w:p>
    <w:p w:rsidR="00C841CE" w:rsidRDefault="00C841CE" w:rsidP="00C841CE">
      <w:pPr>
        <w:pStyle w:val="ListParagraph"/>
        <w:numPr>
          <w:ilvl w:val="0"/>
          <w:numId w:val="43"/>
        </w:numPr>
        <w:tabs>
          <w:tab w:val="left" w:pos="0"/>
        </w:tabs>
        <w:spacing w:after="240"/>
        <w:jc w:val="both"/>
        <w:rPr>
          <w:sz w:val="24"/>
          <w:szCs w:val="24"/>
          <w:lang w:val="en-AU" w:eastAsia="en-US"/>
        </w:rPr>
      </w:pPr>
      <w:r w:rsidRPr="003250DE">
        <w:rPr>
          <w:sz w:val="24"/>
          <w:szCs w:val="24"/>
          <w:lang w:val="en-AU" w:eastAsia="en-US"/>
        </w:rPr>
        <w:t xml:space="preserve">Financial Sector (Collection of Data) (reporting standard) determination No. </w:t>
      </w:r>
      <w:r>
        <w:rPr>
          <w:sz w:val="24"/>
          <w:szCs w:val="24"/>
          <w:lang w:val="en-AU" w:eastAsia="en-US"/>
        </w:rPr>
        <w:t>2</w:t>
      </w:r>
      <w:r w:rsidR="00AC4235">
        <w:rPr>
          <w:sz w:val="24"/>
          <w:szCs w:val="24"/>
          <w:lang w:val="en-AU" w:eastAsia="en-US"/>
        </w:rPr>
        <w:t>2</w:t>
      </w:r>
      <w:r>
        <w:rPr>
          <w:sz w:val="24"/>
          <w:szCs w:val="24"/>
          <w:lang w:val="en-AU" w:eastAsia="en-US"/>
        </w:rPr>
        <w:t xml:space="preserve"> of 2015</w:t>
      </w:r>
      <w:r w:rsidRPr="003250DE">
        <w:rPr>
          <w:sz w:val="24"/>
          <w:szCs w:val="24"/>
          <w:lang w:val="en-AU" w:eastAsia="en-US"/>
        </w:rPr>
        <w:t>, which</w:t>
      </w:r>
      <w:r>
        <w:rPr>
          <w:sz w:val="24"/>
          <w:szCs w:val="24"/>
          <w:lang w:val="en-AU" w:eastAsia="en-US"/>
        </w:rPr>
        <w:t>:</w:t>
      </w:r>
    </w:p>
    <w:p w:rsidR="00C841CE" w:rsidRPr="00FC1634" w:rsidRDefault="00C841CE" w:rsidP="00C841CE">
      <w:pPr>
        <w:pStyle w:val="ListParagraph"/>
        <w:numPr>
          <w:ilvl w:val="1"/>
          <w:numId w:val="43"/>
        </w:numPr>
        <w:tabs>
          <w:tab w:val="left" w:pos="0"/>
        </w:tabs>
        <w:spacing w:after="240"/>
        <w:ind w:left="1077" w:hanging="357"/>
        <w:jc w:val="both"/>
        <w:rPr>
          <w:sz w:val="24"/>
          <w:szCs w:val="24"/>
          <w:lang w:val="en-AU" w:eastAsia="en-US"/>
        </w:rPr>
      </w:pPr>
      <w:r>
        <w:rPr>
          <w:sz w:val="24"/>
          <w:szCs w:val="24"/>
          <w:lang w:val="en-AU" w:eastAsia="en-US"/>
        </w:rPr>
        <w:t xml:space="preserve">revokes </w:t>
      </w:r>
      <w:r w:rsidRPr="00B830BA">
        <w:rPr>
          <w:i/>
          <w:sz w:val="24"/>
          <w:szCs w:val="24"/>
          <w:lang w:val="en-AU" w:eastAsia="en-US"/>
        </w:rPr>
        <w:t>Reporting Standard SRS 710.0 Conditions of Release</w:t>
      </w:r>
      <w:r>
        <w:rPr>
          <w:sz w:val="24"/>
          <w:szCs w:val="24"/>
          <w:lang w:val="en-AU" w:eastAsia="en-US"/>
        </w:rPr>
        <w:t xml:space="preserve"> made under </w:t>
      </w:r>
      <w:r w:rsidRPr="003250DE">
        <w:rPr>
          <w:sz w:val="24"/>
          <w:szCs w:val="24"/>
          <w:lang w:val="en-AU" w:eastAsia="en-US"/>
        </w:rPr>
        <w:t xml:space="preserve">Financial Sector (Collection of Data) (reporting standard) determination No. </w:t>
      </w:r>
      <w:r>
        <w:rPr>
          <w:sz w:val="24"/>
          <w:szCs w:val="24"/>
          <w:lang w:val="en-AU" w:eastAsia="en-US"/>
        </w:rPr>
        <w:t>93 of 2013; and</w:t>
      </w:r>
    </w:p>
    <w:p w:rsidR="00C841CE" w:rsidRPr="00FC1634" w:rsidRDefault="00C841CE" w:rsidP="00C841CE">
      <w:pPr>
        <w:pStyle w:val="ListParagraph"/>
        <w:numPr>
          <w:ilvl w:val="1"/>
          <w:numId w:val="43"/>
        </w:numPr>
        <w:tabs>
          <w:tab w:val="left" w:pos="0"/>
        </w:tabs>
        <w:spacing w:after="240"/>
        <w:ind w:left="1077" w:hanging="357"/>
        <w:jc w:val="both"/>
        <w:rPr>
          <w:sz w:val="24"/>
          <w:szCs w:val="24"/>
          <w:lang w:val="en-AU" w:eastAsia="en-US"/>
        </w:rPr>
      </w:pPr>
      <w:r>
        <w:rPr>
          <w:sz w:val="24"/>
          <w:szCs w:val="24"/>
          <w:lang w:val="en-AU" w:eastAsia="en-US"/>
        </w:rPr>
        <w:t>d</w:t>
      </w:r>
      <w:r w:rsidRPr="00FC1634">
        <w:rPr>
          <w:sz w:val="24"/>
          <w:szCs w:val="24"/>
          <w:lang w:val="en-AU" w:eastAsia="en-US"/>
        </w:rPr>
        <w:t>etermines</w:t>
      </w:r>
      <w:r>
        <w:rPr>
          <w:sz w:val="24"/>
          <w:szCs w:val="24"/>
          <w:lang w:val="en-AU" w:eastAsia="en-US"/>
        </w:rPr>
        <w:t xml:space="preserve"> </w:t>
      </w:r>
      <w:r w:rsidRPr="00B830BA">
        <w:rPr>
          <w:i/>
          <w:sz w:val="24"/>
          <w:szCs w:val="24"/>
          <w:lang w:val="en-AU" w:eastAsia="en-US"/>
        </w:rPr>
        <w:t>Reporting Standard SRS 710.0 Conditions of Release</w:t>
      </w:r>
      <w:r>
        <w:rPr>
          <w:sz w:val="24"/>
          <w:szCs w:val="24"/>
          <w:lang w:val="en-AU" w:eastAsia="en-US"/>
        </w:rPr>
        <w:t>;</w:t>
      </w:r>
    </w:p>
    <w:p w:rsidR="00C841CE" w:rsidRDefault="00C841CE" w:rsidP="00C841CE">
      <w:pPr>
        <w:pStyle w:val="ListParagraph"/>
        <w:numPr>
          <w:ilvl w:val="0"/>
          <w:numId w:val="43"/>
        </w:numPr>
        <w:tabs>
          <w:tab w:val="left" w:pos="0"/>
        </w:tabs>
        <w:spacing w:after="240"/>
        <w:jc w:val="both"/>
        <w:rPr>
          <w:sz w:val="24"/>
          <w:szCs w:val="24"/>
          <w:lang w:val="en-AU" w:eastAsia="en-US"/>
        </w:rPr>
      </w:pPr>
      <w:r w:rsidRPr="003250DE">
        <w:rPr>
          <w:sz w:val="24"/>
          <w:szCs w:val="24"/>
          <w:lang w:val="en-AU" w:eastAsia="en-US"/>
        </w:rPr>
        <w:t xml:space="preserve">Financial Sector (Collection of Data) (reporting standard) determination No. </w:t>
      </w:r>
      <w:r>
        <w:rPr>
          <w:sz w:val="24"/>
          <w:szCs w:val="24"/>
          <w:lang w:val="en-AU" w:eastAsia="en-US"/>
        </w:rPr>
        <w:t>2</w:t>
      </w:r>
      <w:r w:rsidR="00B105D3">
        <w:rPr>
          <w:sz w:val="24"/>
          <w:szCs w:val="24"/>
          <w:lang w:val="en-AU" w:eastAsia="en-US"/>
        </w:rPr>
        <w:t>4</w:t>
      </w:r>
      <w:r>
        <w:rPr>
          <w:sz w:val="24"/>
          <w:szCs w:val="24"/>
          <w:lang w:val="en-AU" w:eastAsia="en-US"/>
        </w:rPr>
        <w:t xml:space="preserve"> of 2015</w:t>
      </w:r>
      <w:r w:rsidRPr="003250DE">
        <w:rPr>
          <w:sz w:val="24"/>
          <w:szCs w:val="24"/>
          <w:lang w:val="en-AU" w:eastAsia="en-US"/>
        </w:rPr>
        <w:t>, which</w:t>
      </w:r>
      <w:r>
        <w:rPr>
          <w:sz w:val="24"/>
          <w:szCs w:val="24"/>
          <w:lang w:val="en-AU" w:eastAsia="en-US"/>
        </w:rPr>
        <w:t>:</w:t>
      </w:r>
    </w:p>
    <w:p w:rsidR="00C841CE" w:rsidRPr="00FC1634" w:rsidRDefault="00C841CE" w:rsidP="00C841CE">
      <w:pPr>
        <w:pStyle w:val="ListParagraph"/>
        <w:numPr>
          <w:ilvl w:val="1"/>
          <w:numId w:val="43"/>
        </w:numPr>
        <w:tabs>
          <w:tab w:val="left" w:pos="0"/>
        </w:tabs>
        <w:spacing w:after="240"/>
        <w:ind w:left="1077" w:hanging="357"/>
        <w:jc w:val="both"/>
        <w:rPr>
          <w:sz w:val="24"/>
          <w:szCs w:val="24"/>
          <w:lang w:val="en-AU" w:eastAsia="en-US"/>
        </w:rPr>
      </w:pPr>
      <w:r>
        <w:rPr>
          <w:sz w:val="24"/>
          <w:szCs w:val="24"/>
          <w:lang w:val="en-AU" w:eastAsia="en-US"/>
        </w:rPr>
        <w:t xml:space="preserve">revokes </w:t>
      </w:r>
      <w:r w:rsidRPr="00B830BA">
        <w:rPr>
          <w:i/>
          <w:sz w:val="24"/>
          <w:szCs w:val="24"/>
          <w:lang w:val="en-AU" w:eastAsia="en-US"/>
        </w:rPr>
        <w:t>Reporting Standard SRS 800.0 Financial Statements</w:t>
      </w:r>
      <w:r>
        <w:rPr>
          <w:sz w:val="24"/>
          <w:szCs w:val="24"/>
          <w:lang w:val="en-AU" w:eastAsia="en-US"/>
        </w:rPr>
        <w:t xml:space="preserve"> made under </w:t>
      </w:r>
      <w:r w:rsidRPr="003250DE">
        <w:rPr>
          <w:sz w:val="24"/>
          <w:szCs w:val="24"/>
          <w:lang w:val="en-AU" w:eastAsia="en-US"/>
        </w:rPr>
        <w:t xml:space="preserve">Financial Sector (Collection of Data) (reporting standard) determination No. </w:t>
      </w:r>
      <w:r>
        <w:rPr>
          <w:sz w:val="24"/>
          <w:szCs w:val="24"/>
          <w:lang w:val="en-AU" w:eastAsia="en-US"/>
        </w:rPr>
        <w:t>14 of 2014; and</w:t>
      </w:r>
    </w:p>
    <w:p w:rsidR="00972227" w:rsidRPr="00E1272F" w:rsidRDefault="00C841CE" w:rsidP="00E1272F">
      <w:pPr>
        <w:pStyle w:val="ListParagraph"/>
        <w:numPr>
          <w:ilvl w:val="1"/>
          <w:numId w:val="43"/>
        </w:numPr>
        <w:tabs>
          <w:tab w:val="left" w:pos="0"/>
        </w:tabs>
        <w:spacing w:after="240"/>
        <w:jc w:val="both"/>
        <w:rPr>
          <w:sz w:val="24"/>
          <w:szCs w:val="24"/>
          <w:lang w:val="en-AU" w:eastAsia="en-US"/>
        </w:rPr>
      </w:pPr>
      <w:r w:rsidRPr="00EF40BB">
        <w:rPr>
          <w:sz w:val="24"/>
          <w:szCs w:val="24"/>
        </w:rPr>
        <w:t xml:space="preserve">determines </w:t>
      </w:r>
      <w:r w:rsidRPr="00EF40BB">
        <w:rPr>
          <w:i/>
          <w:sz w:val="24"/>
          <w:szCs w:val="24"/>
        </w:rPr>
        <w:t>Reporting Standard SRS 800.0 Financial Statements</w:t>
      </w:r>
      <w:r w:rsidRPr="00EF40BB">
        <w:rPr>
          <w:sz w:val="24"/>
          <w:szCs w:val="24"/>
        </w:rPr>
        <w:t>;</w:t>
      </w:r>
    </w:p>
    <w:p w:rsidR="00C841CE" w:rsidRPr="00E1272F" w:rsidRDefault="00C841CE" w:rsidP="00E1272F">
      <w:pPr>
        <w:pStyle w:val="ListParagraph"/>
        <w:numPr>
          <w:ilvl w:val="0"/>
          <w:numId w:val="43"/>
        </w:numPr>
        <w:tabs>
          <w:tab w:val="left" w:pos="0"/>
        </w:tabs>
        <w:spacing w:after="240"/>
        <w:jc w:val="both"/>
        <w:rPr>
          <w:sz w:val="24"/>
          <w:szCs w:val="24"/>
          <w:lang w:val="en-AU" w:eastAsia="en-US"/>
        </w:rPr>
      </w:pPr>
      <w:r w:rsidRPr="00E1272F">
        <w:rPr>
          <w:sz w:val="24"/>
          <w:szCs w:val="24"/>
          <w:lang w:val="en-AU" w:eastAsia="en-US"/>
        </w:rPr>
        <w:t>Financial Sector (Collection of Data) (reporting standard) determination No. 2</w:t>
      </w:r>
      <w:r w:rsidR="00037C7C" w:rsidRPr="00E1272F">
        <w:rPr>
          <w:sz w:val="24"/>
          <w:szCs w:val="24"/>
          <w:lang w:val="en-AU" w:eastAsia="en-US"/>
        </w:rPr>
        <w:t>6</w:t>
      </w:r>
      <w:r w:rsidRPr="00E1272F">
        <w:rPr>
          <w:sz w:val="24"/>
          <w:szCs w:val="24"/>
          <w:lang w:val="en-AU" w:eastAsia="en-US"/>
        </w:rPr>
        <w:t xml:space="preserve"> of 2015, which: </w:t>
      </w:r>
    </w:p>
    <w:p w:rsidR="00C841CE" w:rsidRPr="00FC1634" w:rsidRDefault="00C841CE" w:rsidP="00C841CE">
      <w:pPr>
        <w:pStyle w:val="ListParagraph"/>
        <w:numPr>
          <w:ilvl w:val="1"/>
          <w:numId w:val="43"/>
        </w:numPr>
        <w:tabs>
          <w:tab w:val="left" w:pos="0"/>
        </w:tabs>
        <w:spacing w:after="240"/>
        <w:ind w:left="1077" w:hanging="357"/>
        <w:jc w:val="both"/>
        <w:rPr>
          <w:sz w:val="24"/>
          <w:szCs w:val="24"/>
          <w:lang w:val="en-AU" w:eastAsia="en-US"/>
        </w:rPr>
      </w:pPr>
      <w:r>
        <w:rPr>
          <w:sz w:val="24"/>
          <w:szCs w:val="24"/>
          <w:lang w:val="en-AU" w:eastAsia="en-US"/>
        </w:rPr>
        <w:t xml:space="preserve">revokes </w:t>
      </w:r>
      <w:r w:rsidR="009170CC" w:rsidRPr="002407D7">
        <w:rPr>
          <w:i/>
          <w:sz w:val="24"/>
          <w:szCs w:val="24"/>
          <w:lang w:val="en-AU" w:eastAsia="en-US"/>
        </w:rPr>
        <w:t>Reporting Standard SRS 802.0 Fund Profile</w:t>
      </w:r>
      <w:r w:rsidR="009170CC">
        <w:rPr>
          <w:sz w:val="24"/>
          <w:szCs w:val="24"/>
          <w:lang w:val="en-AU" w:eastAsia="en-US"/>
        </w:rPr>
        <w:t xml:space="preserve"> </w:t>
      </w:r>
      <w:r>
        <w:rPr>
          <w:sz w:val="24"/>
          <w:szCs w:val="24"/>
          <w:lang w:val="en-AU" w:eastAsia="en-US"/>
        </w:rPr>
        <w:t xml:space="preserve">made under </w:t>
      </w:r>
      <w:r w:rsidRPr="003250DE">
        <w:rPr>
          <w:sz w:val="24"/>
          <w:szCs w:val="24"/>
          <w:lang w:val="en-AU" w:eastAsia="en-US"/>
        </w:rPr>
        <w:t xml:space="preserve">Financial Sector (Collection of Data) (reporting standard) determination No. </w:t>
      </w:r>
      <w:r w:rsidR="009170CC">
        <w:rPr>
          <w:sz w:val="24"/>
          <w:szCs w:val="24"/>
          <w:lang w:val="en-AU" w:eastAsia="en-US"/>
        </w:rPr>
        <w:t>96</w:t>
      </w:r>
      <w:r>
        <w:rPr>
          <w:sz w:val="24"/>
          <w:szCs w:val="24"/>
          <w:lang w:val="en-AU" w:eastAsia="en-US"/>
        </w:rPr>
        <w:t xml:space="preserve"> of 201</w:t>
      </w:r>
      <w:r w:rsidR="009170CC">
        <w:rPr>
          <w:sz w:val="24"/>
          <w:szCs w:val="24"/>
          <w:lang w:val="en-AU" w:eastAsia="en-US"/>
        </w:rPr>
        <w:t>3</w:t>
      </w:r>
      <w:r w:rsidR="000410A5">
        <w:rPr>
          <w:sz w:val="24"/>
          <w:szCs w:val="24"/>
          <w:lang w:val="en-AU" w:eastAsia="en-US"/>
        </w:rPr>
        <w:t>; and</w:t>
      </w:r>
    </w:p>
    <w:p w:rsidR="00C841CE" w:rsidRPr="00FC1634" w:rsidRDefault="00C841CE" w:rsidP="00C841CE">
      <w:pPr>
        <w:pStyle w:val="ListParagraph"/>
        <w:numPr>
          <w:ilvl w:val="1"/>
          <w:numId w:val="43"/>
        </w:numPr>
        <w:tabs>
          <w:tab w:val="left" w:pos="0"/>
        </w:tabs>
        <w:spacing w:after="240"/>
        <w:ind w:left="1077" w:hanging="357"/>
        <w:jc w:val="both"/>
        <w:rPr>
          <w:sz w:val="24"/>
          <w:szCs w:val="24"/>
          <w:lang w:val="en-AU" w:eastAsia="en-US"/>
        </w:rPr>
      </w:pPr>
      <w:proofErr w:type="gramStart"/>
      <w:r>
        <w:rPr>
          <w:sz w:val="24"/>
          <w:szCs w:val="24"/>
          <w:lang w:val="en-AU" w:eastAsia="en-US"/>
        </w:rPr>
        <w:t>d</w:t>
      </w:r>
      <w:r w:rsidRPr="00FC1634">
        <w:rPr>
          <w:sz w:val="24"/>
          <w:szCs w:val="24"/>
          <w:lang w:val="en-AU" w:eastAsia="en-US"/>
        </w:rPr>
        <w:t>etermines</w:t>
      </w:r>
      <w:proofErr w:type="gramEnd"/>
      <w:r>
        <w:rPr>
          <w:sz w:val="24"/>
          <w:szCs w:val="24"/>
          <w:lang w:val="en-AU" w:eastAsia="en-US"/>
        </w:rPr>
        <w:t xml:space="preserve"> </w:t>
      </w:r>
      <w:r w:rsidR="009170CC" w:rsidRPr="002407D7">
        <w:rPr>
          <w:i/>
          <w:sz w:val="24"/>
          <w:szCs w:val="24"/>
          <w:lang w:val="en-AU" w:eastAsia="en-US"/>
        </w:rPr>
        <w:t>Reporting Standard SRS 802.0 Fund Profile</w:t>
      </w:r>
      <w:r w:rsidR="009170CC">
        <w:rPr>
          <w:sz w:val="24"/>
          <w:szCs w:val="24"/>
          <w:lang w:val="en-AU" w:eastAsia="en-US"/>
        </w:rPr>
        <w:t>.</w:t>
      </w:r>
    </w:p>
    <w:p w:rsidR="00384666" w:rsidRDefault="004F4343" w:rsidP="00400D96">
      <w:pPr>
        <w:tabs>
          <w:tab w:val="left" w:pos="0"/>
        </w:tabs>
        <w:spacing w:after="240"/>
        <w:jc w:val="both"/>
      </w:pPr>
      <w:r>
        <w:t>The reporting standards listed in paragraph</w:t>
      </w:r>
      <w:r w:rsidR="00ED7D96">
        <w:t>s</w:t>
      </w:r>
      <w:r>
        <w:t xml:space="preserve"> </w:t>
      </w:r>
      <w:r w:rsidR="00384666">
        <w:t>1</w:t>
      </w:r>
      <w:r w:rsidR="00ED1D91">
        <w:t xml:space="preserve"> and 13</w:t>
      </w:r>
      <w:r w:rsidR="00384666">
        <w:t xml:space="preserve"> commence on 30 June 2015 and</w:t>
      </w:r>
      <w:r w:rsidR="00384666" w:rsidRPr="00384666">
        <w:t xml:space="preserve"> </w:t>
      </w:r>
      <w:r w:rsidR="00384666">
        <w:t>apply to reporting periods ending on and after that date.</w:t>
      </w:r>
    </w:p>
    <w:p w:rsidR="001D6D31" w:rsidRDefault="00384666" w:rsidP="00400D96">
      <w:pPr>
        <w:tabs>
          <w:tab w:val="left" w:pos="0"/>
        </w:tabs>
        <w:spacing w:after="240"/>
        <w:jc w:val="both"/>
      </w:pPr>
      <w:r>
        <w:lastRenderedPageBreak/>
        <w:t>The remaining reporting standards listed above</w:t>
      </w:r>
      <w:r w:rsidR="00B9522A">
        <w:t xml:space="preserve"> commence on 1 July 2015 and apply to reporting periods ending on and after that date.</w:t>
      </w:r>
      <w:r w:rsidR="001D6D31">
        <w:t xml:space="preserve"> </w:t>
      </w:r>
    </w:p>
    <w:p w:rsidR="001D6126" w:rsidRPr="00845EFE" w:rsidRDefault="00825478" w:rsidP="007D156F">
      <w:pPr>
        <w:pStyle w:val="Heading"/>
        <w:numPr>
          <w:ilvl w:val="0"/>
          <w:numId w:val="1"/>
        </w:numPr>
        <w:spacing w:before="0" w:after="240"/>
        <w:ind w:left="567" w:hanging="567"/>
        <w:jc w:val="both"/>
        <w:rPr>
          <w:sz w:val="24"/>
          <w:szCs w:val="24"/>
        </w:rPr>
      </w:pPr>
      <w:r w:rsidRPr="00845EFE">
        <w:rPr>
          <w:sz w:val="24"/>
          <w:szCs w:val="24"/>
        </w:rPr>
        <w:t>Background</w:t>
      </w:r>
      <w:bookmarkStart w:id="5" w:name="bkBackground"/>
      <w:bookmarkEnd w:id="5"/>
    </w:p>
    <w:p w:rsidR="003D3E59" w:rsidRDefault="003D3E59" w:rsidP="007D156F">
      <w:pPr>
        <w:spacing w:after="240"/>
        <w:jc w:val="both"/>
      </w:pPr>
      <w:r w:rsidRPr="003D3E59">
        <w:t xml:space="preserve">APRA is empowered to make reporting standards under </w:t>
      </w:r>
      <w:r w:rsidR="001E1622">
        <w:t>the Act</w:t>
      </w:r>
      <w:r w:rsidRPr="003D3E59">
        <w:t>, which require regulated institutions, including RSE licensees</w:t>
      </w:r>
      <w:r w:rsidR="00845EFE">
        <w:t>,</w:t>
      </w:r>
      <w:r w:rsidRPr="003D3E59">
        <w:t xml:space="preserve"> to submit specified data through various reporting forms. Data from these forms </w:t>
      </w:r>
      <w:r w:rsidR="00A67695">
        <w:t>is</w:t>
      </w:r>
      <w:r w:rsidRPr="003D3E59">
        <w:t xml:space="preserve"> used </w:t>
      </w:r>
      <w:r w:rsidR="00DD0F6D">
        <w:t xml:space="preserve">by APRA </w:t>
      </w:r>
      <w:r w:rsidRPr="003D3E59">
        <w:t xml:space="preserve">to assist </w:t>
      </w:r>
      <w:r w:rsidR="00DD0F6D">
        <w:t xml:space="preserve">with </w:t>
      </w:r>
      <w:r w:rsidR="006823C3">
        <w:t>APRA’s</w:t>
      </w:r>
      <w:r w:rsidRPr="003D3E59">
        <w:t xml:space="preserve"> supervisory functions</w:t>
      </w:r>
      <w:r w:rsidR="00B80300">
        <w:t>,</w:t>
      </w:r>
      <w:r w:rsidRPr="003D3E59">
        <w:t xml:space="preserve"> and </w:t>
      </w:r>
      <w:r w:rsidR="00DD0F6D">
        <w:t xml:space="preserve">also </w:t>
      </w:r>
      <w:r w:rsidRPr="003D3E59">
        <w:t xml:space="preserve">by </w:t>
      </w:r>
      <w:r w:rsidR="00E15BE8">
        <w:t>Government and</w:t>
      </w:r>
      <w:r w:rsidRPr="003D3E59">
        <w:t xml:space="preserve"> </w:t>
      </w:r>
      <w:r w:rsidR="009A198B">
        <w:t xml:space="preserve">other </w:t>
      </w:r>
      <w:r w:rsidRPr="003D3E59">
        <w:t xml:space="preserve">agencies such as </w:t>
      </w:r>
      <w:r w:rsidR="009A198B">
        <w:t>the Australian Bureau of Statistics and the Australian Securities and Investments Commission</w:t>
      </w:r>
      <w:r w:rsidRPr="003D3E59">
        <w:t>. APRA also collates and publishes statistical information and analysis using data from these reporting forms.</w:t>
      </w:r>
    </w:p>
    <w:p w:rsidR="00D44374" w:rsidRPr="003D3E59" w:rsidRDefault="00D44374" w:rsidP="007D156F">
      <w:pPr>
        <w:spacing w:after="240"/>
        <w:jc w:val="both"/>
      </w:pPr>
      <w:r>
        <w:t>In 2013 and 2014</w:t>
      </w:r>
      <w:r w:rsidR="00DA687A">
        <w:t>,</w:t>
      </w:r>
      <w:r>
        <w:t xml:space="preserve"> APRA released a </w:t>
      </w:r>
      <w:r w:rsidR="00BD2DB3">
        <w:t xml:space="preserve">new </w:t>
      </w:r>
      <w:r>
        <w:t xml:space="preserve">suite of 39 final reporting standards applying to the superannuation industry. Since the commencement of the new reporting requirements, </w:t>
      </w:r>
      <w:r w:rsidRPr="001435E9">
        <w:t xml:space="preserve">APRA </w:t>
      </w:r>
      <w:r>
        <w:t xml:space="preserve">has </w:t>
      </w:r>
      <w:r w:rsidRPr="001435E9">
        <w:t xml:space="preserve">received industry feedback </w:t>
      </w:r>
      <w:r>
        <w:t>on</w:t>
      </w:r>
      <w:r w:rsidRPr="001435E9">
        <w:t xml:space="preserve"> some of </w:t>
      </w:r>
      <w:r>
        <w:t xml:space="preserve">these standards, as well as a large number of requests for clarification and guidance on </w:t>
      </w:r>
      <w:r w:rsidRPr="00025339">
        <w:t>interpretation</w:t>
      </w:r>
      <w:r>
        <w:t>.</w:t>
      </w:r>
    </w:p>
    <w:p w:rsidR="005941E1" w:rsidRPr="003F7530" w:rsidRDefault="00825478" w:rsidP="00845EFE">
      <w:pPr>
        <w:pStyle w:val="Heading"/>
        <w:numPr>
          <w:ilvl w:val="0"/>
          <w:numId w:val="1"/>
        </w:numPr>
        <w:spacing w:before="0" w:after="240"/>
        <w:ind w:left="567" w:hanging="567"/>
        <w:jc w:val="both"/>
        <w:rPr>
          <w:rFonts w:cs="Times New Roman"/>
          <w:sz w:val="24"/>
          <w:szCs w:val="24"/>
        </w:rPr>
      </w:pPr>
      <w:r w:rsidRPr="003F7530">
        <w:rPr>
          <w:rFonts w:cs="Times New Roman"/>
          <w:sz w:val="24"/>
          <w:szCs w:val="24"/>
        </w:rPr>
        <w:t xml:space="preserve">Purpose </w:t>
      </w:r>
      <w:r w:rsidR="002960FC" w:rsidRPr="003F7530">
        <w:rPr>
          <w:rFonts w:cs="Times New Roman"/>
          <w:sz w:val="24"/>
          <w:szCs w:val="24"/>
        </w:rPr>
        <w:t xml:space="preserve">and operation </w:t>
      </w:r>
      <w:r w:rsidR="002F6099">
        <w:rPr>
          <w:rFonts w:cs="Times New Roman"/>
          <w:sz w:val="24"/>
          <w:szCs w:val="24"/>
        </w:rPr>
        <w:t>of the instrument</w:t>
      </w:r>
      <w:r w:rsidR="001228B3">
        <w:rPr>
          <w:rFonts w:cs="Times New Roman"/>
          <w:sz w:val="24"/>
          <w:szCs w:val="24"/>
        </w:rPr>
        <w:t>s</w:t>
      </w:r>
    </w:p>
    <w:p w:rsidR="00CB3E9A" w:rsidRDefault="0028530F" w:rsidP="00845EFE">
      <w:pPr>
        <w:spacing w:after="240"/>
        <w:jc w:val="both"/>
        <w:rPr>
          <w:lang w:eastAsia="en-AU"/>
        </w:rPr>
      </w:pPr>
      <w:bookmarkStart w:id="6" w:name="bkPurpose"/>
      <w:bookmarkEnd w:id="6"/>
      <w:r w:rsidRPr="0028530F">
        <w:rPr>
          <w:lang w:eastAsia="en-AU"/>
        </w:rPr>
        <w:t xml:space="preserve">The purpose of making </w:t>
      </w:r>
      <w:r w:rsidR="001228B3">
        <w:rPr>
          <w:lang w:eastAsia="en-AU"/>
        </w:rPr>
        <w:t>these</w:t>
      </w:r>
      <w:r w:rsidR="001228B3" w:rsidRPr="0028530F">
        <w:rPr>
          <w:lang w:eastAsia="en-AU"/>
        </w:rPr>
        <w:t xml:space="preserve"> </w:t>
      </w:r>
      <w:r w:rsidRPr="0028530F">
        <w:rPr>
          <w:lang w:eastAsia="en-AU"/>
        </w:rPr>
        <w:t>instrument</w:t>
      </w:r>
      <w:r w:rsidR="001228B3">
        <w:rPr>
          <w:lang w:eastAsia="en-AU"/>
        </w:rPr>
        <w:t>s</w:t>
      </w:r>
      <w:r w:rsidRPr="0028530F">
        <w:rPr>
          <w:lang w:eastAsia="en-AU"/>
        </w:rPr>
        <w:t xml:space="preserve"> is </w:t>
      </w:r>
      <w:r w:rsidR="00DA687A">
        <w:rPr>
          <w:lang w:eastAsia="en-AU"/>
        </w:rPr>
        <w:t xml:space="preserve">to </w:t>
      </w:r>
      <w:r w:rsidR="00A26AEF">
        <w:rPr>
          <w:lang w:eastAsia="en-AU"/>
        </w:rPr>
        <w:t xml:space="preserve">make minor revisions to </w:t>
      </w:r>
      <w:r w:rsidR="001228B3">
        <w:rPr>
          <w:lang w:eastAsia="en-AU"/>
        </w:rPr>
        <w:t>20</w:t>
      </w:r>
      <w:r w:rsidR="00F14172">
        <w:rPr>
          <w:lang w:eastAsia="en-AU"/>
        </w:rPr>
        <w:t xml:space="preserve"> </w:t>
      </w:r>
      <w:r w:rsidR="00BC0D6F">
        <w:rPr>
          <w:lang w:eastAsia="en-AU"/>
        </w:rPr>
        <w:t xml:space="preserve">of </w:t>
      </w:r>
      <w:r w:rsidR="00A26AEF">
        <w:rPr>
          <w:lang w:eastAsia="en-AU"/>
        </w:rPr>
        <w:t xml:space="preserve">the existing reporting standards for superannuation to clarify and provide further guidance on existing reporting </w:t>
      </w:r>
      <w:r w:rsidR="00ED1D91">
        <w:rPr>
          <w:lang w:eastAsia="en-AU"/>
        </w:rPr>
        <w:t>requirements</w:t>
      </w:r>
      <w:r w:rsidR="00A26AEF">
        <w:rPr>
          <w:lang w:eastAsia="en-AU"/>
        </w:rPr>
        <w:t>.</w:t>
      </w:r>
      <w:r w:rsidR="002D101E">
        <w:rPr>
          <w:lang w:eastAsia="en-AU"/>
        </w:rPr>
        <w:t xml:space="preserve"> </w:t>
      </w:r>
    </w:p>
    <w:p w:rsidR="00CB3E9A" w:rsidRDefault="00CB3E9A" w:rsidP="00CB3E9A">
      <w:pPr>
        <w:pStyle w:val="Heading"/>
        <w:keepNext w:val="0"/>
        <w:spacing w:after="240"/>
        <w:jc w:val="both"/>
        <w:rPr>
          <w:rFonts w:cs="Times New Roman"/>
          <w:b w:val="0"/>
          <w:kern w:val="0"/>
          <w:sz w:val="24"/>
          <w:szCs w:val="24"/>
          <w:lang w:val="en-GB"/>
        </w:rPr>
      </w:pPr>
      <w:r>
        <w:rPr>
          <w:rFonts w:cs="Times New Roman"/>
          <w:b w:val="0"/>
          <w:kern w:val="0"/>
          <w:sz w:val="24"/>
          <w:szCs w:val="24"/>
          <w:lang w:val="en-GB"/>
        </w:rPr>
        <w:t>As a result of the questions raised by the superannuation industry about the new reporting standards which were released in 2013 and 2014, APRA publicly released 95 frequently asked questions (FAQs) on the APRA website. The FAQs provided additional information to assist reporting entities to complete the reporting standards and were the result of ongoing dialogue with reporting entities and the superannuation industry more broadly.</w:t>
      </w:r>
    </w:p>
    <w:p w:rsidR="00CB3E9A" w:rsidRDefault="00CB3E9A" w:rsidP="00CB3E9A">
      <w:pPr>
        <w:pStyle w:val="Heading"/>
        <w:keepNext w:val="0"/>
        <w:spacing w:after="240"/>
        <w:jc w:val="both"/>
        <w:rPr>
          <w:rFonts w:cs="Times New Roman"/>
          <w:b w:val="0"/>
          <w:kern w:val="0"/>
          <w:sz w:val="24"/>
          <w:szCs w:val="24"/>
          <w:lang w:val="en-GB"/>
        </w:rPr>
      </w:pPr>
      <w:r>
        <w:rPr>
          <w:rFonts w:cs="Times New Roman"/>
          <w:b w:val="0"/>
          <w:kern w:val="0"/>
          <w:sz w:val="24"/>
          <w:szCs w:val="24"/>
          <w:lang w:val="en-GB"/>
        </w:rPr>
        <w:t>Whilst s</w:t>
      </w:r>
      <w:r w:rsidRPr="007A0F4E">
        <w:rPr>
          <w:rFonts w:cs="Times New Roman"/>
          <w:b w:val="0"/>
          <w:kern w:val="0"/>
          <w:sz w:val="24"/>
          <w:szCs w:val="24"/>
          <w:lang w:val="en-GB"/>
        </w:rPr>
        <w:t>ome FAQs provide transition guidance, APRA consider</w:t>
      </w:r>
      <w:r>
        <w:rPr>
          <w:rFonts w:cs="Times New Roman"/>
          <w:b w:val="0"/>
          <w:kern w:val="0"/>
          <w:sz w:val="24"/>
          <w:szCs w:val="24"/>
          <w:lang w:val="en-GB"/>
        </w:rPr>
        <w:t>ed</w:t>
      </w:r>
      <w:r w:rsidRPr="007A0F4E">
        <w:rPr>
          <w:rFonts w:cs="Times New Roman"/>
          <w:b w:val="0"/>
          <w:kern w:val="0"/>
          <w:sz w:val="24"/>
          <w:szCs w:val="24"/>
          <w:lang w:val="en-GB"/>
        </w:rPr>
        <w:t xml:space="preserve"> that a number of the matters raised by industry and covered in FAQs should be included in the reporting standards, forms and instructions on an ongoing basis.</w:t>
      </w:r>
    </w:p>
    <w:p w:rsidR="00C04002" w:rsidRDefault="006C03D7" w:rsidP="00845EFE">
      <w:pPr>
        <w:spacing w:after="240"/>
        <w:jc w:val="both"/>
        <w:rPr>
          <w:lang w:eastAsia="en-AU"/>
        </w:rPr>
      </w:pPr>
      <w:r>
        <w:rPr>
          <w:lang w:eastAsia="en-AU"/>
        </w:rPr>
        <w:t xml:space="preserve">The majority of changes within the revised reporting standards are confined to the reporting instructions. </w:t>
      </w:r>
      <w:r w:rsidR="00576DFE">
        <w:rPr>
          <w:lang w:eastAsia="en-AU"/>
        </w:rPr>
        <w:t xml:space="preserve">The changes are minor in nature and </w:t>
      </w:r>
      <w:r>
        <w:rPr>
          <w:lang w:eastAsia="en-AU"/>
        </w:rPr>
        <w:t xml:space="preserve">are being released to simplify the superannuation industry’s reporting requirements by </w:t>
      </w:r>
      <w:r w:rsidR="00ED1D91">
        <w:rPr>
          <w:lang w:eastAsia="en-AU"/>
        </w:rPr>
        <w:t xml:space="preserve">consolidating </w:t>
      </w:r>
      <w:r w:rsidR="006239C9">
        <w:rPr>
          <w:lang w:eastAsia="en-AU"/>
        </w:rPr>
        <w:t xml:space="preserve">relevant </w:t>
      </w:r>
      <w:r>
        <w:rPr>
          <w:lang w:eastAsia="en-AU"/>
        </w:rPr>
        <w:t>guidance</w:t>
      </w:r>
      <w:r w:rsidR="00ED1D91">
        <w:rPr>
          <w:lang w:eastAsia="en-AU"/>
        </w:rPr>
        <w:t xml:space="preserve"> into the reporting standard</w:t>
      </w:r>
      <w:r>
        <w:rPr>
          <w:lang w:eastAsia="en-AU"/>
        </w:rPr>
        <w:t>.</w:t>
      </w:r>
      <w:r w:rsidR="006239C9">
        <w:rPr>
          <w:lang w:eastAsia="en-AU"/>
        </w:rPr>
        <w:t xml:space="preserve"> </w:t>
      </w:r>
    </w:p>
    <w:p w:rsidR="008B7528" w:rsidRPr="003F7530" w:rsidRDefault="00825478" w:rsidP="00C2276F">
      <w:pPr>
        <w:pStyle w:val="Heading"/>
        <w:keepNext w:val="0"/>
        <w:numPr>
          <w:ilvl w:val="0"/>
          <w:numId w:val="1"/>
        </w:numPr>
        <w:spacing w:before="0" w:after="240"/>
        <w:jc w:val="both"/>
        <w:rPr>
          <w:rFonts w:cs="Times New Roman"/>
          <w:sz w:val="24"/>
          <w:szCs w:val="24"/>
        </w:rPr>
      </w:pPr>
      <w:bookmarkStart w:id="7" w:name="bkoperation"/>
      <w:bookmarkEnd w:id="7"/>
      <w:r w:rsidRPr="003F7530">
        <w:rPr>
          <w:rFonts w:cs="Times New Roman"/>
          <w:sz w:val="24"/>
          <w:szCs w:val="24"/>
        </w:rPr>
        <w:t>Consultation</w:t>
      </w:r>
    </w:p>
    <w:p w:rsidR="007A0F4E" w:rsidRDefault="007A0F4E" w:rsidP="00FF5E03">
      <w:pPr>
        <w:pStyle w:val="Heading"/>
        <w:keepNext w:val="0"/>
        <w:spacing w:after="240"/>
        <w:jc w:val="both"/>
        <w:rPr>
          <w:rFonts w:cs="Times New Roman"/>
          <w:b w:val="0"/>
          <w:kern w:val="0"/>
          <w:sz w:val="24"/>
          <w:szCs w:val="24"/>
          <w:lang w:val="en-GB"/>
        </w:rPr>
      </w:pPr>
      <w:bookmarkStart w:id="8" w:name="bkConsultation"/>
      <w:bookmarkEnd w:id="8"/>
      <w:r>
        <w:rPr>
          <w:rFonts w:cs="Times New Roman"/>
          <w:b w:val="0"/>
          <w:kern w:val="0"/>
          <w:sz w:val="24"/>
          <w:szCs w:val="24"/>
          <w:lang w:val="en-GB"/>
        </w:rPr>
        <w:t xml:space="preserve">As </w:t>
      </w:r>
      <w:r w:rsidR="006239C9">
        <w:rPr>
          <w:rFonts w:cs="Times New Roman"/>
          <w:b w:val="0"/>
          <w:kern w:val="0"/>
          <w:sz w:val="24"/>
          <w:szCs w:val="24"/>
          <w:lang w:val="en-GB"/>
        </w:rPr>
        <w:t xml:space="preserve">the FAQs </w:t>
      </w:r>
      <w:r w:rsidR="00F2067F">
        <w:rPr>
          <w:rFonts w:cs="Times New Roman"/>
          <w:b w:val="0"/>
          <w:kern w:val="0"/>
          <w:sz w:val="24"/>
          <w:szCs w:val="24"/>
          <w:lang w:val="en-GB"/>
        </w:rPr>
        <w:t>had already been publicly released and</w:t>
      </w:r>
      <w:r w:rsidR="00165121">
        <w:rPr>
          <w:rFonts w:cs="Times New Roman"/>
          <w:b w:val="0"/>
          <w:kern w:val="0"/>
          <w:sz w:val="24"/>
          <w:szCs w:val="24"/>
          <w:lang w:val="en-GB"/>
        </w:rPr>
        <w:t xml:space="preserve"> </w:t>
      </w:r>
      <w:r w:rsidR="006239C9">
        <w:rPr>
          <w:rFonts w:cs="Times New Roman"/>
          <w:b w:val="0"/>
          <w:kern w:val="0"/>
          <w:sz w:val="24"/>
          <w:szCs w:val="24"/>
          <w:lang w:val="en-GB"/>
        </w:rPr>
        <w:t xml:space="preserve">the resulting changes to the reporting standards </w:t>
      </w:r>
      <w:r w:rsidR="00165121">
        <w:rPr>
          <w:rFonts w:cs="Times New Roman"/>
          <w:b w:val="0"/>
          <w:kern w:val="0"/>
          <w:sz w:val="24"/>
          <w:szCs w:val="24"/>
          <w:lang w:val="en-GB"/>
        </w:rPr>
        <w:t>were minor in nature, no further consultation with industry</w:t>
      </w:r>
      <w:r w:rsidR="008D217C">
        <w:rPr>
          <w:rFonts w:cs="Times New Roman"/>
          <w:b w:val="0"/>
          <w:kern w:val="0"/>
          <w:sz w:val="24"/>
          <w:szCs w:val="24"/>
          <w:lang w:val="en-GB"/>
        </w:rPr>
        <w:t xml:space="preserve"> was undertaken.</w:t>
      </w:r>
      <w:r w:rsidR="00ED1D91">
        <w:rPr>
          <w:rFonts w:cs="Times New Roman"/>
          <w:b w:val="0"/>
          <w:kern w:val="0"/>
          <w:sz w:val="24"/>
          <w:szCs w:val="24"/>
          <w:lang w:val="en-GB"/>
        </w:rPr>
        <w:t xml:space="preserve"> Proposed final versions of the reporting standards, however, were released for an eight-week period to allow industry to identify any ‘fatal flaw’ issues in the final requirements; no such issues were reported to APRA during this eight-week period.  </w:t>
      </w:r>
    </w:p>
    <w:p w:rsidR="00076969" w:rsidRPr="003F7530" w:rsidRDefault="00825478" w:rsidP="00381684">
      <w:pPr>
        <w:pStyle w:val="Heading"/>
        <w:keepNext w:val="0"/>
        <w:numPr>
          <w:ilvl w:val="0"/>
          <w:numId w:val="1"/>
        </w:numPr>
        <w:spacing w:before="0" w:after="240"/>
        <w:jc w:val="both"/>
        <w:rPr>
          <w:rFonts w:cs="Times New Roman"/>
          <w:sz w:val="24"/>
          <w:szCs w:val="24"/>
        </w:rPr>
      </w:pPr>
      <w:bookmarkStart w:id="9" w:name="bkRISNO"/>
      <w:bookmarkStart w:id="10" w:name="bkRIS"/>
      <w:bookmarkEnd w:id="9"/>
      <w:r w:rsidRPr="003F7530">
        <w:rPr>
          <w:rFonts w:cs="Times New Roman"/>
          <w:sz w:val="24"/>
          <w:szCs w:val="24"/>
        </w:rPr>
        <w:t>Regulation Impact Statement</w:t>
      </w:r>
    </w:p>
    <w:bookmarkEnd w:id="10"/>
    <w:p w:rsidR="007D4E96" w:rsidRDefault="008247C3" w:rsidP="00381684">
      <w:pPr>
        <w:pStyle w:val="Heading"/>
        <w:keepNext w:val="0"/>
        <w:tabs>
          <w:tab w:val="left" w:pos="360"/>
        </w:tabs>
        <w:spacing w:after="240"/>
        <w:jc w:val="both"/>
        <w:rPr>
          <w:b w:val="0"/>
          <w:sz w:val="24"/>
          <w:szCs w:val="24"/>
        </w:rPr>
      </w:pPr>
      <w:r>
        <w:rPr>
          <w:b w:val="0"/>
          <w:sz w:val="24"/>
          <w:szCs w:val="24"/>
        </w:rPr>
        <w:lastRenderedPageBreak/>
        <w:t xml:space="preserve">The revised reporting standards incorporate </w:t>
      </w:r>
      <w:r w:rsidR="001228B3">
        <w:rPr>
          <w:b w:val="0"/>
          <w:sz w:val="24"/>
          <w:szCs w:val="24"/>
        </w:rPr>
        <w:t>in</w:t>
      </w:r>
      <w:r>
        <w:rPr>
          <w:b w:val="0"/>
          <w:sz w:val="24"/>
          <w:szCs w:val="24"/>
        </w:rPr>
        <w:t xml:space="preserve">to </w:t>
      </w:r>
      <w:r w:rsidR="001228B3">
        <w:rPr>
          <w:b w:val="0"/>
          <w:sz w:val="24"/>
          <w:szCs w:val="24"/>
        </w:rPr>
        <w:t>20</w:t>
      </w:r>
      <w:r>
        <w:rPr>
          <w:b w:val="0"/>
          <w:sz w:val="24"/>
          <w:szCs w:val="24"/>
        </w:rPr>
        <w:t xml:space="preserve"> reporting standards </w:t>
      </w:r>
      <w:r w:rsidR="001228B3">
        <w:rPr>
          <w:b w:val="0"/>
          <w:sz w:val="24"/>
          <w:szCs w:val="24"/>
        </w:rPr>
        <w:t xml:space="preserve">minor revisions </w:t>
      </w:r>
      <w:r>
        <w:rPr>
          <w:b w:val="0"/>
          <w:sz w:val="24"/>
          <w:szCs w:val="24"/>
        </w:rPr>
        <w:t xml:space="preserve">which do not significantly change the reporting requirements. All of the revised reporting standards provide additional guidance and clarification and no new reporting requirements have been introduced </w:t>
      </w:r>
      <w:r w:rsidR="00ED1D91">
        <w:rPr>
          <w:b w:val="0"/>
          <w:sz w:val="24"/>
          <w:szCs w:val="24"/>
        </w:rPr>
        <w:t>as a result of this process</w:t>
      </w:r>
      <w:r>
        <w:rPr>
          <w:b w:val="0"/>
          <w:sz w:val="24"/>
          <w:szCs w:val="24"/>
        </w:rPr>
        <w:t>.</w:t>
      </w:r>
    </w:p>
    <w:p w:rsidR="00425480" w:rsidRDefault="00425480" w:rsidP="00381684">
      <w:pPr>
        <w:pStyle w:val="Heading"/>
        <w:keepNext w:val="0"/>
        <w:spacing w:before="0" w:after="240"/>
        <w:jc w:val="both"/>
        <w:rPr>
          <w:b w:val="0"/>
          <w:sz w:val="24"/>
          <w:szCs w:val="24"/>
        </w:rPr>
      </w:pPr>
      <w:r w:rsidRPr="00425480">
        <w:rPr>
          <w:b w:val="0"/>
          <w:sz w:val="24"/>
          <w:szCs w:val="24"/>
        </w:rPr>
        <w:t xml:space="preserve">The Office of Best Practice Regulation has advised that a Regulation Impact Statement is not required for </w:t>
      </w:r>
      <w:r w:rsidR="00ED1D91">
        <w:rPr>
          <w:b w:val="0"/>
          <w:sz w:val="24"/>
          <w:szCs w:val="24"/>
        </w:rPr>
        <w:t>these</w:t>
      </w:r>
      <w:r w:rsidR="00ED1D91" w:rsidRPr="00425480">
        <w:rPr>
          <w:b w:val="0"/>
          <w:sz w:val="24"/>
          <w:szCs w:val="24"/>
        </w:rPr>
        <w:t xml:space="preserve"> </w:t>
      </w:r>
      <w:r w:rsidRPr="00425480">
        <w:rPr>
          <w:b w:val="0"/>
          <w:sz w:val="24"/>
          <w:szCs w:val="24"/>
        </w:rPr>
        <w:t>legislative instrument</w:t>
      </w:r>
      <w:r w:rsidR="00ED1D91">
        <w:rPr>
          <w:b w:val="0"/>
          <w:sz w:val="24"/>
          <w:szCs w:val="24"/>
        </w:rPr>
        <w:t>s</w:t>
      </w:r>
      <w:r>
        <w:rPr>
          <w:b w:val="0"/>
          <w:sz w:val="24"/>
          <w:szCs w:val="24"/>
        </w:rPr>
        <w:t>.</w:t>
      </w:r>
    </w:p>
    <w:p w:rsidR="00140948" w:rsidRPr="003F7530" w:rsidRDefault="00825478" w:rsidP="00381684">
      <w:pPr>
        <w:pStyle w:val="Heading"/>
        <w:keepNext w:val="0"/>
        <w:numPr>
          <w:ilvl w:val="0"/>
          <w:numId w:val="1"/>
        </w:numPr>
        <w:spacing w:before="0" w:after="240"/>
        <w:jc w:val="both"/>
        <w:rPr>
          <w:rFonts w:cs="Times New Roman"/>
          <w:i/>
          <w:sz w:val="24"/>
          <w:szCs w:val="24"/>
        </w:rPr>
      </w:pPr>
      <w:r w:rsidRPr="003F7530">
        <w:rPr>
          <w:rFonts w:cs="Times New Roman"/>
          <w:sz w:val="24"/>
          <w:szCs w:val="24"/>
        </w:rPr>
        <w:t xml:space="preserve">Statement of compatibility prepared in accordance with Part 3 of the </w:t>
      </w:r>
      <w:r w:rsidRPr="003F7530">
        <w:rPr>
          <w:rFonts w:cs="Times New Roman"/>
          <w:i/>
          <w:sz w:val="24"/>
          <w:szCs w:val="24"/>
        </w:rPr>
        <w:t>Human Rights (Parliamentary Scrutiny) Act 2011</w:t>
      </w:r>
    </w:p>
    <w:p w:rsidR="00063E49" w:rsidRPr="002646D2" w:rsidRDefault="00F049B6" w:rsidP="00381684">
      <w:pPr>
        <w:pStyle w:val="Heading"/>
        <w:keepNext w:val="0"/>
        <w:spacing w:before="0" w:after="240"/>
        <w:jc w:val="both"/>
        <w:rPr>
          <w:rFonts w:cs="Times New Roman"/>
          <w:b w:val="0"/>
          <w:kern w:val="0"/>
          <w:sz w:val="24"/>
          <w:szCs w:val="24"/>
          <w:lang w:val="en-GB"/>
        </w:rPr>
      </w:pPr>
      <w:r w:rsidRPr="002646D2">
        <w:rPr>
          <w:rFonts w:cs="Times New Roman"/>
          <w:b w:val="0"/>
          <w:kern w:val="0"/>
          <w:sz w:val="24"/>
          <w:szCs w:val="24"/>
          <w:lang w:val="en-GB"/>
        </w:rPr>
        <w:t xml:space="preserve">A Statement of compatibility prepared in accordance with Part 3 of the </w:t>
      </w:r>
      <w:r w:rsidRPr="002646D2">
        <w:rPr>
          <w:b w:val="0"/>
          <w:i/>
          <w:sz w:val="24"/>
          <w:szCs w:val="24"/>
          <w:lang w:val="en-GB"/>
        </w:rPr>
        <w:t>Human Rights (Parliamentary Scrutiny) Act 2011</w:t>
      </w:r>
      <w:r w:rsidR="001365CA" w:rsidRPr="002646D2">
        <w:rPr>
          <w:rFonts w:cs="Times New Roman"/>
          <w:b w:val="0"/>
          <w:kern w:val="0"/>
          <w:sz w:val="24"/>
          <w:szCs w:val="24"/>
          <w:lang w:val="en-GB"/>
        </w:rPr>
        <w:t xml:space="preserve"> </w:t>
      </w:r>
      <w:r w:rsidRPr="002646D2">
        <w:rPr>
          <w:rFonts w:cs="Times New Roman"/>
          <w:b w:val="0"/>
          <w:kern w:val="0"/>
          <w:sz w:val="24"/>
          <w:szCs w:val="24"/>
          <w:lang w:val="en-GB"/>
        </w:rPr>
        <w:t>is</w:t>
      </w:r>
      <w:r w:rsidR="00533FD5" w:rsidRPr="002646D2">
        <w:rPr>
          <w:rFonts w:cs="Times New Roman"/>
          <w:b w:val="0"/>
          <w:kern w:val="0"/>
          <w:sz w:val="24"/>
          <w:szCs w:val="24"/>
          <w:lang w:val="en-GB"/>
        </w:rPr>
        <w:t xml:space="preserve"> provided at</w:t>
      </w:r>
      <w:r w:rsidRPr="002646D2">
        <w:rPr>
          <w:rFonts w:cs="Times New Roman"/>
          <w:b w:val="0"/>
          <w:kern w:val="0"/>
          <w:sz w:val="24"/>
          <w:szCs w:val="24"/>
          <w:lang w:val="en-GB"/>
        </w:rPr>
        <w:t xml:space="preserve"> Attachment A to this Explanatory Statement.</w:t>
      </w:r>
    </w:p>
    <w:p w:rsidR="00EC0F11" w:rsidRDefault="00EC0F11" w:rsidP="00533FD5">
      <w:pPr>
        <w:pStyle w:val="Heading"/>
        <w:spacing w:before="0" w:after="240"/>
        <w:jc w:val="both"/>
        <w:rPr>
          <w:rFonts w:cs="Times New Roman"/>
          <w:b w:val="0"/>
          <w:kern w:val="0"/>
          <w:sz w:val="24"/>
          <w:szCs w:val="24"/>
          <w:lang w:val="en-GB"/>
        </w:rPr>
      </w:pPr>
    </w:p>
    <w:p w:rsidR="00A00162" w:rsidRDefault="00063E49" w:rsidP="00EC0F11">
      <w:r>
        <w:rPr>
          <w:b/>
          <w:lang w:val="en-GB"/>
        </w:rPr>
        <w:br w:type="page"/>
      </w:r>
      <w:r w:rsidR="0022602E" w:rsidRPr="00533FD5">
        <w:rPr>
          <w:u w:val="single"/>
          <w:lang w:val="en-GB"/>
        </w:rPr>
        <w:lastRenderedPageBreak/>
        <w:t>ATTACHMENT A</w:t>
      </w:r>
    </w:p>
    <w:p w:rsidR="00D22D14" w:rsidRPr="0022602E" w:rsidRDefault="0022602E" w:rsidP="00533FD5">
      <w:pPr>
        <w:pStyle w:val="Heading"/>
        <w:keepNext w:val="0"/>
        <w:spacing w:after="240"/>
        <w:jc w:val="center"/>
        <w:rPr>
          <w:rFonts w:cs="Times New Roman"/>
          <w:sz w:val="24"/>
          <w:szCs w:val="24"/>
        </w:rPr>
      </w:pPr>
      <w:r w:rsidRPr="00533FD5">
        <w:rPr>
          <w:rFonts w:cs="Times New Roman"/>
          <w:sz w:val="24"/>
          <w:szCs w:val="24"/>
        </w:rPr>
        <w:t>Statement of Compat</w:t>
      </w:r>
      <w:r>
        <w:rPr>
          <w:rFonts w:cs="Times New Roman"/>
          <w:sz w:val="24"/>
          <w:szCs w:val="24"/>
        </w:rPr>
        <w:t>i</w:t>
      </w:r>
      <w:r w:rsidRPr="00533FD5">
        <w:rPr>
          <w:rFonts w:cs="Times New Roman"/>
          <w:sz w:val="24"/>
          <w:szCs w:val="24"/>
        </w:rPr>
        <w:t>bility with Human Rights</w:t>
      </w:r>
    </w:p>
    <w:p w:rsidR="00D22D14" w:rsidRDefault="00A00162" w:rsidP="00533FD5">
      <w:pPr>
        <w:pStyle w:val="Heading1"/>
        <w:spacing w:before="0" w:after="240"/>
        <w:jc w:val="center"/>
        <w:rPr>
          <w:rFonts w:ascii="Times New Roman" w:hAnsi="Times New Roman" w:cs="Times New Roman"/>
          <w:b w:val="0"/>
          <w:sz w:val="24"/>
          <w:szCs w:val="24"/>
        </w:rPr>
      </w:pPr>
      <w:r w:rsidRPr="00533FD5">
        <w:rPr>
          <w:rFonts w:ascii="Times New Roman" w:hAnsi="Times New Roman" w:cs="Times New Roman"/>
          <w:b w:val="0"/>
          <w:sz w:val="24"/>
          <w:szCs w:val="24"/>
        </w:rPr>
        <w:t xml:space="preserve">Prepared in </w:t>
      </w:r>
      <w:r>
        <w:rPr>
          <w:rFonts w:ascii="Times New Roman" w:hAnsi="Times New Roman" w:cs="Times New Roman"/>
          <w:b w:val="0"/>
          <w:sz w:val="24"/>
          <w:szCs w:val="24"/>
        </w:rPr>
        <w:t xml:space="preserve">accordance with Part 3 of the </w:t>
      </w:r>
      <w:r w:rsidRPr="00ED0B51">
        <w:rPr>
          <w:rFonts w:ascii="Times New Roman" w:hAnsi="Times New Roman" w:cs="Times New Roman"/>
          <w:b w:val="0"/>
          <w:i/>
          <w:sz w:val="24"/>
          <w:szCs w:val="24"/>
        </w:rPr>
        <w:t>Human Rights (Parliamentary Scrutiny) Act 2011</w:t>
      </w:r>
    </w:p>
    <w:p w:rsidR="00A00162" w:rsidRDefault="00A00162" w:rsidP="00533FD5">
      <w:pPr>
        <w:jc w:val="center"/>
      </w:pPr>
      <w:r w:rsidRPr="00533FD5">
        <w:rPr>
          <w:b/>
        </w:rPr>
        <w:t xml:space="preserve">Financial Sector (Collection of </w:t>
      </w:r>
      <w:r w:rsidRPr="001228B3">
        <w:rPr>
          <w:b/>
        </w:rPr>
        <w:t>Data) (reporting standard) determination</w:t>
      </w:r>
      <w:r w:rsidR="00CB3E9A" w:rsidRPr="001228B3">
        <w:rPr>
          <w:b/>
        </w:rPr>
        <w:t>s</w:t>
      </w:r>
      <w:r w:rsidRPr="001228B3">
        <w:rPr>
          <w:b/>
        </w:rPr>
        <w:t xml:space="preserve"> </w:t>
      </w:r>
      <w:r w:rsidR="001228B3" w:rsidRPr="00EF40BB">
        <w:rPr>
          <w:b/>
        </w:rPr>
        <w:t xml:space="preserve">No. 1 to No. 10, No. 14 to No. 20, No. 22, No. 24 and No. 26 of </w:t>
      </w:r>
      <w:r w:rsidR="001228B3" w:rsidRPr="001228B3">
        <w:rPr>
          <w:b/>
        </w:rPr>
        <w:t>2015</w:t>
      </w:r>
    </w:p>
    <w:p w:rsidR="00A00162" w:rsidRDefault="00A00162" w:rsidP="00533FD5">
      <w:pPr>
        <w:jc w:val="center"/>
      </w:pPr>
    </w:p>
    <w:p w:rsidR="00A00162" w:rsidRDefault="00A00162" w:rsidP="00533FD5">
      <w:pPr>
        <w:spacing w:after="240"/>
        <w:jc w:val="both"/>
      </w:pPr>
      <w:r w:rsidRPr="00A00162">
        <w:t xml:space="preserve">This Legislative Instrument is compatible with the human rights and freedoms recognised or declared in the international instrument listed in section 3 of the </w:t>
      </w:r>
      <w:r w:rsidRPr="00533FD5">
        <w:rPr>
          <w:i/>
        </w:rPr>
        <w:t>Human Rights (Parliamentary Scrutiny) Act 2011</w:t>
      </w:r>
      <w:r w:rsidR="00533FD5">
        <w:t xml:space="preserve"> (HRPS Act)</w:t>
      </w:r>
    </w:p>
    <w:p w:rsidR="00733EC5" w:rsidRDefault="00733EC5" w:rsidP="00533FD5">
      <w:pPr>
        <w:spacing w:after="240"/>
        <w:jc w:val="both"/>
      </w:pPr>
      <w:r w:rsidRPr="00533FD5">
        <w:rPr>
          <w:b/>
        </w:rPr>
        <w:t>Overview of the Legislative Instrument</w:t>
      </w:r>
    </w:p>
    <w:p w:rsidR="001724BA" w:rsidRDefault="003E1799" w:rsidP="001724BA">
      <w:pPr>
        <w:spacing w:after="240"/>
        <w:jc w:val="both"/>
      </w:pPr>
      <w:r w:rsidRPr="0068655F">
        <w:t>The purp</w:t>
      </w:r>
      <w:r w:rsidRPr="007D156F">
        <w:t xml:space="preserve">ose of making </w:t>
      </w:r>
      <w:r w:rsidR="00CB3E9A">
        <w:t>these</w:t>
      </w:r>
      <w:r>
        <w:t xml:space="preserve"> legislative</w:t>
      </w:r>
      <w:r w:rsidR="00BC43FF">
        <w:t xml:space="preserve"> instrument</w:t>
      </w:r>
      <w:r w:rsidR="00CB3E9A">
        <w:t>s</w:t>
      </w:r>
      <w:r w:rsidRPr="0068655F">
        <w:t xml:space="preserve"> is to </w:t>
      </w:r>
      <w:r w:rsidR="00086DFB">
        <w:t xml:space="preserve">make minor revisions to </w:t>
      </w:r>
      <w:r w:rsidR="001228B3">
        <w:t>20</w:t>
      </w:r>
      <w:r w:rsidR="00F14172">
        <w:t xml:space="preserve"> </w:t>
      </w:r>
      <w:r w:rsidR="00086DFB">
        <w:t>reporting standards to provide additional guidance and clarification on how to complete the reporting standards.</w:t>
      </w:r>
      <w:r w:rsidR="001724BA">
        <w:t xml:space="preserve"> The data collected in </w:t>
      </w:r>
      <w:r w:rsidR="00086DFB">
        <w:t xml:space="preserve">these reporting standards is used by APRA </w:t>
      </w:r>
      <w:r w:rsidR="00086DFB" w:rsidRPr="003D3E59">
        <w:t xml:space="preserve">to assist </w:t>
      </w:r>
      <w:r w:rsidR="00086DFB">
        <w:t>with APRA’s</w:t>
      </w:r>
      <w:r w:rsidR="00086DFB" w:rsidRPr="003D3E59">
        <w:t xml:space="preserve"> supervisory functions</w:t>
      </w:r>
      <w:r w:rsidR="00086DFB">
        <w:t>,</w:t>
      </w:r>
      <w:r w:rsidR="00086DFB" w:rsidRPr="003D3E59">
        <w:t xml:space="preserve"> and </w:t>
      </w:r>
      <w:r w:rsidR="00086DFB">
        <w:t xml:space="preserve">also </w:t>
      </w:r>
      <w:r w:rsidR="00086DFB" w:rsidRPr="003D3E59">
        <w:t xml:space="preserve">by </w:t>
      </w:r>
      <w:r w:rsidR="00086DFB">
        <w:t>Government and</w:t>
      </w:r>
      <w:r w:rsidR="00086DFB" w:rsidRPr="003D3E59">
        <w:t xml:space="preserve"> </w:t>
      </w:r>
      <w:r w:rsidR="00086DFB">
        <w:t xml:space="preserve">other </w:t>
      </w:r>
      <w:r w:rsidR="00086DFB" w:rsidRPr="003D3E59">
        <w:t xml:space="preserve">agencies such as </w:t>
      </w:r>
      <w:r w:rsidR="00086DFB">
        <w:t>the Australian Bureau of Statistics and the Australian Securities and Investments Commission</w:t>
      </w:r>
      <w:r w:rsidR="00086DFB" w:rsidRPr="003D3E59">
        <w:t>. APRA also collates and publishes statistical information and analysis using data from these reporting forms.</w:t>
      </w:r>
    </w:p>
    <w:p w:rsidR="003E1799" w:rsidRDefault="003E1799" w:rsidP="00533FD5">
      <w:pPr>
        <w:spacing w:after="240"/>
        <w:jc w:val="both"/>
      </w:pPr>
      <w:r w:rsidRPr="00533FD5">
        <w:rPr>
          <w:b/>
        </w:rPr>
        <w:t>Human rights implications</w:t>
      </w:r>
    </w:p>
    <w:p w:rsidR="003E1799" w:rsidRDefault="003E1799" w:rsidP="00533FD5">
      <w:pPr>
        <w:spacing w:after="240"/>
        <w:jc w:val="both"/>
      </w:pPr>
      <w:r>
        <w:t>APRA has assessed the instrument against the international instruments listed in section 3 of the HRPS Act and determined that only Article 17 of the International Covenant on Civil and Political Rights (ICCPR) is conceivably potentially of relevance to the instrument.</w:t>
      </w:r>
    </w:p>
    <w:p w:rsidR="003E1799" w:rsidRDefault="003E1799" w:rsidP="00533FD5">
      <w:pPr>
        <w:spacing w:after="240"/>
        <w:jc w:val="both"/>
      </w:pPr>
      <w:r>
        <w:t>Article 17 of the ICCPR prohibits the arbitrary or unlawful interference with a person’s privacy, family, home and correspondence, and attacks on reputation. Article 17 is exclusively concerned with prohibiting interference with the privacy and/or reputation of individual persons. It does not extend to the privacy and/or reputation of corporate entities.</w:t>
      </w:r>
    </w:p>
    <w:p w:rsidR="004326E0" w:rsidRDefault="00B20154" w:rsidP="00533FD5">
      <w:pPr>
        <w:spacing w:after="240"/>
        <w:jc w:val="both"/>
      </w:pPr>
      <w:r w:rsidRPr="00B20154">
        <w:t>The information collected as a result of the continued operation of the reporting standards will be about the profile and structure of each RSE licensee’s business operations.</w:t>
      </w:r>
      <w:r>
        <w:t xml:space="preserve"> </w:t>
      </w:r>
      <w:r w:rsidR="004326E0" w:rsidRPr="00533FD5">
        <w:t>This information ultimately supports APRA achieving its mission of ensuring that, under all reasonable circumstances, financial promises made by the institutions APRA supervises are met within a stable, efficient an</w:t>
      </w:r>
      <w:r w:rsidR="004326E0">
        <w:t>d competitive financial system.</w:t>
      </w:r>
    </w:p>
    <w:p w:rsidR="004326E0" w:rsidRDefault="004326E0" w:rsidP="00533FD5">
      <w:pPr>
        <w:spacing w:after="240"/>
        <w:jc w:val="both"/>
      </w:pPr>
      <w:r w:rsidRPr="0068655F">
        <w:t xml:space="preserve">APRA does not publish </w:t>
      </w:r>
      <w:r w:rsidR="00032838">
        <w:t>the</w:t>
      </w:r>
      <w:r>
        <w:t xml:space="preserve"> personal</w:t>
      </w:r>
      <w:r w:rsidRPr="0068655F">
        <w:t xml:space="preserve"> information </w:t>
      </w:r>
      <w:r>
        <w:t xml:space="preserve">which </w:t>
      </w:r>
      <w:r w:rsidRPr="0068655F">
        <w:t>it collects</w:t>
      </w:r>
      <w:r>
        <w:t>. I</w:t>
      </w:r>
      <w:r w:rsidRPr="0068655F">
        <w:t xml:space="preserve">nformation provided to APRA </w:t>
      </w:r>
      <w:r w:rsidR="00032838">
        <w:t>under reporting standards is</w:t>
      </w:r>
      <w:r w:rsidRPr="0068655F">
        <w:t xml:space="preserve"> protected in</w:t>
      </w:r>
      <w:r w:rsidRPr="007D156F">
        <w:t xml:space="preserve">formation </w:t>
      </w:r>
      <w:r w:rsidR="00032838">
        <w:t>for the purposes of</w:t>
      </w:r>
      <w:r w:rsidR="00032838" w:rsidRPr="00032838">
        <w:t xml:space="preserve"> s</w:t>
      </w:r>
      <w:r w:rsidR="00032838">
        <w:t xml:space="preserve">ection </w:t>
      </w:r>
      <w:r w:rsidR="00032838" w:rsidRPr="00032838">
        <w:t xml:space="preserve">56 of the </w:t>
      </w:r>
      <w:r w:rsidR="00032838" w:rsidRPr="00533FD5">
        <w:rPr>
          <w:i/>
        </w:rPr>
        <w:t>Australian Prudential Regulation Authority Act 1998</w:t>
      </w:r>
      <w:r w:rsidR="00032838" w:rsidRPr="00032838">
        <w:t xml:space="preserve"> (APRA Act)</w:t>
      </w:r>
      <w:r w:rsidR="00032838">
        <w:t xml:space="preserve"> and cannot be disclosed except under a limited range of circumstances provided for under that section.</w:t>
      </w:r>
      <w:r w:rsidR="00032838" w:rsidRPr="00032838">
        <w:t xml:space="preserve"> </w:t>
      </w:r>
      <w:r w:rsidR="00032838">
        <w:t>While APRA does publish some protected information gathered under reporting standards,</w:t>
      </w:r>
      <w:r w:rsidR="007B1192">
        <w:t xml:space="preserve"> </w:t>
      </w:r>
      <w:r w:rsidR="007B1192" w:rsidRPr="007B1192">
        <w:t xml:space="preserve">APRA reviews all releases of data received under reporting </w:t>
      </w:r>
      <w:r w:rsidR="007B1192" w:rsidRPr="007B1192">
        <w:lastRenderedPageBreak/>
        <w:t>standards to ensure that no information pertaining to an individual person can be deduced from the data.</w:t>
      </w:r>
      <w:r w:rsidR="007B1192">
        <w:t xml:space="preserve"> </w:t>
      </w:r>
    </w:p>
    <w:p w:rsidR="000A35A2" w:rsidRPr="00533FD5" w:rsidRDefault="000A35A2" w:rsidP="00533FD5">
      <w:pPr>
        <w:spacing w:after="240"/>
        <w:jc w:val="both"/>
        <w:rPr>
          <w:b/>
        </w:rPr>
      </w:pPr>
      <w:r w:rsidRPr="00533FD5">
        <w:rPr>
          <w:b/>
        </w:rPr>
        <w:t>Conclusion</w:t>
      </w:r>
    </w:p>
    <w:p w:rsidR="00FF7C83" w:rsidRPr="001228B3" w:rsidRDefault="00FF7C83" w:rsidP="00EF40BB">
      <w:r w:rsidRPr="001228B3">
        <w:t>Financial Sector (Collection of Data) (reporting standard) determination</w:t>
      </w:r>
      <w:r w:rsidR="00CB3E9A" w:rsidRPr="001228B3">
        <w:t>s</w:t>
      </w:r>
      <w:r w:rsidRPr="001228B3">
        <w:t xml:space="preserve"> No. </w:t>
      </w:r>
      <w:r w:rsidR="00CB3E9A" w:rsidRPr="001228B3">
        <w:t>1 to</w:t>
      </w:r>
      <w:r w:rsidR="001228B3" w:rsidRPr="00EF40BB">
        <w:t xml:space="preserve"> No. 10, No. 14 to No. 20, No. 22, No. 24 and No. 26 of 2015 </w:t>
      </w:r>
      <w:r w:rsidR="00CB3E9A" w:rsidRPr="001228B3">
        <w:t>are</w:t>
      </w:r>
      <w:r w:rsidRPr="001228B3">
        <w:t xml:space="preserve"> </w:t>
      </w:r>
      <w:r w:rsidR="000A35A2" w:rsidRPr="001228B3">
        <w:t>compatible with human rights because</w:t>
      </w:r>
      <w:r w:rsidRPr="001228B3">
        <w:t>:</w:t>
      </w:r>
    </w:p>
    <w:p w:rsidR="00865B6D" w:rsidRPr="00533FD5" w:rsidRDefault="00865B6D" w:rsidP="00EF40BB"/>
    <w:p w:rsidR="007B1192" w:rsidRPr="00533FD5" w:rsidRDefault="000A35A2" w:rsidP="00533FD5">
      <w:pPr>
        <w:pStyle w:val="ListParagraph"/>
        <w:numPr>
          <w:ilvl w:val="0"/>
          <w:numId w:val="36"/>
        </w:numPr>
        <w:spacing w:after="240"/>
        <w:jc w:val="both"/>
        <w:rPr>
          <w:sz w:val="24"/>
          <w:szCs w:val="24"/>
        </w:rPr>
      </w:pPr>
      <w:r w:rsidRPr="00533FD5">
        <w:rPr>
          <w:sz w:val="24"/>
          <w:szCs w:val="24"/>
        </w:rPr>
        <w:t xml:space="preserve">to the extent that </w:t>
      </w:r>
      <w:r w:rsidR="00804B93" w:rsidRPr="00F14172">
        <w:rPr>
          <w:sz w:val="24"/>
          <w:szCs w:val="24"/>
        </w:rPr>
        <w:t>determination</w:t>
      </w:r>
      <w:r w:rsidR="00CB3E9A" w:rsidRPr="00F14172">
        <w:rPr>
          <w:sz w:val="24"/>
          <w:szCs w:val="24"/>
        </w:rPr>
        <w:t>s</w:t>
      </w:r>
      <w:r w:rsidR="008654B9" w:rsidRPr="00F14172">
        <w:rPr>
          <w:sz w:val="24"/>
          <w:szCs w:val="24"/>
        </w:rPr>
        <w:t xml:space="preserve"> </w:t>
      </w:r>
      <w:r w:rsidR="001228B3" w:rsidRPr="00EF40BB">
        <w:rPr>
          <w:sz w:val="24"/>
          <w:szCs w:val="24"/>
        </w:rPr>
        <w:t>No. 1</w:t>
      </w:r>
      <w:r w:rsidR="001228B3" w:rsidRPr="00556B7B">
        <w:t xml:space="preserve"> to</w:t>
      </w:r>
      <w:r w:rsidR="001228B3" w:rsidRPr="00556B7B">
        <w:rPr>
          <w:sz w:val="24"/>
          <w:szCs w:val="24"/>
        </w:rPr>
        <w:t xml:space="preserve"> No. 10, No. 14 to No. 20, No. 22, No. 24 and No</w:t>
      </w:r>
      <w:r w:rsidR="001228B3" w:rsidRPr="001228B3">
        <w:rPr>
          <w:sz w:val="24"/>
          <w:szCs w:val="24"/>
        </w:rPr>
        <w:t xml:space="preserve">. 26 of 2015 </w:t>
      </w:r>
      <w:r w:rsidRPr="001228B3">
        <w:rPr>
          <w:sz w:val="24"/>
          <w:szCs w:val="24"/>
        </w:rPr>
        <w:t>limit</w:t>
      </w:r>
      <w:r w:rsidRPr="00F14172">
        <w:rPr>
          <w:sz w:val="24"/>
          <w:szCs w:val="24"/>
        </w:rPr>
        <w:t xml:space="preserve"> human</w:t>
      </w:r>
      <w:r w:rsidRPr="00533FD5">
        <w:rPr>
          <w:sz w:val="24"/>
          <w:szCs w:val="24"/>
        </w:rPr>
        <w:t xml:space="preserve"> rights, those limitations are reasonab</w:t>
      </w:r>
      <w:r w:rsidR="00804B93" w:rsidRPr="00533FD5">
        <w:rPr>
          <w:sz w:val="24"/>
          <w:szCs w:val="24"/>
        </w:rPr>
        <w:t>le, necessary and proportionate; and</w:t>
      </w:r>
    </w:p>
    <w:p w:rsidR="00804B93" w:rsidRPr="0068655F" w:rsidRDefault="00063E49" w:rsidP="00533FD5">
      <w:pPr>
        <w:pStyle w:val="ListParagraph"/>
        <w:numPr>
          <w:ilvl w:val="0"/>
          <w:numId w:val="36"/>
        </w:numPr>
        <w:spacing w:after="240"/>
        <w:jc w:val="both"/>
        <w:rPr>
          <w:sz w:val="24"/>
          <w:szCs w:val="24"/>
        </w:rPr>
      </w:pPr>
      <w:proofErr w:type="gramStart"/>
      <w:r w:rsidRPr="00533FD5">
        <w:rPr>
          <w:sz w:val="24"/>
          <w:szCs w:val="24"/>
        </w:rPr>
        <w:t>the</w:t>
      </w:r>
      <w:proofErr w:type="gramEnd"/>
      <w:r w:rsidRPr="00533FD5">
        <w:rPr>
          <w:sz w:val="24"/>
          <w:szCs w:val="24"/>
        </w:rPr>
        <w:t xml:space="preserve"> remaining </w:t>
      </w:r>
      <w:r w:rsidR="008654B9">
        <w:rPr>
          <w:sz w:val="24"/>
          <w:szCs w:val="24"/>
        </w:rPr>
        <w:t xml:space="preserve">parts of the </w:t>
      </w:r>
      <w:r w:rsidRPr="00533FD5">
        <w:rPr>
          <w:sz w:val="24"/>
          <w:szCs w:val="24"/>
        </w:rPr>
        <w:t>determination</w:t>
      </w:r>
      <w:r w:rsidR="00CB3E9A">
        <w:rPr>
          <w:sz w:val="24"/>
          <w:szCs w:val="24"/>
        </w:rPr>
        <w:t>s</w:t>
      </w:r>
      <w:r w:rsidRPr="00533FD5">
        <w:rPr>
          <w:sz w:val="24"/>
          <w:szCs w:val="24"/>
        </w:rPr>
        <w:t xml:space="preserve"> do not raise human rights issues</w:t>
      </w:r>
      <w:r>
        <w:t>.</w:t>
      </w:r>
    </w:p>
    <w:sectPr w:rsidR="00804B93" w:rsidRPr="0068655F" w:rsidSect="00FF5E03">
      <w:footerReference w:type="even" r:id="rId9"/>
      <w:footerReference w:type="default" r:id="rId10"/>
      <w:footerReference w:type="first" r:id="rId11"/>
      <w:pgSz w:w="11906" w:h="16838"/>
      <w:pgMar w:top="1440" w:right="1797" w:bottom="1440" w:left="179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2969" w:rsidRDefault="005C2969">
      <w:r>
        <w:separator/>
      </w:r>
    </w:p>
  </w:endnote>
  <w:endnote w:type="continuationSeparator" w:id="0">
    <w:p w:rsidR="005C2969" w:rsidRDefault="005C29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Lucida Grande">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20D3" w:rsidRDefault="004D01B8" w:rsidP="00000AE6">
    <w:pPr>
      <w:pStyle w:val="Footer"/>
      <w:framePr w:wrap="around" w:vAnchor="text" w:hAnchor="margin" w:xAlign="right" w:y="1"/>
      <w:rPr>
        <w:rStyle w:val="PageNumber"/>
      </w:rPr>
    </w:pPr>
    <w:r>
      <w:rPr>
        <w:rStyle w:val="PageNumber"/>
      </w:rPr>
      <w:fldChar w:fldCharType="begin"/>
    </w:r>
    <w:r w:rsidR="007020D3">
      <w:rPr>
        <w:rStyle w:val="PageNumber"/>
      </w:rPr>
      <w:instrText xml:space="preserve">PAGE  </w:instrText>
    </w:r>
    <w:r>
      <w:rPr>
        <w:rStyle w:val="PageNumber"/>
      </w:rPr>
      <w:fldChar w:fldCharType="separate"/>
    </w:r>
    <w:r w:rsidR="0010456C">
      <w:rPr>
        <w:rStyle w:val="PageNumber"/>
        <w:noProof/>
      </w:rPr>
      <w:t>8</w:t>
    </w:r>
    <w:r>
      <w:rPr>
        <w:rStyle w:val="PageNumber"/>
      </w:rPr>
      <w:fldChar w:fldCharType="end"/>
    </w:r>
  </w:p>
  <w:p w:rsidR="007020D3" w:rsidRDefault="007020D3" w:rsidP="00000AE6">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97677334"/>
      <w:docPartObj>
        <w:docPartGallery w:val="Page Numbers (Bottom of Page)"/>
        <w:docPartUnique/>
      </w:docPartObj>
    </w:sdtPr>
    <w:sdtEndPr/>
    <w:sdtContent>
      <w:sdt>
        <w:sdtPr>
          <w:id w:val="860082579"/>
          <w:docPartObj>
            <w:docPartGallery w:val="Page Numbers (Top of Page)"/>
            <w:docPartUnique/>
          </w:docPartObj>
        </w:sdtPr>
        <w:sdtEndPr/>
        <w:sdtContent>
          <w:p w:rsidR="007020D3" w:rsidRDefault="00C36E59" w:rsidP="00414222">
            <w:pPr>
              <w:pStyle w:val="Footer"/>
              <w:jc w:val="center"/>
            </w:pPr>
            <w:r w:rsidRPr="00AE15B6">
              <w:rPr>
                <w:bCs/>
              </w:rPr>
              <w:fldChar w:fldCharType="begin"/>
            </w:r>
            <w:r w:rsidRPr="00AE15B6">
              <w:rPr>
                <w:bCs/>
              </w:rPr>
              <w:instrText xml:space="preserve"> PAGE </w:instrText>
            </w:r>
            <w:r w:rsidRPr="00AE15B6">
              <w:rPr>
                <w:bCs/>
              </w:rPr>
              <w:fldChar w:fldCharType="separate"/>
            </w:r>
            <w:r w:rsidR="0010456C">
              <w:rPr>
                <w:bCs/>
                <w:noProof/>
              </w:rPr>
              <w:t>8</w:t>
            </w:r>
            <w:r w:rsidRPr="00AE15B6">
              <w:rPr>
                <w:bCs/>
              </w:rPr>
              <w:fldChar w:fldCharType="end"/>
            </w:r>
          </w:p>
        </w:sdtContent>
      </w:sdt>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553938"/>
      <w:docPartObj>
        <w:docPartGallery w:val="Page Numbers (Bottom of Page)"/>
        <w:docPartUnique/>
      </w:docPartObj>
    </w:sdtPr>
    <w:sdtEndPr/>
    <w:sdtContent>
      <w:p w:rsidR="007020D3" w:rsidRDefault="004D01B8" w:rsidP="00A305CC">
        <w:pPr>
          <w:pStyle w:val="Footer"/>
          <w:jc w:val="center"/>
        </w:pPr>
        <w:r>
          <w:fldChar w:fldCharType="begin"/>
        </w:r>
        <w:r w:rsidR="00AE3364">
          <w:instrText xml:space="preserve"> PAGE   \* MERGEFORMAT </w:instrText>
        </w:r>
        <w:r>
          <w:fldChar w:fldCharType="separate"/>
        </w:r>
        <w:r w:rsidR="0010456C">
          <w:rPr>
            <w:noProof/>
          </w:rPr>
          <w:t>8</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2969" w:rsidRDefault="005C2969">
      <w:r>
        <w:separator/>
      </w:r>
    </w:p>
  </w:footnote>
  <w:footnote w:type="continuationSeparator" w:id="0">
    <w:p w:rsidR="005C2969" w:rsidRDefault="005C296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17C66"/>
    <w:multiLevelType w:val="hybridMultilevel"/>
    <w:tmpl w:val="216800AE"/>
    <w:lvl w:ilvl="0" w:tplc="F1DC0EE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062A1D42"/>
    <w:multiLevelType w:val="hybridMultilevel"/>
    <w:tmpl w:val="6FA81BB2"/>
    <w:lvl w:ilvl="0" w:tplc="8FAAD7E8">
      <w:start w:val="1"/>
      <w:numFmt w:val="lowerRoman"/>
      <w:lvlText w:val="(%1)"/>
      <w:lvlJc w:val="left"/>
      <w:pPr>
        <w:tabs>
          <w:tab w:val="num" w:pos="567"/>
        </w:tabs>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083A5AC3"/>
    <w:multiLevelType w:val="hybridMultilevel"/>
    <w:tmpl w:val="63C2A63A"/>
    <w:lvl w:ilvl="0" w:tplc="0C09000F">
      <w:start w:val="1"/>
      <w:numFmt w:val="decimal"/>
      <w:lvlText w:val="%1."/>
      <w:lvlJc w:val="left"/>
      <w:pPr>
        <w:ind w:left="360" w:hanging="360"/>
      </w:pPr>
      <w:rPr>
        <w:rFonts w:hint="default"/>
      </w:rPr>
    </w:lvl>
    <w:lvl w:ilvl="1" w:tplc="64DA7346">
      <w:start w:val="1"/>
      <w:numFmt w:val="lowerLetter"/>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nsid w:val="114E1A80"/>
    <w:multiLevelType w:val="hybridMultilevel"/>
    <w:tmpl w:val="A580C1E2"/>
    <w:lvl w:ilvl="0" w:tplc="0C09000F">
      <w:start w:val="1"/>
      <w:numFmt w:val="decimal"/>
      <w:lvlText w:val="%1."/>
      <w:lvlJc w:val="left"/>
      <w:pPr>
        <w:ind w:left="360" w:hanging="360"/>
      </w:pPr>
      <w:rPr>
        <w:rFonts w:hint="default"/>
      </w:rPr>
    </w:lvl>
    <w:lvl w:ilvl="1" w:tplc="ACEC76DE">
      <w:start w:val="1"/>
      <w:numFmt w:val="lowerLetter"/>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nsid w:val="14A81249"/>
    <w:multiLevelType w:val="hybridMultilevel"/>
    <w:tmpl w:val="3110BD74"/>
    <w:lvl w:ilvl="0" w:tplc="B3741604">
      <w:start w:val="1"/>
      <w:numFmt w:val="decimal"/>
      <w:lvlText w:val="%1."/>
      <w:lvlJc w:val="left"/>
      <w:pPr>
        <w:tabs>
          <w:tab w:val="num" w:pos="360"/>
        </w:tabs>
        <w:ind w:left="360" w:hanging="360"/>
      </w:pPr>
      <w:rPr>
        <w:rFonts w:hint="default"/>
        <w:i w:val="0"/>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
    <w:nsid w:val="158658A7"/>
    <w:multiLevelType w:val="hybridMultilevel"/>
    <w:tmpl w:val="1EAE596A"/>
    <w:lvl w:ilvl="0" w:tplc="0C090001">
      <w:start w:val="1"/>
      <w:numFmt w:val="bullet"/>
      <w:lvlText w:val=""/>
      <w:lvlJc w:val="left"/>
      <w:pPr>
        <w:tabs>
          <w:tab w:val="num" w:pos="6"/>
        </w:tabs>
        <w:ind w:left="6" w:hanging="360"/>
      </w:pPr>
      <w:rPr>
        <w:rFonts w:ascii="Symbol" w:hAnsi="Symbol" w:hint="default"/>
      </w:rPr>
    </w:lvl>
    <w:lvl w:ilvl="1" w:tplc="0C090003" w:tentative="1">
      <w:start w:val="1"/>
      <w:numFmt w:val="bullet"/>
      <w:lvlText w:val="o"/>
      <w:lvlJc w:val="left"/>
      <w:pPr>
        <w:tabs>
          <w:tab w:val="num" w:pos="726"/>
        </w:tabs>
        <w:ind w:left="726" w:hanging="360"/>
      </w:pPr>
      <w:rPr>
        <w:rFonts w:ascii="Courier New" w:hAnsi="Courier New" w:cs="Symbol" w:hint="default"/>
      </w:rPr>
    </w:lvl>
    <w:lvl w:ilvl="2" w:tplc="0C090005" w:tentative="1">
      <w:start w:val="1"/>
      <w:numFmt w:val="bullet"/>
      <w:lvlText w:val=""/>
      <w:lvlJc w:val="left"/>
      <w:pPr>
        <w:tabs>
          <w:tab w:val="num" w:pos="1446"/>
        </w:tabs>
        <w:ind w:left="1446" w:hanging="360"/>
      </w:pPr>
      <w:rPr>
        <w:rFonts w:ascii="Wingdings" w:hAnsi="Wingdings" w:hint="default"/>
      </w:rPr>
    </w:lvl>
    <w:lvl w:ilvl="3" w:tplc="0C090001" w:tentative="1">
      <w:start w:val="1"/>
      <w:numFmt w:val="bullet"/>
      <w:lvlText w:val=""/>
      <w:lvlJc w:val="left"/>
      <w:pPr>
        <w:tabs>
          <w:tab w:val="num" w:pos="2166"/>
        </w:tabs>
        <w:ind w:left="2166" w:hanging="360"/>
      </w:pPr>
      <w:rPr>
        <w:rFonts w:ascii="Symbol" w:hAnsi="Symbol" w:hint="default"/>
      </w:rPr>
    </w:lvl>
    <w:lvl w:ilvl="4" w:tplc="0C090003" w:tentative="1">
      <w:start w:val="1"/>
      <w:numFmt w:val="bullet"/>
      <w:lvlText w:val="o"/>
      <w:lvlJc w:val="left"/>
      <w:pPr>
        <w:tabs>
          <w:tab w:val="num" w:pos="2886"/>
        </w:tabs>
        <w:ind w:left="2886" w:hanging="360"/>
      </w:pPr>
      <w:rPr>
        <w:rFonts w:ascii="Courier New" w:hAnsi="Courier New" w:cs="Symbol" w:hint="default"/>
      </w:rPr>
    </w:lvl>
    <w:lvl w:ilvl="5" w:tplc="0C090005" w:tentative="1">
      <w:start w:val="1"/>
      <w:numFmt w:val="bullet"/>
      <w:lvlText w:val=""/>
      <w:lvlJc w:val="left"/>
      <w:pPr>
        <w:tabs>
          <w:tab w:val="num" w:pos="3606"/>
        </w:tabs>
        <w:ind w:left="3606" w:hanging="360"/>
      </w:pPr>
      <w:rPr>
        <w:rFonts w:ascii="Wingdings" w:hAnsi="Wingdings" w:hint="default"/>
      </w:rPr>
    </w:lvl>
    <w:lvl w:ilvl="6" w:tplc="0C090001" w:tentative="1">
      <w:start w:val="1"/>
      <w:numFmt w:val="bullet"/>
      <w:lvlText w:val=""/>
      <w:lvlJc w:val="left"/>
      <w:pPr>
        <w:tabs>
          <w:tab w:val="num" w:pos="4326"/>
        </w:tabs>
        <w:ind w:left="4326" w:hanging="360"/>
      </w:pPr>
      <w:rPr>
        <w:rFonts w:ascii="Symbol" w:hAnsi="Symbol" w:hint="default"/>
      </w:rPr>
    </w:lvl>
    <w:lvl w:ilvl="7" w:tplc="0C090003" w:tentative="1">
      <w:start w:val="1"/>
      <w:numFmt w:val="bullet"/>
      <w:lvlText w:val="o"/>
      <w:lvlJc w:val="left"/>
      <w:pPr>
        <w:tabs>
          <w:tab w:val="num" w:pos="5046"/>
        </w:tabs>
        <w:ind w:left="5046" w:hanging="360"/>
      </w:pPr>
      <w:rPr>
        <w:rFonts w:ascii="Courier New" w:hAnsi="Courier New" w:cs="Symbol" w:hint="default"/>
      </w:rPr>
    </w:lvl>
    <w:lvl w:ilvl="8" w:tplc="0C090005" w:tentative="1">
      <w:start w:val="1"/>
      <w:numFmt w:val="bullet"/>
      <w:lvlText w:val=""/>
      <w:lvlJc w:val="left"/>
      <w:pPr>
        <w:tabs>
          <w:tab w:val="num" w:pos="5766"/>
        </w:tabs>
        <w:ind w:left="5766" w:hanging="360"/>
      </w:pPr>
      <w:rPr>
        <w:rFonts w:ascii="Wingdings" w:hAnsi="Wingdings" w:hint="default"/>
      </w:rPr>
    </w:lvl>
  </w:abstractNum>
  <w:abstractNum w:abstractNumId="6">
    <w:nsid w:val="18B748EA"/>
    <w:multiLevelType w:val="hybridMultilevel"/>
    <w:tmpl w:val="FB86D204"/>
    <w:lvl w:ilvl="0" w:tplc="83060E0A">
      <w:start w:val="1"/>
      <w:numFmt w:val="bullet"/>
      <w:lvlText w:val=""/>
      <w:lvlJc w:val="left"/>
      <w:pPr>
        <w:tabs>
          <w:tab w:val="num" w:pos="567"/>
        </w:tabs>
        <w:ind w:left="567" w:hanging="567"/>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nsid w:val="19D0080A"/>
    <w:multiLevelType w:val="hybridMultilevel"/>
    <w:tmpl w:val="25686E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1AE916D8"/>
    <w:multiLevelType w:val="hybridMultilevel"/>
    <w:tmpl w:val="13A06058"/>
    <w:lvl w:ilvl="0" w:tplc="8FAAD7E8">
      <w:start w:val="1"/>
      <w:numFmt w:val="lowerRoman"/>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9">
    <w:nsid w:val="1EA43714"/>
    <w:multiLevelType w:val="hybridMultilevel"/>
    <w:tmpl w:val="64D6FBCA"/>
    <w:lvl w:ilvl="0" w:tplc="E34C62CE">
      <w:numFmt w:val="bullet"/>
      <w:lvlText w:val=""/>
      <w:lvlJc w:val="left"/>
      <w:pPr>
        <w:ind w:left="720" w:hanging="360"/>
      </w:pPr>
      <w:rPr>
        <w:rFonts w:ascii="Symbol" w:eastAsia="Times New Roman" w:hAnsi="Symbol" w:hint="default"/>
      </w:rPr>
    </w:lvl>
    <w:lvl w:ilvl="1" w:tplc="0C090003" w:tentative="1">
      <w:start w:val="1"/>
      <w:numFmt w:val="bullet"/>
      <w:lvlText w:val="o"/>
      <w:lvlJc w:val="left"/>
      <w:pPr>
        <w:ind w:left="1440" w:hanging="360"/>
      </w:pPr>
      <w:rPr>
        <w:rFonts w:ascii="Courier New" w:hAnsi="Courier New" w:cs="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Symbo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Symbol"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20691723"/>
    <w:multiLevelType w:val="multilevel"/>
    <w:tmpl w:val="9890385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2193317B"/>
    <w:multiLevelType w:val="multilevel"/>
    <w:tmpl w:val="9890385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275D5DB6"/>
    <w:multiLevelType w:val="multilevel"/>
    <w:tmpl w:val="9890385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29C81689"/>
    <w:multiLevelType w:val="hybridMultilevel"/>
    <w:tmpl w:val="FC1C660E"/>
    <w:lvl w:ilvl="0" w:tplc="A420EBC2">
      <w:start w:val="1"/>
      <w:numFmt w:val="lowerRoman"/>
      <w:lvlText w:val="(%1)"/>
      <w:lvlJc w:val="left"/>
      <w:pPr>
        <w:ind w:left="1080" w:hanging="360"/>
      </w:pPr>
      <w:rPr>
        <w:rFonts w:hint="default"/>
        <w:i w:val="0"/>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4">
    <w:nsid w:val="2CC537EE"/>
    <w:multiLevelType w:val="hybridMultilevel"/>
    <w:tmpl w:val="FA342E68"/>
    <w:lvl w:ilvl="0" w:tplc="F1DC0EE0">
      <w:start w:val="1"/>
      <w:numFmt w:val="lowerLetter"/>
      <w:lvlText w:val="(%1)"/>
      <w:lvlJc w:val="left"/>
      <w:pPr>
        <w:ind w:left="927" w:hanging="360"/>
      </w:pPr>
      <w:rPr>
        <w:rFonts w:hint="default"/>
      </w:rPr>
    </w:lvl>
    <w:lvl w:ilvl="1" w:tplc="ACEC76DE">
      <w:start w:val="1"/>
      <w:numFmt w:val="lowerLetter"/>
      <w:lvlText w:val="(%2)"/>
      <w:lvlJc w:val="left"/>
      <w:pPr>
        <w:ind w:left="1647" w:hanging="360"/>
      </w:pPr>
      <w:rPr>
        <w:rFonts w:hint="default"/>
      </w:r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15">
    <w:nsid w:val="2F9D67AD"/>
    <w:multiLevelType w:val="hybridMultilevel"/>
    <w:tmpl w:val="43ACA11E"/>
    <w:lvl w:ilvl="0" w:tplc="8FAAD7E8">
      <w:start w:val="1"/>
      <w:numFmt w:val="lowerRoman"/>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6">
    <w:nsid w:val="34247ED2"/>
    <w:multiLevelType w:val="hybridMultilevel"/>
    <w:tmpl w:val="262E2EE6"/>
    <w:lvl w:ilvl="0" w:tplc="0C09000F">
      <w:start w:val="1"/>
      <w:numFmt w:val="decimal"/>
      <w:lvlText w:val="%1."/>
      <w:lvlJc w:val="left"/>
      <w:pPr>
        <w:ind w:left="360" w:hanging="360"/>
      </w:pPr>
      <w:rPr>
        <w:rFonts w:hint="default"/>
      </w:rPr>
    </w:lvl>
    <w:lvl w:ilvl="1" w:tplc="64DA7346">
      <w:start w:val="1"/>
      <w:numFmt w:val="lowerLetter"/>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nsid w:val="34E6244F"/>
    <w:multiLevelType w:val="hybridMultilevel"/>
    <w:tmpl w:val="4C5242FA"/>
    <w:lvl w:ilvl="0" w:tplc="B3CE7CC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50E29F8"/>
    <w:multiLevelType w:val="hybridMultilevel"/>
    <w:tmpl w:val="84ECD8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7CC45E8"/>
    <w:multiLevelType w:val="hybridMultilevel"/>
    <w:tmpl w:val="19588EE6"/>
    <w:lvl w:ilvl="0" w:tplc="8FAAD7E8">
      <w:start w:val="1"/>
      <w:numFmt w:val="lowerRoman"/>
      <w:lvlText w:val="(%1)"/>
      <w:lvlJc w:val="left"/>
      <w:pPr>
        <w:ind w:left="1080" w:hanging="360"/>
      </w:pPr>
      <w:rPr>
        <w:rFonts w:hint="default"/>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0">
    <w:nsid w:val="39E24AE6"/>
    <w:multiLevelType w:val="hybridMultilevel"/>
    <w:tmpl w:val="4B6245AE"/>
    <w:lvl w:ilvl="0" w:tplc="FC0ACD4C">
      <w:start w:val="1"/>
      <w:numFmt w:val="bullet"/>
      <w:pStyle w:val="NoSpacing"/>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Symbo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Symbol"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3BDC3355"/>
    <w:multiLevelType w:val="hybridMultilevel"/>
    <w:tmpl w:val="26AE26E4"/>
    <w:lvl w:ilvl="0" w:tplc="0C09000F">
      <w:start w:val="1"/>
      <w:numFmt w:val="decimal"/>
      <w:lvlText w:val="%1."/>
      <w:lvlJc w:val="left"/>
      <w:pPr>
        <w:ind w:left="1080" w:hanging="720"/>
      </w:pPr>
      <w:rPr>
        <w:rFonts w:cs="Times New Roman"/>
      </w:rPr>
    </w:lvl>
    <w:lvl w:ilvl="1" w:tplc="0C090003">
      <w:start w:val="1"/>
      <w:numFmt w:val="bullet"/>
      <w:lvlText w:val="o"/>
      <w:lvlJc w:val="left"/>
      <w:pPr>
        <w:ind w:left="1440" w:hanging="360"/>
      </w:pPr>
      <w:rPr>
        <w:rFonts w:ascii="Courier New" w:hAnsi="Courier New" w:cs="Times New Roman"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Times New Roman"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Times New Roman" w:hint="default"/>
      </w:rPr>
    </w:lvl>
    <w:lvl w:ilvl="8" w:tplc="0C090005">
      <w:start w:val="1"/>
      <w:numFmt w:val="bullet"/>
      <w:lvlText w:val=""/>
      <w:lvlJc w:val="left"/>
      <w:pPr>
        <w:ind w:left="6480" w:hanging="360"/>
      </w:pPr>
      <w:rPr>
        <w:rFonts w:ascii="Wingdings" w:hAnsi="Wingdings" w:hint="default"/>
      </w:rPr>
    </w:lvl>
  </w:abstractNum>
  <w:abstractNum w:abstractNumId="22">
    <w:nsid w:val="403C790E"/>
    <w:multiLevelType w:val="hybridMultilevel"/>
    <w:tmpl w:val="56706790"/>
    <w:lvl w:ilvl="0" w:tplc="0D88991C">
      <w:start w:val="1"/>
      <w:numFmt w:val="bullet"/>
      <w:lvlText w:val=""/>
      <w:lvlJc w:val="left"/>
      <w:pPr>
        <w:tabs>
          <w:tab w:val="num" w:pos="567"/>
        </w:tabs>
        <w:ind w:left="567" w:hanging="567"/>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41BD361C"/>
    <w:multiLevelType w:val="hybridMultilevel"/>
    <w:tmpl w:val="5866A896"/>
    <w:lvl w:ilvl="0" w:tplc="178C93F8">
      <w:start w:val="1"/>
      <w:numFmt w:val="lowerRoman"/>
      <w:lvlText w:val="(%1)"/>
      <w:lvlJc w:val="left"/>
      <w:pPr>
        <w:ind w:left="1080" w:hanging="360"/>
      </w:pPr>
      <w:rPr>
        <w:rFonts w:hint="default"/>
        <w:i w:val="0"/>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4">
    <w:nsid w:val="41DB26DB"/>
    <w:multiLevelType w:val="hybridMultilevel"/>
    <w:tmpl w:val="2572D308"/>
    <w:lvl w:ilvl="0" w:tplc="FCCCA074">
      <w:start w:val="1"/>
      <w:numFmt w:val="decimal"/>
      <w:lvlText w:val="%1."/>
      <w:lvlJc w:val="left"/>
      <w:pPr>
        <w:tabs>
          <w:tab w:val="num" w:pos="567"/>
        </w:tabs>
        <w:ind w:left="567" w:hanging="567"/>
      </w:pPr>
      <w:rPr>
        <w:rFonts w:hint="default"/>
        <w:i w:val="0"/>
      </w:rPr>
    </w:lvl>
    <w:lvl w:ilvl="1" w:tplc="ACEC76DE">
      <w:start w:val="1"/>
      <w:numFmt w:val="lowerLetter"/>
      <w:lvlText w:val="(%2)"/>
      <w:lvlJc w:val="left"/>
      <w:pPr>
        <w:ind w:left="1647" w:hanging="360"/>
      </w:pPr>
      <w:rPr>
        <w:rFonts w:hint="default"/>
      </w:r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25">
    <w:nsid w:val="430857CE"/>
    <w:multiLevelType w:val="hybridMultilevel"/>
    <w:tmpl w:val="88B0636E"/>
    <w:lvl w:ilvl="0" w:tplc="E34C62CE">
      <w:numFmt w:val="bullet"/>
      <w:lvlText w:val=""/>
      <w:lvlJc w:val="left"/>
      <w:pPr>
        <w:ind w:left="360" w:hanging="360"/>
      </w:pPr>
      <w:rPr>
        <w:rFonts w:ascii="Symbol" w:eastAsia="Times New Roman" w:hAnsi="Symbol" w:hint="default"/>
      </w:rPr>
    </w:lvl>
    <w:lvl w:ilvl="1" w:tplc="0C090003" w:tentative="1">
      <w:start w:val="1"/>
      <w:numFmt w:val="bullet"/>
      <w:lvlText w:val="o"/>
      <w:lvlJc w:val="left"/>
      <w:pPr>
        <w:ind w:left="1080" w:hanging="360"/>
      </w:pPr>
      <w:rPr>
        <w:rFonts w:ascii="Courier New" w:hAnsi="Courier New" w:cs="Symbo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Symbol"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Symbol" w:hint="default"/>
      </w:rPr>
    </w:lvl>
    <w:lvl w:ilvl="8" w:tplc="0C090005" w:tentative="1">
      <w:start w:val="1"/>
      <w:numFmt w:val="bullet"/>
      <w:lvlText w:val=""/>
      <w:lvlJc w:val="left"/>
      <w:pPr>
        <w:ind w:left="6120" w:hanging="360"/>
      </w:pPr>
      <w:rPr>
        <w:rFonts w:ascii="Wingdings" w:hAnsi="Wingdings" w:hint="default"/>
      </w:rPr>
    </w:lvl>
  </w:abstractNum>
  <w:abstractNum w:abstractNumId="26">
    <w:nsid w:val="46FE4B7F"/>
    <w:multiLevelType w:val="multilevel"/>
    <w:tmpl w:val="9890385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47BD5C63"/>
    <w:multiLevelType w:val="multilevel"/>
    <w:tmpl w:val="9890385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482A327B"/>
    <w:multiLevelType w:val="hybridMultilevel"/>
    <w:tmpl w:val="B04CEA34"/>
    <w:lvl w:ilvl="0" w:tplc="8FAAD7E8">
      <w:start w:val="1"/>
      <w:numFmt w:val="lowerRoman"/>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9">
    <w:nsid w:val="488C57F7"/>
    <w:multiLevelType w:val="multilevel"/>
    <w:tmpl w:val="9890385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nsid w:val="493F3F4D"/>
    <w:multiLevelType w:val="hybridMultilevel"/>
    <w:tmpl w:val="45BED866"/>
    <w:lvl w:ilvl="0" w:tplc="B9129F8C">
      <w:start w:val="1"/>
      <w:numFmt w:val="bullet"/>
      <w:lvlText w:val=""/>
      <w:lvlJc w:val="left"/>
      <w:pPr>
        <w:tabs>
          <w:tab w:val="num" w:pos="454"/>
        </w:tabs>
        <w:ind w:left="454" w:hanging="454"/>
      </w:pPr>
      <w:rPr>
        <w:rFonts w:ascii="Symbol" w:hAnsi="Symbol" w:hint="default"/>
      </w:rPr>
    </w:lvl>
    <w:lvl w:ilvl="1" w:tplc="E34C62CE">
      <w:numFmt w:val="bullet"/>
      <w:lvlText w:val=""/>
      <w:lvlJc w:val="left"/>
      <w:pPr>
        <w:tabs>
          <w:tab w:val="num" w:pos="853"/>
        </w:tabs>
        <w:ind w:left="853" w:hanging="340"/>
      </w:pPr>
      <w:rPr>
        <w:rFonts w:ascii="Symbol" w:eastAsia="Times New Roman" w:hAnsi="Symbol" w:hint="default"/>
      </w:rPr>
    </w:lvl>
    <w:lvl w:ilvl="2" w:tplc="0C090005" w:tentative="1">
      <w:start w:val="1"/>
      <w:numFmt w:val="bullet"/>
      <w:lvlText w:val=""/>
      <w:lvlJc w:val="left"/>
      <w:pPr>
        <w:tabs>
          <w:tab w:val="num" w:pos="1593"/>
        </w:tabs>
        <w:ind w:left="1593" w:hanging="360"/>
      </w:pPr>
      <w:rPr>
        <w:rFonts w:ascii="Wingdings" w:hAnsi="Wingdings" w:hint="default"/>
      </w:rPr>
    </w:lvl>
    <w:lvl w:ilvl="3" w:tplc="0C090001" w:tentative="1">
      <w:start w:val="1"/>
      <w:numFmt w:val="bullet"/>
      <w:lvlText w:val=""/>
      <w:lvlJc w:val="left"/>
      <w:pPr>
        <w:tabs>
          <w:tab w:val="num" w:pos="2313"/>
        </w:tabs>
        <w:ind w:left="2313" w:hanging="360"/>
      </w:pPr>
      <w:rPr>
        <w:rFonts w:ascii="Symbol" w:hAnsi="Symbol" w:hint="default"/>
      </w:rPr>
    </w:lvl>
    <w:lvl w:ilvl="4" w:tplc="0C090003" w:tentative="1">
      <w:start w:val="1"/>
      <w:numFmt w:val="bullet"/>
      <w:lvlText w:val="o"/>
      <w:lvlJc w:val="left"/>
      <w:pPr>
        <w:tabs>
          <w:tab w:val="num" w:pos="3033"/>
        </w:tabs>
        <w:ind w:left="3033" w:hanging="360"/>
      </w:pPr>
      <w:rPr>
        <w:rFonts w:ascii="Courier New" w:hAnsi="Courier New" w:cs="Symbol" w:hint="default"/>
      </w:rPr>
    </w:lvl>
    <w:lvl w:ilvl="5" w:tplc="0C090005" w:tentative="1">
      <w:start w:val="1"/>
      <w:numFmt w:val="bullet"/>
      <w:lvlText w:val=""/>
      <w:lvlJc w:val="left"/>
      <w:pPr>
        <w:tabs>
          <w:tab w:val="num" w:pos="3753"/>
        </w:tabs>
        <w:ind w:left="3753" w:hanging="360"/>
      </w:pPr>
      <w:rPr>
        <w:rFonts w:ascii="Wingdings" w:hAnsi="Wingdings" w:hint="default"/>
      </w:rPr>
    </w:lvl>
    <w:lvl w:ilvl="6" w:tplc="0C090001" w:tentative="1">
      <w:start w:val="1"/>
      <w:numFmt w:val="bullet"/>
      <w:lvlText w:val=""/>
      <w:lvlJc w:val="left"/>
      <w:pPr>
        <w:tabs>
          <w:tab w:val="num" w:pos="4473"/>
        </w:tabs>
        <w:ind w:left="4473" w:hanging="360"/>
      </w:pPr>
      <w:rPr>
        <w:rFonts w:ascii="Symbol" w:hAnsi="Symbol" w:hint="default"/>
      </w:rPr>
    </w:lvl>
    <w:lvl w:ilvl="7" w:tplc="0C090003" w:tentative="1">
      <w:start w:val="1"/>
      <w:numFmt w:val="bullet"/>
      <w:lvlText w:val="o"/>
      <w:lvlJc w:val="left"/>
      <w:pPr>
        <w:tabs>
          <w:tab w:val="num" w:pos="5193"/>
        </w:tabs>
        <w:ind w:left="5193" w:hanging="360"/>
      </w:pPr>
      <w:rPr>
        <w:rFonts w:ascii="Courier New" w:hAnsi="Courier New" w:cs="Symbol" w:hint="default"/>
      </w:rPr>
    </w:lvl>
    <w:lvl w:ilvl="8" w:tplc="0C090005" w:tentative="1">
      <w:start w:val="1"/>
      <w:numFmt w:val="bullet"/>
      <w:lvlText w:val=""/>
      <w:lvlJc w:val="left"/>
      <w:pPr>
        <w:tabs>
          <w:tab w:val="num" w:pos="5913"/>
        </w:tabs>
        <w:ind w:left="5913" w:hanging="360"/>
      </w:pPr>
      <w:rPr>
        <w:rFonts w:ascii="Wingdings" w:hAnsi="Wingdings" w:hint="default"/>
      </w:rPr>
    </w:lvl>
  </w:abstractNum>
  <w:abstractNum w:abstractNumId="31">
    <w:nsid w:val="4B147B7B"/>
    <w:multiLevelType w:val="hybridMultilevel"/>
    <w:tmpl w:val="80CA6CB8"/>
    <w:lvl w:ilvl="0" w:tplc="0C09000F">
      <w:start w:val="1"/>
      <w:numFmt w:val="decimal"/>
      <w:lvlText w:val="%1."/>
      <w:lvlJc w:val="left"/>
      <w:pPr>
        <w:ind w:left="360" w:hanging="360"/>
      </w:pPr>
    </w:lvl>
    <w:lvl w:ilvl="1" w:tplc="DFD47EF2">
      <w:start w:val="1"/>
      <w:numFmt w:val="lowerRoman"/>
      <w:lvlText w:val="(%2)"/>
      <w:lvlJc w:val="left"/>
      <w:pPr>
        <w:ind w:left="1080" w:hanging="360"/>
      </w:pPr>
      <w:rPr>
        <w:rFonts w:hint="default"/>
        <w:i w:val="0"/>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2">
    <w:nsid w:val="4B1823B0"/>
    <w:multiLevelType w:val="hybridMultilevel"/>
    <w:tmpl w:val="8570C09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Symbo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Symbol" w:hint="default"/>
      </w:rPr>
    </w:lvl>
    <w:lvl w:ilvl="8" w:tplc="0C090005" w:tentative="1">
      <w:start w:val="1"/>
      <w:numFmt w:val="bullet"/>
      <w:lvlText w:val=""/>
      <w:lvlJc w:val="left"/>
      <w:pPr>
        <w:ind w:left="6480" w:hanging="360"/>
      </w:pPr>
      <w:rPr>
        <w:rFonts w:ascii="Wingdings" w:hAnsi="Wingdings" w:hint="default"/>
      </w:rPr>
    </w:lvl>
  </w:abstractNum>
  <w:abstractNum w:abstractNumId="33">
    <w:nsid w:val="4BFB2BC0"/>
    <w:multiLevelType w:val="hybridMultilevel"/>
    <w:tmpl w:val="541E5A08"/>
    <w:lvl w:ilvl="0" w:tplc="0C09000F">
      <w:start w:val="1"/>
      <w:numFmt w:val="decimal"/>
      <w:lvlText w:val="%1."/>
      <w:lvlJc w:val="left"/>
      <w:pPr>
        <w:ind w:left="360" w:hanging="360"/>
      </w:pPr>
      <w:rPr>
        <w:rFonts w:hint="default"/>
      </w:rPr>
    </w:lvl>
    <w:lvl w:ilvl="1" w:tplc="64DA7346">
      <w:start w:val="1"/>
      <w:numFmt w:val="lowerLetter"/>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4">
    <w:nsid w:val="4D075BCB"/>
    <w:multiLevelType w:val="hybridMultilevel"/>
    <w:tmpl w:val="8A8ECCF0"/>
    <w:lvl w:ilvl="0" w:tplc="16343D36">
      <w:start w:val="1"/>
      <w:numFmt w:val="bullet"/>
      <w:lvlText w:val=""/>
      <w:lvlJc w:val="left"/>
      <w:pPr>
        <w:tabs>
          <w:tab w:val="num" w:pos="567"/>
        </w:tabs>
        <w:ind w:left="567" w:hanging="567"/>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nsid w:val="564F6A44"/>
    <w:multiLevelType w:val="hybridMultilevel"/>
    <w:tmpl w:val="E9AE5D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nsid w:val="5E4C441D"/>
    <w:multiLevelType w:val="hybridMultilevel"/>
    <w:tmpl w:val="A73C215C"/>
    <w:lvl w:ilvl="0" w:tplc="B9129F8C">
      <w:start w:val="1"/>
      <w:numFmt w:val="bullet"/>
      <w:lvlText w:val=""/>
      <w:lvlJc w:val="left"/>
      <w:pPr>
        <w:tabs>
          <w:tab w:val="num" w:pos="454"/>
        </w:tabs>
        <w:ind w:left="454" w:hanging="454"/>
      </w:pPr>
      <w:rPr>
        <w:rFonts w:ascii="Symbol" w:hAnsi="Symbol" w:hint="default"/>
      </w:rPr>
    </w:lvl>
    <w:lvl w:ilvl="1" w:tplc="F5126D84">
      <w:start w:val="1"/>
      <w:numFmt w:val="bullet"/>
      <w:lvlText w:val="-"/>
      <w:lvlJc w:val="left"/>
      <w:pPr>
        <w:tabs>
          <w:tab w:val="num" w:pos="853"/>
        </w:tabs>
        <w:ind w:left="853" w:hanging="340"/>
      </w:pPr>
      <w:rPr>
        <w:rFonts w:ascii="Times New Roman" w:hAnsi="Times New Roman" w:cs="Times New Roman" w:hint="default"/>
      </w:rPr>
    </w:lvl>
    <w:lvl w:ilvl="2" w:tplc="0C090005" w:tentative="1">
      <w:start w:val="1"/>
      <w:numFmt w:val="bullet"/>
      <w:lvlText w:val=""/>
      <w:lvlJc w:val="left"/>
      <w:pPr>
        <w:tabs>
          <w:tab w:val="num" w:pos="1593"/>
        </w:tabs>
        <w:ind w:left="1593" w:hanging="360"/>
      </w:pPr>
      <w:rPr>
        <w:rFonts w:ascii="Wingdings" w:hAnsi="Wingdings" w:hint="default"/>
      </w:rPr>
    </w:lvl>
    <w:lvl w:ilvl="3" w:tplc="0C090001" w:tentative="1">
      <w:start w:val="1"/>
      <w:numFmt w:val="bullet"/>
      <w:lvlText w:val=""/>
      <w:lvlJc w:val="left"/>
      <w:pPr>
        <w:tabs>
          <w:tab w:val="num" w:pos="2313"/>
        </w:tabs>
        <w:ind w:left="2313" w:hanging="360"/>
      </w:pPr>
      <w:rPr>
        <w:rFonts w:ascii="Symbol" w:hAnsi="Symbol" w:hint="default"/>
      </w:rPr>
    </w:lvl>
    <w:lvl w:ilvl="4" w:tplc="0C090003" w:tentative="1">
      <w:start w:val="1"/>
      <w:numFmt w:val="bullet"/>
      <w:lvlText w:val="o"/>
      <w:lvlJc w:val="left"/>
      <w:pPr>
        <w:tabs>
          <w:tab w:val="num" w:pos="3033"/>
        </w:tabs>
        <w:ind w:left="3033" w:hanging="360"/>
      </w:pPr>
      <w:rPr>
        <w:rFonts w:ascii="Courier New" w:hAnsi="Courier New" w:cs="Symbol" w:hint="default"/>
      </w:rPr>
    </w:lvl>
    <w:lvl w:ilvl="5" w:tplc="0C090005" w:tentative="1">
      <w:start w:val="1"/>
      <w:numFmt w:val="bullet"/>
      <w:lvlText w:val=""/>
      <w:lvlJc w:val="left"/>
      <w:pPr>
        <w:tabs>
          <w:tab w:val="num" w:pos="3753"/>
        </w:tabs>
        <w:ind w:left="3753" w:hanging="360"/>
      </w:pPr>
      <w:rPr>
        <w:rFonts w:ascii="Wingdings" w:hAnsi="Wingdings" w:hint="default"/>
      </w:rPr>
    </w:lvl>
    <w:lvl w:ilvl="6" w:tplc="0C090001" w:tentative="1">
      <w:start w:val="1"/>
      <w:numFmt w:val="bullet"/>
      <w:lvlText w:val=""/>
      <w:lvlJc w:val="left"/>
      <w:pPr>
        <w:tabs>
          <w:tab w:val="num" w:pos="4473"/>
        </w:tabs>
        <w:ind w:left="4473" w:hanging="360"/>
      </w:pPr>
      <w:rPr>
        <w:rFonts w:ascii="Symbol" w:hAnsi="Symbol" w:hint="default"/>
      </w:rPr>
    </w:lvl>
    <w:lvl w:ilvl="7" w:tplc="0C090003" w:tentative="1">
      <w:start w:val="1"/>
      <w:numFmt w:val="bullet"/>
      <w:lvlText w:val="o"/>
      <w:lvlJc w:val="left"/>
      <w:pPr>
        <w:tabs>
          <w:tab w:val="num" w:pos="5193"/>
        </w:tabs>
        <w:ind w:left="5193" w:hanging="360"/>
      </w:pPr>
      <w:rPr>
        <w:rFonts w:ascii="Courier New" w:hAnsi="Courier New" w:cs="Symbol" w:hint="default"/>
      </w:rPr>
    </w:lvl>
    <w:lvl w:ilvl="8" w:tplc="0C090005" w:tentative="1">
      <w:start w:val="1"/>
      <w:numFmt w:val="bullet"/>
      <w:lvlText w:val=""/>
      <w:lvlJc w:val="left"/>
      <w:pPr>
        <w:tabs>
          <w:tab w:val="num" w:pos="5913"/>
        </w:tabs>
        <w:ind w:left="5913" w:hanging="360"/>
      </w:pPr>
      <w:rPr>
        <w:rFonts w:ascii="Wingdings" w:hAnsi="Wingdings" w:hint="default"/>
      </w:rPr>
    </w:lvl>
  </w:abstractNum>
  <w:abstractNum w:abstractNumId="37">
    <w:nsid w:val="60D230D6"/>
    <w:multiLevelType w:val="hybridMultilevel"/>
    <w:tmpl w:val="6E46DFDE"/>
    <w:lvl w:ilvl="0" w:tplc="B3741604">
      <w:start w:val="1"/>
      <w:numFmt w:val="decimal"/>
      <w:lvlText w:val="%1."/>
      <w:lvlJc w:val="left"/>
      <w:pPr>
        <w:ind w:left="927" w:hanging="360"/>
      </w:pPr>
      <w:rPr>
        <w:rFonts w:hint="default"/>
        <w:i w:val="0"/>
      </w:rPr>
    </w:lvl>
    <w:lvl w:ilvl="1" w:tplc="ACEC76DE">
      <w:start w:val="1"/>
      <w:numFmt w:val="lowerLetter"/>
      <w:lvlText w:val="(%2)"/>
      <w:lvlJc w:val="left"/>
      <w:pPr>
        <w:ind w:left="1647" w:hanging="360"/>
      </w:pPr>
      <w:rPr>
        <w:rFonts w:hint="default"/>
      </w:r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38">
    <w:nsid w:val="61DA3D61"/>
    <w:multiLevelType w:val="hybridMultilevel"/>
    <w:tmpl w:val="3A74BFE8"/>
    <w:lvl w:ilvl="0" w:tplc="B17EDFDA">
      <w:start w:val="1"/>
      <w:numFmt w:val="bullet"/>
      <w:lvlText w:val=""/>
      <w:lvlJc w:val="left"/>
      <w:pPr>
        <w:tabs>
          <w:tab w:val="num" w:pos="567"/>
        </w:tabs>
        <w:ind w:left="567" w:hanging="567"/>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nsid w:val="62AA5F2B"/>
    <w:multiLevelType w:val="hybridMultilevel"/>
    <w:tmpl w:val="64940CE4"/>
    <w:lvl w:ilvl="0" w:tplc="FCCCA074">
      <w:start w:val="1"/>
      <w:numFmt w:val="decimal"/>
      <w:lvlText w:val="%1."/>
      <w:lvlJc w:val="left"/>
      <w:pPr>
        <w:tabs>
          <w:tab w:val="num" w:pos="567"/>
        </w:tabs>
        <w:ind w:left="567" w:hanging="567"/>
      </w:pPr>
      <w:rPr>
        <w:rFonts w:hint="default"/>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nsid w:val="63741E58"/>
    <w:multiLevelType w:val="hybridMultilevel"/>
    <w:tmpl w:val="418ABB3A"/>
    <w:lvl w:ilvl="0" w:tplc="C588ABB8">
      <w:start w:val="1"/>
      <w:numFmt w:val="decimal"/>
      <w:lvlText w:val="%1."/>
      <w:lvlJc w:val="left"/>
      <w:pPr>
        <w:tabs>
          <w:tab w:val="num" w:pos="567"/>
        </w:tabs>
        <w:ind w:left="567" w:hanging="567"/>
      </w:pPr>
      <w:rPr>
        <w:rFonts w:hint="default"/>
      </w:rPr>
    </w:lvl>
    <w:lvl w:ilvl="1" w:tplc="ACEC76DE">
      <w:start w:val="1"/>
      <w:numFmt w:val="lowerLetter"/>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1">
    <w:nsid w:val="653A3A1B"/>
    <w:multiLevelType w:val="hybridMultilevel"/>
    <w:tmpl w:val="DC8447C2"/>
    <w:lvl w:ilvl="0" w:tplc="0C09000F">
      <w:start w:val="1"/>
      <w:numFmt w:val="decimal"/>
      <w:lvlText w:val="%1."/>
      <w:lvlJc w:val="left"/>
      <w:pPr>
        <w:ind w:left="360" w:hanging="360"/>
      </w:pPr>
      <w:rPr>
        <w:rFonts w:hint="default"/>
      </w:rPr>
    </w:lvl>
    <w:lvl w:ilvl="1" w:tplc="64DA7346">
      <w:start w:val="1"/>
      <w:numFmt w:val="lowerLetter"/>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2">
    <w:nsid w:val="66BF09E4"/>
    <w:multiLevelType w:val="hybridMultilevel"/>
    <w:tmpl w:val="43E2B1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nsid w:val="67A621E0"/>
    <w:multiLevelType w:val="hybridMultilevel"/>
    <w:tmpl w:val="717036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nsid w:val="6D1C0973"/>
    <w:multiLevelType w:val="hybridMultilevel"/>
    <w:tmpl w:val="7926325E"/>
    <w:lvl w:ilvl="0" w:tplc="E34C62CE">
      <w:numFmt w:val="bullet"/>
      <w:lvlText w:val=""/>
      <w:lvlJc w:val="left"/>
      <w:pPr>
        <w:ind w:left="720" w:hanging="360"/>
      </w:pPr>
      <w:rPr>
        <w:rFonts w:ascii="Symbol" w:eastAsia="Times New Roman" w:hAnsi="Symbol" w:hint="default"/>
      </w:rPr>
    </w:lvl>
    <w:lvl w:ilvl="1" w:tplc="0C090003" w:tentative="1">
      <w:start w:val="1"/>
      <w:numFmt w:val="bullet"/>
      <w:lvlText w:val="o"/>
      <w:lvlJc w:val="left"/>
      <w:pPr>
        <w:ind w:left="1440" w:hanging="360"/>
      </w:pPr>
      <w:rPr>
        <w:rFonts w:ascii="Courier New" w:hAnsi="Courier New" w:cs="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Symbo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Symbol" w:hint="default"/>
      </w:rPr>
    </w:lvl>
    <w:lvl w:ilvl="8" w:tplc="0C090005" w:tentative="1">
      <w:start w:val="1"/>
      <w:numFmt w:val="bullet"/>
      <w:lvlText w:val=""/>
      <w:lvlJc w:val="left"/>
      <w:pPr>
        <w:ind w:left="6480" w:hanging="360"/>
      </w:pPr>
      <w:rPr>
        <w:rFonts w:ascii="Wingdings" w:hAnsi="Wingdings" w:hint="default"/>
      </w:rPr>
    </w:lvl>
  </w:abstractNum>
  <w:abstractNum w:abstractNumId="45">
    <w:nsid w:val="6FE20B63"/>
    <w:multiLevelType w:val="hybridMultilevel"/>
    <w:tmpl w:val="F4DEAD5E"/>
    <w:lvl w:ilvl="0" w:tplc="65945CC8">
      <w:start w:val="1"/>
      <w:numFmt w:val="bullet"/>
      <w:lvlText w:val="—"/>
      <w:lvlJc w:val="left"/>
      <w:pPr>
        <w:ind w:left="720" w:hanging="360"/>
      </w:pPr>
      <w:rPr>
        <w:rFonts w:ascii="Trebuchet MS" w:hAnsi="Trebuchet MS" w:hint="default"/>
      </w:rPr>
    </w:lvl>
    <w:lvl w:ilvl="1" w:tplc="0C090003" w:tentative="1">
      <w:start w:val="1"/>
      <w:numFmt w:val="bullet"/>
      <w:lvlText w:val="o"/>
      <w:lvlJc w:val="left"/>
      <w:pPr>
        <w:ind w:left="1440" w:hanging="360"/>
      </w:pPr>
      <w:rPr>
        <w:rFonts w:ascii="Courier New" w:hAnsi="Courier New" w:cs="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Symbo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Symbol" w:hint="default"/>
      </w:rPr>
    </w:lvl>
    <w:lvl w:ilvl="8" w:tplc="0C090005" w:tentative="1">
      <w:start w:val="1"/>
      <w:numFmt w:val="bullet"/>
      <w:lvlText w:val=""/>
      <w:lvlJc w:val="left"/>
      <w:pPr>
        <w:ind w:left="6480" w:hanging="360"/>
      </w:pPr>
      <w:rPr>
        <w:rFonts w:ascii="Wingdings" w:hAnsi="Wingdings" w:hint="default"/>
      </w:rPr>
    </w:lvl>
  </w:abstractNum>
  <w:abstractNum w:abstractNumId="46">
    <w:nsid w:val="71A63786"/>
    <w:multiLevelType w:val="hybridMultilevel"/>
    <w:tmpl w:val="CE483C5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nsid w:val="7A0B3C14"/>
    <w:multiLevelType w:val="hybridMultilevel"/>
    <w:tmpl w:val="638436A6"/>
    <w:lvl w:ilvl="0" w:tplc="0C09000F">
      <w:start w:val="1"/>
      <w:numFmt w:val="decimal"/>
      <w:lvlText w:val="%1."/>
      <w:lvlJc w:val="left"/>
      <w:pPr>
        <w:ind w:left="360" w:hanging="360"/>
      </w:pPr>
    </w:lvl>
    <w:lvl w:ilvl="1" w:tplc="DFD47EF2">
      <w:start w:val="1"/>
      <w:numFmt w:val="lowerRoman"/>
      <w:lvlText w:val="(%2)"/>
      <w:lvlJc w:val="left"/>
      <w:pPr>
        <w:ind w:left="1080" w:hanging="360"/>
      </w:pPr>
      <w:rPr>
        <w:rFonts w:hint="default"/>
        <w:i w:val="0"/>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8">
    <w:nsid w:val="7A0F5656"/>
    <w:multiLevelType w:val="hybridMultilevel"/>
    <w:tmpl w:val="E6363104"/>
    <w:lvl w:ilvl="0" w:tplc="0C09000F">
      <w:start w:val="1"/>
      <w:numFmt w:val="decimal"/>
      <w:lvlText w:val="%1."/>
      <w:lvlJc w:val="left"/>
      <w:pPr>
        <w:ind w:left="360" w:hanging="360"/>
      </w:pPr>
      <w:rPr>
        <w:rFonts w:hint="default"/>
      </w:rPr>
    </w:lvl>
    <w:lvl w:ilvl="1" w:tplc="64DA7346">
      <w:start w:val="1"/>
      <w:numFmt w:val="lowerLetter"/>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4"/>
  </w:num>
  <w:num w:numId="2">
    <w:abstractNumId w:val="26"/>
  </w:num>
  <w:num w:numId="3">
    <w:abstractNumId w:val="27"/>
  </w:num>
  <w:num w:numId="4">
    <w:abstractNumId w:val="12"/>
  </w:num>
  <w:num w:numId="5">
    <w:abstractNumId w:val="11"/>
  </w:num>
  <w:num w:numId="6">
    <w:abstractNumId w:val="29"/>
  </w:num>
  <w:num w:numId="7">
    <w:abstractNumId w:val="10"/>
  </w:num>
  <w:num w:numId="8">
    <w:abstractNumId w:val="5"/>
  </w:num>
  <w:num w:numId="9">
    <w:abstractNumId w:val="32"/>
  </w:num>
  <w:num w:numId="10">
    <w:abstractNumId w:val="45"/>
  </w:num>
  <w:num w:numId="11">
    <w:abstractNumId w:val="36"/>
  </w:num>
  <w:num w:numId="12">
    <w:abstractNumId w:val="46"/>
  </w:num>
  <w:num w:numId="13">
    <w:abstractNumId w:val="44"/>
  </w:num>
  <w:num w:numId="14">
    <w:abstractNumId w:val="9"/>
  </w:num>
  <w:num w:numId="15">
    <w:abstractNumId w:val="30"/>
  </w:num>
  <w:num w:numId="16">
    <w:abstractNumId w:val="25"/>
  </w:num>
  <w:num w:numId="17">
    <w:abstractNumId w:val="20"/>
  </w:num>
  <w:num w:numId="18">
    <w:abstractNumId w:val="40"/>
  </w:num>
  <w:num w:numId="19">
    <w:abstractNumId w:val="17"/>
  </w:num>
  <w:num w:numId="20">
    <w:abstractNumId w:val="18"/>
  </w:num>
  <w:num w:numId="21">
    <w:abstractNumId w:val="33"/>
  </w:num>
  <w:num w:numId="22">
    <w:abstractNumId w:val="2"/>
  </w:num>
  <w:num w:numId="23">
    <w:abstractNumId w:val="48"/>
  </w:num>
  <w:num w:numId="24">
    <w:abstractNumId w:val="20"/>
  </w:num>
  <w:num w:numId="25">
    <w:abstractNumId w:val="20"/>
  </w:num>
  <w:num w:numId="26">
    <w:abstractNumId w:val="16"/>
  </w:num>
  <w:num w:numId="27">
    <w:abstractNumId w:val="41"/>
  </w:num>
  <w:num w:numId="28">
    <w:abstractNumId w:val="3"/>
  </w:num>
  <w:num w:numId="29">
    <w:abstractNumId w:val="6"/>
  </w:num>
  <w:num w:numId="30">
    <w:abstractNumId w:val="34"/>
  </w:num>
  <w:num w:numId="31">
    <w:abstractNumId w:val="0"/>
  </w:num>
  <w:num w:numId="32">
    <w:abstractNumId w:val="14"/>
  </w:num>
  <w:num w:numId="33">
    <w:abstractNumId w:val="24"/>
  </w:num>
  <w:num w:numId="34">
    <w:abstractNumId w:val="37"/>
  </w:num>
  <w:num w:numId="35">
    <w:abstractNumId w:val="39"/>
  </w:num>
  <w:num w:numId="36">
    <w:abstractNumId w:val="1"/>
  </w:num>
  <w:num w:numId="37">
    <w:abstractNumId w:val="38"/>
  </w:num>
  <w:num w:numId="38">
    <w:abstractNumId w:val="7"/>
  </w:num>
  <w:num w:numId="39">
    <w:abstractNumId w:val="43"/>
  </w:num>
  <w:num w:numId="40">
    <w:abstractNumId w:val="22"/>
  </w:num>
  <w:num w:numId="41">
    <w:abstractNumId w:val="42"/>
  </w:num>
  <w:num w:numId="42">
    <w:abstractNumId w:val="35"/>
  </w:num>
  <w:num w:numId="43">
    <w:abstractNumId w:val="47"/>
  </w:num>
  <w:num w:numId="44">
    <w:abstractNumId w:val="21"/>
    <w:lvlOverride w:ilvl="0">
      <w:startOverride w:val="1"/>
    </w:lvlOverride>
    <w:lvlOverride w:ilvl="1"/>
    <w:lvlOverride w:ilvl="2"/>
    <w:lvlOverride w:ilvl="3"/>
    <w:lvlOverride w:ilvl="4"/>
    <w:lvlOverride w:ilvl="5"/>
    <w:lvlOverride w:ilvl="6"/>
    <w:lvlOverride w:ilvl="7"/>
    <w:lvlOverride w:ilvl="8"/>
  </w:num>
  <w:num w:numId="45">
    <w:abstractNumId w:val="15"/>
  </w:num>
  <w:num w:numId="46">
    <w:abstractNumId w:val="8"/>
  </w:num>
  <w:num w:numId="47">
    <w:abstractNumId w:val="19"/>
  </w:num>
  <w:num w:numId="48">
    <w:abstractNumId w:val="13"/>
  </w:num>
  <w:num w:numId="49">
    <w:abstractNumId w:val="23"/>
  </w:num>
  <w:num w:numId="50">
    <w:abstractNumId w:val="31"/>
  </w:num>
  <w:num w:numId="51">
    <w:abstractNumId w:val="28"/>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noPunctuationKerning/>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2397"/>
    <w:rsid w:val="0000033D"/>
    <w:rsid w:val="00000AE6"/>
    <w:rsid w:val="000043D6"/>
    <w:rsid w:val="00005FEE"/>
    <w:rsid w:val="00007EB0"/>
    <w:rsid w:val="00012695"/>
    <w:rsid w:val="00014C4B"/>
    <w:rsid w:val="00016F01"/>
    <w:rsid w:val="00016F99"/>
    <w:rsid w:val="0001775A"/>
    <w:rsid w:val="000201AE"/>
    <w:rsid w:val="000218B6"/>
    <w:rsid w:val="00022BB1"/>
    <w:rsid w:val="00022ED5"/>
    <w:rsid w:val="00024B38"/>
    <w:rsid w:val="00026726"/>
    <w:rsid w:val="0002731C"/>
    <w:rsid w:val="00027386"/>
    <w:rsid w:val="00030BD8"/>
    <w:rsid w:val="000324C9"/>
    <w:rsid w:val="00032838"/>
    <w:rsid w:val="000329E9"/>
    <w:rsid w:val="00032E46"/>
    <w:rsid w:val="000330CF"/>
    <w:rsid w:val="00033B73"/>
    <w:rsid w:val="00034768"/>
    <w:rsid w:val="00037C7C"/>
    <w:rsid w:val="00040C6F"/>
    <w:rsid w:val="000410A5"/>
    <w:rsid w:val="000422DA"/>
    <w:rsid w:val="000430AE"/>
    <w:rsid w:val="00043838"/>
    <w:rsid w:val="00044A9D"/>
    <w:rsid w:val="00045354"/>
    <w:rsid w:val="000462B2"/>
    <w:rsid w:val="00046998"/>
    <w:rsid w:val="00047834"/>
    <w:rsid w:val="00052DE5"/>
    <w:rsid w:val="00055C1B"/>
    <w:rsid w:val="00056C6C"/>
    <w:rsid w:val="00056DC2"/>
    <w:rsid w:val="00056DFC"/>
    <w:rsid w:val="000603DB"/>
    <w:rsid w:val="000631DA"/>
    <w:rsid w:val="00063B11"/>
    <w:rsid w:val="00063E49"/>
    <w:rsid w:val="00076969"/>
    <w:rsid w:val="00080B55"/>
    <w:rsid w:val="00085D6F"/>
    <w:rsid w:val="00086488"/>
    <w:rsid w:val="00086DFB"/>
    <w:rsid w:val="00092A02"/>
    <w:rsid w:val="00092C71"/>
    <w:rsid w:val="0009379C"/>
    <w:rsid w:val="000944CD"/>
    <w:rsid w:val="00095170"/>
    <w:rsid w:val="00095FFB"/>
    <w:rsid w:val="000A15F7"/>
    <w:rsid w:val="000A2BF0"/>
    <w:rsid w:val="000A2DC5"/>
    <w:rsid w:val="000A35A2"/>
    <w:rsid w:val="000A579A"/>
    <w:rsid w:val="000A6107"/>
    <w:rsid w:val="000B2112"/>
    <w:rsid w:val="000B22C3"/>
    <w:rsid w:val="000B2729"/>
    <w:rsid w:val="000B2E52"/>
    <w:rsid w:val="000B3626"/>
    <w:rsid w:val="000B5532"/>
    <w:rsid w:val="000B59FF"/>
    <w:rsid w:val="000B6365"/>
    <w:rsid w:val="000B694A"/>
    <w:rsid w:val="000C0010"/>
    <w:rsid w:val="000C2617"/>
    <w:rsid w:val="000C3A21"/>
    <w:rsid w:val="000D046E"/>
    <w:rsid w:val="000D2640"/>
    <w:rsid w:val="000D2C26"/>
    <w:rsid w:val="000D5FF9"/>
    <w:rsid w:val="000D6002"/>
    <w:rsid w:val="000D6AC0"/>
    <w:rsid w:val="000E055A"/>
    <w:rsid w:val="000E129A"/>
    <w:rsid w:val="000E3F23"/>
    <w:rsid w:val="000E47BC"/>
    <w:rsid w:val="000F0CE7"/>
    <w:rsid w:val="000F1A2A"/>
    <w:rsid w:val="000F309E"/>
    <w:rsid w:val="000F3BD1"/>
    <w:rsid w:val="000F3E1E"/>
    <w:rsid w:val="000F6592"/>
    <w:rsid w:val="000F7BA7"/>
    <w:rsid w:val="001002C5"/>
    <w:rsid w:val="00100C88"/>
    <w:rsid w:val="00102F9E"/>
    <w:rsid w:val="0010456C"/>
    <w:rsid w:val="0010495D"/>
    <w:rsid w:val="00105F5C"/>
    <w:rsid w:val="00110071"/>
    <w:rsid w:val="00111296"/>
    <w:rsid w:val="00111555"/>
    <w:rsid w:val="001211F2"/>
    <w:rsid w:val="00121F36"/>
    <w:rsid w:val="001228B3"/>
    <w:rsid w:val="00122936"/>
    <w:rsid w:val="00122A9C"/>
    <w:rsid w:val="00123FD3"/>
    <w:rsid w:val="0012491A"/>
    <w:rsid w:val="00124EE2"/>
    <w:rsid w:val="00126BDF"/>
    <w:rsid w:val="001271A7"/>
    <w:rsid w:val="00127F6E"/>
    <w:rsid w:val="00131687"/>
    <w:rsid w:val="00133112"/>
    <w:rsid w:val="00134630"/>
    <w:rsid w:val="00134727"/>
    <w:rsid w:val="001365CA"/>
    <w:rsid w:val="00136838"/>
    <w:rsid w:val="00140819"/>
    <w:rsid w:val="00140948"/>
    <w:rsid w:val="00146362"/>
    <w:rsid w:val="001468CF"/>
    <w:rsid w:val="00147418"/>
    <w:rsid w:val="0015374C"/>
    <w:rsid w:val="00153D7B"/>
    <w:rsid w:val="0016350A"/>
    <w:rsid w:val="001636BF"/>
    <w:rsid w:val="00163AE4"/>
    <w:rsid w:val="00163C7F"/>
    <w:rsid w:val="00163ECC"/>
    <w:rsid w:val="00165121"/>
    <w:rsid w:val="001670BC"/>
    <w:rsid w:val="001724BA"/>
    <w:rsid w:val="001735C0"/>
    <w:rsid w:val="00176630"/>
    <w:rsid w:val="0018004F"/>
    <w:rsid w:val="00183A1C"/>
    <w:rsid w:val="00190780"/>
    <w:rsid w:val="00191382"/>
    <w:rsid w:val="00192C56"/>
    <w:rsid w:val="0019482E"/>
    <w:rsid w:val="00195FC7"/>
    <w:rsid w:val="001A0790"/>
    <w:rsid w:val="001A26A9"/>
    <w:rsid w:val="001A2AB2"/>
    <w:rsid w:val="001B115C"/>
    <w:rsid w:val="001B13B9"/>
    <w:rsid w:val="001B3893"/>
    <w:rsid w:val="001B5F9B"/>
    <w:rsid w:val="001B6E91"/>
    <w:rsid w:val="001C0BC5"/>
    <w:rsid w:val="001C27C3"/>
    <w:rsid w:val="001C7082"/>
    <w:rsid w:val="001D16A9"/>
    <w:rsid w:val="001D1DC0"/>
    <w:rsid w:val="001D4C02"/>
    <w:rsid w:val="001D6126"/>
    <w:rsid w:val="001D6D31"/>
    <w:rsid w:val="001E06CB"/>
    <w:rsid w:val="001E1622"/>
    <w:rsid w:val="001E2DB0"/>
    <w:rsid w:val="001E54DD"/>
    <w:rsid w:val="001E623B"/>
    <w:rsid w:val="001E6EA4"/>
    <w:rsid w:val="001F0F70"/>
    <w:rsid w:val="001F4FB6"/>
    <w:rsid w:val="001F5D3D"/>
    <w:rsid w:val="001F7349"/>
    <w:rsid w:val="00200E63"/>
    <w:rsid w:val="002010C8"/>
    <w:rsid w:val="00202A47"/>
    <w:rsid w:val="00204946"/>
    <w:rsid w:val="00204A2F"/>
    <w:rsid w:val="00206A98"/>
    <w:rsid w:val="00207C73"/>
    <w:rsid w:val="00210496"/>
    <w:rsid w:val="002114F1"/>
    <w:rsid w:val="0021217E"/>
    <w:rsid w:val="002123EC"/>
    <w:rsid w:val="00215426"/>
    <w:rsid w:val="00217BBE"/>
    <w:rsid w:val="0022265D"/>
    <w:rsid w:val="00223C69"/>
    <w:rsid w:val="0022477F"/>
    <w:rsid w:val="002248F3"/>
    <w:rsid w:val="00225921"/>
    <w:rsid w:val="00225C10"/>
    <w:rsid w:val="0022602E"/>
    <w:rsid w:val="00226BB3"/>
    <w:rsid w:val="0023066A"/>
    <w:rsid w:val="002330A5"/>
    <w:rsid w:val="002341A1"/>
    <w:rsid w:val="00237171"/>
    <w:rsid w:val="002407D7"/>
    <w:rsid w:val="002430F8"/>
    <w:rsid w:val="00243850"/>
    <w:rsid w:val="00244309"/>
    <w:rsid w:val="002504E2"/>
    <w:rsid w:val="00250985"/>
    <w:rsid w:val="00251164"/>
    <w:rsid w:val="002529DB"/>
    <w:rsid w:val="00252F17"/>
    <w:rsid w:val="0025461F"/>
    <w:rsid w:val="00254B41"/>
    <w:rsid w:val="00254ED3"/>
    <w:rsid w:val="00260693"/>
    <w:rsid w:val="002642DC"/>
    <w:rsid w:val="002646D2"/>
    <w:rsid w:val="00265913"/>
    <w:rsid w:val="00266401"/>
    <w:rsid w:val="002667D9"/>
    <w:rsid w:val="00266C66"/>
    <w:rsid w:val="00277D4E"/>
    <w:rsid w:val="00280A4F"/>
    <w:rsid w:val="00282B1D"/>
    <w:rsid w:val="00283D1A"/>
    <w:rsid w:val="00285041"/>
    <w:rsid w:val="0028530F"/>
    <w:rsid w:val="002853EC"/>
    <w:rsid w:val="00291E78"/>
    <w:rsid w:val="002960FC"/>
    <w:rsid w:val="002962EE"/>
    <w:rsid w:val="00296648"/>
    <w:rsid w:val="002A0F36"/>
    <w:rsid w:val="002A10B1"/>
    <w:rsid w:val="002A47FA"/>
    <w:rsid w:val="002A7FD0"/>
    <w:rsid w:val="002B09B5"/>
    <w:rsid w:val="002B13C1"/>
    <w:rsid w:val="002B2A6A"/>
    <w:rsid w:val="002B5F9F"/>
    <w:rsid w:val="002B6511"/>
    <w:rsid w:val="002B6780"/>
    <w:rsid w:val="002B6E99"/>
    <w:rsid w:val="002C1645"/>
    <w:rsid w:val="002C3923"/>
    <w:rsid w:val="002C3F98"/>
    <w:rsid w:val="002C6C21"/>
    <w:rsid w:val="002C7D5C"/>
    <w:rsid w:val="002D003A"/>
    <w:rsid w:val="002D01A9"/>
    <w:rsid w:val="002D08B3"/>
    <w:rsid w:val="002D101E"/>
    <w:rsid w:val="002D15B6"/>
    <w:rsid w:val="002D1BA7"/>
    <w:rsid w:val="002D5680"/>
    <w:rsid w:val="002D7440"/>
    <w:rsid w:val="002E05F9"/>
    <w:rsid w:val="002E39A6"/>
    <w:rsid w:val="002E453F"/>
    <w:rsid w:val="002E68FA"/>
    <w:rsid w:val="002F0250"/>
    <w:rsid w:val="002F19D2"/>
    <w:rsid w:val="002F3659"/>
    <w:rsid w:val="002F4532"/>
    <w:rsid w:val="002F6099"/>
    <w:rsid w:val="00300114"/>
    <w:rsid w:val="003024F7"/>
    <w:rsid w:val="003033E4"/>
    <w:rsid w:val="003048DA"/>
    <w:rsid w:val="00304A40"/>
    <w:rsid w:val="00312846"/>
    <w:rsid w:val="00314F61"/>
    <w:rsid w:val="003168CC"/>
    <w:rsid w:val="003230CB"/>
    <w:rsid w:val="00323DBD"/>
    <w:rsid w:val="003250DE"/>
    <w:rsid w:val="003256DF"/>
    <w:rsid w:val="00326DC9"/>
    <w:rsid w:val="003278D6"/>
    <w:rsid w:val="00330814"/>
    <w:rsid w:val="003318F0"/>
    <w:rsid w:val="003326CD"/>
    <w:rsid w:val="00333D51"/>
    <w:rsid w:val="0034386A"/>
    <w:rsid w:val="00347FCC"/>
    <w:rsid w:val="00352685"/>
    <w:rsid w:val="003574BF"/>
    <w:rsid w:val="0036074C"/>
    <w:rsid w:val="0036074D"/>
    <w:rsid w:val="00361A51"/>
    <w:rsid w:val="003664C9"/>
    <w:rsid w:val="003671DF"/>
    <w:rsid w:val="003705A2"/>
    <w:rsid w:val="00374890"/>
    <w:rsid w:val="00377314"/>
    <w:rsid w:val="00381684"/>
    <w:rsid w:val="00383939"/>
    <w:rsid w:val="00384376"/>
    <w:rsid w:val="00384666"/>
    <w:rsid w:val="00384F6E"/>
    <w:rsid w:val="00385EBA"/>
    <w:rsid w:val="00386E9F"/>
    <w:rsid w:val="00390062"/>
    <w:rsid w:val="00396464"/>
    <w:rsid w:val="003A07AF"/>
    <w:rsid w:val="003A0FB4"/>
    <w:rsid w:val="003A3C6D"/>
    <w:rsid w:val="003A5325"/>
    <w:rsid w:val="003A551B"/>
    <w:rsid w:val="003B2330"/>
    <w:rsid w:val="003B2863"/>
    <w:rsid w:val="003B338C"/>
    <w:rsid w:val="003B4785"/>
    <w:rsid w:val="003B6B84"/>
    <w:rsid w:val="003C1F4C"/>
    <w:rsid w:val="003C3568"/>
    <w:rsid w:val="003C3DE4"/>
    <w:rsid w:val="003C682C"/>
    <w:rsid w:val="003D14AA"/>
    <w:rsid w:val="003D2E73"/>
    <w:rsid w:val="003D3E59"/>
    <w:rsid w:val="003D671F"/>
    <w:rsid w:val="003D7D62"/>
    <w:rsid w:val="003E1487"/>
    <w:rsid w:val="003E1799"/>
    <w:rsid w:val="003E2F84"/>
    <w:rsid w:val="003E35E2"/>
    <w:rsid w:val="003E395B"/>
    <w:rsid w:val="003E399F"/>
    <w:rsid w:val="003E436B"/>
    <w:rsid w:val="003E474E"/>
    <w:rsid w:val="003E7F89"/>
    <w:rsid w:val="003F2D0E"/>
    <w:rsid w:val="003F3E98"/>
    <w:rsid w:val="003F4D73"/>
    <w:rsid w:val="003F7530"/>
    <w:rsid w:val="00400D96"/>
    <w:rsid w:val="00402072"/>
    <w:rsid w:val="00403EA8"/>
    <w:rsid w:val="0040568B"/>
    <w:rsid w:val="0040630F"/>
    <w:rsid w:val="0040716D"/>
    <w:rsid w:val="004137C9"/>
    <w:rsid w:val="00414222"/>
    <w:rsid w:val="00414E21"/>
    <w:rsid w:val="00415C2F"/>
    <w:rsid w:val="00415EAB"/>
    <w:rsid w:val="00416296"/>
    <w:rsid w:val="00421EAB"/>
    <w:rsid w:val="00423543"/>
    <w:rsid w:val="00423B0B"/>
    <w:rsid w:val="00424402"/>
    <w:rsid w:val="00425480"/>
    <w:rsid w:val="00426967"/>
    <w:rsid w:val="00426F46"/>
    <w:rsid w:val="00427335"/>
    <w:rsid w:val="004326E0"/>
    <w:rsid w:val="00434435"/>
    <w:rsid w:val="00434B40"/>
    <w:rsid w:val="00435182"/>
    <w:rsid w:val="00436690"/>
    <w:rsid w:val="00443B03"/>
    <w:rsid w:val="0044571F"/>
    <w:rsid w:val="00446377"/>
    <w:rsid w:val="00446793"/>
    <w:rsid w:val="00450D07"/>
    <w:rsid w:val="00452BFF"/>
    <w:rsid w:val="00452F0E"/>
    <w:rsid w:val="00453E71"/>
    <w:rsid w:val="0045402B"/>
    <w:rsid w:val="00455CFD"/>
    <w:rsid w:val="00456B13"/>
    <w:rsid w:val="00460B4E"/>
    <w:rsid w:val="00463269"/>
    <w:rsid w:val="0046392B"/>
    <w:rsid w:val="00463E35"/>
    <w:rsid w:val="00465F97"/>
    <w:rsid w:val="00466BE1"/>
    <w:rsid w:val="00470465"/>
    <w:rsid w:val="00474563"/>
    <w:rsid w:val="004776B9"/>
    <w:rsid w:val="00480AB5"/>
    <w:rsid w:val="00481011"/>
    <w:rsid w:val="0048185C"/>
    <w:rsid w:val="00485359"/>
    <w:rsid w:val="00485782"/>
    <w:rsid w:val="004913BF"/>
    <w:rsid w:val="00491AD1"/>
    <w:rsid w:val="00492D11"/>
    <w:rsid w:val="00493D60"/>
    <w:rsid w:val="004974E6"/>
    <w:rsid w:val="00497A10"/>
    <w:rsid w:val="004A0B84"/>
    <w:rsid w:val="004A2CEE"/>
    <w:rsid w:val="004A344C"/>
    <w:rsid w:val="004A645A"/>
    <w:rsid w:val="004A64B4"/>
    <w:rsid w:val="004A7947"/>
    <w:rsid w:val="004A7EF8"/>
    <w:rsid w:val="004B004C"/>
    <w:rsid w:val="004B2690"/>
    <w:rsid w:val="004B621D"/>
    <w:rsid w:val="004B6AD4"/>
    <w:rsid w:val="004B7CDD"/>
    <w:rsid w:val="004C5C4F"/>
    <w:rsid w:val="004C620B"/>
    <w:rsid w:val="004C79A4"/>
    <w:rsid w:val="004D01B8"/>
    <w:rsid w:val="004D19E0"/>
    <w:rsid w:val="004D1AD5"/>
    <w:rsid w:val="004D2537"/>
    <w:rsid w:val="004D4AEA"/>
    <w:rsid w:val="004D4C3D"/>
    <w:rsid w:val="004D600A"/>
    <w:rsid w:val="004E074D"/>
    <w:rsid w:val="004E34CF"/>
    <w:rsid w:val="004F0124"/>
    <w:rsid w:val="004F0E6C"/>
    <w:rsid w:val="004F3053"/>
    <w:rsid w:val="004F4343"/>
    <w:rsid w:val="004F4CCA"/>
    <w:rsid w:val="004F4FFA"/>
    <w:rsid w:val="004F57F8"/>
    <w:rsid w:val="004F75D0"/>
    <w:rsid w:val="005050D5"/>
    <w:rsid w:val="00505C2A"/>
    <w:rsid w:val="00506648"/>
    <w:rsid w:val="005131F0"/>
    <w:rsid w:val="00514E54"/>
    <w:rsid w:val="0051573E"/>
    <w:rsid w:val="00523E14"/>
    <w:rsid w:val="0053053F"/>
    <w:rsid w:val="005323E9"/>
    <w:rsid w:val="00533FD5"/>
    <w:rsid w:val="0053624C"/>
    <w:rsid w:val="005378DF"/>
    <w:rsid w:val="00544186"/>
    <w:rsid w:val="00544768"/>
    <w:rsid w:val="0054631D"/>
    <w:rsid w:val="0054724E"/>
    <w:rsid w:val="00550E08"/>
    <w:rsid w:val="00552458"/>
    <w:rsid w:val="00553D45"/>
    <w:rsid w:val="005542B8"/>
    <w:rsid w:val="00554716"/>
    <w:rsid w:val="00554D51"/>
    <w:rsid w:val="00561055"/>
    <w:rsid w:val="00562B07"/>
    <w:rsid w:val="00562C29"/>
    <w:rsid w:val="00564D62"/>
    <w:rsid w:val="00565315"/>
    <w:rsid w:val="0056573A"/>
    <w:rsid w:val="00565AB6"/>
    <w:rsid w:val="00565B72"/>
    <w:rsid w:val="00567A9A"/>
    <w:rsid w:val="005718A5"/>
    <w:rsid w:val="00571B24"/>
    <w:rsid w:val="00574616"/>
    <w:rsid w:val="005748FE"/>
    <w:rsid w:val="0057495B"/>
    <w:rsid w:val="00576DFE"/>
    <w:rsid w:val="0057774E"/>
    <w:rsid w:val="0057786D"/>
    <w:rsid w:val="00577EDF"/>
    <w:rsid w:val="005833B9"/>
    <w:rsid w:val="00587962"/>
    <w:rsid w:val="00587F30"/>
    <w:rsid w:val="00591630"/>
    <w:rsid w:val="00592576"/>
    <w:rsid w:val="00593BF7"/>
    <w:rsid w:val="005941E1"/>
    <w:rsid w:val="0059734E"/>
    <w:rsid w:val="005A5C1D"/>
    <w:rsid w:val="005A60B9"/>
    <w:rsid w:val="005A743A"/>
    <w:rsid w:val="005A7BE0"/>
    <w:rsid w:val="005B22D9"/>
    <w:rsid w:val="005B7123"/>
    <w:rsid w:val="005C2969"/>
    <w:rsid w:val="005C37A6"/>
    <w:rsid w:val="005C3C75"/>
    <w:rsid w:val="005C6D5F"/>
    <w:rsid w:val="005C701A"/>
    <w:rsid w:val="005C7AB3"/>
    <w:rsid w:val="005D0304"/>
    <w:rsid w:val="005D3718"/>
    <w:rsid w:val="005D435B"/>
    <w:rsid w:val="005D53F7"/>
    <w:rsid w:val="005D6649"/>
    <w:rsid w:val="005D7020"/>
    <w:rsid w:val="005D7A53"/>
    <w:rsid w:val="005E1164"/>
    <w:rsid w:val="005E4036"/>
    <w:rsid w:val="005E5F1D"/>
    <w:rsid w:val="005F0577"/>
    <w:rsid w:val="005F172F"/>
    <w:rsid w:val="005F5DF4"/>
    <w:rsid w:val="005F6428"/>
    <w:rsid w:val="005F6BAC"/>
    <w:rsid w:val="00601EBA"/>
    <w:rsid w:val="00610402"/>
    <w:rsid w:val="00610833"/>
    <w:rsid w:val="00611A4D"/>
    <w:rsid w:val="0061258F"/>
    <w:rsid w:val="00613E7B"/>
    <w:rsid w:val="006175DC"/>
    <w:rsid w:val="0062007F"/>
    <w:rsid w:val="006208F9"/>
    <w:rsid w:val="00620E71"/>
    <w:rsid w:val="006210C2"/>
    <w:rsid w:val="006239C9"/>
    <w:rsid w:val="00624040"/>
    <w:rsid w:val="00625D6C"/>
    <w:rsid w:val="00631591"/>
    <w:rsid w:val="00634601"/>
    <w:rsid w:val="00634FF0"/>
    <w:rsid w:val="006357FB"/>
    <w:rsid w:val="00635A7C"/>
    <w:rsid w:val="006418AE"/>
    <w:rsid w:val="00643F26"/>
    <w:rsid w:val="00644F26"/>
    <w:rsid w:val="00645119"/>
    <w:rsid w:val="00647B94"/>
    <w:rsid w:val="0065030A"/>
    <w:rsid w:val="006503AB"/>
    <w:rsid w:val="0065058D"/>
    <w:rsid w:val="00652397"/>
    <w:rsid w:val="00652609"/>
    <w:rsid w:val="0065425A"/>
    <w:rsid w:val="006550E7"/>
    <w:rsid w:val="00657CD6"/>
    <w:rsid w:val="006630B6"/>
    <w:rsid w:val="00663C9A"/>
    <w:rsid w:val="0067026E"/>
    <w:rsid w:val="00670AEE"/>
    <w:rsid w:val="006727CA"/>
    <w:rsid w:val="00672E84"/>
    <w:rsid w:val="00673E01"/>
    <w:rsid w:val="006752F6"/>
    <w:rsid w:val="006802EF"/>
    <w:rsid w:val="006823C3"/>
    <w:rsid w:val="006825F2"/>
    <w:rsid w:val="006826B2"/>
    <w:rsid w:val="00684532"/>
    <w:rsid w:val="00685CF1"/>
    <w:rsid w:val="0068655F"/>
    <w:rsid w:val="00691BE2"/>
    <w:rsid w:val="00694F60"/>
    <w:rsid w:val="006967C8"/>
    <w:rsid w:val="006A05FB"/>
    <w:rsid w:val="006A0EBB"/>
    <w:rsid w:val="006A5128"/>
    <w:rsid w:val="006A583E"/>
    <w:rsid w:val="006A66D4"/>
    <w:rsid w:val="006B4444"/>
    <w:rsid w:val="006B49D5"/>
    <w:rsid w:val="006B6285"/>
    <w:rsid w:val="006C03D7"/>
    <w:rsid w:val="006C0777"/>
    <w:rsid w:val="006C0888"/>
    <w:rsid w:val="006C38BF"/>
    <w:rsid w:val="006C569C"/>
    <w:rsid w:val="006C6A19"/>
    <w:rsid w:val="006D1265"/>
    <w:rsid w:val="006D1480"/>
    <w:rsid w:val="006D19E4"/>
    <w:rsid w:val="006D4174"/>
    <w:rsid w:val="006E15EA"/>
    <w:rsid w:val="006E222F"/>
    <w:rsid w:val="006E4145"/>
    <w:rsid w:val="006E4B75"/>
    <w:rsid w:val="006E6A90"/>
    <w:rsid w:val="006F6913"/>
    <w:rsid w:val="006F6C05"/>
    <w:rsid w:val="006F74F6"/>
    <w:rsid w:val="00700196"/>
    <w:rsid w:val="007020D3"/>
    <w:rsid w:val="0070223F"/>
    <w:rsid w:val="00702EF7"/>
    <w:rsid w:val="00704E26"/>
    <w:rsid w:val="007060F0"/>
    <w:rsid w:val="00711280"/>
    <w:rsid w:val="00712E3F"/>
    <w:rsid w:val="00717A79"/>
    <w:rsid w:val="0072092B"/>
    <w:rsid w:val="0073060A"/>
    <w:rsid w:val="007328C0"/>
    <w:rsid w:val="00733B48"/>
    <w:rsid w:val="00733EC5"/>
    <w:rsid w:val="007366EB"/>
    <w:rsid w:val="00741547"/>
    <w:rsid w:val="007422E3"/>
    <w:rsid w:val="00742770"/>
    <w:rsid w:val="00742CED"/>
    <w:rsid w:val="00743617"/>
    <w:rsid w:val="00743A04"/>
    <w:rsid w:val="00744E6B"/>
    <w:rsid w:val="00746F83"/>
    <w:rsid w:val="007510F4"/>
    <w:rsid w:val="00751C08"/>
    <w:rsid w:val="00753EB6"/>
    <w:rsid w:val="007562E4"/>
    <w:rsid w:val="00757D06"/>
    <w:rsid w:val="007605C2"/>
    <w:rsid w:val="00760CF4"/>
    <w:rsid w:val="007669D4"/>
    <w:rsid w:val="00770264"/>
    <w:rsid w:val="007728E8"/>
    <w:rsid w:val="0077334D"/>
    <w:rsid w:val="00774992"/>
    <w:rsid w:val="00775053"/>
    <w:rsid w:val="00776051"/>
    <w:rsid w:val="00776B64"/>
    <w:rsid w:val="00780C75"/>
    <w:rsid w:val="00781B60"/>
    <w:rsid w:val="00785111"/>
    <w:rsid w:val="00785B77"/>
    <w:rsid w:val="00786B92"/>
    <w:rsid w:val="007929A9"/>
    <w:rsid w:val="0079354B"/>
    <w:rsid w:val="00795F4D"/>
    <w:rsid w:val="00796DE0"/>
    <w:rsid w:val="00797B1C"/>
    <w:rsid w:val="007A044B"/>
    <w:rsid w:val="007A09EC"/>
    <w:rsid w:val="007A0F4E"/>
    <w:rsid w:val="007A137C"/>
    <w:rsid w:val="007B093E"/>
    <w:rsid w:val="007B1192"/>
    <w:rsid w:val="007B1BD4"/>
    <w:rsid w:val="007B4814"/>
    <w:rsid w:val="007B49C0"/>
    <w:rsid w:val="007B6616"/>
    <w:rsid w:val="007B710C"/>
    <w:rsid w:val="007C0CCA"/>
    <w:rsid w:val="007C0D87"/>
    <w:rsid w:val="007C304D"/>
    <w:rsid w:val="007C3365"/>
    <w:rsid w:val="007C5A77"/>
    <w:rsid w:val="007C7D78"/>
    <w:rsid w:val="007D156F"/>
    <w:rsid w:val="007D1DFE"/>
    <w:rsid w:val="007D2478"/>
    <w:rsid w:val="007D4E96"/>
    <w:rsid w:val="007E6DFA"/>
    <w:rsid w:val="007F2504"/>
    <w:rsid w:val="007F3162"/>
    <w:rsid w:val="007F50A4"/>
    <w:rsid w:val="008015D2"/>
    <w:rsid w:val="00803A40"/>
    <w:rsid w:val="00804B20"/>
    <w:rsid w:val="00804B93"/>
    <w:rsid w:val="00804EA2"/>
    <w:rsid w:val="0080552D"/>
    <w:rsid w:val="00806B31"/>
    <w:rsid w:val="00807B3F"/>
    <w:rsid w:val="00811363"/>
    <w:rsid w:val="008124F3"/>
    <w:rsid w:val="00812FFC"/>
    <w:rsid w:val="008155DB"/>
    <w:rsid w:val="00815681"/>
    <w:rsid w:val="00817077"/>
    <w:rsid w:val="0082354F"/>
    <w:rsid w:val="008247C3"/>
    <w:rsid w:val="00825478"/>
    <w:rsid w:val="00826B4E"/>
    <w:rsid w:val="0082700F"/>
    <w:rsid w:val="0083007C"/>
    <w:rsid w:val="00830C54"/>
    <w:rsid w:val="00830E90"/>
    <w:rsid w:val="008318F1"/>
    <w:rsid w:val="0083482E"/>
    <w:rsid w:val="00835239"/>
    <w:rsid w:val="00836010"/>
    <w:rsid w:val="00837FB3"/>
    <w:rsid w:val="00844445"/>
    <w:rsid w:val="0084490C"/>
    <w:rsid w:val="0084495C"/>
    <w:rsid w:val="008458C3"/>
    <w:rsid w:val="00845AA7"/>
    <w:rsid w:val="00845EFE"/>
    <w:rsid w:val="008476FD"/>
    <w:rsid w:val="0085161A"/>
    <w:rsid w:val="008522ED"/>
    <w:rsid w:val="00853398"/>
    <w:rsid w:val="0086053F"/>
    <w:rsid w:val="00860DC0"/>
    <w:rsid w:val="00863B8C"/>
    <w:rsid w:val="008654B9"/>
    <w:rsid w:val="00865B6D"/>
    <w:rsid w:val="00866218"/>
    <w:rsid w:val="00870BEA"/>
    <w:rsid w:val="00870D1C"/>
    <w:rsid w:val="00870E85"/>
    <w:rsid w:val="00870ED3"/>
    <w:rsid w:val="008713A5"/>
    <w:rsid w:val="008803C8"/>
    <w:rsid w:val="00881B57"/>
    <w:rsid w:val="00882496"/>
    <w:rsid w:val="008825C2"/>
    <w:rsid w:val="008841DB"/>
    <w:rsid w:val="0088539F"/>
    <w:rsid w:val="00885D7C"/>
    <w:rsid w:val="008928D2"/>
    <w:rsid w:val="008A1A5F"/>
    <w:rsid w:val="008A22ED"/>
    <w:rsid w:val="008A5356"/>
    <w:rsid w:val="008A5534"/>
    <w:rsid w:val="008A5643"/>
    <w:rsid w:val="008A711A"/>
    <w:rsid w:val="008A7848"/>
    <w:rsid w:val="008B0046"/>
    <w:rsid w:val="008B017F"/>
    <w:rsid w:val="008B1DD5"/>
    <w:rsid w:val="008B2C90"/>
    <w:rsid w:val="008B5B9B"/>
    <w:rsid w:val="008B6112"/>
    <w:rsid w:val="008B6359"/>
    <w:rsid w:val="008B66D2"/>
    <w:rsid w:val="008B7528"/>
    <w:rsid w:val="008C0503"/>
    <w:rsid w:val="008C0F09"/>
    <w:rsid w:val="008C228A"/>
    <w:rsid w:val="008C49A6"/>
    <w:rsid w:val="008C56F8"/>
    <w:rsid w:val="008D0E01"/>
    <w:rsid w:val="008D217C"/>
    <w:rsid w:val="008D247D"/>
    <w:rsid w:val="008D2560"/>
    <w:rsid w:val="008D5A28"/>
    <w:rsid w:val="008D69CE"/>
    <w:rsid w:val="008E1C9F"/>
    <w:rsid w:val="008E25C7"/>
    <w:rsid w:val="008E445F"/>
    <w:rsid w:val="008E75FC"/>
    <w:rsid w:val="008E7EB4"/>
    <w:rsid w:val="008F07CE"/>
    <w:rsid w:val="008F458F"/>
    <w:rsid w:val="008F6AA0"/>
    <w:rsid w:val="00910F17"/>
    <w:rsid w:val="00911D5A"/>
    <w:rsid w:val="009135F9"/>
    <w:rsid w:val="009145A2"/>
    <w:rsid w:val="00915A33"/>
    <w:rsid w:val="00916060"/>
    <w:rsid w:val="00916AAA"/>
    <w:rsid w:val="009170CC"/>
    <w:rsid w:val="00921D12"/>
    <w:rsid w:val="00922097"/>
    <w:rsid w:val="009222AD"/>
    <w:rsid w:val="00924CC9"/>
    <w:rsid w:val="0092540E"/>
    <w:rsid w:val="00926BB2"/>
    <w:rsid w:val="0093075A"/>
    <w:rsid w:val="0093196C"/>
    <w:rsid w:val="00931BC1"/>
    <w:rsid w:val="00932043"/>
    <w:rsid w:val="00932D57"/>
    <w:rsid w:val="00936123"/>
    <w:rsid w:val="009363A0"/>
    <w:rsid w:val="0093761D"/>
    <w:rsid w:val="009403D0"/>
    <w:rsid w:val="00942E7F"/>
    <w:rsid w:val="0095037A"/>
    <w:rsid w:val="009520C1"/>
    <w:rsid w:val="009533A5"/>
    <w:rsid w:val="00953841"/>
    <w:rsid w:val="00954943"/>
    <w:rsid w:val="0095673C"/>
    <w:rsid w:val="00956A1C"/>
    <w:rsid w:val="00962B7F"/>
    <w:rsid w:val="0096655C"/>
    <w:rsid w:val="009665AD"/>
    <w:rsid w:val="00972185"/>
    <w:rsid w:val="00972227"/>
    <w:rsid w:val="009732D4"/>
    <w:rsid w:val="00974ACA"/>
    <w:rsid w:val="0097535E"/>
    <w:rsid w:val="00975C92"/>
    <w:rsid w:val="00975F78"/>
    <w:rsid w:val="00984308"/>
    <w:rsid w:val="00984B4D"/>
    <w:rsid w:val="00985A96"/>
    <w:rsid w:val="009924AC"/>
    <w:rsid w:val="00992809"/>
    <w:rsid w:val="009965FD"/>
    <w:rsid w:val="0099794A"/>
    <w:rsid w:val="00997B46"/>
    <w:rsid w:val="00997DB1"/>
    <w:rsid w:val="00997F76"/>
    <w:rsid w:val="009A198B"/>
    <w:rsid w:val="009B2935"/>
    <w:rsid w:val="009C19B4"/>
    <w:rsid w:val="009C2504"/>
    <w:rsid w:val="009C2EC8"/>
    <w:rsid w:val="009C4C28"/>
    <w:rsid w:val="009D1F0D"/>
    <w:rsid w:val="009D3E18"/>
    <w:rsid w:val="009E216B"/>
    <w:rsid w:val="009E6405"/>
    <w:rsid w:val="009F2795"/>
    <w:rsid w:val="009F2989"/>
    <w:rsid w:val="009F2DFF"/>
    <w:rsid w:val="009F665E"/>
    <w:rsid w:val="009F79EF"/>
    <w:rsid w:val="00A00162"/>
    <w:rsid w:val="00A0071B"/>
    <w:rsid w:val="00A01D19"/>
    <w:rsid w:val="00A03AB9"/>
    <w:rsid w:val="00A047B5"/>
    <w:rsid w:val="00A0568A"/>
    <w:rsid w:val="00A07FC3"/>
    <w:rsid w:val="00A10194"/>
    <w:rsid w:val="00A122B0"/>
    <w:rsid w:val="00A14B1D"/>
    <w:rsid w:val="00A15209"/>
    <w:rsid w:val="00A152C7"/>
    <w:rsid w:val="00A159F9"/>
    <w:rsid w:val="00A15E5C"/>
    <w:rsid w:val="00A160F2"/>
    <w:rsid w:val="00A16AE2"/>
    <w:rsid w:val="00A208EB"/>
    <w:rsid w:val="00A22BB0"/>
    <w:rsid w:val="00A26AEF"/>
    <w:rsid w:val="00A305CC"/>
    <w:rsid w:val="00A32B98"/>
    <w:rsid w:val="00A358FD"/>
    <w:rsid w:val="00A37033"/>
    <w:rsid w:val="00A37816"/>
    <w:rsid w:val="00A40D5C"/>
    <w:rsid w:val="00A43FF9"/>
    <w:rsid w:val="00A450CC"/>
    <w:rsid w:val="00A45615"/>
    <w:rsid w:val="00A46297"/>
    <w:rsid w:val="00A4657A"/>
    <w:rsid w:val="00A469B5"/>
    <w:rsid w:val="00A51D19"/>
    <w:rsid w:val="00A55057"/>
    <w:rsid w:val="00A56BEA"/>
    <w:rsid w:val="00A60055"/>
    <w:rsid w:val="00A62037"/>
    <w:rsid w:val="00A64327"/>
    <w:rsid w:val="00A66958"/>
    <w:rsid w:val="00A66DF3"/>
    <w:rsid w:val="00A67695"/>
    <w:rsid w:val="00A70675"/>
    <w:rsid w:val="00A70D00"/>
    <w:rsid w:val="00A72227"/>
    <w:rsid w:val="00A75EC2"/>
    <w:rsid w:val="00A82561"/>
    <w:rsid w:val="00A84D39"/>
    <w:rsid w:val="00A84F11"/>
    <w:rsid w:val="00A866E6"/>
    <w:rsid w:val="00A90FA4"/>
    <w:rsid w:val="00A94115"/>
    <w:rsid w:val="00A947D7"/>
    <w:rsid w:val="00A96F6A"/>
    <w:rsid w:val="00AA08EC"/>
    <w:rsid w:val="00AA19BB"/>
    <w:rsid w:val="00AA2735"/>
    <w:rsid w:val="00AA37DB"/>
    <w:rsid w:val="00AB0A7D"/>
    <w:rsid w:val="00AB1F92"/>
    <w:rsid w:val="00AB3FCB"/>
    <w:rsid w:val="00AB533D"/>
    <w:rsid w:val="00AB7A5D"/>
    <w:rsid w:val="00AB7BB7"/>
    <w:rsid w:val="00AC031B"/>
    <w:rsid w:val="00AC199A"/>
    <w:rsid w:val="00AC2996"/>
    <w:rsid w:val="00AC3F07"/>
    <w:rsid w:val="00AC3F83"/>
    <w:rsid w:val="00AC4235"/>
    <w:rsid w:val="00AC55FD"/>
    <w:rsid w:val="00AD31BC"/>
    <w:rsid w:val="00AD62C5"/>
    <w:rsid w:val="00AD6534"/>
    <w:rsid w:val="00AD78E5"/>
    <w:rsid w:val="00AE0E74"/>
    <w:rsid w:val="00AE0FFA"/>
    <w:rsid w:val="00AE15B6"/>
    <w:rsid w:val="00AE287A"/>
    <w:rsid w:val="00AE2D97"/>
    <w:rsid w:val="00AE3364"/>
    <w:rsid w:val="00AE59D9"/>
    <w:rsid w:val="00AE7E64"/>
    <w:rsid w:val="00AF25E3"/>
    <w:rsid w:val="00AF3144"/>
    <w:rsid w:val="00AF47CF"/>
    <w:rsid w:val="00B01A7A"/>
    <w:rsid w:val="00B02043"/>
    <w:rsid w:val="00B02340"/>
    <w:rsid w:val="00B030E2"/>
    <w:rsid w:val="00B05EE3"/>
    <w:rsid w:val="00B067E0"/>
    <w:rsid w:val="00B105D3"/>
    <w:rsid w:val="00B114D3"/>
    <w:rsid w:val="00B12376"/>
    <w:rsid w:val="00B1355F"/>
    <w:rsid w:val="00B15B19"/>
    <w:rsid w:val="00B20154"/>
    <w:rsid w:val="00B212B8"/>
    <w:rsid w:val="00B24DA9"/>
    <w:rsid w:val="00B27510"/>
    <w:rsid w:val="00B31081"/>
    <w:rsid w:val="00B31959"/>
    <w:rsid w:val="00B3501B"/>
    <w:rsid w:val="00B41ACA"/>
    <w:rsid w:val="00B44A68"/>
    <w:rsid w:val="00B458A3"/>
    <w:rsid w:val="00B46846"/>
    <w:rsid w:val="00B51A76"/>
    <w:rsid w:val="00B51CA2"/>
    <w:rsid w:val="00B52C31"/>
    <w:rsid w:val="00B57341"/>
    <w:rsid w:val="00B60553"/>
    <w:rsid w:val="00B64E68"/>
    <w:rsid w:val="00B659DF"/>
    <w:rsid w:val="00B71A97"/>
    <w:rsid w:val="00B73A23"/>
    <w:rsid w:val="00B77BD4"/>
    <w:rsid w:val="00B80300"/>
    <w:rsid w:val="00B81F29"/>
    <w:rsid w:val="00B830BA"/>
    <w:rsid w:val="00B84194"/>
    <w:rsid w:val="00B84421"/>
    <w:rsid w:val="00B9215B"/>
    <w:rsid w:val="00B9522A"/>
    <w:rsid w:val="00B95F6B"/>
    <w:rsid w:val="00B97B6E"/>
    <w:rsid w:val="00BA0BC1"/>
    <w:rsid w:val="00BA1792"/>
    <w:rsid w:val="00BA3189"/>
    <w:rsid w:val="00BA4FF9"/>
    <w:rsid w:val="00BA58FC"/>
    <w:rsid w:val="00BA6EB3"/>
    <w:rsid w:val="00BB1F01"/>
    <w:rsid w:val="00BB27C5"/>
    <w:rsid w:val="00BB387D"/>
    <w:rsid w:val="00BC0D22"/>
    <w:rsid w:val="00BC0D6F"/>
    <w:rsid w:val="00BC10FC"/>
    <w:rsid w:val="00BC27C2"/>
    <w:rsid w:val="00BC2BFB"/>
    <w:rsid w:val="00BC43FF"/>
    <w:rsid w:val="00BC45EB"/>
    <w:rsid w:val="00BC5946"/>
    <w:rsid w:val="00BC69B9"/>
    <w:rsid w:val="00BC6A8D"/>
    <w:rsid w:val="00BD2DB3"/>
    <w:rsid w:val="00BE0C68"/>
    <w:rsid w:val="00BE5F98"/>
    <w:rsid w:val="00BF1BB5"/>
    <w:rsid w:val="00BF22F5"/>
    <w:rsid w:val="00BF5B12"/>
    <w:rsid w:val="00BF6437"/>
    <w:rsid w:val="00C007F6"/>
    <w:rsid w:val="00C0237D"/>
    <w:rsid w:val="00C03925"/>
    <w:rsid w:val="00C04002"/>
    <w:rsid w:val="00C047E7"/>
    <w:rsid w:val="00C06282"/>
    <w:rsid w:val="00C07ED1"/>
    <w:rsid w:val="00C1076B"/>
    <w:rsid w:val="00C108F9"/>
    <w:rsid w:val="00C16BD6"/>
    <w:rsid w:val="00C17D45"/>
    <w:rsid w:val="00C17D9F"/>
    <w:rsid w:val="00C17ED3"/>
    <w:rsid w:val="00C2276F"/>
    <w:rsid w:val="00C23D4E"/>
    <w:rsid w:val="00C23EC1"/>
    <w:rsid w:val="00C2447B"/>
    <w:rsid w:val="00C25632"/>
    <w:rsid w:val="00C312AF"/>
    <w:rsid w:val="00C336E1"/>
    <w:rsid w:val="00C3411D"/>
    <w:rsid w:val="00C3551A"/>
    <w:rsid w:val="00C36E59"/>
    <w:rsid w:val="00C41329"/>
    <w:rsid w:val="00C4177F"/>
    <w:rsid w:val="00C464F8"/>
    <w:rsid w:val="00C500CD"/>
    <w:rsid w:val="00C50E0D"/>
    <w:rsid w:val="00C56099"/>
    <w:rsid w:val="00C56A87"/>
    <w:rsid w:val="00C57B96"/>
    <w:rsid w:val="00C619FF"/>
    <w:rsid w:val="00C62FA1"/>
    <w:rsid w:val="00C66F5F"/>
    <w:rsid w:val="00C72F5E"/>
    <w:rsid w:val="00C737CB"/>
    <w:rsid w:val="00C841CE"/>
    <w:rsid w:val="00C87178"/>
    <w:rsid w:val="00C872D5"/>
    <w:rsid w:val="00C90010"/>
    <w:rsid w:val="00C9399F"/>
    <w:rsid w:val="00C94A49"/>
    <w:rsid w:val="00C94DCF"/>
    <w:rsid w:val="00C94E06"/>
    <w:rsid w:val="00C94E0E"/>
    <w:rsid w:val="00C9694D"/>
    <w:rsid w:val="00C96E5E"/>
    <w:rsid w:val="00C97019"/>
    <w:rsid w:val="00C97516"/>
    <w:rsid w:val="00CA29DB"/>
    <w:rsid w:val="00CA57DF"/>
    <w:rsid w:val="00CA5A10"/>
    <w:rsid w:val="00CB3E9A"/>
    <w:rsid w:val="00CB3F44"/>
    <w:rsid w:val="00CB6553"/>
    <w:rsid w:val="00CC1195"/>
    <w:rsid w:val="00CC151F"/>
    <w:rsid w:val="00CC1863"/>
    <w:rsid w:val="00CC2E08"/>
    <w:rsid w:val="00CC4BE4"/>
    <w:rsid w:val="00CC793B"/>
    <w:rsid w:val="00CD0116"/>
    <w:rsid w:val="00CD3080"/>
    <w:rsid w:val="00CD3831"/>
    <w:rsid w:val="00CD519A"/>
    <w:rsid w:val="00CD5D60"/>
    <w:rsid w:val="00CE5E8B"/>
    <w:rsid w:val="00CF033B"/>
    <w:rsid w:val="00CF3028"/>
    <w:rsid w:val="00CF6510"/>
    <w:rsid w:val="00CF7B05"/>
    <w:rsid w:val="00CF7E04"/>
    <w:rsid w:val="00D04EA3"/>
    <w:rsid w:val="00D0799F"/>
    <w:rsid w:val="00D15F73"/>
    <w:rsid w:val="00D161B4"/>
    <w:rsid w:val="00D17E48"/>
    <w:rsid w:val="00D2126B"/>
    <w:rsid w:val="00D228BE"/>
    <w:rsid w:val="00D22D14"/>
    <w:rsid w:val="00D25F75"/>
    <w:rsid w:val="00D27DE1"/>
    <w:rsid w:val="00D300A7"/>
    <w:rsid w:val="00D34FA4"/>
    <w:rsid w:val="00D3515D"/>
    <w:rsid w:val="00D40FB3"/>
    <w:rsid w:val="00D4290F"/>
    <w:rsid w:val="00D4387C"/>
    <w:rsid w:val="00D44374"/>
    <w:rsid w:val="00D44DB1"/>
    <w:rsid w:val="00D47D67"/>
    <w:rsid w:val="00D52831"/>
    <w:rsid w:val="00D56C0A"/>
    <w:rsid w:val="00D612FC"/>
    <w:rsid w:val="00D63690"/>
    <w:rsid w:val="00D66CB2"/>
    <w:rsid w:val="00D67897"/>
    <w:rsid w:val="00D7240A"/>
    <w:rsid w:val="00D724D7"/>
    <w:rsid w:val="00D74B7E"/>
    <w:rsid w:val="00D74F9B"/>
    <w:rsid w:val="00D753C8"/>
    <w:rsid w:val="00D77584"/>
    <w:rsid w:val="00D77EF0"/>
    <w:rsid w:val="00D80BBF"/>
    <w:rsid w:val="00D81006"/>
    <w:rsid w:val="00D8110D"/>
    <w:rsid w:val="00D84A02"/>
    <w:rsid w:val="00D85460"/>
    <w:rsid w:val="00D8796B"/>
    <w:rsid w:val="00D92AA6"/>
    <w:rsid w:val="00D94F65"/>
    <w:rsid w:val="00D959D7"/>
    <w:rsid w:val="00D9636A"/>
    <w:rsid w:val="00D96744"/>
    <w:rsid w:val="00D96A48"/>
    <w:rsid w:val="00D97912"/>
    <w:rsid w:val="00D97D95"/>
    <w:rsid w:val="00DA033D"/>
    <w:rsid w:val="00DA3F2E"/>
    <w:rsid w:val="00DA572D"/>
    <w:rsid w:val="00DA5D0D"/>
    <w:rsid w:val="00DA687A"/>
    <w:rsid w:val="00DB0310"/>
    <w:rsid w:val="00DB118C"/>
    <w:rsid w:val="00DB2DC5"/>
    <w:rsid w:val="00DB5B12"/>
    <w:rsid w:val="00DB75C3"/>
    <w:rsid w:val="00DC2B2A"/>
    <w:rsid w:val="00DC2FCC"/>
    <w:rsid w:val="00DC570C"/>
    <w:rsid w:val="00DD0F6D"/>
    <w:rsid w:val="00DD3416"/>
    <w:rsid w:val="00DD4E4B"/>
    <w:rsid w:val="00DD5346"/>
    <w:rsid w:val="00DD64C6"/>
    <w:rsid w:val="00DE2335"/>
    <w:rsid w:val="00DE5226"/>
    <w:rsid w:val="00DE6BEB"/>
    <w:rsid w:val="00DE7C74"/>
    <w:rsid w:val="00DF65D5"/>
    <w:rsid w:val="00DF716C"/>
    <w:rsid w:val="00E00123"/>
    <w:rsid w:val="00E01BDE"/>
    <w:rsid w:val="00E0451F"/>
    <w:rsid w:val="00E04965"/>
    <w:rsid w:val="00E065FC"/>
    <w:rsid w:val="00E1030C"/>
    <w:rsid w:val="00E113C0"/>
    <w:rsid w:val="00E124CB"/>
    <w:rsid w:val="00E1272F"/>
    <w:rsid w:val="00E12BF9"/>
    <w:rsid w:val="00E13541"/>
    <w:rsid w:val="00E14D72"/>
    <w:rsid w:val="00E15BE8"/>
    <w:rsid w:val="00E16AFB"/>
    <w:rsid w:val="00E21E01"/>
    <w:rsid w:val="00E22ADE"/>
    <w:rsid w:val="00E23CFA"/>
    <w:rsid w:val="00E2405A"/>
    <w:rsid w:val="00E240FE"/>
    <w:rsid w:val="00E24DAC"/>
    <w:rsid w:val="00E30739"/>
    <w:rsid w:val="00E322C0"/>
    <w:rsid w:val="00E3341A"/>
    <w:rsid w:val="00E4740E"/>
    <w:rsid w:val="00E53839"/>
    <w:rsid w:val="00E566E4"/>
    <w:rsid w:val="00E57E63"/>
    <w:rsid w:val="00E60B70"/>
    <w:rsid w:val="00E60C03"/>
    <w:rsid w:val="00E62A0F"/>
    <w:rsid w:val="00E62C0E"/>
    <w:rsid w:val="00E651F2"/>
    <w:rsid w:val="00E65CBA"/>
    <w:rsid w:val="00E66EDF"/>
    <w:rsid w:val="00E67C6B"/>
    <w:rsid w:val="00E70186"/>
    <w:rsid w:val="00E77478"/>
    <w:rsid w:val="00E8014D"/>
    <w:rsid w:val="00E804F8"/>
    <w:rsid w:val="00E809FD"/>
    <w:rsid w:val="00E829A2"/>
    <w:rsid w:val="00E83ADE"/>
    <w:rsid w:val="00E83E25"/>
    <w:rsid w:val="00E85324"/>
    <w:rsid w:val="00E854D2"/>
    <w:rsid w:val="00E866D6"/>
    <w:rsid w:val="00E90876"/>
    <w:rsid w:val="00E91099"/>
    <w:rsid w:val="00E93D5E"/>
    <w:rsid w:val="00E9434C"/>
    <w:rsid w:val="00EA0357"/>
    <w:rsid w:val="00EA27B3"/>
    <w:rsid w:val="00EA6BF0"/>
    <w:rsid w:val="00EB1E7F"/>
    <w:rsid w:val="00EB2024"/>
    <w:rsid w:val="00EC0F11"/>
    <w:rsid w:val="00ED0078"/>
    <w:rsid w:val="00ED0B51"/>
    <w:rsid w:val="00ED1D91"/>
    <w:rsid w:val="00ED24BD"/>
    <w:rsid w:val="00ED4153"/>
    <w:rsid w:val="00ED5251"/>
    <w:rsid w:val="00ED59D7"/>
    <w:rsid w:val="00ED64E9"/>
    <w:rsid w:val="00ED6A4C"/>
    <w:rsid w:val="00ED7D96"/>
    <w:rsid w:val="00EE0E06"/>
    <w:rsid w:val="00EF169A"/>
    <w:rsid w:val="00EF40BB"/>
    <w:rsid w:val="00EF4430"/>
    <w:rsid w:val="00EF5C0C"/>
    <w:rsid w:val="00F00627"/>
    <w:rsid w:val="00F0354E"/>
    <w:rsid w:val="00F049B6"/>
    <w:rsid w:val="00F05FC6"/>
    <w:rsid w:val="00F101EC"/>
    <w:rsid w:val="00F11C5F"/>
    <w:rsid w:val="00F14172"/>
    <w:rsid w:val="00F14345"/>
    <w:rsid w:val="00F14761"/>
    <w:rsid w:val="00F2067F"/>
    <w:rsid w:val="00F221C2"/>
    <w:rsid w:val="00F23B04"/>
    <w:rsid w:val="00F245AF"/>
    <w:rsid w:val="00F25ABA"/>
    <w:rsid w:val="00F2628B"/>
    <w:rsid w:val="00F308CF"/>
    <w:rsid w:val="00F364DB"/>
    <w:rsid w:val="00F3780C"/>
    <w:rsid w:val="00F4269A"/>
    <w:rsid w:val="00F45369"/>
    <w:rsid w:val="00F53DE9"/>
    <w:rsid w:val="00F56C3D"/>
    <w:rsid w:val="00F579EC"/>
    <w:rsid w:val="00F62BE0"/>
    <w:rsid w:val="00F62FDB"/>
    <w:rsid w:val="00F679DE"/>
    <w:rsid w:val="00F71B7F"/>
    <w:rsid w:val="00F7222C"/>
    <w:rsid w:val="00F845C5"/>
    <w:rsid w:val="00F84B14"/>
    <w:rsid w:val="00F85BE8"/>
    <w:rsid w:val="00F873AF"/>
    <w:rsid w:val="00F87C36"/>
    <w:rsid w:val="00F9223D"/>
    <w:rsid w:val="00F92B12"/>
    <w:rsid w:val="00F951E9"/>
    <w:rsid w:val="00FA01C1"/>
    <w:rsid w:val="00FA3BD1"/>
    <w:rsid w:val="00FA5216"/>
    <w:rsid w:val="00FA70CB"/>
    <w:rsid w:val="00FC1634"/>
    <w:rsid w:val="00FC1DCC"/>
    <w:rsid w:val="00FC1FD8"/>
    <w:rsid w:val="00FC33F1"/>
    <w:rsid w:val="00FD1524"/>
    <w:rsid w:val="00FD30EE"/>
    <w:rsid w:val="00FD47F4"/>
    <w:rsid w:val="00FD4FEC"/>
    <w:rsid w:val="00FD5583"/>
    <w:rsid w:val="00FD64F8"/>
    <w:rsid w:val="00FE0073"/>
    <w:rsid w:val="00FF1429"/>
    <w:rsid w:val="00FF19E9"/>
    <w:rsid w:val="00FF4047"/>
    <w:rsid w:val="00FF472B"/>
    <w:rsid w:val="00FF4DE2"/>
    <w:rsid w:val="00FF5488"/>
    <w:rsid w:val="00FF5E03"/>
    <w:rsid w:val="00FF745F"/>
    <w:rsid w:val="00FF7C8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footer" w:uiPriority="99"/>
    <w:lsdException w:name="No Spacing" w:uiPriority="1" w:qFormat="1"/>
    <w:lsdException w:name="List Paragraph" w:uiPriority="34" w:qFormat="1"/>
  </w:latentStyles>
  <w:style w:type="paragraph" w:default="1" w:styleId="Normal">
    <w:name w:val="Normal"/>
    <w:qFormat/>
    <w:rsid w:val="003D3E59"/>
    <w:rPr>
      <w:sz w:val="24"/>
      <w:szCs w:val="24"/>
      <w:lang w:eastAsia="en-US"/>
    </w:rPr>
  </w:style>
  <w:style w:type="paragraph" w:styleId="Heading1">
    <w:name w:val="heading 1"/>
    <w:basedOn w:val="Normal"/>
    <w:next w:val="Normal"/>
    <w:qFormat/>
    <w:rsid w:val="00B57341"/>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B57341"/>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B57341"/>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SubHeading"/>
    <w:rsid w:val="00B57341"/>
    <w:rPr>
      <w:sz w:val="26"/>
    </w:rPr>
  </w:style>
  <w:style w:type="character" w:styleId="Hyperlink">
    <w:name w:val="Hyperlink"/>
    <w:basedOn w:val="DefaultParagraphFont"/>
    <w:rsid w:val="00076969"/>
    <w:rPr>
      <w:color w:val="0000FF"/>
      <w:u w:val="single"/>
    </w:rPr>
  </w:style>
  <w:style w:type="paragraph" w:styleId="FootnoteText">
    <w:name w:val="footnote text"/>
    <w:basedOn w:val="Normal"/>
    <w:semiHidden/>
    <w:rsid w:val="00611A4D"/>
    <w:rPr>
      <w:sz w:val="20"/>
      <w:szCs w:val="20"/>
    </w:rPr>
  </w:style>
  <w:style w:type="paragraph" w:customStyle="1" w:styleId="SubHeading">
    <w:name w:val="Sub Heading"/>
    <w:basedOn w:val="Normal"/>
    <w:next w:val="FootnoteText"/>
    <w:rsid w:val="00B57341"/>
    <w:pPr>
      <w:keepNext/>
      <w:spacing w:before="240" w:after="60"/>
      <w:outlineLvl w:val="0"/>
    </w:pPr>
    <w:rPr>
      <w:rFonts w:cs="Arial"/>
      <w:b/>
      <w:kern w:val="32"/>
      <w:szCs w:val="32"/>
    </w:rPr>
  </w:style>
  <w:style w:type="character" w:styleId="FootnoteReference">
    <w:name w:val="footnote reference"/>
    <w:basedOn w:val="DefaultParagraphFont"/>
    <w:semiHidden/>
    <w:rsid w:val="00611A4D"/>
    <w:rPr>
      <w:vertAlign w:val="superscript"/>
    </w:rPr>
  </w:style>
  <w:style w:type="paragraph" w:styleId="Header">
    <w:name w:val="header"/>
    <w:basedOn w:val="Normal"/>
    <w:rsid w:val="00807B3F"/>
    <w:pPr>
      <w:tabs>
        <w:tab w:val="center" w:pos="4153"/>
        <w:tab w:val="right" w:pos="8306"/>
      </w:tabs>
    </w:pPr>
  </w:style>
  <w:style w:type="paragraph" w:styleId="Footer">
    <w:name w:val="footer"/>
    <w:basedOn w:val="Normal"/>
    <w:link w:val="FooterChar"/>
    <w:uiPriority w:val="99"/>
    <w:rsid w:val="00807B3F"/>
    <w:pPr>
      <w:tabs>
        <w:tab w:val="center" w:pos="4153"/>
        <w:tab w:val="right" w:pos="8306"/>
      </w:tabs>
    </w:pPr>
  </w:style>
  <w:style w:type="character" w:styleId="PageNumber">
    <w:name w:val="page number"/>
    <w:basedOn w:val="DefaultParagraphFont"/>
    <w:rsid w:val="00807B3F"/>
  </w:style>
  <w:style w:type="paragraph" w:styleId="ListParagraph">
    <w:name w:val="List Paragraph"/>
    <w:basedOn w:val="Normal"/>
    <w:uiPriority w:val="34"/>
    <w:qFormat/>
    <w:rsid w:val="001D6126"/>
    <w:pPr>
      <w:ind w:left="720"/>
    </w:pPr>
    <w:rPr>
      <w:sz w:val="20"/>
      <w:szCs w:val="20"/>
      <w:lang w:val="en-US" w:eastAsia="en-AU"/>
    </w:rPr>
  </w:style>
  <w:style w:type="paragraph" w:customStyle="1" w:styleId="Default">
    <w:name w:val="Default"/>
    <w:rsid w:val="00192C56"/>
    <w:pPr>
      <w:autoSpaceDE w:val="0"/>
      <w:autoSpaceDN w:val="0"/>
      <w:adjustRightInd w:val="0"/>
    </w:pPr>
    <w:rPr>
      <w:rFonts w:ascii="Verdana" w:hAnsi="Verdana" w:cs="Verdana"/>
      <w:color w:val="000000"/>
      <w:sz w:val="24"/>
      <w:szCs w:val="24"/>
    </w:rPr>
  </w:style>
  <w:style w:type="paragraph" w:styleId="NoSpacing">
    <w:name w:val="No Spacing"/>
    <w:aliases w:val="Normal bullet list"/>
    <w:uiPriority w:val="1"/>
    <w:qFormat/>
    <w:rsid w:val="008A22ED"/>
    <w:pPr>
      <w:numPr>
        <w:numId w:val="17"/>
      </w:numPr>
      <w:spacing w:after="240"/>
    </w:pPr>
    <w:rPr>
      <w:sz w:val="24"/>
      <w:szCs w:val="24"/>
    </w:rPr>
  </w:style>
  <w:style w:type="character" w:styleId="CommentReference">
    <w:name w:val="annotation reference"/>
    <w:basedOn w:val="DefaultParagraphFont"/>
    <w:rsid w:val="009C4C28"/>
    <w:rPr>
      <w:sz w:val="18"/>
      <w:szCs w:val="18"/>
    </w:rPr>
  </w:style>
  <w:style w:type="paragraph" w:styleId="CommentText">
    <w:name w:val="annotation text"/>
    <w:basedOn w:val="Normal"/>
    <w:link w:val="CommentTextChar"/>
    <w:rsid w:val="009C4C28"/>
  </w:style>
  <w:style w:type="character" w:customStyle="1" w:styleId="CommentTextChar">
    <w:name w:val="Comment Text Char"/>
    <w:basedOn w:val="DefaultParagraphFont"/>
    <w:link w:val="CommentText"/>
    <w:rsid w:val="009C4C28"/>
    <w:rPr>
      <w:rFonts w:ascii="Trebuchet MS" w:hAnsi="Trebuchet MS"/>
      <w:lang w:eastAsia="en-US"/>
    </w:rPr>
  </w:style>
  <w:style w:type="paragraph" w:styleId="CommentSubject">
    <w:name w:val="annotation subject"/>
    <w:basedOn w:val="CommentText"/>
    <w:next w:val="CommentText"/>
    <w:link w:val="CommentSubjectChar"/>
    <w:rsid w:val="009C4C28"/>
    <w:rPr>
      <w:b/>
      <w:bCs/>
      <w:sz w:val="20"/>
      <w:szCs w:val="20"/>
    </w:rPr>
  </w:style>
  <w:style w:type="character" w:customStyle="1" w:styleId="CommentSubjectChar">
    <w:name w:val="Comment Subject Char"/>
    <w:basedOn w:val="CommentTextChar"/>
    <w:link w:val="CommentSubject"/>
    <w:rsid w:val="009C4C28"/>
    <w:rPr>
      <w:rFonts w:ascii="Trebuchet MS" w:hAnsi="Trebuchet MS"/>
      <w:b/>
      <w:bCs/>
      <w:sz w:val="20"/>
      <w:szCs w:val="20"/>
      <w:lang w:eastAsia="en-US"/>
    </w:rPr>
  </w:style>
  <w:style w:type="paragraph" w:styleId="BalloonText">
    <w:name w:val="Balloon Text"/>
    <w:basedOn w:val="Normal"/>
    <w:link w:val="BalloonTextChar"/>
    <w:rsid w:val="009C4C28"/>
    <w:rPr>
      <w:rFonts w:ascii="Lucida Grande" w:hAnsi="Lucida Grande"/>
      <w:sz w:val="18"/>
      <w:szCs w:val="18"/>
    </w:rPr>
  </w:style>
  <w:style w:type="character" w:customStyle="1" w:styleId="BalloonTextChar">
    <w:name w:val="Balloon Text Char"/>
    <w:basedOn w:val="DefaultParagraphFont"/>
    <w:link w:val="BalloonText"/>
    <w:rsid w:val="009C4C28"/>
    <w:rPr>
      <w:rFonts w:ascii="Lucida Grande" w:hAnsi="Lucida Grande"/>
      <w:sz w:val="18"/>
      <w:szCs w:val="18"/>
      <w:lang w:eastAsia="en-US"/>
    </w:rPr>
  </w:style>
  <w:style w:type="paragraph" w:styleId="Revision">
    <w:name w:val="Revision"/>
    <w:hidden/>
    <w:rsid w:val="00AE59D9"/>
    <w:rPr>
      <w:rFonts w:ascii="Trebuchet MS" w:hAnsi="Trebuchet MS"/>
      <w:sz w:val="22"/>
      <w:szCs w:val="24"/>
      <w:lang w:eastAsia="en-US"/>
    </w:rPr>
  </w:style>
  <w:style w:type="character" w:customStyle="1" w:styleId="FooterChar">
    <w:name w:val="Footer Char"/>
    <w:basedOn w:val="DefaultParagraphFont"/>
    <w:link w:val="Footer"/>
    <w:uiPriority w:val="99"/>
    <w:rsid w:val="00A305CC"/>
    <w:rPr>
      <w:sz w:val="24"/>
      <w:szCs w:val="24"/>
      <w:lang w:eastAsia="en-US"/>
    </w:rPr>
  </w:style>
  <w:style w:type="paragraph" w:customStyle="1" w:styleId="IntroTo">
    <w:name w:val="IntroTo:"/>
    <w:basedOn w:val="Normal"/>
    <w:rsid w:val="0045402B"/>
    <w:pPr>
      <w:ind w:left="720" w:hanging="720"/>
    </w:pPr>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footer" w:uiPriority="99"/>
    <w:lsdException w:name="No Spacing" w:uiPriority="1" w:qFormat="1"/>
    <w:lsdException w:name="List Paragraph" w:uiPriority="34" w:qFormat="1"/>
  </w:latentStyles>
  <w:style w:type="paragraph" w:default="1" w:styleId="Normal">
    <w:name w:val="Normal"/>
    <w:qFormat/>
    <w:rsid w:val="003D3E59"/>
    <w:rPr>
      <w:sz w:val="24"/>
      <w:szCs w:val="24"/>
      <w:lang w:eastAsia="en-US"/>
    </w:rPr>
  </w:style>
  <w:style w:type="paragraph" w:styleId="Heading1">
    <w:name w:val="heading 1"/>
    <w:basedOn w:val="Normal"/>
    <w:next w:val="Normal"/>
    <w:qFormat/>
    <w:rsid w:val="00B57341"/>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B57341"/>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B57341"/>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SubHeading"/>
    <w:rsid w:val="00B57341"/>
    <w:rPr>
      <w:sz w:val="26"/>
    </w:rPr>
  </w:style>
  <w:style w:type="character" w:styleId="Hyperlink">
    <w:name w:val="Hyperlink"/>
    <w:basedOn w:val="DefaultParagraphFont"/>
    <w:rsid w:val="00076969"/>
    <w:rPr>
      <w:color w:val="0000FF"/>
      <w:u w:val="single"/>
    </w:rPr>
  </w:style>
  <w:style w:type="paragraph" w:styleId="FootnoteText">
    <w:name w:val="footnote text"/>
    <w:basedOn w:val="Normal"/>
    <w:semiHidden/>
    <w:rsid w:val="00611A4D"/>
    <w:rPr>
      <w:sz w:val="20"/>
      <w:szCs w:val="20"/>
    </w:rPr>
  </w:style>
  <w:style w:type="paragraph" w:customStyle="1" w:styleId="SubHeading">
    <w:name w:val="Sub Heading"/>
    <w:basedOn w:val="Normal"/>
    <w:next w:val="FootnoteText"/>
    <w:rsid w:val="00B57341"/>
    <w:pPr>
      <w:keepNext/>
      <w:spacing w:before="240" w:after="60"/>
      <w:outlineLvl w:val="0"/>
    </w:pPr>
    <w:rPr>
      <w:rFonts w:cs="Arial"/>
      <w:b/>
      <w:kern w:val="32"/>
      <w:szCs w:val="32"/>
    </w:rPr>
  </w:style>
  <w:style w:type="character" w:styleId="FootnoteReference">
    <w:name w:val="footnote reference"/>
    <w:basedOn w:val="DefaultParagraphFont"/>
    <w:semiHidden/>
    <w:rsid w:val="00611A4D"/>
    <w:rPr>
      <w:vertAlign w:val="superscript"/>
    </w:rPr>
  </w:style>
  <w:style w:type="paragraph" w:styleId="Header">
    <w:name w:val="header"/>
    <w:basedOn w:val="Normal"/>
    <w:rsid w:val="00807B3F"/>
    <w:pPr>
      <w:tabs>
        <w:tab w:val="center" w:pos="4153"/>
        <w:tab w:val="right" w:pos="8306"/>
      </w:tabs>
    </w:pPr>
  </w:style>
  <w:style w:type="paragraph" w:styleId="Footer">
    <w:name w:val="footer"/>
    <w:basedOn w:val="Normal"/>
    <w:link w:val="FooterChar"/>
    <w:uiPriority w:val="99"/>
    <w:rsid w:val="00807B3F"/>
    <w:pPr>
      <w:tabs>
        <w:tab w:val="center" w:pos="4153"/>
        <w:tab w:val="right" w:pos="8306"/>
      </w:tabs>
    </w:pPr>
  </w:style>
  <w:style w:type="character" w:styleId="PageNumber">
    <w:name w:val="page number"/>
    <w:basedOn w:val="DefaultParagraphFont"/>
    <w:rsid w:val="00807B3F"/>
  </w:style>
  <w:style w:type="paragraph" w:styleId="ListParagraph">
    <w:name w:val="List Paragraph"/>
    <w:basedOn w:val="Normal"/>
    <w:uiPriority w:val="34"/>
    <w:qFormat/>
    <w:rsid w:val="001D6126"/>
    <w:pPr>
      <w:ind w:left="720"/>
    </w:pPr>
    <w:rPr>
      <w:sz w:val="20"/>
      <w:szCs w:val="20"/>
      <w:lang w:val="en-US" w:eastAsia="en-AU"/>
    </w:rPr>
  </w:style>
  <w:style w:type="paragraph" w:customStyle="1" w:styleId="Default">
    <w:name w:val="Default"/>
    <w:rsid w:val="00192C56"/>
    <w:pPr>
      <w:autoSpaceDE w:val="0"/>
      <w:autoSpaceDN w:val="0"/>
      <w:adjustRightInd w:val="0"/>
    </w:pPr>
    <w:rPr>
      <w:rFonts w:ascii="Verdana" w:hAnsi="Verdana" w:cs="Verdana"/>
      <w:color w:val="000000"/>
      <w:sz w:val="24"/>
      <w:szCs w:val="24"/>
    </w:rPr>
  </w:style>
  <w:style w:type="paragraph" w:styleId="NoSpacing">
    <w:name w:val="No Spacing"/>
    <w:aliases w:val="Normal bullet list"/>
    <w:uiPriority w:val="1"/>
    <w:qFormat/>
    <w:rsid w:val="008A22ED"/>
    <w:pPr>
      <w:numPr>
        <w:numId w:val="17"/>
      </w:numPr>
      <w:spacing w:after="240"/>
    </w:pPr>
    <w:rPr>
      <w:sz w:val="24"/>
      <w:szCs w:val="24"/>
    </w:rPr>
  </w:style>
  <w:style w:type="character" w:styleId="CommentReference">
    <w:name w:val="annotation reference"/>
    <w:basedOn w:val="DefaultParagraphFont"/>
    <w:rsid w:val="009C4C28"/>
    <w:rPr>
      <w:sz w:val="18"/>
      <w:szCs w:val="18"/>
    </w:rPr>
  </w:style>
  <w:style w:type="paragraph" w:styleId="CommentText">
    <w:name w:val="annotation text"/>
    <w:basedOn w:val="Normal"/>
    <w:link w:val="CommentTextChar"/>
    <w:rsid w:val="009C4C28"/>
  </w:style>
  <w:style w:type="character" w:customStyle="1" w:styleId="CommentTextChar">
    <w:name w:val="Comment Text Char"/>
    <w:basedOn w:val="DefaultParagraphFont"/>
    <w:link w:val="CommentText"/>
    <w:rsid w:val="009C4C28"/>
    <w:rPr>
      <w:rFonts w:ascii="Trebuchet MS" w:hAnsi="Trebuchet MS"/>
      <w:lang w:eastAsia="en-US"/>
    </w:rPr>
  </w:style>
  <w:style w:type="paragraph" w:styleId="CommentSubject">
    <w:name w:val="annotation subject"/>
    <w:basedOn w:val="CommentText"/>
    <w:next w:val="CommentText"/>
    <w:link w:val="CommentSubjectChar"/>
    <w:rsid w:val="009C4C28"/>
    <w:rPr>
      <w:b/>
      <w:bCs/>
      <w:sz w:val="20"/>
      <w:szCs w:val="20"/>
    </w:rPr>
  </w:style>
  <w:style w:type="character" w:customStyle="1" w:styleId="CommentSubjectChar">
    <w:name w:val="Comment Subject Char"/>
    <w:basedOn w:val="CommentTextChar"/>
    <w:link w:val="CommentSubject"/>
    <w:rsid w:val="009C4C28"/>
    <w:rPr>
      <w:rFonts w:ascii="Trebuchet MS" w:hAnsi="Trebuchet MS"/>
      <w:b/>
      <w:bCs/>
      <w:sz w:val="20"/>
      <w:szCs w:val="20"/>
      <w:lang w:eastAsia="en-US"/>
    </w:rPr>
  </w:style>
  <w:style w:type="paragraph" w:styleId="BalloonText">
    <w:name w:val="Balloon Text"/>
    <w:basedOn w:val="Normal"/>
    <w:link w:val="BalloonTextChar"/>
    <w:rsid w:val="009C4C28"/>
    <w:rPr>
      <w:rFonts w:ascii="Lucida Grande" w:hAnsi="Lucida Grande"/>
      <w:sz w:val="18"/>
      <w:szCs w:val="18"/>
    </w:rPr>
  </w:style>
  <w:style w:type="character" w:customStyle="1" w:styleId="BalloonTextChar">
    <w:name w:val="Balloon Text Char"/>
    <w:basedOn w:val="DefaultParagraphFont"/>
    <w:link w:val="BalloonText"/>
    <w:rsid w:val="009C4C28"/>
    <w:rPr>
      <w:rFonts w:ascii="Lucida Grande" w:hAnsi="Lucida Grande"/>
      <w:sz w:val="18"/>
      <w:szCs w:val="18"/>
      <w:lang w:eastAsia="en-US"/>
    </w:rPr>
  </w:style>
  <w:style w:type="paragraph" w:styleId="Revision">
    <w:name w:val="Revision"/>
    <w:hidden/>
    <w:rsid w:val="00AE59D9"/>
    <w:rPr>
      <w:rFonts w:ascii="Trebuchet MS" w:hAnsi="Trebuchet MS"/>
      <w:sz w:val="22"/>
      <w:szCs w:val="24"/>
      <w:lang w:eastAsia="en-US"/>
    </w:rPr>
  </w:style>
  <w:style w:type="character" w:customStyle="1" w:styleId="FooterChar">
    <w:name w:val="Footer Char"/>
    <w:basedOn w:val="DefaultParagraphFont"/>
    <w:link w:val="Footer"/>
    <w:uiPriority w:val="99"/>
    <w:rsid w:val="00A305CC"/>
    <w:rPr>
      <w:sz w:val="24"/>
      <w:szCs w:val="24"/>
      <w:lang w:eastAsia="en-US"/>
    </w:rPr>
  </w:style>
  <w:style w:type="paragraph" w:customStyle="1" w:styleId="IntroTo">
    <w:name w:val="IntroTo:"/>
    <w:basedOn w:val="Normal"/>
    <w:rsid w:val="0045402B"/>
    <w:pPr>
      <w:ind w:left="720" w:hanging="720"/>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4041492">
      <w:bodyDiv w:val="1"/>
      <w:marLeft w:val="0"/>
      <w:marRight w:val="0"/>
      <w:marTop w:val="0"/>
      <w:marBottom w:val="0"/>
      <w:divBdr>
        <w:top w:val="none" w:sz="0" w:space="0" w:color="auto"/>
        <w:left w:val="none" w:sz="0" w:space="0" w:color="auto"/>
        <w:bottom w:val="none" w:sz="0" w:space="0" w:color="auto"/>
        <w:right w:val="none" w:sz="0" w:space="0" w:color="auto"/>
      </w:divBdr>
      <w:divsChild>
        <w:div w:id="1537694850">
          <w:marLeft w:val="0"/>
          <w:marRight w:val="0"/>
          <w:marTop w:val="0"/>
          <w:marBottom w:val="0"/>
          <w:divBdr>
            <w:top w:val="none" w:sz="0" w:space="0" w:color="auto"/>
            <w:left w:val="none" w:sz="0" w:space="0" w:color="auto"/>
            <w:bottom w:val="none" w:sz="0" w:space="0" w:color="auto"/>
            <w:right w:val="none" w:sz="0" w:space="0" w:color="auto"/>
          </w:divBdr>
          <w:divsChild>
            <w:div w:id="914516308">
              <w:marLeft w:val="0"/>
              <w:marRight w:val="0"/>
              <w:marTop w:val="0"/>
              <w:marBottom w:val="0"/>
              <w:divBdr>
                <w:top w:val="none" w:sz="0" w:space="0" w:color="auto"/>
                <w:left w:val="none" w:sz="0" w:space="0" w:color="auto"/>
                <w:bottom w:val="none" w:sz="0" w:space="0" w:color="auto"/>
                <w:right w:val="none" w:sz="0" w:space="0" w:color="auto"/>
              </w:divBdr>
              <w:divsChild>
                <w:div w:id="274875551">
                  <w:marLeft w:val="0"/>
                  <w:marRight w:val="0"/>
                  <w:marTop w:val="0"/>
                  <w:marBottom w:val="0"/>
                  <w:divBdr>
                    <w:top w:val="none" w:sz="0" w:space="0" w:color="auto"/>
                    <w:left w:val="none" w:sz="0" w:space="0" w:color="auto"/>
                    <w:bottom w:val="none" w:sz="0" w:space="0" w:color="auto"/>
                    <w:right w:val="none" w:sz="0" w:space="0" w:color="auto"/>
                  </w:divBdr>
                  <w:divsChild>
                    <w:div w:id="310063852">
                      <w:marLeft w:val="0"/>
                      <w:marRight w:val="0"/>
                      <w:marTop w:val="0"/>
                      <w:marBottom w:val="0"/>
                      <w:divBdr>
                        <w:top w:val="none" w:sz="0" w:space="0" w:color="auto"/>
                        <w:left w:val="none" w:sz="0" w:space="0" w:color="auto"/>
                        <w:bottom w:val="none" w:sz="0" w:space="0" w:color="auto"/>
                        <w:right w:val="none" w:sz="0" w:space="0" w:color="auto"/>
                      </w:divBdr>
                      <w:divsChild>
                        <w:div w:id="590356606">
                          <w:marLeft w:val="0"/>
                          <w:marRight w:val="0"/>
                          <w:marTop w:val="0"/>
                          <w:marBottom w:val="0"/>
                          <w:divBdr>
                            <w:top w:val="single" w:sz="6" w:space="0" w:color="828282"/>
                            <w:left w:val="single" w:sz="6" w:space="0" w:color="828282"/>
                            <w:bottom w:val="single" w:sz="6" w:space="0" w:color="828282"/>
                            <w:right w:val="single" w:sz="6" w:space="0" w:color="828282"/>
                          </w:divBdr>
                          <w:divsChild>
                            <w:div w:id="1459638715">
                              <w:marLeft w:val="0"/>
                              <w:marRight w:val="0"/>
                              <w:marTop w:val="0"/>
                              <w:marBottom w:val="0"/>
                              <w:divBdr>
                                <w:top w:val="none" w:sz="0" w:space="0" w:color="auto"/>
                                <w:left w:val="none" w:sz="0" w:space="0" w:color="auto"/>
                                <w:bottom w:val="none" w:sz="0" w:space="0" w:color="auto"/>
                                <w:right w:val="none" w:sz="0" w:space="0" w:color="auto"/>
                              </w:divBdr>
                              <w:divsChild>
                                <w:div w:id="1337422932">
                                  <w:marLeft w:val="0"/>
                                  <w:marRight w:val="0"/>
                                  <w:marTop w:val="0"/>
                                  <w:marBottom w:val="0"/>
                                  <w:divBdr>
                                    <w:top w:val="none" w:sz="0" w:space="0" w:color="auto"/>
                                    <w:left w:val="none" w:sz="0" w:space="0" w:color="auto"/>
                                    <w:bottom w:val="none" w:sz="0" w:space="0" w:color="auto"/>
                                    <w:right w:val="none" w:sz="0" w:space="0" w:color="auto"/>
                                  </w:divBdr>
                                  <w:divsChild>
                                    <w:div w:id="1331905773">
                                      <w:marLeft w:val="0"/>
                                      <w:marRight w:val="0"/>
                                      <w:marTop w:val="0"/>
                                      <w:marBottom w:val="0"/>
                                      <w:divBdr>
                                        <w:top w:val="none" w:sz="0" w:space="0" w:color="auto"/>
                                        <w:left w:val="none" w:sz="0" w:space="0" w:color="auto"/>
                                        <w:bottom w:val="none" w:sz="0" w:space="0" w:color="auto"/>
                                        <w:right w:val="none" w:sz="0" w:space="0" w:color="auto"/>
                                      </w:divBdr>
                                      <w:divsChild>
                                        <w:div w:id="1899785669">
                                          <w:marLeft w:val="0"/>
                                          <w:marRight w:val="0"/>
                                          <w:marTop w:val="0"/>
                                          <w:marBottom w:val="0"/>
                                          <w:divBdr>
                                            <w:top w:val="none" w:sz="0" w:space="0" w:color="auto"/>
                                            <w:left w:val="none" w:sz="0" w:space="0" w:color="auto"/>
                                            <w:bottom w:val="none" w:sz="0" w:space="0" w:color="auto"/>
                                            <w:right w:val="none" w:sz="0" w:space="0" w:color="auto"/>
                                          </w:divBdr>
                                          <w:divsChild>
                                            <w:div w:id="1468937946">
                                              <w:marLeft w:val="0"/>
                                              <w:marRight w:val="0"/>
                                              <w:marTop w:val="0"/>
                                              <w:marBottom w:val="0"/>
                                              <w:divBdr>
                                                <w:top w:val="none" w:sz="0" w:space="0" w:color="auto"/>
                                                <w:left w:val="none" w:sz="0" w:space="0" w:color="auto"/>
                                                <w:bottom w:val="none" w:sz="0" w:space="0" w:color="auto"/>
                                                <w:right w:val="none" w:sz="0" w:space="0" w:color="auto"/>
                                              </w:divBdr>
                                              <w:divsChild>
                                                <w:div w:id="2055501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37941763">
      <w:bodyDiv w:val="1"/>
      <w:marLeft w:val="0"/>
      <w:marRight w:val="0"/>
      <w:marTop w:val="0"/>
      <w:marBottom w:val="0"/>
      <w:divBdr>
        <w:top w:val="none" w:sz="0" w:space="0" w:color="auto"/>
        <w:left w:val="none" w:sz="0" w:space="0" w:color="auto"/>
        <w:bottom w:val="none" w:sz="0" w:space="0" w:color="auto"/>
        <w:right w:val="none" w:sz="0" w:space="0" w:color="auto"/>
      </w:divBdr>
    </w:div>
    <w:div w:id="1141457916">
      <w:bodyDiv w:val="1"/>
      <w:marLeft w:val="0"/>
      <w:marRight w:val="0"/>
      <w:marTop w:val="0"/>
      <w:marBottom w:val="0"/>
      <w:divBdr>
        <w:top w:val="none" w:sz="0" w:space="0" w:color="auto"/>
        <w:left w:val="none" w:sz="0" w:space="0" w:color="auto"/>
        <w:bottom w:val="none" w:sz="0" w:space="0" w:color="auto"/>
        <w:right w:val="none" w:sz="0" w:space="0" w:color="auto"/>
      </w:divBdr>
    </w:div>
    <w:div w:id="1605577217">
      <w:bodyDiv w:val="1"/>
      <w:marLeft w:val="0"/>
      <w:marRight w:val="0"/>
      <w:marTop w:val="0"/>
      <w:marBottom w:val="0"/>
      <w:divBdr>
        <w:top w:val="none" w:sz="0" w:space="0" w:color="auto"/>
        <w:left w:val="none" w:sz="0" w:space="0" w:color="auto"/>
        <w:bottom w:val="none" w:sz="0" w:space="0" w:color="auto"/>
        <w:right w:val="none" w:sz="0" w:space="0" w:color="auto"/>
      </w:divBdr>
      <w:divsChild>
        <w:div w:id="7491131">
          <w:marLeft w:val="0"/>
          <w:marRight w:val="0"/>
          <w:marTop w:val="0"/>
          <w:marBottom w:val="0"/>
          <w:divBdr>
            <w:top w:val="none" w:sz="0" w:space="0" w:color="auto"/>
            <w:left w:val="none" w:sz="0" w:space="0" w:color="auto"/>
            <w:bottom w:val="none" w:sz="0" w:space="0" w:color="auto"/>
            <w:right w:val="none" w:sz="0" w:space="0" w:color="auto"/>
          </w:divBdr>
          <w:divsChild>
            <w:div w:id="832139205">
              <w:marLeft w:val="0"/>
              <w:marRight w:val="0"/>
              <w:marTop w:val="0"/>
              <w:marBottom w:val="0"/>
              <w:divBdr>
                <w:top w:val="none" w:sz="0" w:space="0" w:color="auto"/>
                <w:left w:val="none" w:sz="0" w:space="0" w:color="auto"/>
                <w:bottom w:val="none" w:sz="0" w:space="0" w:color="auto"/>
                <w:right w:val="none" w:sz="0" w:space="0" w:color="auto"/>
              </w:divBdr>
              <w:divsChild>
                <w:div w:id="1218781037">
                  <w:marLeft w:val="0"/>
                  <w:marRight w:val="0"/>
                  <w:marTop w:val="0"/>
                  <w:marBottom w:val="0"/>
                  <w:divBdr>
                    <w:top w:val="none" w:sz="0" w:space="0" w:color="auto"/>
                    <w:left w:val="none" w:sz="0" w:space="0" w:color="auto"/>
                    <w:bottom w:val="none" w:sz="0" w:space="0" w:color="auto"/>
                    <w:right w:val="none" w:sz="0" w:space="0" w:color="auto"/>
                  </w:divBdr>
                  <w:divsChild>
                    <w:div w:id="1921476847">
                      <w:marLeft w:val="0"/>
                      <w:marRight w:val="0"/>
                      <w:marTop w:val="0"/>
                      <w:marBottom w:val="0"/>
                      <w:divBdr>
                        <w:top w:val="none" w:sz="0" w:space="0" w:color="auto"/>
                        <w:left w:val="none" w:sz="0" w:space="0" w:color="auto"/>
                        <w:bottom w:val="none" w:sz="0" w:space="0" w:color="auto"/>
                        <w:right w:val="none" w:sz="0" w:space="0" w:color="auto"/>
                      </w:divBdr>
                      <w:divsChild>
                        <w:div w:id="1051002643">
                          <w:marLeft w:val="0"/>
                          <w:marRight w:val="0"/>
                          <w:marTop w:val="0"/>
                          <w:marBottom w:val="0"/>
                          <w:divBdr>
                            <w:top w:val="single" w:sz="6" w:space="0" w:color="828282"/>
                            <w:left w:val="single" w:sz="6" w:space="0" w:color="828282"/>
                            <w:bottom w:val="single" w:sz="6" w:space="0" w:color="828282"/>
                            <w:right w:val="single" w:sz="6" w:space="0" w:color="828282"/>
                          </w:divBdr>
                          <w:divsChild>
                            <w:div w:id="210923833">
                              <w:marLeft w:val="0"/>
                              <w:marRight w:val="0"/>
                              <w:marTop w:val="0"/>
                              <w:marBottom w:val="0"/>
                              <w:divBdr>
                                <w:top w:val="none" w:sz="0" w:space="0" w:color="auto"/>
                                <w:left w:val="none" w:sz="0" w:space="0" w:color="auto"/>
                                <w:bottom w:val="none" w:sz="0" w:space="0" w:color="auto"/>
                                <w:right w:val="none" w:sz="0" w:space="0" w:color="auto"/>
                              </w:divBdr>
                              <w:divsChild>
                                <w:div w:id="1337922848">
                                  <w:marLeft w:val="0"/>
                                  <w:marRight w:val="0"/>
                                  <w:marTop w:val="0"/>
                                  <w:marBottom w:val="0"/>
                                  <w:divBdr>
                                    <w:top w:val="none" w:sz="0" w:space="0" w:color="auto"/>
                                    <w:left w:val="none" w:sz="0" w:space="0" w:color="auto"/>
                                    <w:bottom w:val="none" w:sz="0" w:space="0" w:color="auto"/>
                                    <w:right w:val="none" w:sz="0" w:space="0" w:color="auto"/>
                                  </w:divBdr>
                                  <w:divsChild>
                                    <w:div w:id="1409116830">
                                      <w:marLeft w:val="0"/>
                                      <w:marRight w:val="0"/>
                                      <w:marTop w:val="0"/>
                                      <w:marBottom w:val="0"/>
                                      <w:divBdr>
                                        <w:top w:val="none" w:sz="0" w:space="0" w:color="auto"/>
                                        <w:left w:val="none" w:sz="0" w:space="0" w:color="auto"/>
                                        <w:bottom w:val="none" w:sz="0" w:space="0" w:color="auto"/>
                                        <w:right w:val="none" w:sz="0" w:space="0" w:color="auto"/>
                                      </w:divBdr>
                                      <w:divsChild>
                                        <w:div w:id="72553719">
                                          <w:marLeft w:val="0"/>
                                          <w:marRight w:val="0"/>
                                          <w:marTop w:val="0"/>
                                          <w:marBottom w:val="0"/>
                                          <w:divBdr>
                                            <w:top w:val="none" w:sz="0" w:space="0" w:color="auto"/>
                                            <w:left w:val="none" w:sz="0" w:space="0" w:color="auto"/>
                                            <w:bottom w:val="none" w:sz="0" w:space="0" w:color="auto"/>
                                            <w:right w:val="none" w:sz="0" w:space="0" w:color="auto"/>
                                          </w:divBdr>
                                          <w:divsChild>
                                            <w:div w:id="859123168">
                                              <w:marLeft w:val="0"/>
                                              <w:marRight w:val="0"/>
                                              <w:marTop w:val="0"/>
                                              <w:marBottom w:val="0"/>
                                              <w:divBdr>
                                                <w:top w:val="none" w:sz="0" w:space="0" w:color="auto"/>
                                                <w:left w:val="none" w:sz="0" w:space="0" w:color="auto"/>
                                                <w:bottom w:val="none" w:sz="0" w:space="0" w:color="auto"/>
                                                <w:right w:val="none" w:sz="0" w:space="0" w:color="auto"/>
                                              </w:divBdr>
                                              <w:divsChild>
                                                <w:div w:id="2037462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31310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30DEE69-776E-4435-BA2C-85526A4974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2090</Words>
  <Characters>11916</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&lt;&lt;enter title of instrument, including subtitle (if any)&gt;&gt;</vt:lpstr>
    </vt:vector>
  </TitlesOfParts>
  <Company>APRA</Company>
  <LinksUpToDate>false</LinksUpToDate>
  <CharactersWithSpaces>13979</CharactersWithSpaces>
  <SharedDoc>false</SharedDoc>
  <HLinks>
    <vt:vector size="18" baseType="variant">
      <vt:variant>
        <vt:i4>1048669</vt:i4>
      </vt:variant>
      <vt:variant>
        <vt:i4>6</vt:i4>
      </vt:variant>
      <vt:variant>
        <vt:i4>0</vt:i4>
      </vt:variant>
      <vt:variant>
        <vt:i4>5</vt:i4>
      </vt:variant>
      <vt:variant>
        <vt:lpwstr>http://www.apra.gov.au/lifs/ReportingFramework/Pages/LAGIC-final-reporting-requirements-LI-October-2012.aspx</vt:lpwstr>
      </vt:variant>
      <vt:variant>
        <vt:lpwstr/>
      </vt:variant>
      <vt:variant>
        <vt:i4>393236</vt:i4>
      </vt:variant>
      <vt:variant>
        <vt:i4>3</vt:i4>
      </vt:variant>
      <vt:variant>
        <vt:i4>0</vt:i4>
      </vt:variant>
      <vt:variant>
        <vt:i4>5</vt:i4>
      </vt:variant>
      <vt:variant>
        <vt:lpwstr>http://www.apra.gov.au/CrossIndustry/Consultations/Documents/120806-letter-to-industry-LAGIC-proposed-changes-to-reporting-standards.pdf</vt:lpwstr>
      </vt:variant>
      <vt:variant>
        <vt:lpwstr/>
      </vt:variant>
      <vt:variant>
        <vt:i4>5767198</vt:i4>
      </vt:variant>
      <vt:variant>
        <vt:i4>0</vt:i4>
      </vt:variant>
      <vt:variant>
        <vt:i4>0</vt:i4>
      </vt:variant>
      <vt:variant>
        <vt:i4>5</vt:i4>
      </vt:variant>
      <vt:variant>
        <vt:lpwstr>http://www.apra.gov.au/CrossIndustry/Consultations/Pages/LAGIC-Reporting-Requirements-June-2012.aspx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&lt;&lt;enter title of instrument, including subtitle (if any)&gt;&gt;</dc:title>
  <dc:creator>vxkart</dc:creator>
  <cp:lastModifiedBy>Antonietta Michalis</cp:lastModifiedBy>
  <cp:revision>9</cp:revision>
  <cp:lastPrinted>2015-06-10T21:03:00Z</cp:lastPrinted>
  <dcterms:created xsi:type="dcterms:W3CDTF">2015-06-10T04:28:00Z</dcterms:created>
  <dcterms:modified xsi:type="dcterms:W3CDTF">2015-06-10T21:03:00Z</dcterms:modified>
</cp:coreProperties>
</file>