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288BD" w14:textId="77777777" w:rsidR="00291094" w:rsidRPr="00A41A66" w:rsidRDefault="00291094" w:rsidP="00EE64C9">
      <w:pPr>
        <w:pStyle w:val="ACMAHeading1"/>
        <w:spacing w:before="360" w:after="120"/>
        <w:jc w:val="center"/>
        <w:rPr>
          <w:rFonts w:eastAsia="Times" w:cs="Arial"/>
          <w:sz w:val="24"/>
          <w:szCs w:val="20"/>
          <w:lang w:val="en-AU" w:eastAsia="en-AU"/>
        </w:rPr>
      </w:pPr>
      <w:r w:rsidRPr="00A41A66">
        <w:rPr>
          <w:rFonts w:eastAsia="Times" w:cs="Arial"/>
          <w:sz w:val="24"/>
          <w:szCs w:val="20"/>
          <w:lang w:val="en-AU" w:eastAsia="en-AU"/>
        </w:rPr>
        <w:t>EXPLANATORY STATEMENT</w:t>
      </w:r>
    </w:p>
    <w:p w14:paraId="1C748B36" w14:textId="77777777" w:rsidR="00B76A7C" w:rsidRPr="00A41A66" w:rsidRDefault="00B76A7C" w:rsidP="00B76A7C">
      <w:pPr>
        <w:pStyle w:val="ACMABodyText"/>
        <w:spacing w:before="0" w:after="0" w:line="240" w:lineRule="auto"/>
        <w:rPr>
          <w:rFonts w:ascii="Arial" w:eastAsia="Times" w:hAnsi="Arial" w:cs="Arial"/>
          <w:lang w:eastAsia="en-AU"/>
        </w:rPr>
      </w:pPr>
    </w:p>
    <w:p w14:paraId="3E0D5435" w14:textId="468D902B" w:rsidR="00B76A7C" w:rsidRPr="00E46003" w:rsidRDefault="00DB1211" w:rsidP="00B76A7C">
      <w:pPr>
        <w:pStyle w:val="ACMABodyText"/>
        <w:spacing w:before="0" w:after="0"/>
        <w:jc w:val="center"/>
        <w:rPr>
          <w:rFonts w:ascii="Arial" w:hAnsi="Arial" w:cs="Arial"/>
          <w:i/>
          <w:snapToGrid/>
          <w:sz w:val="22"/>
          <w:szCs w:val="22"/>
          <w:lang w:eastAsia="en-AU"/>
        </w:rPr>
      </w:pPr>
      <w:bookmarkStart w:id="0" w:name="OLE_LINK3"/>
      <w:bookmarkStart w:id="1" w:name="OLE_LINK4"/>
      <w:bookmarkStart w:id="2" w:name="OLE_LINK15"/>
      <w:r w:rsidRPr="00E46003">
        <w:rPr>
          <w:rFonts w:ascii="Arial" w:hAnsi="Arial" w:cs="Arial"/>
          <w:i/>
          <w:snapToGrid/>
          <w:sz w:val="22"/>
          <w:szCs w:val="22"/>
          <w:lang w:eastAsia="en-AU"/>
        </w:rPr>
        <w:t>Telecommunications (Consumer Protection and Service Standards) Act 1999</w:t>
      </w:r>
    </w:p>
    <w:p w14:paraId="20645AEF" w14:textId="77777777" w:rsidR="00EE64C9" w:rsidRPr="00E46003" w:rsidRDefault="00EE64C9" w:rsidP="00EE64C9">
      <w:pPr>
        <w:pStyle w:val="ACMABodyText"/>
        <w:spacing w:before="0" w:after="0" w:line="240" w:lineRule="auto"/>
        <w:jc w:val="center"/>
        <w:rPr>
          <w:rFonts w:ascii="Arial" w:hAnsi="Arial" w:cs="Arial"/>
          <w:b/>
          <w:i/>
          <w:sz w:val="22"/>
          <w:szCs w:val="22"/>
        </w:rPr>
      </w:pPr>
    </w:p>
    <w:p w14:paraId="450148F5" w14:textId="276DE765" w:rsidR="00291094" w:rsidRPr="00E46003" w:rsidRDefault="00EA3705" w:rsidP="00B76A7C">
      <w:pPr>
        <w:spacing w:line="240" w:lineRule="auto"/>
        <w:jc w:val="center"/>
        <w:rPr>
          <w:rFonts w:ascii="Arial" w:hAnsi="Arial" w:cs="Arial"/>
          <w:b/>
          <w:i/>
          <w:sz w:val="22"/>
          <w:szCs w:val="22"/>
        </w:rPr>
      </w:pPr>
      <w:r w:rsidRPr="00E46003">
        <w:rPr>
          <w:rFonts w:ascii="Arial" w:hAnsi="Arial" w:cs="Arial"/>
          <w:b/>
          <w:i/>
          <w:sz w:val="22"/>
          <w:szCs w:val="22"/>
        </w:rPr>
        <w:t>Telecommunications (Eligible Revenue) Determination</w:t>
      </w:r>
      <w:r w:rsidR="00291094" w:rsidRPr="00E46003">
        <w:rPr>
          <w:rFonts w:ascii="Arial" w:hAnsi="Arial" w:cs="Arial"/>
          <w:b/>
          <w:i/>
          <w:sz w:val="22"/>
          <w:szCs w:val="22"/>
        </w:rPr>
        <w:t xml:space="preserve"> 201</w:t>
      </w:r>
      <w:r w:rsidR="00DB1211" w:rsidRPr="00E46003">
        <w:rPr>
          <w:rFonts w:ascii="Arial" w:hAnsi="Arial" w:cs="Arial"/>
          <w:b/>
          <w:i/>
          <w:sz w:val="22"/>
          <w:szCs w:val="22"/>
        </w:rPr>
        <w:t>5</w:t>
      </w:r>
    </w:p>
    <w:p w14:paraId="5D58B971" w14:textId="77777777" w:rsidR="00B76A7C" w:rsidRPr="00A41A66" w:rsidRDefault="00B76A7C" w:rsidP="00B76A7C">
      <w:pPr>
        <w:spacing w:line="240" w:lineRule="auto"/>
        <w:jc w:val="center"/>
        <w:rPr>
          <w:rFonts w:ascii="Arial" w:hAnsi="Arial" w:cs="Arial"/>
          <w:b/>
          <w:i/>
          <w:sz w:val="24"/>
        </w:rPr>
      </w:pPr>
    </w:p>
    <w:bookmarkEnd w:id="0"/>
    <w:bookmarkEnd w:id="1"/>
    <w:bookmarkEnd w:id="2"/>
    <w:p w14:paraId="2FCF071B" w14:textId="77777777" w:rsidR="00252DE6" w:rsidRPr="0092230E" w:rsidRDefault="00EA3705" w:rsidP="00B76A7C">
      <w:pPr>
        <w:pStyle w:val="ACMABodyText"/>
        <w:spacing w:before="0" w:after="0" w:line="240" w:lineRule="auto"/>
        <w:jc w:val="center"/>
        <w:rPr>
          <w:rFonts w:ascii="Arial" w:eastAsia="Times" w:hAnsi="Arial" w:cs="Arial"/>
          <w:snapToGrid/>
          <w:sz w:val="20"/>
          <w:lang w:eastAsia="en-AU"/>
        </w:rPr>
      </w:pPr>
      <w:r w:rsidRPr="0092230E">
        <w:rPr>
          <w:rFonts w:ascii="Arial" w:eastAsia="Times" w:hAnsi="Arial" w:cs="Arial"/>
          <w:snapToGrid/>
          <w:sz w:val="20"/>
          <w:lang w:eastAsia="en-AU"/>
        </w:rPr>
        <w:t>Issued by the Australian Communications and Media Authority</w:t>
      </w:r>
    </w:p>
    <w:p w14:paraId="34507598" w14:textId="77777777" w:rsidR="007F3C95" w:rsidRPr="0092230E" w:rsidRDefault="007F3C95" w:rsidP="007F3C95">
      <w:pPr>
        <w:pStyle w:val="ACMABodyText"/>
        <w:spacing w:before="0" w:after="0" w:line="240" w:lineRule="auto"/>
        <w:rPr>
          <w:rFonts w:ascii="Arial" w:hAnsi="Arial" w:cs="Arial"/>
          <w:sz w:val="20"/>
        </w:rPr>
      </w:pPr>
    </w:p>
    <w:p w14:paraId="0DBC1972" w14:textId="77777777" w:rsidR="007F3C95" w:rsidRPr="0092230E" w:rsidRDefault="007F3C95" w:rsidP="007F3C95">
      <w:pPr>
        <w:pStyle w:val="ACMABodyText"/>
        <w:spacing w:before="0" w:line="240" w:lineRule="auto"/>
        <w:rPr>
          <w:rFonts w:ascii="Arial" w:hAnsi="Arial" w:cs="Arial"/>
          <w:caps/>
          <w:sz w:val="20"/>
        </w:rPr>
      </w:pPr>
      <w:r w:rsidRPr="0092230E">
        <w:rPr>
          <w:rFonts w:ascii="Arial" w:hAnsi="Arial" w:cs="Arial"/>
          <w:b/>
          <w:sz w:val="20"/>
        </w:rPr>
        <w:t>Purpose</w:t>
      </w:r>
    </w:p>
    <w:p w14:paraId="0428D9FF" w14:textId="7412731C" w:rsidR="00BF3803" w:rsidRPr="0092230E" w:rsidRDefault="00B76A7C" w:rsidP="008C6BEA">
      <w:pPr>
        <w:pStyle w:val="ABABulletLevel1"/>
        <w:spacing w:after="120"/>
        <w:rPr>
          <w:rFonts w:ascii="Arial" w:hAnsi="Arial" w:cs="Arial"/>
          <w:sz w:val="20"/>
        </w:rPr>
      </w:pPr>
      <w:r w:rsidRPr="0092230E">
        <w:rPr>
          <w:rFonts w:ascii="Arial" w:hAnsi="Arial" w:cs="Arial"/>
          <w:sz w:val="20"/>
        </w:rPr>
        <w:t xml:space="preserve">The </w:t>
      </w:r>
      <w:r w:rsidR="00476373" w:rsidRPr="0092230E">
        <w:rPr>
          <w:rFonts w:ascii="Arial" w:hAnsi="Arial" w:cs="Arial"/>
          <w:i/>
          <w:sz w:val="20"/>
        </w:rPr>
        <w:t xml:space="preserve">Telecommunications (Eligible Revenue) Determination </w:t>
      </w:r>
      <w:r w:rsidR="00DB1211" w:rsidRPr="0092230E">
        <w:rPr>
          <w:rFonts w:ascii="Arial" w:hAnsi="Arial" w:cs="Arial"/>
          <w:i/>
          <w:sz w:val="20"/>
        </w:rPr>
        <w:t>2015</w:t>
      </w:r>
      <w:r w:rsidR="00DB1211" w:rsidRPr="0092230E">
        <w:rPr>
          <w:rFonts w:ascii="Arial" w:hAnsi="Arial" w:cs="Arial"/>
          <w:sz w:val="20"/>
        </w:rPr>
        <w:t xml:space="preserve"> </w:t>
      </w:r>
      <w:r w:rsidRPr="0092230E">
        <w:rPr>
          <w:rFonts w:ascii="Arial" w:hAnsi="Arial" w:cs="Arial"/>
          <w:sz w:val="20"/>
        </w:rPr>
        <w:t>(</w:t>
      </w:r>
      <w:r w:rsidRPr="0092230E">
        <w:rPr>
          <w:rFonts w:ascii="Arial" w:hAnsi="Arial" w:cs="Arial"/>
          <w:b/>
          <w:sz w:val="20"/>
        </w:rPr>
        <w:t>the</w:t>
      </w:r>
      <w:r w:rsidRPr="0092230E">
        <w:rPr>
          <w:rFonts w:ascii="Arial" w:hAnsi="Arial" w:cs="Arial"/>
          <w:sz w:val="20"/>
        </w:rPr>
        <w:t xml:space="preserve"> </w:t>
      </w:r>
      <w:r w:rsidRPr="0092230E">
        <w:rPr>
          <w:rFonts w:ascii="Arial" w:hAnsi="Arial" w:cs="Arial"/>
          <w:b/>
          <w:sz w:val="20"/>
        </w:rPr>
        <w:t>Determination</w:t>
      </w:r>
      <w:r w:rsidRPr="0092230E">
        <w:rPr>
          <w:rFonts w:ascii="Arial" w:hAnsi="Arial" w:cs="Arial"/>
          <w:sz w:val="20"/>
        </w:rPr>
        <w:t>)</w:t>
      </w:r>
      <w:r w:rsidR="00BF3803" w:rsidRPr="0092230E">
        <w:rPr>
          <w:rFonts w:ascii="Arial" w:hAnsi="Arial" w:cs="Arial"/>
          <w:sz w:val="20"/>
        </w:rPr>
        <w:t>:</w:t>
      </w:r>
      <w:r w:rsidRPr="0092230E">
        <w:rPr>
          <w:rFonts w:ascii="Arial" w:hAnsi="Arial" w:cs="Arial"/>
          <w:sz w:val="20"/>
        </w:rPr>
        <w:t xml:space="preserve"> </w:t>
      </w:r>
    </w:p>
    <w:p w14:paraId="2E3FCC3A" w14:textId="7828978F" w:rsidR="00334849" w:rsidRPr="0092230E" w:rsidRDefault="00334849" w:rsidP="00334849">
      <w:pPr>
        <w:pStyle w:val="ABABulletLevel1"/>
        <w:numPr>
          <w:ilvl w:val="0"/>
          <w:numId w:val="9"/>
        </w:numPr>
        <w:spacing w:after="120"/>
        <w:rPr>
          <w:rFonts w:ascii="Arial" w:hAnsi="Arial" w:cs="Arial"/>
          <w:sz w:val="20"/>
        </w:rPr>
      </w:pPr>
      <w:r w:rsidRPr="0092230E">
        <w:rPr>
          <w:rFonts w:ascii="Arial" w:hAnsi="Arial" w:cs="Arial"/>
          <w:sz w:val="20"/>
        </w:rPr>
        <w:t xml:space="preserve">sets out how the eligible revenue of a participating person (defined in section </w:t>
      </w:r>
      <w:r w:rsidR="00B84589" w:rsidRPr="0092230E">
        <w:rPr>
          <w:rFonts w:ascii="Arial" w:hAnsi="Arial" w:cs="Arial"/>
          <w:sz w:val="20"/>
        </w:rPr>
        <w:t>44</w:t>
      </w:r>
      <w:r w:rsidRPr="0092230E">
        <w:rPr>
          <w:rFonts w:ascii="Arial" w:hAnsi="Arial" w:cs="Arial"/>
          <w:sz w:val="20"/>
        </w:rPr>
        <w:t xml:space="preserve"> of the </w:t>
      </w:r>
      <w:r w:rsidR="00B84589" w:rsidRPr="0092230E">
        <w:rPr>
          <w:rFonts w:ascii="Arial" w:hAnsi="Arial" w:cs="Arial"/>
          <w:i/>
          <w:sz w:val="20"/>
          <w:lang w:eastAsia="en-AU"/>
        </w:rPr>
        <w:t>Telecommunications (Consumer Protection and Service Standards) Act 1999</w:t>
      </w:r>
      <w:r w:rsidR="00B84589" w:rsidRPr="0092230E" w:rsidDel="00B84589">
        <w:rPr>
          <w:rFonts w:ascii="Arial" w:hAnsi="Arial" w:cs="Arial"/>
          <w:i/>
          <w:sz w:val="20"/>
        </w:rPr>
        <w:t xml:space="preserve"> </w:t>
      </w:r>
      <w:r w:rsidRPr="0092230E">
        <w:rPr>
          <w:rFonts w:ascii="Arial" w:hAnsi="Arial" w:cs="Arial"/>
          <w:sz w:val="20"/>
        </w:rPr>
        <w:t>(</w:t>
      </w:r>
      <w:r w:rsidRPr="0092230E">
        <w:rPr>
          <w:rFonts w:ascii="Arial" w:hAnsi="Arial" w:cs="Arial"/>
          <w:b/>
          <w:sz w:val="20"/>
        </w:rPr>
        <w:t>the T</w:t>
      </w:r>
      <w:r w:rsidR="00B84589" w:rsidRPr="0092230E">
        <w:rPr>
          <w:rFonts w:ascii="Arial" w:hAnsi="Arial" w:cs="Arial"/>
          <w:b/>
          <w:sz w:val="20"/>
        </w:rPr>
        <w:t>CPSS</w:t>
      </w:r>
      <w:r w:rsidRPr="0092230E">
        <w:rPr>
          <w:rFonts w:ascii="Arial" w:hAnsi="Arial" w:cs="Arial"/>
          <w:b/>
          <w:sz w:val="20"/>
        </w:rPr>
        <w:t xml:space="preserve"> Act</w:t>
      </w:r>
      <w:r w:rsidRPr="0092230E">
        <w:rPr>
          <w:rFonts w:ascii="Arial" w:hAnsi="Arial" w:cs="Arial"/>
          <w:sz w:val="20"/>
        </w:rPr>
        <w:t>) for an eligible revenue period is to be determined; and</w:t>
      </w:r>
    </w:p>
    <w:p w14:paraId="608A9693" w14:textId="77777777" w:rsidR="00BF3803" w:rsidRPr="0092230E" w:rsidRDefault="00BF3803" w:rsidP="00BF3803">
      <w:pPr>
        <w:pStyle w:val="ABABulletLevel1"/>
        <w:numPr>
          <w:ilvl w:val="0"/>
          <w:numId w:val="9"/>
        </w:numPr>
        <w:spacing w:after="120"/>
        <w:rPr>
          <w:rFonts w:ascii="Arial" w:hAnsi="Arial" w:cs="Arial"/>
          <w:sz w:val="20"/>
        </w:rPr>
      </w:pPr>
      <w:r w:rsidRPr="0092230E">
        <w:rPr>
          <w:rFonts w:ascii="Arial" w:hAnsi="Arial" w:cs="Arial"/>
          <w:sz w:val="20"/>
        </w:rPr>
        <w:t xml:space="preserve">specifies the period </w:t>
      </w:r>
      <w:r w:rsidR="00367D28" w:rsidRPr="0092230E">
        <w:rPr>
          <w:rFonts w:ascii="Arial" w:hAnsi="Arial" w:cs="Arial"/>
          <w:sz w:val="20"/>
        </w:rPr>
        <w:t>with</w:t>
      </w:r>
      <w:r w:rsidRPr="0092230E">
        <w:rPr>
          <w:rFonts w:ascii="Arial" w:hAnsi="Arial" w:cs="Arial"/>
          <w:sz w:val="20"/>
        </w:rPr>
        <w:t xml:space="preserve">in which each participating person is required to provide a written return of the person’s eligible revenue for </w:t>
      </w:r>
      <w:r w:rsidR="00334849" w:rsidRPr="0092230E">
        <w:rPr>
          <w:rFonts w:ascii="Arial" w:hAnsi="Arial" w:cs="Arial"/>
          <w:sz w:val="20"/>
        </w:rPr>
        <w:t xml:space="preserve">an </w:t>
      </w:r>
      <w:r w:rsidRPr="0092230E">
        <w:rPr>
          <w:rFonts w:ascii="Arial" w:hAnsi="Arial" w:cs="Arial"/>
          <w:sz w:val="20"/>
        </w:rPr>
        <w:t>eligible revenue period</w:t>
      </w:r>
      <w:r w:rsidR="00334849" w:rsidRPr="0092230E">
        <w:rPr>
          <w:rFonts w:ascii="Arial" w:hAnsi="Arial" w:cs="Arial"/>
          <w:sz w:val="20"/>
        </w:rPr>
        <w:t>.</w:t>
      </w:r>
      <w:r w:rsidRPr="0092230E">
        <w:rPr>
          <w:rFonts w:ascii="Arial" w:hAnsi="Arial" w:cs="Arial"/>
          <w:sz w:val="20"/>
        </w:rPr>
        <w:t xml:space="preserve"> </w:t>
      </w:r>
    </w:p>
    <w:p w14:paraId="1D062094" w14:textId="308315A7" w:rsidR="00AC17B3" w:rsidRPr="0092230E" w:rsidRDefault="00334849" w:rsidP="00A41A66">
      <w:pPr>
        <w:pStyle w:val="ABABulletLevel1"/>
        <w:rPr>
          <w:rFonts w:ascii="Arial" w:hAnsi="Arial" w:cs="Arial"/>
          <w:sz w:val="20"/>
        </w:rPr>
      </w:pPr>
      <w:r w:rsidRPr="0092230E">
        <w:rPr>
          <w:rFonts w:ascii="Arial" w:hAnsi="Arial" w:cs="Arial"/>
          <w:sz w:val="20"/>
        </w:rPr>
        <w:t xml:space="preserve">The eligible revenue of participating persons, determined in accordance with the Determination, is used to calculate the </w:t>
      </w:r>
      <w:r w:rsidR="00367D28" w:rsidRPr="0092230E">
        <w:rPr>
          <w:rFonts w:ascii="Arial" w:hAnsi="Arial" w:cs="Arial"/>
          <w:sz w:val="20"/>
        </w:rPr>
        <w:t>amount of levy payable by the person. This levy</w:t>
      </w:r>
      <w:r w:rsidR="006E7433" w:rsidRPr="0092230E">
        <w:rPr>
          <w:rFonts w:ascii="Arial" w:hAnsi="Arial" w:cs="Arial"/>
          <w:sz w:val="20"/>
        </w:rPr>
        <w:t xml:space="preserve"> (</w:t>
      </w:r>
      <w:r w:rsidR="000A54A5" w:rsidRPr="0092230E">
        <w:rPr>
          <w:rFonts w:ascii="Arial" w:hAnsi="Arial" w:cs="Arial"/>
          <w:sz w:val="20"/>
        </w:rPr>
        <w:t xml:space="preserve">the </w:t>
      </w:r>
      <w:r w:rsidR="006E7433" w:rsidRPr="0092230E">
        <w:rPr>
          <w:rFonts w:ascii="Arial" w:hAnsi="Arial" w:cs="Arial"/>
          <w:sz w:val="20"/>
        </w:rPr>
        <w:t>“telecommunications industry levy” (</w:t>
      </w:r>
      <w:r w:rsidR="000A54A5" w:rsidRPr="0092230E">
        <w:rPr>
          <w:rFonts w:ascii="Arial" w:hAnsi="Arial" w:cs="Arial"/>
          <w:b/>
          <w:sz w:val="20"/>
        </w:rPr>
        <w:t>the</w:t>
      </w:r>
      <w:r w:rsidR="000A54A5" w:rsidRPr="0092230E">
        <w:rPr>
          <w:rFonts w:ascii="Arial" w:hAnsi="Arial" w:cs="Arial"/>
          <w:sz w:val="20"/>
        </w:rPr>
        <w:t xml:space="preserve"> </w:t>
      </w:r>
      <w:r w:rsidR="006E7433" w:rsidRPr="0092230E">
        <w:rPr>
          <w:rFonts w:ascii="Arial" w:hAnsi="Arial" w:cs="Arial"/>
          <w:b/>
          <w:sz w:val="20"/>
        </w:rPr>
        <w:t>TIL</w:t>
      </w:r>
      <w:r w:rsidR="006E7433" w:rsidRPr="0092230E">
        <w:rPr>
          <w:rFonts w:ascii="Arial" w:hAnsi="Arial" w:cs="Arial"/>
          <w:sz w:val="20"/>
        </w:rPr>
        <w:t>))</w:t>
      </w:r>
      <w:r w:rsidR="00367D28" w:rsidRPr="0092230E">
        <w:rPr>
          <w:rFonts w:ascii="Arial" w:hAnsi="Arial" w:cs="Arial"/>
          <w:sz w:val="20"/>
        </w:rPr>
        <w:t xml:space="preserve"> is imposed by the </w:t>
      </w:r>
      <w:r w:rsidR="00476373" w:rsidRPr="0092230E">
        <w:rPr>
          <w:rFonts w:ascii="Arial" w:hAnsi="Arial" w:cs="Arial"/>
          <w:i/>
          <w:sz w:val="20"/>
        </w:rPr>
        <w:t>Telecommunications (Industry Levy) Act 2012</w:t>
      </w:r>
      <w:r w:rsidR="00C13025" w:rsidRPr="0092230E">
        <w:rPr>
          <w:rFonts w:ascii="Arial" w:hAnsi="Arial" w:cs="Arial"/>
          <w:sz w:val="20"/>
        </w:rPr>
        <w:t xml:space="preserve">. The </w:t>
      </w:r>
      <w:r w:rsidR="00367D28" w:rsidRPr="0092230E">
        <w:rPr>
          <w:rFonts w:ascii="Arial" w:hAnsi="Arial" w:cs="Arial"/>
          <w:sz w:val="20"/>
        </w:rPr>
        <w:t>levy amount of</w:t>
      </w:r>
      <w:r w:rsidR="00C13025" w:rsidRPr="0092230E">
        <w:rPr>
          <w:rFonts w:ascii="Arial" w:hAnsi="Arial" w:cs="Arial"/>
          <w:sz w:val="20"/>
        </w:rPr>
        <w:t xml:space="preserve"> a participating person is the amount the</w:t>
      </w:r>
      <w:r w:rsidRPr="0092230E">
        <w:rPr>
          <w:rFonts w:ascii="Arial" w:hAnsi="Arial" w:cs="Arial"/>
          <w:sz w:val="20"/>
        </w:rPr>
        <w:t xml:space="preserve"> person must contribute to the cost of funding</w:t>
      </w:r>
      <w:r w:rsidR="00AC17B3" w:rsidRPr="0092230E">
        <w:rPr>
          <w:rFonts w:ascii="Arial" w:hAnsi="Arial" w:cs="Arial"/>
          <w:sz w:val="20"/>
        </w:rPr>
        <w:t xml:space="preserve"> contractors and grant recipients to deliver public interest telecommunications services (</w:t>
      </w:r>
      <w:r w:rsidR="00AC17B3" w:rsidRPr="0092230E">
        <w:rPr>
          <w:rFonts w:ascii="Arial" w:hAnsi="Arial" w:cs="Arial"/>
          <w:b/>
          <w:sz w:val="20"/>
        </w:rPr>
        <w:t>PITS</w:t>
      </w:r>
      <w:r w:rsidR="00AC17B3" w:rsidRPr="0092230E">
        <w:rPr>
          <w:rFonts w:ascii="Arial" w:hAnsi="Arial" w:cs="Arial"/>
          <w:sz w:val="20"/>
        </w:rPr>
        <w:t xml:space="preserve">) and to </w:t>
      </w:r>
      <w:r w:rsidR="00DC073E">
        <w:rPr>
          <w:rFonts w:ascii="Arial" w:hAnsi="Arial" w:cs="Arial"/>
          <w:sz w:val="20"/>
        </w:rPr>
        <w:t>fund</w:t>
      </w:r>
      <w:r w:rsidR="00DC073E" w:rsidRPr="0092230E">
        <w:rPr>
          <w:rFonts w:ascii="Arial" w:hAnsi="Arial" w:cs="Arial"/>
          <w:sz w:val="20"/>
        </w:rPr>
        <w:t xml:space="preserve"> </w:t>
      </w:r>
      <w:r w:rsidR="00AC17B3" w:rsidRPr="0092230E">
        <w:rPr>
          <w:rFonts w:ascii="Arial" w:hAnsi="Arial" w:cs="Arial"/>
          <w:sz w:val="20"/>
        </w:rPr>
        <w:t>the costs of the Commonwealth in administering such contracts and grants</w:t>
      </w:r>
      <w:r w:rsidRPr="0092230E">
        <w:rPr>
          <w:rFonts w:ascii="Arial" w:hAnsi="Arial" w:cs="Arial"/>
          <w:sz w:val="20"/>
        </w:rPr>
        <w:t>.</w:t>
      </w:r>
      <w:r w:rsidR="00AC17B3" w:rsidRPr="0092230E">
        <w:rPr>
          <w:rFonts w:ascii="Arial" w:hAnsi="Arial" w:cs="Arial"/>
          <w:sz w:val="20"/>
        </w:rPr>
        <w:t xml:space="preserve"> PITS include:</w:t>
      </w:r>
      <w:r w:rsidRPr="0092230E">
        <w:rPr>
          <w:rFonts w:ascii="Arial" w:hAnsi="Arial" w:cs="Arial"/>
          <w:sz w:val="20"/>
        </w:rPr>
        <w:t xml:space="preserve"> </w:t>
      </w:r>
      <w:r w:rsidR="00AC17B3" w:rsidRPr="0092230E">
        <w:rPr>
          <w:rFonts w:ascii="Arial" w:hAnsi="Arial" w:cs="Arial"/>
          <w:sz w:val="20"/>
        </w:rPr>
        <w:t xml:space="preserve">universal service obligations as they relate to the standard telephone service and payphones; emergency call services; </w:t>
      </w:r>
      <w:r w:rsidR="00B270DC" w:rsidRPr="0092230E">
        <w:rPr>
          <w:rFonts w:ascii="Arial" w:hAnsi="Arial" w:cs="Arial"/>
          <w:sz w:val="20"/>
        </w:rPr>
        <w:t>and the National Relay Service.</w:t>
      </w:r>
      <w:r w:rsidR="00AC17B3" w:rsidRPr="0092230E">
        <w:rPr>
          <w:rFonts w:ascii="Arial" w:hAnsi="Arial" w:cs="Arial"/>
          <w:sz w:val="20"/>
        </w:rPr>
        <w:t xml:space="preserve"> </w:t>
      </w:r>
    </w:p>
    <w:p w14:paraId="56C47498" w14:textId="77777777" w:rsidR="00AC17B3" w:rsidRPr="0092230E" w:rsidRDefault="00AC17B3" w:rsidP="00A41A66">
      <w:pPr>
        <w:pStyle w:val="ABABulletLevel1"/>
        <w:rPr>
          <w:rFonts w:ascii="Arial" w:hAnsi="Arial" w:cs="Arial"/>
          <w:sz w:val="20"/>
        </w:rPr>
      </w:pPr>
    </w:p>
    <w:p w14:paraId="3FBF6682" w14:textId="0F1C9673" w:rsidR="00702C3D" w:rsidRPr="0092230E" w:rsidRDefault="00334849" w:rsidP="00A41A66">
      <w:pPr>
        <w:pStyle w:val="ABABulletLevel1"/>
        <w:rPr>
          <w:rFonts w:ascii="Arial" w:hAnsi="Arial" w:cs="Arial"/>
          <w:sz w:val="20"/>
        </w:rPr>
      </w:pPr>
      <w:r w:rsidRPr="0092230E">
        <w:rPr>
          <w:rFonts w:ascii="Arial" w:hAnsi="Arial" w:cs="Arial"/>
          <w:sz w:val="20"/>
        </w:rPr>
        <w:t>Contributions are, in general, proportional to each participating person’s share of total eligible revenue</w:t>
      </w:r>
      <w:r w:rsidR="00C13025" w:rsidRPr="0092230E">
        <w:rPr>
          <w:rFonts w:ascii="Arial" w:hAnsi="Arial" w:cs="Arial"/>
          <w:sz w:val="20"/>
        </w:rPr>
        <w:t xml:space="preserve"> for a relevant eligible revenue period.</w:t>
      </w:r>
      <w:r w:rsidRPr="0092230E">
        <w:rPr>
          <w:rFonts w:ascii="Arial" w:hAnsi="Arial" w:cs="Arial"/>
          <w:sz w:val="20"/>
        </w:rPr>
        <w:t xml:space="preserve"> </w:t>
      </w:r>
      <w:r w:rsidR="00C13025" w:rsidRPr="0092230E">
        <w:rPr>
          <w:rFonts w:ascii="Arial" w:hAnsi="Arial" w:cs="Arial"/>
          <w:sz w:val="20"/>
        </w:rPr>
        <w:t>Annual c</w:t>
      </w:r>
      <w:r w:rsidRPr="0092230E">
        <w:rPr>
          <w:rFonts w:ascii="Arial" w:hAnsi="Arial" w:cs="Arial"/>
          <w:sz w:val="20"/>
        </w:rPr>
        <w:t>arrier licence charges</w:t>
      </w:r>
      <w:r w:rsidR="00367D28" w:rsidRPr="0092230E">
        <w:rPr>
          <w:rFonts w:ascii="Arial" w:hAnsi="Arial" w:cs="Arial"/>
          <w:sz w:val="20"/>
        </w:rPr>
        <w:t xml:space="preserve"> which are imposed by the </w:t>
      </w:r>
      <w:r w:rsidR="00367D28" w:rsidRPr="0092230E">
        <w:rPr>
          <w:rFonts w:ascii="Arial" w:hAnsi="Arial" w:cs="Arial"/>
          <w:i/>
          <w:sz w:val="20"/>
        </w:rPr>
        <w:t>Telecommunications (Carrier Licence Charges) Act 1997</w:t>
      </w:r>
      <w:r w:rsidR="00D54FA7" w:rsidRPr="0092230E">
        <w:rPr>
          <w:rFonts w:ascii="Arial" w:hAnsi="Arial" w:cs="Arial"/>
          <w:i/>
          <w:sz w:val="20"/>
        </w:rPr>
        <w:t xml:space="preserve"> </w:t>
      </w:r>
      <w:r w:rsidR="00367D28" w:rsidRPr="0092230E">
        <w:rPr>
          <w:rFonts w:ascii="Arial" w:hAnsi="Arial" w:cs="Arial"/>
          <w:sz w:val="20"/>
        </w:rPr>
        <w:t xml:space="preserve">and payable by the holders of carrier licences </w:t>
      </w:r>
      <w:r w:rsidR="00403400" w:rsidRPr="0092230E">
        <w:rPr>
          <w:rFonts w:ascii="Arial" w:hAnsi="Arial" w:cs="Arial"/>
          <w:sz w:val="20"/>
        </w:rPr>
        <w:t xml:space="preserve">(who are not otherwise exempt from paying the charge) </w:t>
      </w:r>
      <w:r w:rsidRPr="0092230E">
        <w:rPr>
          <w:rFonts w:ascii="Arial" w:hAnsi="Arial" w:cs="Arial"/>
          <w:sz w:val="20"/>
        </w:rPr>
        <w:t xml:space="preserve">are also, in part, based on </w:t>
      </w:r>
      <w:r w:rsidR="00E0596D" w:rsidRPr="0092230E">
        <w:rPr>
          <w:rFonts w:ascii="Arial" w:hAnsi="Arial" w:cs="Arial"/>
          <w:sz w:val="20"/>
        </w:rPr>
        <w:t xml:space="preserve">a participating person’s </w:t>
      </w:r>
      <w:r w:rsidRPr="0092230E">
        <w:rPr>
          <w:rFonts w:ascii="Arial" w:hAnsi="Arial" w:cs="Arial"/>
          <w:sz w:val="20"/>
        </w:rPr>
        <w:t xml:space="preserve">eligible revenue. </w:t>
      </w:r>
    </w:p>
    <w:p w14:paraId="2CCC72A7" w14:textId="77777777" w:rsidR="00BF3803" w:rsidRPr="0092230E" w:rsidRDefault="00BF3803" w:rsidP="00A41A66">
      <w:pPr>
        <w:pStyle w:val="ABABulletLevel1"/>
        <w:rPr>
          <w:rFonts w:ascii="Arial" w:hAnsi="Arial" w:cs="Arial"/>
          <w:sz w:val="20"/>
        </w:rPr>
      </w:pPr>
    </w:p>
    <w:p w14:paraId="3A5739F3" w14:textId="77777777" w:rsidR="00BF3803" w:rsidRPr="0092230E" w:rsidRDefault="00334849" w:rsidP="008C6BEA">
      <w:pPr>
        <w:pStyle w:val="ABABulletLevel1"/>
        <w:spacing w:after="120"/>
        <w:rPr>
          <w:rFonts w:ascii="Arial" w:hAnsi="Arial" w:cs="Arial"/>
          <w:b/>
          <w:sz w:val="20"/>
        </w:rPr>
      </w:pPr>
      <w:r w:rsidRPr="0092230E">
        <w:rPr>
          <w:rFonts w:ascii="Arial" w:hAnsi="Arial" w:cs="Arial"/>
          <w:b/>
          <w:sz w:val="20"/>
        </w:rPr>
        <w:t>Legislative Provisions</w:t>
      </w:r>
    </w:p>
    <w:p w14:paraId="3F56EB7B" w14:textId="2F132B65" w:rsidR="00334849" w:rsidRPr="0092230E" w:rsidRDefault="00334849" w:rsidP="008C6BEA">
      <w:pPr>
        <w:pStyle w:val="ABABulletLevel1"/>
        <w:spacing w:after="120"/>
        <w:rPr>
          <w:rFonts w:ascii="Arial" w:hAnsi="Arial" w:cs="Arial"/>
          <w:sz w:val="20"/>
        </w:rPr>
      </w:pPr>
      <w:r w:rsidRPr="0092230E">
        <w:rPr>
          <w:rFonts w:ascii="Arial" w:hAnsi="Arial" w:cs="Arial"/>
          <w:sz w:val="20"/>
        </w:rPr>
        <w:t xml:space="preserve">The Determination </w:t>
      </w:r>
      <w:r w:rsidR="00B76A7C" w:rsidRPr="0092230E">
        <w:rPr>
          <w:rFonts w:ascii="Arial" w:hAnsi="Arial" w:cs="Arial"/>
          <w:sz w:val="20"/>
        </w:rPr>
        <w:t>is made by the Australian Communications and Media Authority (</w:t>
      </w:r>
      <w:r w:rsidR="00B76A7C" w:rsidRPr="0092230E">
        <w:rPr>
          <w:rFonts w:ascii="Arial" w:hAnsi="Arial" w:cs="Arial"/>
          <w:b/>
          <w:sz w:val="20"/>
        </w:rPr>
        <w:t>the</w:t>
      </w:r>
      <w:r w:rsidR="00B76A7C" w:rsidRPr="0092230E">
        <w:rPr>
          <w:rFonts w:ascii="Arial" w:hAnsi="Arial" w:cs="Arial"/>
          <w:sz w:val="20"/>
        </w:rPr>
        <w:t xml:space="preserve"> </w:t>
      </w:r>
      <w:r w:rsidR="00B76A7C" w:rsidRPr="0092230E">
        <w:rPr>
          <w:rFonts w:ascii="Arial" w:hAnsi="Arial" w:cs="Arial"/>
          <w:b/>
          <w:sz w:val="20"/>
        </w:rPr>
        <w:t>ACMA</w:t>
      </w:r>
      <w:r w:rsidR="00B76A7C" w:rsidRPr="0092230E">
        <w:rPr>
          <w:rFonts w:ascii="Arial" w:hAnsi="Arial" w:cs="Arial"/>
          <w:sz w:val="20"/>
        </w:rPr>
        <w:t xml:space="preserve">) under subsections </w:t>
      </w:r>
      <w:r w:rsidR="00B84589" w:rsidRPr="0092230E">
        <w:rPr>
          <w:rFonts w:ascii="Arial" w:hAnsi="Arial" w:cs="Arial"/>
          <w:sz w:val="20"/>
        </w:rPr>
        <w:t>43</w:t>
      </w:r>
      <w:r w:rsidR="00B76A7C" w:rsidRPr="0092230E">
        <w:rPr>
          <w:rFonts w:ascii="Arial" w:hAnsi="Arial" w:cs="Arial"/>
          <w:sz w:val="20"/>
        </w:rPr>
        <w:t xml:space="preserve">(5) and </w:t>
      </w:r>
      <w:r w:rsidR="00B84589" w:rsidRPr="0092230E">
        <w:rPr>
          <w:rFonts w:ascii="Arial" w:hAnsi="Arial" w:cs="Arial"/>
          <w:sz w:val="20"/>
        </w:rPr>
        <w:t>45</w:t>
      </w:r>
      <w:r w:rsidR="00B76A7C" w:rsidRPr="0092230E">
        <w:rPr>
          <w:rFonts w:ascii="Arial" w:hAnsi="Arial" w:cs="Arial"/>
          <w:sz w:val="20"/>
        </w:rPr>
        <w:t>(1) of the</w:t>
      </w:r>
      <w:r w:rsidR="00BF3803" w:rsidRPr="0092230E">
        <w:rPr>
          <w:rFonts w:ascii="Arial" w:hAnsi="Arial" w:cs="Arial"/>
          <w:sz w:val="20"/>
        </w:rPr>
        <w:t xml:space="preserve"> </w:t>
      </w:r>
      <w:r w:rsidR="00B84589" w:rsidRPr="0092230E">
        <w:rPr>
          <w:rFonts w:ascii="Arial" w:hAnsi="Arial" w:cs="Arial"/>
          <w:sz w:val="20"/>
        </w:rPr>
        <w:t>TCPSS</w:t>
      </w:r>
      <w:r w:rsidR="00BF3803" w:rsidRPr="0092230E">
        <w:rPr>
          <w:rFonts w:ascii="Arial" w:hAnsi="Arial" w:cs="Arial"/>
          <w:sz w:val="20"/>
        </w:rPr>
        <w:t xml:space="preserve"> Act</w:t>
      </w:r>
      <w:r w:rsidR="00B76A7C" w:rsidRPr="0092230E">
        <w:rPr>
          <w:rFonts w:ascii="Arial" w:hAnsi="Arial" w:cs="Arial"/>
          <w:sz w:val="20"/>
        </w:rPr>
        <w:t xml:space="preserve">.  </w:t>
      </w:r>
    </w:p>
    <w:p w14:paraId="04949D1D" w14:textId="41626CF6" w:rsidR="00C13025" w:rsidRPr="0092230E" w:rsidRDefault="00334849" w:rsidP="008C6BEA">
      <w:pPr>
        <w:pStyle w:val="ABABulletLevel1"/>
        <w:spacing w:after="120"/>
        <w:rPr>
          <w:rFonts w:ascii="Arial" w:hAnsi="Arial" w:cs="Arial"/>
          <w:sz w:val="20"/>
        </w:rPr>
      </w:pPr>
      <w:r w:rsidRPr="0092230E">
        <w:rPr>
          <w:rFonts w:ascii="Arial" w:hAnsi="Arial" w:cs="Arial"/>
          <w:sz w:val="20"/>
        </w:rPr>
        <w:t xml:space="preserve">Subsection </w:t>
      </w:r>
      <w:r w:rsidR="00B84589" w:rsidRPr="0092230E">
        <w:rPr>
          <w:rFonts w:ascii="Arial" w:hAnsi="Arial" w:cs="Arial"/>
          <w:sz w:val="20"/>
        </w:rPr>
        <w:t>45</w:t>
      </w:r>
      <w:r w:rsidRPr="0092230E">
        <w:rPr>
          <w:rFonts w:ascii="Arial" w:hAnsi="Arial" w:cs="Arial"/>
          <w:sz w:val="20"/>
        </w:rPr>
        <w:t xml:space="preserve">(1) provides that the eligible revenue of a participating person for an eligible revenue period (other than the first eligible revenue period under the </w:t>
      </w:r>
      <w:r w:rsidR="00B84589" w:rsidRPr="0092230E">
        <w:rPr>
          <w:rFonts w:ascii="Arial" w:hAnsi="Arial" w:cs="Arial"/>
          <w:sz w:val="20"/>
        </w:rPr>
        <w:t>TCPSS</w:t>
      </w:r>
      <w:r w:rsidRPr="0092230E">
        <w:rPr>
          <w:rFonts w:ascii="Arial" w:hAnsi="Arial" w:cs="Arial"/>
          <w:sz w:val="20"/>
        </w:rPr>
        <w:t xml:space="preserve"> Act which is the 201</w:t>
      </w:r>
      <w:r w:rsidR="00B84589" w:rsidRPr="0092230E">
        <w:rPr>
          <w:rFonts w:ascii="Arial" w:hAnsi="Arial" w:cs="Arial"/>
          <w:sz w:val="20"/>
        </w:rPr>
        <w:t>3</w:t>
      </w:r>
      <w:r w:rsidRPr="0092230E">
        <w:rPr>
          <w:rFonts w:ascii="Arial" w:hAnsi="Arial" w:cs="Arial"/>
          <w:sz w:val="20"/>
        </w:rPr>
        <w:t>-1</w:t>
      </w:r>
      <w:r w:rsidR="00B84589" w:rsidRPr="0092230E">
        <w:rPr>
          <w:rFonts w:ascii="Arial" w:hAnsi="Arial" w:cs="Arial"/>
          <w:sz w:val="20"/>
        </w:rPr>
        <w:t>4</w:t>
      </w:r>
      <w:r w:rsidRPr="0092230E">
        <w:rPr>
          <w:rFonts w:ascii="Arial" w:hAnsi="Arial" w:cs="Arial"/>
          <w:sz w:val="20"/>
        </w:rPr>
        <w:t xml:space="preserve"> financial year) is the amount ascertained in accordance with a written determination made by the ACMA. </w:t>
      </w:r>
    </w:p>
    <w:p w14:paraId="545C0354" w14:textId="20D392B8" w:rsidR="00C13025" w:rsidRPr="0092230E" w:rsidRDefault="00C13025" w:rsidP="008C6BEA">
      <w:pPr>
        <w:pStyle w:val="ABABulletLevel1"/>
        <w:spacing w:after="120"/>
        <w:rPr>
          <w:rFonts w:ascii="Arial" w:hAnsi="Arial" w:cs="Arial"/>
          <w:sz w:val="20"/>
        </w:rPr>
      </w:pPr>
      <w:r w:rsidRPr="0092230E">
        <w:rPr>
          <w:rFonts w:ascii="Arial" w:hAnsi="Arial" w:cs="Arial"/>
          <w:sz w:val="20"/>
        </w:rPr>
        <w:t xml:space="preserve">Subsection </w:t>
      </w:r>
      <w:r w:rsidR="0037274A" w:rsidRPr="0092230E">
        <w:rPr>
          <w:rFonts w:ascii="Arial" w:hAnsi="Arial" w:cs="Arial"/>
          <w:sz w:val="20"/>
        </w:rPr>
        <w:t>43</w:t>
      </w:r>
      <w:r w:rsidRPr="0092230E">
        <w:rPr>
          <w:rFonts w:ascii="Arial" w:hAnsi="Arial" w:cs="Arial"/>
          <w:sz w:val="20"/>
        </w:rPr>
        <w:t xml:space="preserve">(1) provides that a participating person for an eligible revenue period must give the ACMA a written return of the person’s eligible revenue for that period, and must do so within the period specified in an instrument in force under subsection </w:t>
      </w:r>
      <w:r w:rsidR="0037274A" w:rsidRPr="0092230E">
        <w:rPr>
          <w:rFonts w:ascii="Arial" w:hAnsi="Arial" w:cs="Arial"/>
          <w:sz w:val="20"/>
        </w:rPr>
        <w:t>43</w:t>
      </w:r>
      <w:r w:rsidRPr="0092230E">
        <w:rPr>
          <w:rFonts w:ascii="Arial" w:hAnsi="Arial" w:cs="Arial"/>
          <w:sz w:val="20"/>
        </w:rPr>
        <w:t xml:space="preserve">(5). </w:t>
      </w:r>
      <w:r w:rsidR="00EB31CD" w:rsidRPr="0092230E">
        <w:rPr>
          <w:rFonts w:ascii="Arial" w:hAnsi="Arial" w:cs="Arial"/>
          <w:sz w:val="20"/>
        </w:rPr>
        <w:t xml:space="preserve">Subsection </w:t>
      </w:r>
      <w:r w:rsidR="0037274A" w:rsidRPr="0092230E">
        <w:rPr>
          <w:rFonts w:ascii="Arial" w:hAnsi="Arial" w:cs="Arial"/>
          <w:sz w:val="20"/>
        </w:rPr>
        <w:t>43</w:t>
      </w:r>
      <w:r w:rsidR="00EB31CD" w:rsidRPr="0092230E">
        <w:rPr>
          <w:rFonts w:ascii="Arial" w:hAnsi="Arial" w:cs="Arial"/>
          <w:sz w:val="20"/>
        </w:rPr>
        <w:t>(5)</w:t>
      </w:r>
      <w:r w:rsidR="00B76A7C" w:rsidRPr="0092230E">
        <w:rPr>
          <w:rFonts w:ascii="Arial" w:hAnsi="Arial" w:cs="Arial"/>
          <w:sz w:val="20"/>
        </w:rPr>
        <w:t xml:space="preserve"> provide</w:t>
      </w:r>
      <w:r w:rsidR="00EB31CD" w:rsidRPr="0092230E">
        <w:rPr>
          <w:rFonts w:ascii="Arial" w:hAnsi="Arial" w:cs="Arial"/>
          <w:sz w:val="20"/>
        </w:rPr>
        <w:t>s</w:t>
      </w:r>
      <w:r w:rsidR="00B76A7C" w:rsidRPr="0092230E">
        <w:rPr>
          <w:rFonts w:ascii="Arial" w:hAnsi="Arial" w:cs="Arial"/>
          <w:sz w:val="20"/>
        </w:rPr>
        <w:t xml:space="preserve"> that </w:t>
      </w:r>
      <w:r w:rsidRPr="0092230E">
        <w:rPr>
          <w:rFonts w:ascii="Arial" w:hAnsi="Arial" w:cs="Arial"/>
          <w:sz w:val="20"/>
        </w:rPr>
        <w:t xml:space="preserve">the ACMA may, by legislative instrument, specify </w:t>
      </w:r>
      <w:r w:rsidR="00EB31CD" w:rsidRPr="0092230E">
        <w:rPr>
          <w:rFonts w:ascii="Arial" w:hAnsi="Arial" w:cs="Arial"/>
          <w:sz w:val="20"/>
        </w:rPr>
        <w:t>a period</w:t>
      </w:r>
      <w:r w:rsidRPr="0092230E">
        <w:rPr>
          <w:rFonts w:ascii="Arial" w:hAnsi="Arial" w:cs="Arial"/>
          <w:sz w:val="20"/>
        </w:rPr>
        <w:t>, that must begin at or after the end of the eligible revenue period,</w:t>
      </w:r>
      <w:r w:rsidR="00EB31CD" w:rsidRPr="0092230E">
        <w:rPr>
          <w:rFonts w:ascii="Arial" w:hAnsi="Arial" w:cs="Arial"/>
          <w:sz w:val="20"/>
        </w:rPr>
        <w:t xml:space="preserve"> </w:t>
      </w:r>
      <w:r w:rsidR="004D787E" w:rsidRPr="0092230E">
        <w:rPr>
          <w:rFonts w:ascii="Arial" w:hAnsi="Arial" w:cs="Arial"/>
          <w:sz w:val="20"/>
        </w:rPr>
        <w:t xml:space="preserve">for </w:t>
      </w:r>
      <w:r w:rsidRPr="0092230E">
        <w:rPr>
          <w:rFonts w:ascii="Arial" w:hAnsi="Arial" w:cs="Arial"/>
          <w:sz w:val="20"/>
        </w:rPr>
        <w:t xml:space="preserve">the purposes of paragraph </w:t>
      </w:r>
      <w:r w:rsidR="0037274A" w:rsidRPr="0092230E">
        <w:rPr>
          <w:rFonts w:ascii="Arial" w:hAnsi="Arial" w:cs="Arial"/>
          <w:sz w:val="20"/>
        </w:rPr>
        <w:t>43</w:t>
      </w:r>
      <w:r w:rsidRPr="0092230E">
        <w:rPr>
          <w:rFonts w:ascii="Arial" w:hAnsi="Arial" w:cs="Arial"/>
          <w:sz w:val="20"/>
        </w:rPr>
        <w:t xml:space="preserve">(1)(b). </w:t>
      </w:r>
    </w:p>
    <w:p w14:paraId="7222AC7B" w14:textId="77777777" w:rsidR="0098778E" w:rsidRPr="0092230E" w:rsidRDefault="00C13025" w:rsidP="0098778E">
      <w:pPr>
        <w:pStyle w:val="ABABulletLevel1"/>
        <w:rPr>
          <w:rFonts w:ascii="Arial" w:hAnsi="Arial" w:cs="Arial"/>
          <w:i/>
          <w:sz w:val="20"/>
        </w:rPr>
      </w:pPr>
      <w:r w:rsidRPr="0092230E">
        <w:rPr>
          <w:rFonts w:ascii="Arial" w:hAnsi="Arial" w:cs="Arial"/>
          <w:sz w:val="20"/>
        </w:rPr>
        <w:t>The Determination is a legislative instrument for the purposes of the</w:t>
      </w:r>
      <w:r w:rsidR="00476373" w:rsidRPr="0092230E">
        <w:rPr>
          <w:rFonts w:ascii="Arial" w:hAnsi="Arial" w:cs="Arial"/>
          <w:i/>
          <w:sz w:val="20"/>
        </w:rPr>
        <w:t xml:space="preserve"> </w:t>
      </w:r>
      <w:r w:rsidRPr="0092230E">
        <w:rPr>
          <w:rFonts w:ascii="Arial" w:hAnsi="Arial" w:cs="Arial"/>
          <w:i/>
          <w:sz w:val="20"/>
        </w:rPr>
        <w:t>Legislative Instruments Act 2003</w:t>
      </w:r>
      <w:r w:rsidR="00826C55" w:rsidRPr="0092230E">
        <w:rPr>
          <w:rFonts w:ascii="Arial" w:hAnsi="Arial" w:cs="Arial"/>
          <w:i/>
          <w:sz w:val="20"/>
        </w:rPr>
        <w:t xml:space="preserve"> </w:t>
      </w:r>
      <w:r w:rsidR="00826C55" w:rsidRPr="0092230E">
        <w:rPr>
          <w:rFonts w:ascii="Arial" w:hAnsi="Arial" w:cs="Arial"/>
          <w:sz w:val="20"/>
        </w:rPr>
        <w:t>(</w:t>
      </w:r>
      <w:r w:rsidR="00826C55" w:rsidRPr="0092230E">
        <w:rPr>
          <w:rFonts w:ascii="Arial" w:hAnsi="Arial" w:cs="Arial"/>
          <w:b/>
          <w:sz w:val="20"/>
        </w:rPr>
        <w:t>the</w:t>
      </w:r>
      <w:r w:rsidR="00826C55" w:rsidRPr="0092230E">
        <w:rPr>
          <w:rFonts w:ascii="Arial" w:hAnsi="Arial" w:cs="Arial"/>
          <w:sz w:val="20"/>
        </w:rPr>
        <w:t xml:space="preserve"> </w:t>
      </w:r>
      <w:r w:rsidR="00476373" w:rsidRPr="0092230E">
        <w:rPr>
          <w:rFonts w:ascii="Arial" w:hAnsi="Arial" w:cs="Arial"/>
          <w:b/>
          <w:sz w:val="20"/>
        </w:rPr>
        <w:t>LI Act</w:t>
      </w:r>
      <w:r w:rsidR="00826C55" w:rsidRPr="0092230E">
        <w:rPr>
          <w:rFonts w:ascii="Arial" w:hAnsi="Arial" w:cs="Arial"/>
          <w:sz w:val="20"/>
        </w:rPr>
        <w:t>)</w:t>
      </w:r>
      <w:r w:rsidRPr="0092230E">
        <w:rPr>
          <w:rFonts w:ascii="Arial" w:hAnsi="Arial" w:cs="Arial"/>
          <w:i/>
          <w:sz w:val="20"/>
        </w:rPr>
        <w:t xml:space="preserve">. </w:t>
      </w:r>
    </w:p>
    <w:p w14:paraId="20F7A509" w14:textId="373FDD1A" w:rsidR="00B76A7C" w:rsidRPr="0092230E" w:rsidRDefault="00476373" w:rsidP="0098778E">
      <w:pPr>
        <w:pStyle w:val="ABABulletLevel1"/>
        <w:rPr>
          <w:rFonts w:ascii="Arial" w:hAnsi="Arial" w:cs="Arial"/>
          <w:i/>
          <w:sz w:val="20"/>
        </w:rPr>
      </w:pPr>
      <w:r w:rsidRPr="0092230E">
        <w:rPr>
          <w:rFonts w:ascii="Arial" w:hAnsi="Arial" w:cs="Arial"/>
          <w:i/>
          <w:sz w:val="20"/>
        </w:rPr>
        <w:t xml:space="preserve"> </w:t>
      </w:r>
    </w:p>
    <w:p w14:paraId="57830CCE" w14:textId="77777777" w:rsidR="00383986" w:rsidRPr="0092230E" w:rsidRDefault="00383986" w:rsidP="00383986">
      <w:pPr>
        <w:pStyle w:val="ACMAHeading2"/>
        <w:spacing w:before="80" w:after="120"/>
        <w:rPr>
          <w:rFonts w:cs="Arial"/>
          <w:caps w:val="0"/>
          <w:sz w:val="20"/>
          <w:szCs w:val="20"/>
          <w:lang w:val="en-AU" w:eastAsia="en-AU"/>
        </w:rPr>
      </w:pPr>
      <w:r w:rsidRPr="0092230E">
        <w:rPr>
          <w:rFonts w:cs="Arial"/>
          <w:caps w:val="0"/>
          <w:sz w:val="20"/>
          <w:szCs w:val="20"/>
          <w:lang w:val="en-AU" w:eastAsia="en-AU"/>
        </w:rPr>
        <w:t>Background</w:t>
      </w:r>
    </w:p>
    <w:p w14:paraId="598F2010" w14:textId="4EF8D428" w:rsidR="00864F91" w:rsidRPr="0092230E" w:rsidRDefault="00864F91" w:rsidP="0098778E">
      <w:pPr>
        <w:pStyle w:val="ABABulletLevel1"/>
        <w:spacing w:after="120"/>
        <w:rPr>
          <w:rFonts w:ascii="Arial" w:hAnsi="Arial" w:cs="Arial"/>
          <w:sz w:val="20"/>
        </w:rPr>
      </w:pPr>
      <w:r w:rsidRPr="0092230E">
        <w:rPr>
          <w:rFonts w:ascii="Arial" w:hAnsi="Arial" w:cs="Arial"/>
          <w:sz w:val="20"/>
        </w:rPr>
        <w:t xml:space="preserve">As part of the </w:t>
      </w:r>
      <w:r w:rsidRPr="0092230E">
        <w:rPr>
          <w:rFonts w:ascii="Arial" w:hAnsi="Arial" w:cs="Arial"/>
          <w:i/>
          <w:sz w:val="20"/>
        </w:rPr>
        <w:t>Telecommunications Legislation Amendment (Deregulation) Act 2015</w:t>
      </w:r>
      <w:r w:rsidR="007E5F1C" w:rsidRPr="0092230E">
        <w:rPr>
          <w:rFonts w:ascii="Arial" w:hAnsi="Arial" w:cs="Arial"/>
          <w:sz w:val="20"/>
        </w:rPr>
        <w:t xml:space="preserve"> (</w:t>
      </w:r>
      <w:r w:rsidR="007E5F1C" w:rsidRPr="0092230E">
        <w:rPr>
          <w:rFonts w:ascii="Arial" w:hAnsi="Arial" w:cs="Arial"/>
          <w:b/>
          <w:sz w:val="20"/>
        </w:rPr>
        <w:t>the</w:t>
      </w:r>
      <w:r w:rsidR="007E5F1C" w:rsidRPr="0092230E">
        <w:rPr>
          <w:rFonts w:ascii="Arial" w:hAnsi="Arial" w:cs="Arial"/>
          <w:sz w:val="20"/>
        </w:rPr>
        <w:t xml:space="preserve"> </w:t>
      </w:r>
      <w:r w:rsidR="007E5F1C" w:rsidRPr="0092230E">
        <w:rPr>
          <w:rFonts w:ascii="Arial" w:hAnsi="Arial" w:cs="Arial"/>
          <w:b/>
          <w:sz w:val="20"/>
        </w:rPr>
        <w:t>Deregulation Act</w:t>
      </w:r>
      <w:r w:rsidR="007E5F1C" w:rsidRPr="0092230E">
        <w:rPr>
          <w:rFonts w:ascii="Arial" w:hAnsi="Arial" w:cs="Arial"/>
          <w:sz w:val="20"/>
        </w:rPr>
        <w:t xml:space="preserve">) the government </w:t>
      </w:r>
      <w:r w:rsidR="00F63302" w:rsidRPr="0092230E">
        <w:rPr>
          <w:rFonts w:ascii="Arial" w:hAnsi="Arial" w:cs="Arial"/>
          <w:sz w:val="20"/>
        </w:rPr>
        <w:t>abolishe</w:t>
      </w:r>
      <w:r w:rsidR="00F63302">
        <w:rPr>
          <w:rFonts w:ascii="Arial" w:hAnsi="Arial" w:cs="Arial"/>
          <w:sz w:val="20"/>
        </w:rPr>
        <w:t>d</w:t>
      </w:r>
      <w:r w:rsidR="00F63302" w:rsidRPr="0092230E">
        <w:rPr>
          <w:rFonts w:ascii="Arial" w:hAnsi="Arial" w:cs="Arial"/>
          <w:sz w:val="20"/>
        </w:rPr>
        <w:t xml:space="preserve"> </w:t>
      </w:r>
      <w:r w:rsidRPr="0092230E">
        <w:rPr>
          <w:rFonts w:ascii="Arial" w:hAnsi="Arial" w:cs="Arial"/>
          <w:sz w:val="20"/>
        </w:rPr>
        <w:t>the Telecommunications Universal Service Management Agency (</w:t>
      </w:r>
      <w:r w:rsidRPr="0092230E">
        <w:rPr>
          <w:rFonts w:ascii="Arial" w:hAnsi="Arial" w:cs="Arial"/>
          <w:b/>
          <w:sz w:val="20"/>
        </w:rPr>
        <w:t>TUSMA</w:t>
      </w:r>
      <w:r w:rsidRPr="0092230E">
        <w:rPr>
          <w:rFonts w:ascii="Arial" w:hAnsi="Arial" w:cs="Arial"/>
          <w:sz w:val="20"/>
        </w:rPr>
        <w:t xml:space="preserve">) and </w:t>
      </w:r>
      <w:r w:rsidR="00F63302" w:rsidRPr="0092230E">
        <w:rPr>
          <w:rFonts w:ascii="Arial" w:hAnsi="Arial" w:cs="Arial"/>
          <w:sz w:val="20"/>
        </w:rPr>
        <w:t>transfer</w:t>
      </w:r>
      <w:r w:rsidR="00F63302">
        <w:rPr>
          <w:rFonts w:ascii="Arial" w:hAnsi="Arial" w:cs="Arial"/>
          <w:sz w:val="20"/>
        </w:rPr>
        <w:t>red</w:t>
      </w:r>
      <w:r w:rsidR="00F63302" w:rsidRPr="0092230E">
        <w:rPr>
          <w:rFonts w:ascii="Arial" w:hAnsi="Arial" w:cs="Arial"/>
          <w:sz w:val="20"/>
        </w:rPr>
        <w:t xml:space="preserve"> </w:t>
      </w:r>
      <w:r w:rsidRPr="0092230E">
        <w:rPr>
          <w:rFonts w:ascii="Arial" w:hAnsi="Arial" w:cs="Arial"/>
          <w:sz w:val="20"/>
        </w:rPr>
        <w:t xml:space="preserve">its functions to the Department of Communications. The </w:t>
      </w:r>
      <w:r w:rsidR="007E5F1C" w:rsidRPr="0092230E">
        <w:rPr>
          <w:rFonts w:ascii="Arial" w:hAnsi="Arial" w:cs="Arial"/>
          <w:sz w:val="20"/>
        </w:rPr>
        <w:t xml:space="preserve">Deregulation Act </w:t>
      </w:r>
      <w:r w:rsidRPr="0092230E">
        <w:rPr>
          <w:rFonts w:ascii="Arial" w:hAnsi="Arial" w:cs="Arial"/>
          <w:sz w:val="20"/>
        </w:rPr>
        <w:t>also transfer</w:t>
      </w:r>
      <w:r w:rsidR="008633BE">
        <w:rPr>
          <w:rFonts w:ascii="Arial" w:hAnsi="Arial" w:cs="Arial"/>
          <w:sz w:val="20"/>
        </w:rPr>
        <w:t>red</w:t>
      </w:r>
      <w:r w:rsidRPr="0092230E">
        <w:rPr>
          <w:rFonts w:ascii="Arial" w:hAnsi="Arial" w:cs="Arial"/>
          <w:sz w:val="20"/>
        </w:rPr>
        <w:t xml:space="preserve"> provisions relating to the assessment, collec</w:t>
      </w:r>
      <w:r w:rsidR="00A41A66" w:rsidRPr="0092230E">
        <w:rPr>
          <w:rFonts w:ascii="Arial" w:hAnsi="Arial" w:cs="Arial"/>
          <w:sz w:val="20"/>
        </w:rPr>
        <w:t>tion and recovery of the TIL</w:t>
      </w:r>
      <w:r w:rsidR="0098778E" w:rsidRPr="0092230E">
        <w:rPr>
          <w:rFonts w:ascii="Arial" w:hAnsi="Arial" w:cs="Arial"/>
          <w:sz w:val="20"/>
        </w:rPr>
        <w:t xml:space="preserve"> from</w:t>
      </w:r>
      <w:r w:rsidR="00372F09">
        <w:rPr>
          <w:rFonts w:ascii="Arial" w:hAnsi="Arial" w:cs="Arial"/>
          <w:sz w:val="20"/>
        </w:rPr>
        <w:t xml:space="preserve"> the </w:t>
      </w:r>
      <w:r w:rsidR="00372F09">
        <w:rPr>
          <w:rFonts w:ascii="Arial" w:hAnsi="Arial" w:cs="Arial"/>
          <w:i/>
          <w:sz w:val="20"/>
        </w:rPr>
        <w:t>Telecommunications Universal Service Management Agency Act 2012</w:t>
      </w:r>
      <w:r w:rsidR="0098778E" w:rsidRPr="0092230E">
        <w:rPr>
          <w:rFonts w:ascii="Arial" w:hAnsi="Arial" w:cs="Arial"/>
          <w:sz w:val="20"/>
        </w:rPr>
        <w:t xml:space="preserve"> </w:t>
      </w:r>
      <w:r w:rsidR="00372F09">
        <w:rPr>
          <w:rFonts w:ascii="Arial" w:hAnsi="Arial" w:cs="Arial"/>
          <w:sz w:val="20"/>
        </w:rPr>
        <w:t>(</w:t>
      </w:r>
      <w:r w:rsidR="0098778E" w:rsidRPr="004C43F6">
        <w:rPr>
          <w:rFonts w:ascii="Arial" w:hAnsi="Arial" w:cs="Arial"/>
          <w:b/>
          <w:sz w:val="20"/>
        </w:rPr>
        <w:t>the TUSMA Act</w:t>
      </w:r>
      <w:r w:rsidR="00372F09" w:rsidRPr="001024B1">
        <w:rPr>
          <w:rFonts w:ascii="Arial" w:hAnsi="Arial" w:cs="Arial"/>
          <w:sz w:val="20"/>
        </w:rPr>
        <w:t>)</w:t>
      </w:r>
      <w:r w:rsidR="0098778E" w:rsidRPr="0092230E">
        <w:rPr>
          <w:rFonts w:ascii="Arial" w:hAnsi="Arial" w:cs="Arial"/>
          <w:sz w:val="20"/>
        </w:rPr>
        <w:t xml:space="preserve"> to the TCPSS Act</w:t>
      </w:r>
      <w:r w:rsidR="007E5F1C" w:rsidRPr="0092230E">
        <w:rPr>
          <w:rFonts w:ascii="Arial" w:hAnsi="Arial" w:cs="Arial"/>
          <w:sz w:val="20"/>
        </w:rPr>
        <w:t>.</w:t>
      </w:r>
    </w:p>
    <w:p w14:paraId="11516117" w14:textId="6DD02659" w:rsidR="00383986" w:rsidRPr="0092230E" w:rsidRDefault="00E0596D" w:rsidP="00281DF2">
      <w:pPr>
        <w:pStyle w:val="ABABulletLevel1"/>
        <w:spacing w:after="120"/>
        <w:rPr>
          <w:rFonts w:ascii="Arial" w:hAnsi="Arial" w:cs="Arial"/>
          <w:sz w:val="20"/>
        </w:rPr>
      </w:pPr>
      <w:r w:rsidRPr="0092230E">
        <w:rPr>
          <w:rFonts w:ascii="Arial" w:hAnsi="Arial" w:cs="Arial"/>
          <w:sz w:val="20"/>
        </w:rPr>
        <w:lastRenderedPageBreak/>
        <w:t xml:space="preserve">Under the </w:t>
      </w:r>
      <w:r w:rsidR="00986EEE" w:rsidRPr="0092230E">
        <w:rPr>
          <w:rFonts w:ascii="Arial" w:hAnsi="Arial" w:cs="Arial"/>
          <w:sz w:val="20"/>
        </w:rPr>
        <w:t>TCPSS</w:t>
      </w:r>
      <w:r w:rsidRPr="0092230E">
        <w:rPr>
          <w:rFonts w:ascii="Arial" w:hAnsi="Arial" w:cs="Arial"/>
          <w:sz w:val="20"/>
        </w:rPr>
        <w:t xml:space="preserve"> Act, the ACMA will continue to </w:t>
      </w:r>
      <w:r w:rsidR="00247C3A" w:rsidRPr="0092230E">
        <w:rPr>
          <w:rFonts w:ascii="Arial" w:hAnsi="Arial" w:cs="Arial"/>
          <w:sz w:val="20"/>
        </w:rPr>
        <w:t>administer</w:t>
      </w:r>
      <w:r w:rsidRPr="0092230E">
        <w:rPr>
          <w:rFonts w:ascii="Arial" w:hAnsi="Arial" w:cs="Arial"/>
          <w:sz w:val="20"/>
        </w:rPr>
        <w:t xml:space="preserve"> the</w:t>
      </w:r>
      <w:r w:rsidR="00BF0B96" w:rsidRPr="0092230E">
        <w:rPr>
          <w:rFonts w:ascii="Arial" w:hAnsi="Arial" w:cs="Arial"/>
          <w:sz w:val="20"/>
        </w:rPr>
        <w:t xml:space="preserve"> assessment, collection and recovery of the</w:t>
      </w:r>
      <w:r w:rsidRPr="0092230E">
        <w:rPr>
          <w:rFonts w:ascii="Arial" w:hAnsi="Arial" w:cs="Arial"/>
          <w:sz w:val="20"/>
        </w:rPr>
        <w:t xml:space="preserve"> TIL. </w:t>
      </w:r>
      <w:r w:rsidR="00EE49A7" w:rsidRPr="0092230E">
        <w:rPr>
          <w:rFonts w:ascii="Arial" w:hAnsi="Arial" w:cs="Arial"/>
          <w:sz w:val="20"/>
        </w:rPr>
        <w:t>From the 201</w:t>
      </w:r>
      <w:r w:rsidR="00986EEE" w:rsidRPr="0092230E">
        <w:rPr>
          <w:rFonts w:ascii="Arial" w:hAnsi="Arial" w:cs="Arial"/>
          <w:sz w:val="20"/>
        </w:rPr>
        <w:t>4</w:t>
      </w:r>
      <w:r w:rsidR="00EE49A7" w:rsidRPr="0092230E">
        <w:rPr>
          <w:rFonts w:ascii="Arial" w:hAnsi="Arial" w:cs="Arial"/>
          <w:sz w:val="20"/>
        </w:rPr>
        <w:t>-1</w:t>
      </w:r>
      <w:r w:rsidR="00986EEE" w:rsidRPr="0092230E">
        <w:rPr>
          <w:rFonts w:ascii="Arial" w:hAnsi="Arial" w:cs="Arial"/>
          <w:sz w:val="20"/>
        </w:rPr>
        <w:t>5</w:t>
      </w:r>
      <w:r w:rsidR="00EE49A7" w:rsidRPr="0092230E">
        <w:rPr>
          <w:rFonts w:ascii="Arial" w:hAnsi="Arial" w:cs="Arial"/>
          <w:sz w:val="20"/>
        </w:rPr>
        <w:t xml:space="preserve"> eligible revenue period onwards, the eligible revenue of a participating person is to be determined in accordance with the T</w:t>
      </w:r>
      <w:r w:rsidR="00986EEE" w:rsidRPr="0092230E">
        <w:rPr>
          <w:rFonts w:ascii="Arial" w:hAnsi="Arial" w:cs="Arial"/>
          <w:sz w:val="20"/>
        </w:rPr>
        <w:t>CPSS</w:t>
      </w:r>
      <w:r w:rsidR="00EE49A7" w:rsidRPr="0092230E">
        <w:rPr>
          <w:rFonts w:ascii="Arial" w:hAnsi="Arial" w:cs="Arial"/>
          <w:sz w:val="20"/>
        </w:rPr>
        <w:t xml:space="preserve"> Act. </w:t>
      </w:r>
      <w:r w:rsidR="00247C3A" w:rsidRPr="0092230E">
        <w:rPr>
          <w:rFonts w:ascii="Arial" w:hAnsi="Arial" w:cs="Arial"/>
          <w:sz w:val="20"/>
        </w:rPr>
        <w:t>A</w:t>
      </w:r>
      <w:r w:rsidR="00281DF2" w:rsidRPr="0092230E">
        <w:rPr>
          <w:rFonts w:ascii="Arial" w:hAnsi="Arial" w:cs="Arial"/>
          <w:sz w:val="20"/>
        </w:rPr>
        <w:t xml:space="preserve"> ‘participating person’ will continue to lodge eligible revenue returns with the ACMA and levy payments will continue to be </w:t>
      </w:r>
      <w:r w:rsidR="00247C3A" w:rsidRPr="0092230E">
        <w:rPr>
          <w:rFonts w:ascii="Arial" w:hAnsi="Arial" w:cs="Arial"/>
          <w:sz w:val="20"/>
        </w:rPr>
        <w:t>calculated by the ACMA, based on an</w:t>
      </w:r>
      <w:r w:rsidR="00281DF2" w:rsidRPr="0092230E">
        <w:rPr>
          <w:rFonts w:ascii="Arial" w:hAnsi="Arial" w:cs="Arial"/>
          <w:sz w:val="20"/>
        </w:rPr>
        <w:t xml:space="preserve"> assessment of each participating person’s eligible revenue.</w:t>
      </w:r>
      <w:r w:rsidR="00402EDD" w:rsidRPr="0092230E">
        <w:rPr>
          <w:rFonts w:ascii="Arial" w:hAnsi="Arial" w:cs="Arial"/>
          <w:sz w:val="20"/>
        </w:rPr>
        <w:t xml:space="preserve"> </w:t>
      </w:r>
    </w:p>
    <w:p w14:paraId="59CE947D" w14:textId="76C720FA" w:rsidR="00D30BE7" w:rsidRPr="0092230E" w:rsidRDefault="00247C3A" w:rsidP="0098778E">
      <w:pPr>
        <w:pStyle w:val="ABABulletLevel1"/>
        <w:spacing w:after="120"/>
        <w:rPr>
          <w:rFonts w:ascii="Arial" w:hAnsi="Arial" w:cs="Arial"/>
          <w:sz w:val="20"/>
        </w:rPr>
      </w:pPr>
      <w:r w:rsidRPr="0092230E">
        <w:rPr>
          <w:rFonts w:ascii="Arial" w:hAnsi="Arial" w:cs="Arial"/>
          <w:sz w:val="20"/>
        </w:rPr>
        <w:t xml:space="preserve">The Determination is </w:t>
      </w:r>
      <w:r w:rsidR="00BA0CA6" w:rsidRPr="0092230E">
        <w:rPr>
          <w:rFonts w:ascii="Arial" w:hAnsi="Arial" w:cs="Arial"/>
          <w:sz w:val="20"/>
        </w:rPr>
        <w:t xml:space="preserve">substantially </w:t>
      </w:r>
      <w:r w:rsidRPr="0092230E">
        <w:rPr>
          <w:rFonts w:ascii="Arial" w:hAnsi="Arial" w:cs="Arial"/>
          <w:sz w:val="20"/>
        </w:rPr>
        <w:t xml:space="preserve">similar to the </w:t>
      </w:r>
      <w:r w:rsidR="00534F20" w:rsidRPr="0092230E">
        <w:rPr>
          <w:rFonts w:ascii="Arial" w:hAnsi="Arial" w:cs="Arial"/>
          <w:i/>
          <w:sz w:val="20"/>
        </w:rPr>
        <w:t>Telecommunications Universal Service Management Agency (Eligible Revenue) Determination 2013</w:t>
      </w:r>
      <w:r w:rsidR="00534F20" w:rsidRPr="0092230E">
        <w:rPr>
          <w:rFonts w:ascii="Arial" w:hAnsi="Arial" w:cs="Arial"/>
          <w:sz w:val="20"/>
        </w:rPr>
        <w:t xml:space="preserve"> </w:t>
      </w:r>
      <w:r w:rsidRPr="0092230E">
        <w:rPr>
          <w:rFonts w:ascii="Arial" w:hAnsi="Arial" w:cs="Arial"/>
          <w:i/>
          <w:sz w:val="20"/>
        </w:rPr>
        <w:t xml:space="preserve"> </w:t>
      </w:r>
      <w:r w:rsidR="00BF0B96" w:rsidRPr="0092230E">
        <w:rPr>
          <w:rFonts w:ascii="Arial" w:hAnsi="Arial" w:cs="Arial"/>
          <w:sz w:val="20"/>
        </w:rPr>
        <w:t>(</w:t>
      </w:r>
      <w:r w:rsidR="00BF0B96" w:rsidRPr="0092230E">
        <w:rPr>
          <w:rFonts w:ascii="Arial" w:hAnsi="Arial" w:cs="Arial"/>
          <w:b/>
          <w:sz w:val="20"/>
        </w:rPr>
        <w:t>the</w:t>
      </w:r>
      <w:r w:rsidR="00BF0B96" w:rsidRPr="0092230E">
        <w:rPr>
          <w:rFonts w:ascii="Arial" w:hAnsi="Arial" w:cs="Arial"/>
          <w:sz w:val="20"/>
        </w:rPr>
        <w:t xml:space="preserve"> </w:t>
      </w:r>
      <w:r w:rsidR="00476373" w:rsidRPr="0092230E">
        <w:rPr>
          <w:rFonts w:ascii="Arial" w:hAnsi="Arial" w:cs="Arial"/>
          <w:b/>
          <w:sz w:val="20"/>
        </w:rPr>
        <w:t>20</w:t>
      </w:r>
      <w:r w:rsidR="00534F20" w:rsidRPr="0092230E">
        <w:rPr>
          <w:rFonts w:ascii="Arial" w:hAnsi="Arial" w:cs="Arial"/>
          <w:b/>
          <w:sz w:val="20"/>
        </w:rPr>
        <w:t>1</w:t>
      </w:r>
      <w:r w:rsidR="00476373" w:rsidRPr="0092230E">
        <w:rPr>
          <w:rFonts w:ascii="Arial" w:hAnsi="Arial" w:cs="Arial"/>
          <w:b/>
          <w:sz w:val="20"/>
        </w:rPr>
        <w:t>3 Determination</w:t>
      </w:r>
      <w:r w:rsidR="00BF0B96" w:rsidRPr="0092230E">
        <w:rPr>
          <w:rFonts w:ascii="Arial" w:hAnsi="Arial" w:cs="Arial"/>
          <w:sz w:val="20"/>
        </w:rPr>
        <w:t xml:space="preserve">) </w:t>
      </w:r>
      <w:r w:rsidRPr="0092230E">
        <w:rPr>
          <w:rFonts w:ascii="Arial" w:hAnsi="Arial" w:cs="Arial"/>
          <w:sz w:val="20"/>
        </w:rPr>
        <w:t xml:space="preserve">made under </w:t>
      </w:r>
      <w:r w:rsidR="0098778E" w:rsidRPr="0092230E">
        <w:rPr>
          <w:rFonts w:ascii="Arial" w:hAnsi="Arial" w:cs="Arial"/>
          <w:sz w:val="20"/>
        </w:rPr>
        <w:t>sub</w:t>
      </w:r>
      <w:r w:rsidRPr="0092230E">
        <w:rPr>
          <w:rFonts w:ascii="Arial" w:hAnsi="Arial" w:cs="Arial"/>
          <w:sz w:val="20"/>
        </w:rPr>
        <w:t>section</w:t>
      </w:r>
      <w:r w:rsidR="00534F20" w:rsidRPr="0092230E">
        <w:rPr>
          <w:rFonts w:ascii="Arial" w:hAnsi="Arial" w:cs="Arial"/>
          <w:sz w:val="20"/>
        </w:rPr>
        <w:t>s</w:t>
      </w:r>
      <w:r w:rsidRPr="0092230E">
        <w:rPr>
          <w:rFonts w:ascii="Arial" w:hAnsi="Arial" w:cs="Arial"/>
          <w:sz w:val="20"/>
        </w:rPr>
        <w:t xml:space="preserve"> </w:t>
      </w:r>
      <w:r w:rsidR="00534F20" w:rsidRPr="0092230E">
        <w:rPr>
          <w:rFonts w:ascii="Arial" w:hAnsi="Arial" w:cs="Arial"/>
          <w:sz w:val="20"/>
        </w:rPr>
        <w:t>91(5) and 93(1)</w:t>
      </w:r>
      <w:r w:rsidRPr="0092230E">
        <w:rPr>
          <w:rFonts w:ascii="Arial" w:hAnsi="Arial" w:cs="Arial"/>
          <w:sz w:val="20"/>
        </w:rPr>
        <w:t xml:space="preserve"> of the</w:t>
      </w:r>
      <w:r w:rsidR="00534F20" w:rsidRPr="0092230E">
        <w:rPr>
          <w:rFonts w:ascii="Arial" w:hAnsi="Arial" w:cs="Arial"/>
          <w:sz w:val="20"/>
        </w:rPr>
        <w:t xml:space="preserve"> </w:t>
      </w:r>
      <w:r w:rsidR="00534F20" w:rsidRPr="004C43F6">
        <w:rPr>
          <w:rFonts w:ascii="Arial" w:hAnsi="Arial" w:cs="Arial"/>
          <w:bCs/>
          <w:sz w:val="20"/>
        </w:rPr>
        <w:t>TUSMA Act</w:t>
      </w:r>
      <w:r w:rsidR="00534F20" w:rsidRPr="0092230E">
        <w:rPr>
          <w:rFonts w:ascii="Arial" w:hAnsi="Arial" w:cs="Arial"/>
          <w:sz w:val="20"/>
        </w:rPr>
        <w:t xml:space="preserve"> </w:t>
      </w:r>
      <w:r w:rsidR="0030610C" w:rsidRPr="0092230E">
        <w:rPr>
          <w:rFonts w:ascii="Arial" w:hAnsi="Arial" w:cs="Arial"/>
          <w:sz w:val="20"/>
        </w:rPr>
        <w:t xml:space="preserve">which applies to eligible revenue periods </w:t>
      </w:r>
      <w:r w:rsidR="00BA0CA6" w:rsidRPr="0092230E">
        <w:rPr>
          <w:rFonts w:ascii="Arial" w:hAnsi="Arial" w:cs="Arial"/>
          <w:sz w:val="20"/>
        </w:rPr>
        <w:t>up to and including the 201</w:t>
      </w:r>
      <w:r w:rsidR="00534F20" w:rsidRPr="0092230E">
        <w:rPr>
          <w:rFonts w:ascii="Arial" w:hAnsi="Arial" w:cs="Arial"/>
          <w:sz w:val="20"/>
        </w:rPr>
        <w:t>3</w:t>
      </w:r>
      <w:r w:rsidR="00BA0CA6" w:rsidRPr="0092230E">
        <w:rPr>
          <w:rFonts w:ascii="Arial" w:hAnsi="Arial" w:cs="Arial"/>
          <w:sz w:val="20"/>
        </w:rPr>
        <w:t>-1</w:t>
      </w:r>
      <w:r w:rsidR="00534F20" w:rsidRPr="0092230E">
        <w:rPr>
          <w:rFonts w:ascii="Arial" w:hAnsi="Arial" w:cs="Arial"/>
          <w:sz w:val="20"/>
        </w:rPr>
        <w:t>4</w:t>
      </w:r>
      <w:r w:rsidR="0030610C" w:rsidRPr="0092230E">
        <w:rPr>
          <w:rFonts w:ascii="Arial" w:hAnsi="Arial" w:cs="Arial"/>
          <w:sz w:val="20"/>
        </w:rPr>
        <w:t xml:space="preserve"> period. </w:t>
      </w:r>
      <w:r w:rsidR="00BA0CA6" w:rsidRPr="0092230E">
        <w:rPr>
          <w:rFonts w:ascii="Arial" w:hAnsi="Arial" w:cs="Arial"/>
          <w:sz w:val="20"/>
        </w:rPr>
        <w:t>The main differences between the 20</w:t>
      </w:r>
      <w:r w:rsidR="00534F20" w:rsidRPr="0092230E">
        <w:rPr>
          <w:rFonts w:ascii="Arial" w:hAnsi="Arial" w:cs="Arial"/>
          <w:sz w:val="20"/>
        </w:rPr>
        <w:t>1</w:t>
      </w:r>
      <w:r w:rsidR="00BA0CA6" w:rsidRPr="0092230E">
        <w:rPr>
          <w:rFonts w:ascii="Arial" w:hAnsi="Arial" w:cs="Arial"/>
          <w:sz w:val="20"/>
        </w:rPr>
        <w:t xml:space="preserve">3 Determination and the Determination </w:t>
      </w:r>
      <w:r w:rsidR="007766AF" w:rsidRPr="0092230E">
        <w:rPr>
          <w:rFonts w:ascii="Arial" w:hAnsi="Arial" w:cs="Arial"/>
          <w:sz w:val="20"/>
        </w:rPr>
        <w:t>are as follows</w:t>
      </w:r>
      <w:r w:rsidR="00BA0CA6" w:rsidRPr="0092230E">
        <w:rPr>
          <w:rFonts w:ascii="Arial" w:hAnsi="Arial" w:cs="Arial"/>
          <w:sz w:val="20"/>
        </w:rPr>
        <w:t>:</w:t>
      </w:r>
      <w:r w:rsidR="00534F20" w:rsidRPr="0092230E">
        <w:rPr>
          <w:rFonts w:ascii="Arial" w:hAnsi="Arial" w:cs="Arial"/>
          <w:sz w:val="20"/>
        </w:rPr>
        <w:t xml:space="preserve"> </w:t>
      </w:r>
    </w:p>
    <w:p w14:paraId="652358CC" w14:textId="50491F30" w:rsidR="00D30BE7" w:rsidRPr="0092230E" w:rsidRDefault="00D30BE7" w:rsidP="00E61CBA">
      <w:pPr>
        <w:pStyle w:val="ABABulletLevel1"/>
        <w:numPr>
          <w:ilvl w:val="0"/>
          <w:numId w:val="10"/>
        </w:numPr>
        <w:spacing w:after="120"/>
        <w:rPr>
          <w:rFonts w:ascii="Arial" w:hAnsi="Arial" w:cs="Arial"/>
          <w:sz w:val="20"/>
        </w:rPr>
      </w:pPr>
      <w:r w:rsidRPr="0092230E">
        <w:rPr>
          <w:rFonts w:ascii="Arial" w:hAnsi="Arial" w:cs="Arial"/>
          <w:sz w:val="20"/>
        </w:rPr>
        <w:t xml:space="preserve">Minor and machinery terminology updates, including </w:t>
      </w:r>
      <w:r w:rsidR="00F92EE4">
        <w:rPr>
          <w:rFonts w:ascii="Arial" w:hAnsi="Arial" w:cs="Arial"/>
          <w:sz w:val="20"/>
        </w:rPr>
        <w:t xml:space="preserve">the amendment of </w:t>
      </w:r>
      <w:r w:rsidRPr="0092230E">
        <w:rPr>
          <w:rFonts w:ascii="Arial" w:hAnsi="Arial" w:cs="Arial"/>
          <w:sz w:val="20"/>
        </w:rPr>
        <w:t>provisions that refer to the TUSMA Act with equivalent provisions referring to the TCPSS Act; and</w:t>
      </w:r>
    </w:p>
    <w:p w14:paraId="18127EB3" w14:textId="5471391A" w:rsidR="00EE49A7" w:rsidRPr="0092230E" w:rsidRDefault="00D30BE7" w:rsidP="00E61CBA">
      <w:pPr>
        <w:pStyle w:val="ABABulletLevel1"/>
        <w:numPr>
          <w:ilvl w:val="0"/>
          <w:numId w:val="10"/>
        </w:numPr>
        <w:spacing w:after="120"/>
        <w:rPr>
          <w:rFonts w:ascii="Arial" w:hAnsi="Arial" w:cs="Arial"/>
          <w:sz w:val="20"/>
        </w:rPr>
      </w:pPr>
      <w:r w:rsidRPr="0092230E">
        <w:rPr>
          <w:rFonts w:ascii="Arial" w:hAnsi="Arial" w:cs="Arial"/>
          <w:sz w:val="20"/>
        </w:rPr>
        <w:t xml:space="preserve">Amendments to </w:t>
      </w:r>
      <w:r w:rsidR="0098778E" w:rsidRPr="0092230E">
        <w:rPr>
          <w:rFonts w:ascii="Arial" w:hAnsi="Arial" w:cs="Arial"/>
          <w:sz w:val="20"/>
        </w:rPr>
        <w:t>the definition</w:t>
      </w:r>
      <w:r w:rsidRPr="0092230E">
        <w:rPr>
          <w:rFonts w:ascii="Arial" w:hAnsi="Arial" w:cs="Arial"/>
          <w:sz w:val="20"/>
        </w:rPr>
        <w:t xml:space="preserve"> of </w:t>
      </w:r>
      <w:r w:rsidR="0098778E" w:rsidRPr="0092230E">
        <w:rPr>
          <w:rFonts w:ascii="Arial" w:hAnsi="Arial" w:cs="Arial"/>
          <w:sz w:val="20"/>
        </w:rPr>
        <w:t>“</w:t>
      </w:r>
      <w:r w:rsidRPr="0092230E">
        <w:rPr>
          <w:rFonts w:ascii="Arial" w:hAnsi="Arial" w:cs="Arial"/>
          <w:sz w:val="20"/>
        </w:rPr>
        <w:t>inter</w:t>
      </w:r>
      <w:r w:rsidRPr="0092230E">
        <w:rPr>
          <w:rFonts w:ascii="Arial" w:hAnsi="Arial" w:cs="Arial"/>
          <w:sz w:val="20"/>
        </w:rPr>
        <w:noBreakHyphen/>
        <w:t>person input payment</w:t>
      </w:r>
      <w:r w:rsidR="0098778E" w:rsidRPr="0092230E">
        <w:rPr>
          <w:rFonts w:ascii="Arial" w:hAnsi="Arial" w:cs="Arial"/>
          <w:sz w:val="20"/>
        </w:rPr>
        <w:t>”</w:t>
      </w:r>
      <w:r w:rsidRPr="0092230E">
        <w:rPr>
          <w:rFonts w:ascii="Arial" w:hAnsi="Arial" w:cs="Arial"/>
          <w:sz w:val="20"/>
        </w:rPr>
        <w:t xml:space="preserve"> </w:t>
      </w:r>
      <w:r w:rsidR="0098778E" w:rsidRPr="0092230E">
        <w:rPr>
          <w:rFonts w:ascii="Arial" w:hAnsi="Arial" w:cs="Arial"/>
          <w:sz w:val="20"/>
        </w:rPr>
        <w:t>in order to</w:t>
      </w:r>
      <w:r w:rsidRPr="0092230E">
        <w:rPr>
          <w:rFonts w:ascii="Arial" w:hAnsi="Arial" w:cs="Arial"/>
          <w:sz w:val="20"/>
        </w:rPr>
        <w:t xml:space="preserve"> further clari</w:t>
      </w:r>
      <w:r w:rsidR="0098778E" w:rsidRPr="0092230E">
        <w:rPr>
          <w:rFonts w:ascii="Arial" w:hAnsi="Arial" w:cs="Arial"/>
          <w:sz w:val="20"/>
        </w:rPr>
        <w:t>f</w:t>
      </w:r>
      <w:r w:rsidRPr="0092230E">
        <w:rPr>
          <w:rFonts w:ascii="Arial" w:hAnsi="Arial" w:cs="Arial"/>
          <w:sz w:val="20"/>
        </w:rPr>
        <w:t xml:space="preserve">y </w:t>
      </w:r>
      <w:r w:rsidR="0098778E" w:rsidRPr="0092230E">
        <w:rPr>
          <w:rFonts w:ascii="Arial" w:hAnsi="Arial" w:cs="Arial"/>
          <w:sz w:val="20"/>
        </w:rPr>
        <w:t>the meaning of the term</w:t>
      </w:r>
      <w:r w:rsidRPr="0092230E">
        <w:rPr>
          <w:rFonts w:ascii="Arial" w:hAnsi="Arial" w:cs="Arial"/>
          <w:sz w:val="20"/>
        </w:rPr>
        <w:t>.</w:t>
      </w:r>
    </w:p>
    <w:p w14:paraId="189364C8" w14:textId="77777777" w:rsidR="000D3CE4" w:rsidRPr="0092230E" w:rsidRDefault="000D3CE4" w:rsidP="000D3CE4">
      <w:pPr>
        <w:pStyle w:val="ABABulletLevel1"/>
        <w:spacing w:after="120"/>
        <w:rPr>
          <w:rFonts w:ascii="Arial" w:hAnsi="Arial" w:cs="Arial"/>
          <w:sz w:val="20"/>
        </w:rPr>
      </w:pPr>
      <w:r w:rsidRPr="0092230E">
        <w:rPr>
          <w:rFonts w:ascii="Arial" w:hAnsi="Arial" w:cs="Arial"/>
          <w:sz w:val="20"/>
        </w:rPr>
        <w:t xml:space="preserve">The </w:t>
      </w:r>
      <w:r w:rsidR="00D30BE7" w:rsidRPr="0092230E">
        <w:rPr>
          <w:rFonts w:ascii="Arial" w:hAnsi="Arial" w:cs="Arial"/>
          <w:sz w:val="20"/>
        </w:rPr>
        <w:t xml:space="preserve">continued </w:t>
      </w:r>
      <w:r w:rsidRPr="0092230E">
        <w:rPr>
          <w:rFonts w:ascii="Arial" w:hAnsi="Arial" w:cs="Arial"/>
          <w:sz w:val="20"/>
        </w:rPr>
        <w:t>approach</w:t>
      </w:r>
      <w:r w:rsidR="00BA0CA6" w:rsidRPr="0092230E">
        <w:rPr>
          <w:rFonts w:ascii="Arial" w:hAnsi="Arial" w:cs="Arial"/>
          <w:sz w:val="20"/>
        </w:rPr>
        <w:t xml:space="preserve"> taken</w:t>
      </w:r>
      <w:r w:rsidRPr="0092230E">
        <w:rPr>
          <w:rFonts w:ascii="Arial" w:hAnsi="Arial" w:cs="Arial"/>
          <w:sz w:val="20"/>
        </w:rPr>
        <w:t xml:space="preserve"> </w:t>
      </w:r>
      <w:r w:rsidR="00D355EE" w:rsidRPr="0092230E">
        <w:rPr>
          <w:rFonts w:ascii="Arial" w:hAnsi="Arial" w:cs="Arial"/>
          <w:sz w:val="20"/>
        </w:rPr>
        <w:t xml:space="preserve">by the ACMA </w:t>
      </w:r>
      <w:r w:rsidRPr="0092230E">
        <w:rPr>
          <w:rFonts w:ascii="Arial" w:hAnsi="Arial" w:cs="Arial"/>
          <w:sz w:val="20"/>
        </w:rPr>
        <w:t xml:space="preserve">in developing a </w:t>
      </w:r>
      <w:r w:rsidR="00BA0CA6" w:rsidRPr="0092230E">
        <w:rPr>
          <w:rFonts w:ascii="Arial" w:hAnsi="Arial" w:cs="Arial"/>
          <w:sz w:val="20"/>
        </w:rPr>
        <w:t xml:space="preserve">methodology for the determination of </w:t>
      </w:r>
      <w:r w:rsidRPr="0092230E">
        <w:rPr>
          <w:rFonts w:ascii="Arial" w:hAnsi="Arial" w:cs="Arial"/>
          <w:sz w:val="20"/>
        </w:rPr>
        <w:t xml:space="preserve">eligible revenue is to spread the burden of the industry contribution across participating persons in a way which is evidence-based, transparent, competitively neutral and as administratively efficient as possible. </w:t>
      </w:r>
    </w:p>
    <w:p w14:paraId="698E18A2" w14:textId="77777777" w:rsidR="00814805" w:rsidRPr="0092230E" w:rsidRDefault="00814805" w:rsidP="000D3CE4">
      <w:pPr>
        <w:pStyle w:val="ABABulletLevel1"/>
        <w:spacing w:after="120"/>
        <w:rPr>
          <w:rFonts w:ascii="Arial" w:hAnsi="Arial" w:cs="Arial"/>
          <w:sz w:val="20"/>
        </w:rPr>
      </w:pPr>
      <w:r w:rsidRPr="0092230E">
        <w:rPr>
          <w:rFonts w:ascii="Arial" w:hAnsi="Arial" w:cs="Arial"/>
          <w:sz w:val="20"/>
        </w:rPr>
        <w:t>In summary, the Determination:</w:t>
      </w:r>
    </w:p>
    <w:p w14:paraId="0B53DFBD" w14:textId="77777777" w:rsidR="00814805"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defines eligible revenue as gross telecommunications sales revenue less certain deductions;</w:t>
      </w:r>
    </w:p>
    <w:p w14:paraId="2BBB03D1" w14:textId="77777777" w:rsidR="00814805"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specifies the type of deductions available to calculate eligible revenue;</w:t>
      </w:r>
    </w:p>
    <w:p w14:paraId="408E3E92" w14:textId="77777777" w:rsidR="00814805"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 xml:space="preserve">enables participating persons that have the same ultimate Australian parent entity to make </w:t>
      </w:r>
      <w:r w:rsidR="00BA0CA6" w:rsidRPr="0092230E">
        <w:rPr>
          <w:rFonts w:ascii="Arial" w:hAnsi="Arial" w:cs="Arial"/>
          <w:sz w:val="20"/>
        </w:rPr>
        <w:t>certain</w:t>
      </w:r>
      <w:r w:rsidRPr="0092230E">
        <w:rPr>
          <w:rFonts w:ascii="Arial" w:hAnsi="Arial" w:cs="Arial"/>
          <w:sz w:val="20"/>
        </w:rPr>
        <w:t xml:space="preserve"> calculations on a group basis;</w:t>
      </w:r>
    </w:p>
    <w:p w14:paraId="2C03321E" w14:textId="77777777" w:rsidR="00814805"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 xml:space="preserve">addresses the possibility of avoidance by including in the calculation of eligible revenue the revenue of entities </w:t>
      </w:r>
      <w:r w:rsidR="00BA0CA6" w:rsidRPr="0092230E">
        <w:rPr>
          <w:rFonts w:ascii="Arial" w:hAnsi="Arial" w:cs="Arial"/>
          <w:sz w:val="20"/>
        </w:rPr>
        <w:t>‘</w:t>
      </w:r>
      <w:r w:rsidRPr="0092230E">
        <w:rPr>
          <w:rFonts w:ascii="Arial" w:hAnsi="Arial" w:cs="Arial"/>
          <w:sz w:val="20"/>
        </w:rPr>
        <w:t>relat</w:t>
      </w:r>
      <w:r w:rsidR="00BA0CA6" w:rsidRPr="0092230E">
        <w:rPr>
          <w:rFonts w:ascii="Arial" w:hAnsi="Arial" w:cs="Arial"/>
          <w:sz w:val="20"/>
        </w:rPr>
        <w:t>ed’</w:t>
      </w:r>
      <w:r w:rsidRPr="0092230E">
        <w:rPr>
          <w:rFonts w:ascii="Arial" w:hAnsi="Arial" w:cs="Arial"/>
          <w:sz w:val="20"/>
        </w:rPr>
        <w:t xml:space="preserve"> to a participating person </w:t>
      </w:r>
      <w:r w:rsidR="00BA0CA6" w:rsidRPr="0092230E">
        <w:rPr>
          <w:rFonts w:ascii="Arial" w:hAnsi="Arial" w:cs="Arial"/>
          <w:sz w:val="20"/>
        </w:rPr>
        <w:t>(described as ‘consolidated related parties’ and ‘declared related parties’)</w:t>
      </w:r>
      <w:r w:rsidRPr="0092230E">
        <w:rPr>
          <w:rFonts w:ascii="Arial" w:hAnsi="Arial" w:cs="Arial"/>
          <w:sz w:val="20"/>
        </w:rPr>
        <w:t>;</w:t>
      </w:r>
    </w:p>
    <w:p w14:paraId="11A682E4" w14:textId="77777777" w:rsidR="00814805"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 xml:space="preserve">enables the ACMA to make specific declarations </w:t>
      </w:r>
      <w:r w:rsidR="00D355EE" w:rsidRPr="0092230E">
        <w:rPr>
          <w:rFonts w:ascii="Arial" w:hAnsi="Arial" w:cs="Arial"/>
          <w:sz w:val="20"/>
        </w:rPr>
        <w:t>in respect of</w:t>
      </w:r>
      <w:r w:rsidRPr="0092230E">
        <w:rPr>
          <w:rFonts w:ascii="Arial" w:hAnsi="Arial" w:cs="Arial"/>
          <w:sz w:val="20"/>
        </w:rPr>
        <w:t xml:space="preserve"> revenue in light of practical experience and to address conduct of participating persons</w:t>
      </w:r>
      <w:r w:rsidR="00BA0CA6" w:rsidRPr="0092230E">
        <w:rPr>
          <w:rFonts w:ascii="Arial" w:hAnsi="Arial" w:cs="Arial"/>
          <w:sz w:val="20"/>
        </w:rPr>
        <w:t>;</w:t>
      </w:r>
    </w:p>
    <w:p w14:paraId="3BF81E13" w14:textId="77777777" w:rsidR="00BA0CA6" w:rsidRPr="0092230E" w:rsidRDefault="00814805" w:rsidP="00814805">
      <w:pPr>
        <w:pStyle w:val="ABABulletLevel1"/>
        <w:numPr>
          <w:ilvl w:val="0"/>
          <w:numId w:val="10"/>
        </w:numPr>
        <w:spacing w:after="120"/>
        <w:rPr>
          <w:rFonts w:ascii="Arial" w:hAnsi="Arial" w:cs="Arial"/>
          <w:sz w:val="20"/>
        </w:rPr>
      </w:pPr>
      <w:r w:rsidRPr="0092230E">
        <w:rPr>
          <w:rFonts w:ascii="Arial" w:hAnsi="Arial" w:cs="Arial"/>
          <w:sz w:val="20"/>
        </w:rPr>
        <w:t xml:space="preserve">sets out consultation and notification arrangements the ACMA must follow </w:t>
      </w:r>
      <w:r w:rsidR="00D355EE" w:rsidRPr="0092230E">
        <w:rPr>
          <w:rFonts w:ascii="Arial" w:hAnsi="Arial" w:cs="Arial"/>
          <w:sz w:val="20"/>
        </w:rPr>
        <w:t xml:space="preserve">when </w:t>
      </w:r>
      <w:r w:rsidRPr="0092230E">
        <w:rPr>
          <w:rFonts w:ascii="Arial" w:hAnsi="Arial" w:cs="Arial"/>
          <w:sz w:val="20"/>
        </w:rPr>
        <w:t>making declarations and provide</w:t>
      </w:r>
      <w:r w:rsidR="00BA0CA6" w:rsidRPr="0092230E">
        <w:rPr>
          <w:rFonts w:ascii="Arial" w:hAnsi="Arial" w:cs="Arial"/>
          <w:sz w:val="20"/>
        </w:rPr>
        <w:t>s</w:t>
      </w:r>
      <w:r w:rsidRPr="0092230E">
        <w:rPr>
          <w:rFonts w:ascii="Arial" w:hAnsi="Arial" w:cs="Arial"/>
          <w:sz w:val="20"/>
        </w:rPr>
        <w:t xml:space="preserve"> that declarations </w:t>
      </w:r>
      <w:r w:rsidR="00F422D4" w:rsidRPr="0092230E">
        <w:rPr>
          <w:rFonts w:ascii="Arial" w:hAnsi="Arial" w:cs="Arial"/>
          <w:sz w:val="20"/>
        </w:rPr>
        <w:t>are</w:t>
      </w:r>
      <w:r w:rsidRPr="0092230E">
        <w:rPr>
          <w:rFonts w:ascii="Arial" w:hAnsi="Arial" w:cs="Arial"/>
          <w:sz w:val="20"/>
        </w:rPr>
        <w:t xml:space="preserve"> subject to review by the Administrative Appeals Tribunal</w:t>
      </w:r>
      <w:r w:rsidR="00167535" w:rsidRPr="0092230E">
        <w:rPr>
          <w:rFonts w:ascii="Arial" w:hAnsi="Arial" w:cs="Arial"/>
          <w:sz w:val="20"/>
        </w:rPr>
        <w:t xml:space="preserve"> (</w:t>
      </w:r>
      <w:r w:rsidR="0064496F" w:rsidRPr="0092230E">
        <w:rPr>
          <w:rFonts w:ascii="Arial" w:hAnsi="Arial" w:cs="Arial"/>
          <w:b/>
          <w:sz w:val="20"/>
        </w:rPr>
        <w:t>AAT</w:t>
      </w:r>
      <w:r w:rsidR="00167535" w:rsidRPr="0092230E">
        <w:rPr>
          <w:rFonts w:ascii="Arial" w:hAnsi="Arial" w:cs="Arial"/>
          <w:sz w:val="20"/>
        </w:rPr>
        <w:t>)</w:t>
      </w:r>
      <w:r w:rsidR="00BA0CA6" w:rsidRPr="0092230E">
        <w:rPr>
          <w:rFonts w:ascii="Arial" w:hAnsi="Arial" w:cs="Arial"/>
          <w:sz w:val="20"/>
        </w:rPr>
        <w:t>; and</w:t>
      </w:r>
    </w:p>
    <w:p w14:paraId="1DF3E815" w14:textId="77777777" w:rsidR="0098778E" w:rsidRPr="0092230E" w:rsidRDefault="00BA0CA6" w:rsidP="0098778E">
      <w:pPr>
        <w:pStyle w:val="ABABulletLevel1"/>
        <w:numPr>
          <w:ilvl w:val="0"/>
          <w:numId w:val="10"/>
        </w:numPr>
        <w:ind w:left="714" w:hanging="357"/>
        <w:rPr>
          <w:rFonts w:ascii="Arial" w:hAnsi="Arial" w:cs="Arial"/>
          <w:sz w:val="20"/>
        </w:rPr>
      </w:pPr>
      <w:r w:rsidRPr="0092230E">
        <w:rPr>
          <w:rFonts w:ascii="Arial" w:hAnsi="Arial" w:cs="Arial"/>
          <w:sz w:val="20"/>
        </w:rPr>
        <w:t>specifies the period within which a participating person must give the ACMA a return of eligible revenue as 4 months after the eligible revenue period ends.</w:t>
      </w:r>
    </w:p>
    <w:p w14:paraId="68F111B2" w14:textId="311B1F62" w:rsidR="00EE49A7" w:rsidRPr="0092230E" w:rsidRDefault="00BA0CA6" w:rsidP="0098778E">
      <w:pPr>
        <w:pStyle w:val="ABABulletLevel1"/>
        <w:ind w:left="714"/>
        <w:rPr>
          <w:rFonts w:ascii="Arial" w:hAnsi="Arial" w:cs="Arial"/>
          <w:sz w:val="20"/>
        </w:rPr>
      </w:pPr>
      <w:r w:rsidRPr="0092230E">
        <w:rPr>
          <w:rFonts w:ascii="Arial" w:hAnsi="Arial" w:cs="Arial"/>
          <w:sz w:val="20"/>
        </w:rPr>
        <w:t xml:space="preserve"> </w:t>
      </w:r>
    </w:p>
    <w:p w14:paraId="0340C4BE" w14:textId="77777777" w:rsidR="007B2E7B" w:rsidRPr="0092230E" w:rsidRDefault="00411B8B" w:rsidP="007B2E7B">
      <w:pPr>
        <w:pStyle w:val="ACMAHeading2"/>
        <w:spacing w:before="80" w:after="120"/>
        <w:rPr>
          <w:rFonts w:cs="Arial"/>
          <w:caps w:val="0"/>
          <w:sz w:val="20"/>
          <w:szCs w:val="20"/>
          <w:lang w:val="en-AU" w:eastAsia="en-AU"/>
        </w:rPr>
      </w:pPr>
      <w:r w:rsidRPr="0092230E">
        <w:rPr>
          <w:rFonts w:cs="Arial"/>
          <w:caps w:val="0"/>
          <w:sz w:val="20"/>
          <w:szCs w:val="20"/>
          <w:lang w:val="en-AU" w:eastAsia="en-AU"/>
        </w:rPr>
        <w:t xml:space="preserve">Consultation </w:t>
      </w:r>
    </w:p>
    <w:p w14:paraId="66C84FCA" w14:textId="77777777" w:rsidR="00344B06" w:rsidRPr="0092230E" w:rsidRDefault="00411B8B" w:rsidP="0075670B">
      <w:pPr>
        <w:pStyle w:val="ABABulletLevel1"/>
        <w:spacing w:after="120"/>
        <w:rPr>
          <w:rFonts w:ascii="Arial" w:hAnsi="Arial" w:cs="Arial"/>
          <w:sz w:val="20"/>
        </w:rPr>
      </w:pPr>
      <w:r w:rsidRPr="0092230E">
        <w:rPr>
          <w:rFonts w:ascii="Arial" w:hAnsi="Arial" w:cs="Arial"/>
          <w:sz w:val="20"/>
        </w:rPr>
        <w:t xml:space="preserve">Section 17 of the LI Act sets out the consultation requirements relevant to making the Determination. A consultation paper and a draft Determination were provided for public comment through the ACMA website and via direct email notification to all telecommunications carriers. </w:t>
      </w:r>
    </w:p>
    <w:p w14:paraId="1B85F769" w14:textId="203E64C2" w:rsidR="0098778E" w:rsidRPr="0092230E" w:rsidRDefault="00411B8B" w:rsidP="0098778E">
      <w:pPr>
        <w:pStyle w:val="ABABulletLevel1"/>
        <w:spacing w:after="120"/>
        <w:rPr>
          <w:rFonts w:ascii="Arial" w:hAnsi="Arial" w:cs="Arial"/>
          <w:sz w:val="20"/>
        </w:rPr>
      </w:pPr>
      <w:r w:rsidRPr="0092230E">
        <w:rPr>
          <w:rFonts w:ascii="Arial" w:hAnsi="Arial" w:cs="Arial"/>
          <w:sz w:val="20"/>
        </w:rPr>
        <w:t xml:space="preserve">Copies of the consultation paper and draft Determination </w:t>
      </w:r>
      <w:r w:rsidR="008242BF">
        <w:rPr>
          <w:rFonts w:ascii="Arial" w:hAnsi="Arial" w:cs="Arial"/>
          <w:sz w:val="20"/>
        </w:rPr>
        <w:t>were made</w:t>
      </w:r>
      <w:r w:rsidR="008242BF" w:rsidRPr="0092230E">
        <w:rPr>
          <w:rFonts w:ascii="Arial" w:hAnsi="Arial" w:cs="Arial"/>
          <w:sz w:val="20"/>
        </w:rPr>
        <w:t xml:space="preserve"> </w:t>
      </w:r>
      <w:r w:rsidRPr="0092230E">
        <w:rPr>
          <w:rFonts w:ascii="Arial" w:hAnsi="Arial" w:cs="Arial"/>
          <w:sz w:val="20"/>
        </w:rPr>
        <w:t xml:space="preserve">available on the ACMA website: </w:t>
      </w:r>
      <w:hyperlink r:id="rId13" w:history="1">
        <w:r w:rsidRPr="0092230E">
          <w:rPr>
            <w:rStyle w:val="Hyperlink"/>
            <w:rFonts w:ascii="Arial" w:hAnsi="Arial" w:cs="Arial"/>
            <w:sz w:val="20"/>
          </w:rPr>
          <w:t>www.acma.gov.au</w:t>
        </w:r>
      </w:hyperlink>
      <w:r w:rsidRPr="0092230E">
        <w:rPr>
          <w:rFonts w:ascii="Arial" w:hAnsi="Arial" w:cs="Arial"/>
          <w:sz w:val="20"/>
        </w:rPr>
        <w:t xml:space="preserve">. Consultation was open for </w:t>
      </w:r>
      <w:r w:rsidR="0024041C" w:rsidRPr="0092230E">
        <w:rPr>
          <w:rFonts w:ascii="Arial" w:hAnsi="Arial" w:cs="Arial"/>
          <w:sz w:val="20"/>
        </w:rPr>
        <w:t>six</w:t>
      </w:r>
      <w:r w:rsidRPr="0092230E">
        <w:rPr>
          <w:rFonts w:ascii="Arial" w:hAnsi="Arial" w:cs="Arial"/>
          <w:sz w:val="20"/>
        </w:rPr>
        <w:t xml:space="preserve"> weeks, with comments closing on </w:t>
      </w:r>
      <w:r w:rsidR="0024041C" w:rsidRPr="0092230E">
        <w:rPr>
          <w:rFonts w:ascii="Arial" w:hAnsi="Arial" w:cs="Arial"/>
          <w:sz w:val="20"/>
        </w:rPr>
        <w:t>Tuesday 12</w:t>
      </w:r>
      <w:r w:rsidRPr="0092230E">
        <w:rPr>
          <w:rFonts w:ascii="Arial" w:hAnsi="Arial" w:cs="Arial"/>
          <w:sz w:val="20"/>
        </w:rPr>
        <w:t xml:space="preserve"> May 201</w:t>
      </w:r>
      <w:r w:rsidR="0024041C" w:rsidRPr="0092230E">
        <w:rPr>
          <w:rFonts w:ascii="Arial" w:hAnsi="Arial" w:cs="Arial"/>
          <w:sz w:val="20"/>
        </w:rPr>
        <w:t>5</w:t>
      </w:r>
      <w:r w:rsidRPr="0092230E">
        <w:rPr>
          <w:rFonts w:ascii="Arial" w:hAnsi="Arial" w:cs="Arial"/>
          <w:sz w:val="20"/>
        </w:rPr>
        <w:t>.</w:t>
      </w:r>
    </w:p>
    <w:p w14:paraId="262B319F" w14:textId="14AC24AC" w:rsidR="00826C55" w:rsidRPr="0092230E" w:rsidRDefault="0098778E" w:rsidP="0098778E">
      <w:pPr>
        <w:pStyle w:val="ABABulletLevel1"/>
        <w:rPr>
          <w:rFonts w:ascii="Arial" w:hAnsi="Arial" w:cs="Arial"/>
          <w:sz w:val="20"/>
        </w:rPr>
      </w:pPr>
      <w:r w:rsidRPr="0092230E">
        <w:rPr>
          <w:rFonts w:ascii="Arial" w:hAnsi="Arial" w:cs="Arial"/>
          <w:sz w:val="20"/>
        </w:rPr>
        <w:t xml:space="preserve">The ACMA did not receive any comments </w:t>
      </w:r>
      <w:r w:rsidR="00F121E7">
        <w:rPr>
          <w:rFonts w:ascii="Arial" w:hAnsi="Arial" w:cs="Arial"/>
          <w:sz w:val="20"/>
        </w:rPr>
        <w:t>on</w:t>
      </w:r>
      <w:r w:rsidRPr="0092230E">
        <w:rPr>
          <w:rFonts w:ascii="Arial" w:hAnsi="Arial" w:cs="Arial"/>
          <w:sz w:val="20"/>
        </w:rPr>
        <w:t xml:space="preserve"> the substance of the Determination.</w:t>
      </w:r>
      <w:r w:rsidR="00411B8B" w:rsidRPr="0092230E">
        <w:rPr>
          <w:rFonts w:ascii="Arial" w:hAnsi="Arial" w:cs="Arial"/>
          <w:sz w:val="20"/>
        </w:rPr>
        <w:t xml:space="preserve"> </w:t>
      </w:r>
    </w:p>
    <w:p w14:paraId="71739FDC" w14:textId="77777777" w:rsidR="0098778E" w:rsidRPr="0092230E" w:rsidRDefault="0098778E" w:rsidP="0098778E">
      <w:pPr>
        <w:pStyle w:val="ABABulletLevel1"/>
        <w:spacing w:after="120"/>
        <w:rPr>
          <w:rFonts w:ascii="Arial" w:hAnsi="Arial" w:cs="Arial"/>
          <w:sz w:val="20"/>
        </w:rPr>
      </w:pPr>
    </w:p>
    <w:p w14:paraId="621B58BB" w14:textId="77777777" w:rsidR="00BA0CA6" w:rsidRPr="0092230E" w:rsidRDefault="00BA0CA6" w:rsidP="0075670B">
      <w:pPr>
        <w:pStyle w:val="ABABulletLevel1"/>
        <w:spacing w:after="120"/>
        <w:rPr>
          <w:rFonts w:ascii="Arial" w:hAnsi="Arial" w:cs="Arial"/>
          <w:b/>
          <w:sz w:val="20"/>
        </w:rPr>
      </w:pPr>
      <w:r w:rsidRPr="0092230E">
        <w:rPr>
          <w:rFonts w:ascii="Arial" w:hAnsi="Arial" w:cs="Arial"/>
          <w:b/>
          <w:sz w:val="20"/>
        </w:rPr>
        <w:t>Documents incorporated by reference</w:t>
      </w:r>
    </w:p>
    <w:p w14:paraId="144FB4ED" w14:textId="5A7F37D1" w:rsidR="00D20C61" w:rsidRDefault="00D20C61" w:rsidP="0098778E">
      <w:pPr>
        <w:pStyle w:val="ABABulletLevel1"/>
        <w:rPr>
          <w:rFonts w:ascii="Arial" w:hAnsi="Arial" w:cs="Arial"/>
          <w:sz w:val="20"/>
        </w:rPr>
      </w:pPr>
      <w:r>
        <w:rPr>
          <w:rFonts w:ascii="Arial" w:hAnsi="Arial" w:cs="Arial"/>
          <w:sz w:val="20"/>
        </w:rPr>
        <w:t>The Determination incorporates the following documents by reference:</w:t>
      </w:r>
    </w:p>
    <w:p w14:paraId="6D7E8B35" w14:textId="50DCB5CC" w:rsidR="00826C55" w:rsidRPr="0092230E" w:rsidRDefault="00BA0CA6" w:rsidP="0098778E">
      <w:pPr>
        <w:pStyle w:val="ABABulletLevel1"/>
        <w:rPr>
          <w:rFonts w:ascii="Arial" w:hAnsi="Arial" w:cs="Arial"/>
          <w:sz w:val="20"/>
        </w:rPr>
      </w:pPr>
      <w:r w:rsidRPr="0092230E">
        <w:rPr>
          <w:rFonts w:ascii="Arial" w:hAnsi="Arial" w:cs="Arial"/>
          <w:sz w:val="20"/>
        </w:rPr>
        <w:t xml:space="preserve"> </w:t>
      </w:r>
    </w:p>
    <w:p w14:paraId="3A0E51AF" w14:textId="70764860" w:rsidR="00897B0D" w:rsidRPr="00031EF3" w:rsidRDefault="00897B0D" w:rsidP="00031EF3">
      <w:pPr>
        <w:pStyle w:val="ABABulletLevel1"/>
        <w:numPr>
          <w:ilvl w:val="0"/>
          <w:numId w:val="10"/>
        </w:numPr>
        <w:spacing w:after="120"/>
        <w:ind w:left="714" w:hanging="357"/>
        <w:rPr>
          <w:rFonts w:ascii="Arial" w:hAnsi="Arial" w:cs="Arial"/>
          <w:sz w:val="20"/>
        </w:rPr>
      </w:pPr>
      <w:r w:rsidRPr="00031EF3">
        <w:rPr>
          <w:rFonts w:ascii="Arial" w:hAnsi="Arial" w:cs="Arial"/>
          <w:sz w:val="20"/>
        </w:rPr>
        <w:t xml:space="preserve">the </w:t>
      </w:r>
      <w:r w:rsidRPr="00031EF3">
        <w:rPr>
          <w:rFonts w:ascii="Arial" w:hAnsi="Arial" w:cs="Arial"/>
          <w:i/>
          <w:sz w:val="20"/>
        </w:rPr>
        <w:t>Broadcasting Services Act 1992;</w:t>
      </w:r>
    </w:p>
    <w:p w14:paraId="029ECF20" w14:textId="48DD54B4" w:rsidR="00897B0D" w:rsidRPr="00031EF3" w:rsidRDefault="00897B0D" w:rsidP="00031EF3">
      <w:pPr>
        <w:pStyle w:val="ABABulletLevel1"/>
        <w:numPr>
          <w:ilvl w:val="0"/>
          <w:numId w:val="10"/>
        </w:numPr>
        <w:spacing w:after="120"/>
        <w:ind w:left="714" w:hanging="357"/>
        <w:rPr>
          <w:rFonts w:ascii="Arial" w:hAnsi="Arial" w:cs="Arial"/>
          <w:sz w:val="20"/>
        </w:rPr>
      </w:pPr>
      <w:r w:rsidRPr="00031EF3">
        <w:rPr>
          <w:rFonts w:ascii="Arial" w:hAnsi="Arial" w:cs="Arial"/>
          <w:sz w:val="20"/>
        </w:rPr>
        <w:t xml:space="preserve">the </w:t>
      </w:r>
      <w:r w:rsidRPr="00031EF3">
        <w:rPr>
          <w:rFonts w:ascii="Arial" w:hAnsi="Arial" w:cs="Arial"/>
          <w:i/>
          <w:sz w:val="20"/>
        </w:rPr>
        <w:t>Corporations Act 2001</w:t>
      </w:r>
      <w:r w:rsidRPr="00031EF3">
        <w:rPr>
          <w:rFonts w:ascii="Arial" w:hAnsi="Arial" w:cs="Arial"/>
          <w:sz w:val="20"/>
        </w:rPr>
        <w:t>;</w:t>
      </w:r>
    </w:p>
    <w:p w14:paraId="6E6AECC9" w14:textId="72A25914" w:rsidR="002D724D" w:rsidRPr="002D724D" w:rsidRDefault="009D2029" w:rsidP="002D724D">
      <w:pPr>
        <w:pStyle w:val="ABABulletLevel1"/>
        <w:numPr>
          <w:ilvl w:val="0"/>
          <w:numId w:val="10"/>
        </w:numPr>
        <w:spacing w:after="120"/>
        <w:ind w:left="714" w:hanging="357"/>
        <w:rPr>
          <w:rFonts w:ascii="Arial" w:hAnsi="Arial" w:cs="Arial"/>
          <w:sz w:val="20"/>
        </w:rPr>
      </w:pPr>
      <w:r>
        <w:rPr>
          <w:rFonts w:ascii="Arial" w:hAnsi="Arial" w:cs="Arial"/>
          <w:sz w:val="20"/>
        </w:rPr>
        <w:t xml:space="preserve">the </w:t>
      </w:r>
      <w:r w:rsidR="002D724D" w:rsidRPr="00031EF3">
        <w:rPr>
          <w:rFonts w:ascii="Arial" w:hAnsi="Arial" w:cs="Arial"/>
          <w:sz w:val="20"/>
        </w:rPr>
        <w:t xml:space="preserve">accounting standards made under section 334 of the </w:t>
      </w:r>
      <w:r w:rsidR="002D724D" w:rsidRPr="00031EF3">
        <w:rPr>
          <w:rFonts w:ascii="Arial" w:hAnsi="Arial" w:cs="Arial"/>
          <w:i/>
          <w:sz w:val="20"/>
        </w:rPr>
        <w:t>Corporations Act 2001</w:t>
      </w:r>
      <w:r w:rsidR="002D724D" w:rsidRPr="00A45331">
        <w:rPr>
          <w:rFonts w:ascii="Arial" w:hAnsi="Arial" w:cs="Arial"/>
          <w:sz w:val="20"/>
        </w:rPr>
        <w:t>;</w:t>
      </w:r>
      <w:r>
        <w:rPr>
          <w:rFonts w:ascii="Arial" w:hAnsi="Arial" w:cs="Arial"/>
          <w:sz w:val="20"/>
        </w:rPr>
        <w:t xml:space="preserve"> and</w:t>
      </w:r>
    </w:p>
    <w:p w14:paraId="0A9E6791" w14:textId="65C4BA13" w:rsidR="00897B0D" w:rsidRPr="00031EF3" w:rsidRDefault="009D2029" w:rsidP="00031EF3">
      <w:pPr>
        <w:pStyle w:val="ABABulletLevel1"/>
        <w:numPr>
          <w:ilvl w:val="0"/>
          <w:numId w:val="10"/>
        </w:numPr>
        <w:spacing w:after="120"/>
        <w:ind w:left="714" w:hanging="357"/>
        <w:rPr>
          <w:rFonts w:ascii="Arial" w:hAnsi="Arial" w:cs="Arial"/>
          <w:sz w:val="20"/>
        </w:rPr>
      </w:pPr>
      <w:r>
        <w:rPr>
          <w:rFonts w:ascii="Arial" w:hAnsi="Arial" w:cs="Arial"/>
          <w:sz w:val="20"/>
        </w:rPr>
        <w:lastRenderedPageBreak/>
        <w:t xml:space="preserve">the </w:t>
      </w:r>
      <w:r w:rsidR="00897B0D" w:rsidRPr="00031EF3">
        <w:rPr>
          <w:rFonts w:ascii="Arial" w:hAnsi="Arial" w:cs="Arial"/>
          <w:i/>
          <w:sz w:val="20"/>
        </w:rPr>
        <w:t>Telecommunications Act 1997</w:t>
      </w:r>
      <w:r w:rsidR="002D724D">
        <w:rPr>
          <w:rFonts w:ascii="Arial" w:hAnsi="Arial" w:cs="Arial"/>
          <w:sz w:val="20"/>
        </w:rPr>
        <w:t>.</w:t>
      </w:r>
    </w:p>
    <w:p w14:paraId="2B970F11" w14:textId="77777777" w:rsidR="00D20C61" w:rsidRDefault="00D20C61" w:rsidP="00031EF3">
      <w:pPr>
        <w:pStyle w:val="ABABulletLevel1"/>
        <w:rPr>
          <w:rFonts w:ascii="Arial" w:hAnsi="Arial" w:cs="Arial"/>
          <w:sz w:val="20"/>
        </w:rPr>
      </w:pPr>
    </w:p>
    <w:p w14:paraId="28C7E804" w14:textId="7681527C" w:rsidR="00D20C61" w:rsidRPr="00790216" w:rsidRDefault="00D20C61" w:rsidP="00D20C61">
      <w:pPr>
        <w:spacing w:after="200"/>
        <w:jc w:val="both"/>
        <w:rPr>
          <w:rFonts w:ascii="Arial" w:hAnsi="Arial" w:cs="Arial"/>
          <w:szCs w:val="20"/>
        </w:rPr>
      </w:pPr>
      <w:r w:rsidRPr="00E71C79">
        <w:rPr>
          <w:rFonts w:ascii="Arial" w:hAnsi="Arial" w:cs="Arial"/>
          <w:szCs w:val="20"/>
        </w:rPr>
        <w:t xml:space="preserve">The </w:t>
      </w:r>
      <w:r w:rsidR="009D2029">
        <w:rPr>
          <w:rFonts w:ascii="Arial" w:hAnsi="Arial" w:cs="Arial"/>
          <w:szCs w:val="20"/>
        </w:rPr>
        <w:t>documents</w:t>
      </w:r>
      <w:r w:rsidRPr="00E71C79">
        <w:rPr>
          <w:rFonts w:ascii="Arial" w:hAnsi="Arial" w:cs="Arial"/>
          <w:szCs w:val="20"/>
        </w:rPr>
        <w:t xml:space="preserve"> </w:t>
      </w:r>
      <w:r w:rsidRPr="00BB27E0">
        <w:rPr>
          <w:rFonts w:ascii="Arial" w:hAnsi="Arial" w:cs="Arial"/>
          <w:szCs w:val="20"/>
        </w:rPr>
        <w:t>are incorporated as in force from time to time (in accordance with section 1</w:t>
      </w:r>
      <w:r>
        <w:rPr>
          <w:rFonts w:ascii="Arial" w:hAnsi="Arial" w:cs="Arial"/>
          <w:szCs w:val="20"/>
        </w:rPr>
        <w:t>4</w:t>
      </w:r>
      <w:r w:rsidRPr="00BB27E0">
        <w:rPr>
          <w:rFonts w:ascii="Arial" w:hAnsi="Arial" w:cs="Arial"/>
          <w:szCs w:val="20"/>
        </w:rPr>
        <w:t xml:space="preserve"> of the LI</w:t>
      </w:r>
      <w:r w:rsidR="002D724D">
        <w:rPr>
          <w:rFonts w:ascii="Arial" w:hAnsi="Arial" w:cs="Arial"/>
          <w:szCs w:val="20"/>
        </w:rPr>
        <w:t xml:space="preserve"> </w:t>
      </w:r>
      <w:r w:rsidRPr="00BB27E0">
        <w:rPr>
          <w:rFonts w:ascii="Arial" w:hAnsi="Arial" w:cs="Arial"/>
          <w:szCs w:val="20"/>
        </w:rPr>
        <w:t>A</w:t>
      </w:r>
      <w:r w:rsidR="002D724D">
        <w:rPr>
          <w:rFonts w:ascii="Arial" w:hAnsi="Arial" w:cs="Arial"/>
          <w:szCs w:val="20"/>
        </w:rPr>
        <w:t>ct</w:t>
      </w:r>
      <w:r w:rsidRPr="00BB27E0">
        <w:rPr>
          <w:rFonts w:ascii="Arial" w:hAnsi="Arial" w:cs="Arial"/>
          <w:szCs w:val="20"/>
        </w:rPr>
        <w:t xml:space="preserve"> and section 10 of the </w:t>
      </w:r>
      <w:r w:rsidRPr="002D724D">
        <w:rPr>
          <w:rFonts w:ascii="Arial" w:hAnsi="Arial" w:cs="Arial"/>
          <w:i/>
          <w:szCs w:val="20"/>
        </w:rPr>
        <w:t>A</w:t>
      </w:r>
      <w:r w:rsidR="002D724D" w:rsidRPr="002D724D">
        <w:rPr>
          <w:rFonts w:ascii="Arial" w:hAnsi="Arial" w:cs="Arial"/>
          <w:i/>
          <w:szCs w:val="20"/>
        </w:rPr>
        <w:t xml:space="preserve">cts </w:t>
      </w:r>
      <w:r w:rsidRPr="002D724D">
        <w:rPr>
          <w:rFonts w:ascii="Arial" w:hAnsi="Arial" w:cs="Arial"/>
          <w:i/>
          <w:szCs w:val="20"/>
        </w:rPr>
        <w:t>I</w:t>
      </w:r>
      <w:r w:rsidR="002D724D" w:rsidRPr="002D724D">
        <w:rPr>
          <w:rFonts w:ascii="Arial" w:hAnsi="Arial" w:cs="Arial"/>
          <w:i/>
          <w:szCs w:val="20"/>
        </w:rPr>
        <w:t xml:space="preserve">nterpretation </w:t>
      </w:r>
      <w:r w:rsidRPr="002D724D">
        <w:rPr>
          <w:rFonts w:ascii="Arial" w:hAnsi="Arial" w:cs="Arial"/>
          <w:i/>
          <w:szCs w:val="20"/>
        </w:rPr>
        <w:t>A</w:t>
      </w:r>
      <w:r w:rsidR="002D724D" w:rsidRPr="002D724D">
        <w:rPr>
          <w:rFonts w:ascii="Arial" w:hAnsi="Arial" w:cs="Arial"/>
          <w:i/>
          <w:szCs w:val="20"/>
        </w:rPr>
        <w:t>ct 1901</w:t>
      </w:r>
      <w:r w:rsidRPr="00BB27E0">
        <w:rPr>
          <w:rFonts w:ascii="Arial" w:hAnsi="Arial" w:cs="Arial"/>
          <w:szCs w:val="20"/>
        </w:rPr>
        <w:t>) and can be found on the Federal Register of Legislative instruments at http://www.comlaw.gov.au.</w:t>
      </w:r>
    </w:p>
    <w:p w14:paraId="5D29D471" w14:textId="77777777" w:rsidR="00D20C61" w:rsidRPr="0092230E" w:rsidRDefault="00D20C61" w:rsidP="00031EF3">
      <w:pPr>
        <w:pStyle w:val="ABABulletLevel1"/>
        <w:rPr>
          <w:rFonts w:ascii="Arial" w:hAnsi="Arial" w:cs="Arial"/>
          <w:sz w:val="20"/>
        </w:rPr>
      </w:pPr>
    </w:p>
    <w:p w14:paraId="2AAF54F6" w14:textId="77777777" w:rsidR="007B2E7B" w:rsidRPr="0092230E" w:rsidRDefault="007B2E7B" w:rsidP="007B2E7B">
      <w:pPr>
        <w:pStyle w:val="ACMAHeading2"/>
        <w:spacing w:before="80" w:after="120"/>
        <w:rPr>
          <w:rFonts w:cs="Arial"/>
          <w:caps w:val="0"/>
          <w:sz w:val="20"/>
          <w:szCs w:val="20"/>
          <w:lang w:val="en-AU" w:eastAsia="en-AU"/>
        </w:rPr>
      </w:pPr>
      <w:r w:rsidRPr="0092230E">
        <w:rPr>
          <w:rFonts w:cs="Arial"/>
          <w:caps w:val="0"/>
          <w:sz w:val="20"/>
          <w:szCs w:val="20"/>
          <w:lang w:val="en-AU" w:eastAsia="en-AU"/>
        </w:rPr>
        <w:t>Regulatory impact</w:t>
      </w:r>
    </w:p>
    <w:p w14:paraId="78F36BDC" w14:textId="372F3E20" w:rsidR="001468E0" w:rsidRPr="0092230E" w:rsidRDefault="007B2E7B" w:rsidP="007B2E7B">
      <w:pPr>
        <w:pStyle w:val="ABABulletLevel1"/>
        <w:spacing w:after="120"/>
        <w:rPr>
          <w:rFonts w:ascii="Arial" w:hAnsi="Arial" w:cs="Arial"/>
          <w:sz w:val="20"/>
        </w:rPr>
      </w:pPr>
      <w:r w:rsidRPr="0092230E">
        <w:rPr>
          <w:rFonts w:ascii="Arial" w:hAnsi="Arial" w:cs="Arial"/>
          <w:sz w:val="20"/>
        </w:rPr>
        <w:t>The Office of Best Practice Regulation (</w:t>
      </w:r>
      <w:r w:rsidRPr="0092230E">
        <w:rPr>
          <w:rFonts w:ascii="Arial" w:hAnsi="Arial" w:cs="Arial"/>
          <w:b/>
          <w:sz w:val="20"/>
        </w:rPr>
        <w:t>the</w:t>
      </w:r>
      <w:r w:rsidRPr="0092230E">
        <w:rPr>
          <w:rFonts w:ascii="Arial" w:hAnsi="Arial" w:cs="Arial"/>
          <w:sz w:val="20"/>
        </w:rPr>
        <w:t xml:space="preserve"> </w:t>
      </w:r>
      <w:r w:rsidR="007F3C95" w:rsidRPr="0092230E">
        <w:rPr>
          <w:rFonts w:ascii="Arial" w:hAnsi="Arial" w:cs="Arial"/>
          <w:b/>
          <w:sz w:val="20"/>
        </w:rPr>
        <w:t>OBPR</w:t>
      </w:r>
      <w:r w:rsidRPr="0092230E">
        <w:rPr>
          <w:rFonts w:ascii="Arial" w:hAnsi="Arial" w:cs="Arial"/>
          <w:sz w:val="20"/>
        </w:rPr>
        <w:t xml:space="preserve">) has agreed that the regulatory changes arising from the Determination are </w:t>
      </w:r>
      <w:r w:rsidR="001B491E" w:rsidRPr="0092230E">
        <w:rPr>
          <w:rFonts w:ascii="Arial" w:hAnsi="Arial" w:cs="Arial"/>
          <w:sz w:val="20"/>
        </w:rPr>
        <w:t>minor</w:t>
      </w:r>
      <w:r w:rsidRPr="0092230E">
        <w:rPr>
          <w:rFonts w:ascii="Arial" w:hAnsi="Arial" w:cs="Arial"/>
          <w:sz w:val="20"/>
        </w:rPr>
        <w:t xml:space="preserve"> in nature and that a Regulation Impact Statement is not required</w:t>
      </w:r>
      <w:r w:rsidR="00834C7C" w:rsidRPr="0092230E">
        <w:rPr>
          <w:rFonts w:ascii="Arial" w:hAnsi="Arial" w:cs="Arial"/>
          <w:sz w:val="20"/>
        </w:rPr>
        <w:t xml:space="preserve"> (OBPR reference number </w:t>
      </w:r>
      <w:r w:rsidR="00482C46" w:rsidRPr="0092230E">
        <w:rPr>
          <w:rFonts w:ascii="Arial" w:hAnsi="Arial" w:cs="Arial"/>
          <w:sz w:val="20"/>
        </w:rPr>
        <w:t>18574</w:t>
      </w:r>
      <w:r w:rsidR="00834C7C" w:rsidRPr="0092230E">
        <w:rPr>
          <w:rFonts w:ascii="Arial" w:hAnsi="Arial" w:cs="Arial"/>
          <w:sz w:val="20"/>
        </w:rPr>
        <w:t>)</w:t>
      </w:r>
      <w:r w:rsidRPr="0092230E">
        <w:rPr>
          <w:rFonts w:ascii="Arial" w:hAnsi="Arial" w:cs="Arial"/>
          <w:sz w:val="20"/>
        </w:rPr>
        <w:t xml:space="preserve">. </w:t>
      </w:r>
    </w:p>
    <w:p w14:paraId="2A6F185C" w14:textId="77777777" w:rsidR="0098778E" w:rsidRPr="0092230E" w:rsidRDefault="0098778E" w:rsidP="0098778E">
      <w:pPr>
        <w:pStyle w:val="ABABulletLevel1"/>
        <w:rPr>
          <w:rFonts w:ascii="Arial" w:hAnsi="Arial" w:cs="Arial"/>
          <w:sz w:val="20"/>
        </w:rPr>
      </w:pPr>
    </w:p>
    <w:p w14:paraId="2D7DDB79" w14:textId="77777777" w:rsidR="00A25946" w:rsidRPr="0092230E" w:rsidRDefault="00A25946" w:rsidP="00A25946">
      <w:pPr>
        <w:pStyle w:val="ACMAHeading2"/>
        <w:spacing w:before="80" w:after="120"/>
        <w:rPr>
          <w:rFonts w:cs="Arial"/>
          <w:sz w:val="20"/>
          <w:szCs w:val="20"/>
          <w:lang w:eastAsia="en-AU"/>
        </w:rPr>
      </w:pPr>
      <w:r w:rsidRPr="0092230E">
        <w:rPr>
          <w:rFonts w:cs="Arial"/>
          <w:caps w:val="0"/>
          <w:sz w:val="20"/>
          <w:szCs w:val="20"/>
          <w:lang w:val="en-AU" w:eastAsia="en-AU"/>
        </w:rPr>
        <w:t>Statement of compatibility with human rights</w:t>
      </w:r>
    </w:p>
    <w:p w14:paraId="505970DF" w14:textId="19A92848" w:rsidR="00DA5F68" w:rsidRPr="0092230E" w:rsidRDefault="00826C55" w:rsidP="00DA5F68">
      <w:pPr>
        <w:pStyle w:val="ABABulletLevel1"/>
        <w:rPr>
          <w:rFonts w:ascii="Arial" w:hAnsi="Arial" w:cs="Arial"/>
          <w:sz w:val="20"/>
        </w:rPr>
      </w:pPr>
      <w:r w:rsidRPr="0092230E">
        <w:rPr>
          <w:rFonts w:ascii="Arial" w:hAnsi="Arial" w:cs="Arial"/>
          <w:sz w:val="20"/>
        </w:rPr>
        <w:t xml:space="preserve">Subsection 9(1) of the </w:t>
      </w:r>
      <w:r w:rsidRPr="0092230E">
        <w:rPr>
          <w:rFonts w:ascii="Arial" w:hAnsi="Arial" w:cs="Arial"/>
          <w:i/>
          <w:sz w:val="20"/>
        </w:rPr>
        <w:t>Human Rights (Parliamentary Scrutiny) Act 2011</w:t>
      </w:r>
      <w:r w:rsidRPr="0092230E">
        <w:rPr>
          <w:rFonts w:ascii="Arial" w:hAnsi="Arial" w:cs="Arial"/>
          <w:sz w:val="20"/>
        </w:rPr>
        <w:t xml:space="preserve"> requires the rule maker in relation to a legislative instrument to which section 42 (disallowance) of the LI Act applies, to cause a statement </w:t>
      </w:r>
      <w:r w:rsidR="007B2E7B" w:rsidRPr="0092230E">
        <w:rPr>
          <w:rFonts w:ascii="Arial" w:hAnsi="Arial" w:cs="Arial"/>
          <w:sz w:val="20"/>
        </w:rPr>
        <w:t xml:space="preserve">of compatibility </w:t>
      </w:r>
      <w:r w:rsidRPr="0092230E">
        <w:rPr>
          <w:rFonts w:ascii="Arial" w:hAnsi="Arial" w:cs="Arial"/>
          <w:sz w:val="20"/>
        </w:rPr>
        <w:t xml:space="preserve">to be prepared in respect of that legislative instrument. </w:t>
      </w:r>
    </w:p>
    <w:p w14:paraId="124BF288" w14:textId="77777777" w:rsidR="00DA5F68" w:rsidRPr="0092230E" w:rsidRDefault="00DA5F68" w:rsidP="00DA5F68">
      <w:pPr>
        <w:pStyle w:val="ABABulletLevel1"/>
        <w:rPr>
          <w:rFonts w:ascii="Arial" w:hAnsi="Arial" w:cs="Arial"/>
          <w:sz w:val="20"/>
        </w:rPr>
      </w:pPr>
    </w:p>
    <w:p w14:paraId="06A404E1" w14:textId="77777777" w:rsidR="00DA5F68" w:rsidRPr="0092230E" w:rsidRDefault="00DA5F68" w:rsidP="00DA5F68">
      <w:pPr>
        <w:pStyle w:val="ABABulletLevel1"/>
        <w:rPr>
          <w:rFonts w:ascii="Arial" w:hAnsi="Arial" w:cs="Arial"/>
          <w:sz w:val="20"/>
        </w:rPr>
      </w:pPr>
      <w:r w:rsidRPr="0092230E">
        <w:rPr>
          <w:rFonts w:ascii="Arial" w:hAnsi="Arial" w:cs="Arial"/>
          <w:sz w:val="20"/>
        </w:rPr>
        <w:t xml:space="preserve">This statement has been prepared in accordance with Part 3 of the </w:t>
      </w:r>
      <w:r w:rsidRPr="0092230E">
        <w:rPr>
          <w:rFonts w:ascii="Arial" w:hAnsi="Arial" w:cs="Arial"/>
          <w:i/>
          <w:sz w:val="20"/>
        </w:rPr>
        <w:t>Human Rights (Parliamentary Scrutiny) Act 2011</w:t>
      </w:r>
      <w:r w:rsidRPr="0092230E">
        <w:rPr>
          <w:rFonts w:ascii="Arial" w:hAnsi="Arial" w:cs="Arial"/>
          <w:sz w:val="20"/>
        </w:rPr>
        <w:t xml:space="preserve">. The Determination, made under subsections 43(5) and 45(1) of the TCPSS Act:  </w:t>
      </w:r>
    </w:p>
    <w:p w14:paraId="5D5BEB6D" w14:textId="77777777" w:rsidR="00DA5F68" w:rsidRPr="0092230E" w:rsidRDefault="00DA5F68" w:rsidP="00DA5F68">
      <w:pPr>
        <w:pStyle w:val="ABABulletLevel1"/>
        <w:rPr>
          <w:rFonts w:ascii="Arial" w:hAnsi="Arial" w:cs="Arial"/>
          <w:sz w:val="20"/>
        </w:rPr>
      </w:pPr>
    </w:p>
    <w:p w14:paraId="2A639D93" w14:textId="05C089E2" w:rsidR="00DA5F68" w:rsidRPr="0092230E" w:rsidRDefault="00DA5F68" w:rsidP="00A41A66">
      <w:pPr>
        <w:pStyle w:val="ABABulletLevel1"/>
        <w:numPr>
          <w:ilvl w:val="0"/>
          <w:numId w:val="25"/>
        </w:numPr>
        <w:rPr>
          <w:rFonts w:ascii="Arial" w:hAnsi="Arial" w:cs="Arial"/>
          <w:sz w:val="20"/>
        </w:rPr>
      </w:pPr>
      <w:r w:rsidRPr="0092230E">
        <w:rPr>
          <w:rFonts w:ascii="Arial" w:hAnsi="Arial" w:cs="Arial"/>
          <w:sz w:val="20"/>
        </w:rPr>
        <w:t>sets out how the eligible revenue of a participating person for an eligible revenue period is to be determined; and</w:t>
      </w:r>
    </w:p>
    <w:p w14:paraId="4AA0D63C" w14:textId="77777777" w:rsidR="00DA5F68" w:rsidRPr="0092230E" w:rsidRDefault="00DA5F68" w:rsidP="00DA5F68">
      <w:pPr>
        <w:pStyle w:val="ABABulletLevel1"/>
        <w:rPr>
          <w:rFonts w:ascii="Arial" w:hAnsi="Arial" w:cs="Arial"/>
          <w:sz w:val="20"/>
        </w:rPr>
      </w:pPr>
    </w:p>
    <w:p w14:paraId="1747A0BA" w14:textId="77777777" w:rsidR="00DA5F68" w:rsidRPr="0092230E" w:rsidRDefault="00DA5F68" w:rsidP="00A41A66">
      <w:pPr>
        <w:pStyle w:val="ABABulletLevel1"/>
        <w:numPr>
          <w:ilvl w:val="0"/>
          <w:numId w:val="25"/>
        </w:numPr>
        <w:rPr>
          <w:rFonts w:ascii="Arial" w:hAnsi="Arial" w:cs="Arial"/>
          <w:sz w:val="20"/>
        </w:rPr>
      </w:pPr>
      <w:r w:rsidRPr="0092230E">
        <w:rPr>
          <w:rFonts w:ascii="Arial" w:hAnsi="Arial" w:cs="Arial"/>
          <w:sz w:val="20"/>
        </w:rPr>
        <w:t xml:space="preserve">specifies the period within which each participating person is required to provide a written return of the person’s eligible revenue for an eligible revenue period. </w:t>
      </w:r>
    </w:p>
    <w:p w14:paraId="31EDCCBF" w14:textId="77777777" w:rsidR="00DA5F68" w:rsidRPr="0092230E" w:rsidRDefault="00DA5F68" w:rsidP="00DA5F68">
      <w:pPr>
        <w:pStyle w:val="ABABulletLevel1"/>
        <w:rPr>
          <w:rFonts w:ascii="Arial" w:hAnsi="Arial" w:cs="Arial"/>
          <w:sz w:val="20"/>
        </w:rPr>
      </w:pPr>
    </w:p>
    <w:p w14:paraId="0AD498AD" w14:textId="77777777" w:rsidR="0076706B" w:rsidRPr="0092230E" w:rsidRDefault="00DA5F68" w:rsidP="00DA5F68">
      <w:pPr>
        <w:pStyle w:val="ABABulletLevel1"/>
        <w:rPr>
          <w:rFonts w:ascii="Arial" w:hAnsi="Arial" w:cs="Arial"/>
          <w:sz w:val="20"/>
        </w:rPr>
      </w:pPr>
      <w:r w:rsidRPr="0092230E">
        <w:rPr>
          <w:rFonts w:ascii="Arial" w:hAnsi="Arial" w:cs="Arial"/>
          <w:sz w:val="20"/>
        </w:rPr>
        <w:t>The legislative instrument does not engage any of the applicable rights or freedoms. The legislative instrument is compatible with human rights as it does not raise any human rights issues.</w:t>
      </w:r>
    </w:p>
    <w:p w14:paraId="18F1DDCC" w14:textId="77777777" w:rsidR="00DA5F68" w:rsidRPr="0092230E" w:rsidRDefault="00DA5F68">
      <w:pPr>
        <w:spacing w:after="200" w:line="276" w:lineRule="auto"/>
        <w:rPr>
          <w:rFonts w:ascii="Arial" w:hAnsi="Arial" w:cs="Arial"/>
          <w:b/>
          <w:szCs w:val="20"/>
          <w:lang w:eastAsia="en-US"/>
        </w:rPr>
      </w:pPr>
      <w:r w:rsidRPr="0092230E">
        <w:rPr>
          <w:rFonts w:ascii="Arial" w:hAnsi="Arial" w:cs="Arial"/>
          <w:b/>
          <w:szCs w:val="20"/>
          <w:lang w:eastAsia="en-US"/>
        </w:rPr>
        <w:br w:type="page"/>
      </w:r>
    </w:p>
    <w:p w14:paraId="11D69063" w14:textId="77777777" w:rsidR="00F424C8" w:rsidRPr="0092230E" w:rsidRDefault="00DA5F68" w:rsidP="00DA5F68">
      <w:pPr>
        <w:spacing w:after="200" w:line="276" w:lineRule="auto"/>
        <w:jc w:val="right"/>
        <w:rPr>
          <w:rFonts w:ascii="Arial" w:hAnsi="Arial" w:cs="Arial"/>
          <w:b/>
          <w:szCs w:val="20"/>
          <w:lang w:eastAsia="en-US"/>
        </w:rPr>
      </w:pPr>
      <w:r w:rsidRPr="0092230E">
        <w:rPr>
          <w:rFonts w:ascii="Arial" w:hAnsi="Arial" w:cs="Arial"/>
          <w:b/>
          <w:szCs w:val="20"/>
          <w:lang w:eastAsia="en-US"/>
        </w:rPr>
        <w:lastRenderedPageBreak/>
        <w:t>Attachment A</w:t>
      </w:r>
    </w:p>
    <w:p w14:paraId="6F6DDF0F" w14:textId="77777777" w:rsidR="007B2E7B" w:rsidRPr="0092230E" w:rsidRDefault="00476373" w:rsidP="007B2E7B">
      <w:pPr>
        <w:pStyle w:val="ABABulletLevel1"/>
        <w:spacing w:after="120"/>
        <w:rPr>
          <w:rFonts w:ascii="Arial" w:hAnsi="Arial" w:cs="Arial"/>
          <w:b/>
          <w:sz w:val="20"/>
          <w:u w:val="single"/>
        </w:rPr>
      </w:pPr>
      <w:r w:rsidRPr="0092230E">
        <w:rPr>
          <w:rFonts w:ascii="Arial" w:hAnsi="Arial" w:cs="Arial"/>
          <w:b/>
          <w:sz w:val="20"/>
          <w:u w:val="single"/>
        </w:rPr>
        <w:t>Notes on sections</w:t>
      </w:r>
    </w:p>
    <w:p w14:paraId="65132C05" w14:textId="77777777" w:rsidR="00F424C8" w:rsidRPr="0092230E" w:rsidRDefault="00F424C8" w:rsidP="007B2E7B">
      <w:pPr>
        <w:pStyle w:val="ABABulletLevel1"/>
        <w:spacing w:after="120"/>
        <w:rPr>
          <w:rFonts w:ascii="Arial" w:hAnsi="Arial" w:cs="Arial"/>
          <w:b/>
          <w:sz w:val="20"/>
        </w:rPr>
      </w:pPr>
    </w:p>
    <w:p w14:paraId="2B8CB979" w14:textId="77777777" w:rsidR="00FE1FB9" w:rsidRPr="0092230E" w:rsidRDefault="00FE1FB9" w:rsidP="007B2E7B">
      <w:pPr>
        <w:pStyle w:val="ABABulletLevel1"/>
        <w:spacing w:after="120"/>
        <w:rPr>
          <w:rFonts w:ascii="Arial" w:hAnsi="Arial" w:cs="Arial"/>
          <w:b/>
          <w:sz w:val="20"/>
        </w:rPr>
      </w:pPr>
      <w:r w:rsidRPr="0092230E">
        <w:rPr>
          <w:rFonts w:ascii="Arial" w:hAnsi="Arial" w:cs="Arial"/>
          <w:b/>
          <w:sz w:val="20"/>
        </w:rPr>
        <w:t>Part 1 – Preliminary</w:t>
      </w:r>
    </w:p>
    <w:p w14:paraId="50B421E2"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1 </w:t>
      </w:r>
      <w:r w:rsidR="00EA520C" w:rsidRPr="0092230E">
        <w:rPr>
          <w:rFonts w:ascii="Arial" w:hAnsi="Arial" w:cs="Arial"/>
          <w:b/>
          <w:sz w:val="20"/>
        </w:rPr>
        <w:t xml:space="preserve">– </w:t>
      </w:r>
      <w:r w:rsidRPr="0092230E">
        <w:rPr>
          <w:rFonts w:ascii="Arial" w:hAnsi="Arial" w:cs="Arial"/>
          <w:b/>
          <w:sz w:val="20"/>
        </w:rPr>
        <w:t xml:space="preserve">Name of </w:t>
      </w:r>
      <w:r w:rsidR="00EE49A7" w:rsidRPr="0092230E">
        <w:rPr>
          <w:rFonts w:ascii="Arial" w:hAnsi="Arial" w:cs="Arial"/>
          <w:b/>
          <w:sz w:val="20"/>
        </w:rPr>
        <w:t>d</w:t>
      </w:r>
      <w:r w:rsidRPr="0092230E">
        <w:rPr>
          <w:rFonts w:ascii="Arial" w:hAnsi="Arial" w:cs="Arial"/>
          <w:b/>
          <w:sz w:val="20"/>
        </w:rPr>
        <w:t xml:space="preserve">etermination </w:t>
      </w:r>
    </w:p>
    <w:p w14:paraId="2984CD85" w14:textId="53232087" w:rsidR="007B2E7B" w:rsidRPr="0092230E" w:rsidRDefault="007B2E7B" w:rsidP="007B2E7B">
      <w:pPr>
        <w:pStyle w:val="ABABulletLevel1"/>
        <w:spacing w:after="120"/>
        <w:rPr>
          <w:rFonts w:ascii="Arial" w:hAnsi="Arial" w:cs="Arial"/>
          <w:sz w:val="20"/>
        </w:rPr>
      </w:pPr>
      <w:r w:rsidRPr="0092230E">
        <w:rPr>
          <w:rFonts w:ascii="Arial" w:hAnsi="Arial" w:cs="Arial"/>
          <w:sz w:val="20"/>
        </w:rPr>
        <w:t xml:space="preserve">Section 1 provides that the name of the Determination is the </w:t>
      </w:r>
      <w:r w:rsidR="00476373" w:rsidRPr="0092230E">
        <w:rPr>
          <w:rFonts w:ascii="Arial" w:hAnsi="Arial" w:cs="Arial"/>
          <w:i/>
          <w:sz w:val="20"/>
        </w:rPr>
        <w:t>Telecommunications (Eligible Revenue) Determination 201</w:t>
      </w:r>
      <w:r w:rsidR="00447C42" w:rsidRPr="0092230E">
        <w:rPr>
          <w:rFonts w:ascii="Arial" w:hAnsi="Arial" w:cs="Arial"/>
          <w:i/>
          <w:sz w:val="20"/>
        </w:rPr>
        <w:t>5</w:t>
      </w:r>
      <w:r w:rsidRPr="0092230E">
        <w:rPr>
          <w:rFonts w:ascii="Arial" w:hAnsi="Arial" w:cs="Arial"/>
          <w:sz w:val="20"/>
        </w:rPr>
        <w:t>.</w:t>
      </w:r>
    </w:p>
    <w:p w14:paraId="66CD28CD" w14:textId="77777777" w:rsidR="00F424C8" w:rsidRPr="0092230E" w:rsidRDefault="00F424C8" w:rsidP="007B2E7B">
      <w:pPr>
        <w:pStyle w:val="ABABulletLevel1"/>
        <w:spacing w:after="120"/>
        <w:rPr>
          <w:rFonts w:ascii="Arial" w:hAnsi="Arial" w:cs="Arial"/>
          <w:sz w:val="20"/>
        </w:rPr>
      </w:pPr>
    </w:p>
    <w:p w14:paraId="67A3373B"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2 </w:t>
      </w:r>
      <w:r w:rsidR="00EA520C" w:rsidRPr="0092230E">
        <w:rPr>
          <w:rFonts w:ascii="Arial" w:hAnsi="Arial" w:cs="Arial"/>
          <w:b/>
          <w:sz w:val="20"/>
        </w:rPr>
        <w:t xml:space="preserve">– </w:t>
      </w:r>
      <w:r w:rsidRPr="0092230E">
        <w:rPr>
          <w:rFonts w:ascii="Arial" w:hAnsi="Arial" w:cs="Arial"/>
          <w:b/>
          <w:sz w:val="20"/>
        </w:rPr>
        <w:t>Commencement</w:t>
      </w:r>
    </w:p>
    <w:p w14:paraId="7B8ACED0" w14:textId="77777777" w:rsidR="007B2E7B" w:rsidRPr="0092230E" w:rsidRDefault="007B2E7B" w:rsidP="007B2E7B">
      <w:pPr>
        <w:pStyle w:val="ABABulletLevel1"/>
        <w:spacing w:after="120"/>
        <w:rPr>
          <w:rFonts w:ascii="Arial" w:hAnsi="Arial" w:cs="Arial"/>
          <w:sz w:val="20"/>
        </w:rPr>
      </w:pPr>
      <w:r w:rsidRPr="0092230E">
        <w:rPr>
          <w:rFonts w:ascii="Arial" w:hAnsi="Arial" w:cs="Arial"/>
          <w:sz w:val="20"/>
        </w:rPr>
        <w:t>Section 2 provides that the Determination commences on the day after it is registered on the Federal Register of Legislative Instruments.</w:t>
      </w:r>
    </w:p>
    <w:p w14:paraId="172CEF7C" w14:textId="77777777" w:rsidR="00F424C8" w:rsidRPr="0092230E" w:rsidRDefault="00F424C8" w:rsidP="007B2E7B">
      <w:pPr>
        <w:pStyle w:val="ABABulletLevel1"/>
        <w:spacing w:after="120"/>
        <w:rPr>
          <w:rFonts w:ascii="Arial" w:hAnsi="Arial" w:cs="Arial"/>
          <w:sz w:val="20"/>
        </w:rPr>
      </w:pPr>
    </w:p>
    <w:p w14:paraId="31EC2D82" w14:textId="77777777" w:rsidR="002F21BF" w:rsidRPr="0092230E" w:rsidRDefault="002F21BF" w:rsidP="002F21BF">
      <w:pPr>
        <w:pStyle w:val="ABABulletLevel1"/>
        <w:spacing w:after="120"/>
        <w:rPr>
          <w:rFonts w:ascii="Arial" w:hAnsi="Arial" w:cs="Arial"/>
          <w:b/>
          <w:sz w:val="20"/>
        </w:rPr>
      </w:pPr>
      <w:r w:rsidRPr="0092230E">
        <w:rPr>
          <w:rFonts w:ascii="Arial" w:hAnsi="Arial" w:cs="Arial"/>
          <w:b/>
          <w:sz w:val="20"/>
        </w:rPr>
        <w:t xml:space="preserve">Section 3 </w:t>
      </w:r>
      <w:r w:rsidR="00EA520C" w:rsidRPr="0092230E">
        <w:rPr>
          <w:rFonts w:ascii="Arial" w:hAnsi="Arial" w:cs="Arial"/>
          <w:b/>
          <w:sz w:val="20"/>
        </w:rPr>
        <w:t xml:space="preserve">– </w:t>
      </w:r>
      <w:r w:rsidRPr="0092230E">
        <w:rPr>
          <w:rFonts w:ascii="Arial" w:hAnsi="Arial" w:cs="Arial"/>
          <w:b/>
          <w:sz w:val="20"/>
        </w:rPr>
        <w:t>Authority</w:t>
      </w:r>
    </w:p>
    <w:p w14:paraId="4C9A9650" w14:textId="4772C5ED" w:rsidR="002F21BF" w:rsidRPr="0092230E" w:rsidRDefault="002F21BF" w:rsidP="00B850D4">
      <w:pPr>
        <w:pStyle w:val="ABABulletLevel1"/>
        <w:spacing w:after="120"/>
        <w:rPr>
          <w:rFonts w:ascii="Arial" w:hAnsi="Arial" w:cs="Arial"/>
          <w:sz w:val="20"/>
        </w:rPr>
      </w:pPr>
      <w:r w:rsidRPr="0092230E">
        <w:rPr>
          <w:rFonts w:ascii="Arial" w:hAnsi="Arial" w:cs="Arial"/>
          <w:sz w:val="20"/>
        </w:rPr>
        <w:t xml:space="preserve">Section 3 provides that the Determination is made under subsections </w:t>
      </w:r>
      <w:r w:rsidR="00447C42" w:rsidRPr="0092230E">
        <w:rPr>
          <w:rFonts w:ascii="Arial" w:hAnsi="Arial" w:cs="Arial"/>
          <w:sz w:val="20"/>
        </w:rPr>
        <w:t>43</w:t>
      </w:r>
      <w:r w:rsidRPr="0092230E">
        <w:rPr>
          <w:rFonts w:ascii="Arial" w:hAnsi="Arial" w:cs="Arial"/>
          <w:sz w:val="20"/>
        </w:rPr>
        <w:t xml:space="preserve">(5) and </w:t>
      </w:r>
      <w:r w:rsidR="00447C42" w:rsidRPr="0092230E">
        <w:rPr>
          <w:rFonts w:ascii="Arial" w:hAnsi="Arial" w:cs="Arial"/>
          <w:sz w:val="20"/>
        </w:rPr>
        <w:t>45</w:t>
      </w:r>
      <w:r w:rsidRPr="0092230E">
        <w:rPr>
          <w:rFonts w:ascii="Arial" w:hAnsi="Arial" w:cs="Arial"/>
          <w:sz w:val="20"/>
        </w:rPr>
        <w:t xml:space="preserve">(1) of the </w:t>
      </w:r>
      <w:r w:rsidR="00A82DFC" w:rsidRPr="0092230E">
        <w:rPr>
          <w:rFonts w:ascii="Arial" w:hAnsi="Arial" w:cs="Arial"/>
          <w:sz w:val="20"/>
        </w:rPr>
        <w:t>TCPSS</w:t>
      </w:r>
      <w:r w:rsidRPr="0092230E">
        <w:rPr>
          <w:rFonts w:ascii="Arial" w:hAnsi="Arial" w:cs="Arial"/>
          <w:sz w:val="20"/>
        </w:rPr>
        <w:t xml:space="preserve"> Act.  </w:t>
      </w:r>
    </w:p>
    <w:p w14:paraId="61855CD8" w14:textId="77777777" w:rsidR="00F424C8" w:rsidRPr="0092230E" w:rsidRDefault="00F424C8" w:rsidP="00B850D4">
      <w:pPr>
        <w:pStyle w:val="ABABulletLevel1"/>
        <w:spacing w:after="120"/>
        <w:rPr>
          <w:rFonts w:ascii="Arial" w:hAnsi="Arial" w:cs="Arial"/>
          <w:sz w:val="20"/>
        </w:rPr>
      </w:pPr>
    </w:p>
    <w:p w14:paraId="5447A5E1"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w:t>
      </w:r>
      <w:r w:rsidR="002F21BF" w:rsidRPr="0092230E">
        <w:rPr>
          <w:rFonts w:ascii="Arial" w:hAnsi="Arial" w:cs="Arial"/>
          <w:b/>
          <w:sz w:val="20"/>
        </w:rPr>
        <w:t>4</w:t>
      </w:r>
      <w:r w:rsidRPr="0092230E">
        <w:rPr>
          <w:rFonts w:ascii="Arial" w:hAnsi="Arial" w:cs="Arial"/>
          <w:b/>
          <w:sz w:val="20"/>
        </w:rPr>
        <w:t xml:space="preserve"> </w:t>
      </w:r>
      <w:r w:rsidR="00FE1FB9" w:rsidRPr="0092230E">
        <w:rPr>
          <w:rFonts w:ascii="Arial" w:hAnsi="Arial" w:cs="Arial"/>
          <w:b/>
          <w:sz w:val="20"/>
        </w:rPr>
        <w:t>–</w:t>
      </w:r>
      <w:r w:rsidRPr="0092230E">
        <w:rPr>
          <w:rFonts w:ascii="Arial" w:hAnsi="Arial" w:cs="Arial"/>
          <w:b/>
          <w:sz w:val="20"/>
        </w:rPr>
        <w:t xml:space="preserve"> Application</w:t>
      </w:r>
      <w:r w:rsidR="00FE1FB9" w:rsidRPr="0092230E">
        <w:rPr>
          <w:rFonts w:ascii="Arial" w:hAnsi="Arial" w:cs="Arial"/>
          <w:b/>
          <w:sz w:val="20"/>
        </w:rPr>
        <w:t xml:space="preserve"> of determination</w:t>
      </w:r>
    </w:p>
    <w:p w14:paraId="5BB399A7" w14:textId="5D8D2A5C" w:rsidR="007B2E7B" w:rsidRPr="0092230E" w:rsidRDefault="007B2E7B" w:rsidP="007B2E7B">
      <w:pPr>
        <w:pStyle w:val="ABABulletLevel1"/>
        <w:spacing w:after="120"/>
        <w:rPr>
          <w:rFonts w:ascii="Arial" w:hAnsi="Arial" w:cs="Arial"/>
          <w:sz w:val="20"/>
        </w:rPr>
      </w:pPr>
      <w:r w:rsidRPr="0092230E">
        <w:rPr>
          <w:rFonts w:ascii="Arial" w:hAnsi="Arial" w:cs="Arial"/>
          <w:sz w:val="20"/>
        </w:rPr>
        <w:t xml:space="preserve">Section </w:t>
      </w:r>
      <w:r w:rsidR="00FE1FB9" w:rsidRPr="0092230E">
        <w:rPr>
          <w:rFonts w:ascii="Arial" w:hAnsi="Arial" w:cs="Arial"/>
          <w:sz w:val="20"/>
        </w:rPr>
        <w:t>4</w:t>
      </w:r>
      <w:r w:rsidRPr="0092230E">
        <w:rPr>
          <w:rFonts w:ascii="Arial" w:hAnsi="Arial" w:cs="Arial"/>
          <w:sz w:val="20"/>
        </w:rPr>
        <w:t xml:space="preserve"> provides that the Determination applies to the 201</w:t>
      </w:r>
      <w:r w:rsidR="00447C42" w:rsidRPr="0092230E">
        <w:rPr>
          <w:rFonts w:ascii="Arial" w:hAnsi="Arial" w:cs="Arial"/>
          <w:sz w:val="20"/>
        </w:rPr>
        <w:t>4</w:t>
      </w:r>
      <w:r w:rsidRPr="0092230E">
        <w:rPr>
          <w:rFonts w:ascii="Arial" w:hAnsi="Arial" w:cs="Arial"/>
          <w:sz w:val="20"/>
        </w:rPr>
        <w:t>-1</w:t>
      </w:r>
      <w:r w:rsidR="00447C42" w:rsidRPr="0092230E">
        <w:rPr>
          <w:rFonts w:ascii="Arial" w:hAnsi="Arial" w:cs="Arial"/>
          <w:sz w:val="20"/>
        </w:rPr>
        <w:t>5</w:t>
      </w:r>
      <w:r w:rsidRPr="0092230E">
        <w:rPr>
          <w:rFonts w:ascii="Arial" w:hAnsi="Arial" w:cs="Arial"/>
          <w:sz w:val="20"/>
        </w:rPr>
        <w:t xml:space="preserve"> </w:t>
      </w:r>
      <w:r w:rsidR="00AF2A38" w:rsidRPr="0092230E">
        <w:rPr>
          <w:rFonts w:ascii="Arial" w:hAnsi="Arial" w:cs="Arial"/>
          <w:sz w:val="20"/>
        </w:rPr>
        <w:t>eligible revenue period (201</w:t>
      </w:r>
      <w:r w:rsidR="00447C42" w:rsidRPr="0092230E">
        <w:rPr>
          <w:rFonts w:ascii="Arial" w:hAnsi="Arial" w:cs="Arial"/>
          <w:sz w:val="20"/>
        </w:rPr>
        <w:t>4</w:t>
      </w:r>
      <w:r w:rsidR="00AF2A38" w:rsidRPr="0092230E">
        <w:rPr>
          <w:rFonts w:ascii="Arial" w:hAnsi="Arial" w:cs="Arial"/>
          <w:sz w:val="20"/>
        </w:rPr>
        <w:t>-1</w:t>
      </w:r>
      <w:r w:rsidR="00447C42" w:rsidRPr="0092230E">
        <w:rPr>
          <w:rFonts w:ascii="Arial" w:hAnsi="Arial" w:cs="Arial"/>
          <w:sz w:val="20"/>
        </w:rPr>
        <w:t>5</w:t>
      </w:r>
      <w:r w:rsidR="00AF2A38" w:rsidRPr="0092230E">
        <w:rPr>
          <w:rFonts w:ascii="Arial" w:hAnsi="Arial" w:cs="Arial"/>
          <w:sz w:val="20"/>
        </w:rPr>
        <w:t xml:space="preserve"> financial year) </w:t>
      </w:r>
      <w:r w:rsidR="005F6B8D" w:rsidRPr="0092230E">
        <w:rPr>
          <w:rFonts w:ascii="Arial" w:hAnsi="Arial" w:cs="Arial"/>
          <w:sz w:val="20"/>
        </w:rPr>
        <w:t xml:space="preserve">and </w:t>
      </w:r>
      <w:r w:rsidR="000F47D2">
        <w:rPr>
          <w:rFonts w:ascii="Arial" w:hAnsi="Arial" w:cs="Arial"/>
          <w:sz w:val="20"/>
        </w:rPr>
        <w:t>each</w:t>
      </w:r>
      <w:r w:rsidR="000F47D2" w:rsidRPr="0092230E">
        <w:rPr>
          <w:rFonts w:ascii="Arial" w:hAnsi="Arial" w:cs="Arial"/>
          <w:sz w:val="20"/>
        </w:rPr>
        <w:t xml:space="preserve"> </w:t>
      </w:r>
      <w:r w:rsidR="005F6B8D" w:rsidRPr="0092230E">
        <w:rPr>
          <w:rFonts w:ascii="Arial" w:hAnsi="Arial" w:cs="Arial"/>
          <w:sz w:val="20"/>
        </w:rPr>
        <w:t>later</w:t>
      </w:r>
      <w:r w:rsidRPr="0092230E">
        <w:rPr>
          <w:rFonts w:ascii="Arial" w:hAnsi="Arial" w:cs="Arial"/>
          <w:sz w:val="20"/>
        </w:rPr>
        <w:t xml:space="preserve"> </w:t>
      </w:r>
      <w:r w:rsidR="005F6B8D" w:rsidRPr="0092230E">
        <w:rPr>
          <w:rFonts w:ascii="Arial" w:hAnsi="Arial" w:cs="Arial"/>
          <w:sz w:val="20"/>
        </w:rPr>
        <w:t>eligible revenue period</w:t>
      </w:r>
      <w:r w:rsidRPr="0092230E">
        <w:rPr>
          <w:rFonts w:ascii="Arial" w:hAnsi="Arial" w:cs="Arial"/>
          <w:sz w:val="20"/>
        </w:rPr>
        <w:t xml:space="preserve">.  </w:t>
      </w:r>
    </w:p>
    <w:p w14:paraId="141A919C" w14:textId="77777777" w:rsidR="007B2E7B" w:rsidRPr="0092230E" w:rsidRDefault="007B2E7B" w:rsidP="007B2E7B">
      <w:pPr>
        <w:pStyle w:val="ABABulletLevel1"/>
        <w:spacing w:after="120"/>
        <w:rPr>
          <w:rFonts w:ascii="Arial" w:hAnsi="Arial" w:cs="Arial"/>
          <w:sz w:val="20"/>
        </w:rPr>
      </w:pPr>
    </w:p>
    <w:p w14:paraId="5A50BD66" w14:textId="77777777" w:rsidR="007B2E7B" w:rsidRPr="0092230E" w:rsidRDefault="007B2E7B" w:rsidP="007B2E7B">
      <w:pPr>
        <w:pStyle w:val="ABABulletLevel1"/>
        <w:spacing w:after="120"/>
        <w:rPr>
          <w:rFonts w:ascii="Arial" w:hAnsi="Arial" w:cs="Arial"/>
          <w:b/>
          <w:sz w:val="20"/>
        </w:rPr>
      </w:pPr>
      <w:r w:rsidRPr="0092230E">
        <w:rPr>
          <w:rFonts w:ascii="Arial" w:hAnsi="Arial" w:cs="Arial"/>
          <w:b/>
          <w:sz w:val="20"/>
        </w:rPr>
        <w:t xml:space="preserve">Section </w:t>
      </w:r>
      <w:r w:rsidR="00655624" w:rsidRPr="0092230E">
        <w:rPr>
          <w:rFonts w:ascii="Arial" w:hAnsi="Arial" w:cs="Arial"/>
          <w:b/>
          <w:sz w:val="20"/>
        </w:rPr>
        <w:t>5</w:t>
      </w:r>
      <w:r w:rsidRPr="0092230E">
        <w:rPr>
          <w:rFonts w:ascii="Arial" w:hAnsi="Arial" w:cs="Arial"/>
          <w:b/>
          <w:sz w:val="20"/>
        </w:rPr>
        <w:t xml:space="preserve"> </w:t>
      </w:r>
      <w:r w:rsidR="00EA520C" w:rsidRPr="0092230E">
        <w:rPr>
          <w:rFonts w:ascii="Arial" w:hAnsi="Arial" w:cs="Arial"/>
          <w:b/>
          <w:sz w:val="20"/>
        </w:rPr>
        <w:t xml:space="preserve">– </w:t>
      </w:r>
      <w:r w:rsidRPr="0092230E">
        <w:rPr>
          <w:rFonts w:ascii="Arial" w:hAnsi="Arial" w:cs="Arial"/>
          <w:b/>
          <w:sz w:val="20"/>
        </w:rPr>
        <w:t>Definition</w:t>
      </w:r>
      <w:r w:rsidR="00C95E63" w:rsidRPr="0092230E">
        <w:rPr>
          <w:rFonts w:ascii="Arial" w:hAnsi="Arial" w:cs="Arial"/>
          <w:b/>
          <w:sz w:val="20"/>
        </w:rPr>
        <w:t>s</w:t>
      </w:r>
    </w:p>
    <w:p w14:paraId="31553D3C" w14:textId="2ED1D3FE" w:rsidR="00324B13" w:rsidRPr="0092230E" w:rsidRDefault="007B2E7B">
      <w:pPr>
        <w:pStyle w:val="ABABulletLevel1"/>
        <w:spacing w:after="120"/>
        <w:rPr>
          <w:rFonts w:ascii="Arial" w:hAnsi="Arial" w:cs="Arial"/>
          <w:sz w:val="20"/>
        </w:rPr>
      </w:pPr>
      <w:r w:rsidRPr="0092230E">
        <w:rPr>
          <w:rFonts w:ascii="Arial" w:hAnsi="Arial" w:cs="Arial"/>
          <w:sz w:val="20"/>
        </w:rPr>
        <w:t xml:space="preserve">This section defines the </w:t>
      </w:r>
      <w:r w:rsidR="003214EE" w:rsidRPr="0092230E">
        <w:rPr>
          <w:rFonts w:ascii="Arial" w:hAnsi="Arial" w:cs="Arial"/>
          <w:sz w:val="20"/>
        </w:rPr>
        <w:t>terms used in the Determination, including some words and expressions defined in the T</w:t>
      </w:r>
      <w:r w:rsidR="00447C42" w:rsidRPr="0092230E">
        <w:rPr>
          <w:rFonts w:ascii="Arial" w:hAnsi="Arial" w:cs="Arial"/>
          <w:sz w:val="20"/>
        </w:rPr>
        <w:t>CPSS</w:t>
      </w:r>
      <w:r w:rsidR="003214EE" w:rsidRPr="0092230E">
        <w:rPr>
          <w:rFonts w:ascii="Arial" w:hAnsi="Arial" w:cs="Arial"/>
          <w:sz w:val="20"/>
        </w:rPr>
        <w:t xml:space="preserve"> Act and the </w:t>
      </w:r>
      <w:r w:rsidR="003214EE" w:rsidRPr="0092230E">
        <w:rPr>
          <w:rFonts w:ascii="Arial" w:hAnsi="Arial" w:cs="Arial"/>
          <w:i/>
          <w:sz w:val="20"/>
        </w:rPr>
        <w:t>Telecommunications Act</w:t>
      </w:r>
      <w:r w:rsidR="003177FA" w:rsidRPr="0092230E">
        <w:rPr>
          <w:rFonts w:ascii="Arial" w:hAnsi="Arial" w:cs="Arial"/>
          <w:i/>
          <w:sz w:val="20"/>
        </w:rPr>
        <w:t xml:space="preserve"> 1997</w:t>
      </w:r>
      <w:r w:rsidR="003214EE" w:rsidRPr="0092230E">
        <w:rPr>
          <w:rFonts w:ascii="Arial" w:hAnsi="Arial" w:cs="Arial"/>
          <w:sz w:val="20"/>
        </w:rPr>
        <w:t>.</w:t>
      </w:r>
      <w:r w:rsidRPr="0092230E">
        <w:rPr>
          <w:rFonts w:ascii="Arial" w:hAnsi="Arial" w:cs="Arial"/>
          <w:sz w:val="20"/>
        </w:rPr>
        <w:t xml:space="preserve">  </w:t>
      </w:r>
    </w:p>
    <w:p w14:paraId="2E1AF95F" w14:textId="77777777" w:rsidR="0078705F" w:rsidRPr="0092230E" w:rsidRDefault="0078705F" w:rsidP="00835C74">
      <w:pPr>
        <w:pStyle w:val="ABABulletLevel1"/>
        <w:spacing w:after="120"/>
        <w:rPr>
          <w:rFonts w:ascii="Arial" w:hAnsi="Arial" w:cs="Arial"/>
          <w:b/>
          <w:sz w:val="20"/>
        </w:rPr>
      </w:pPr>
    </w:p>
    <w:p w14:paraId="5BDD6B6E" w14:textId="77777777" w:rsidR="00835C74" w:rsidRPr="0092230E" w:rsidRDefault="002D5B9B" w:rsidP="00835C74">
      <w:pPr>
        <w:pStyle w:val="ABABulletLevel1"/>
        <w:spacing w:after="120"/>
        <w:rPr>
          <w:rFonts w:ascii="Arial" w:hAnsi="Arial" w:cs="Arial"/>
          <w:b/>
          <w:sz w:val="20"/>
        </w:rPr>
      </w:pPr>
      <w:r w:rsidRPr="0092230E">
        <w:rPr>
          <w:rFonts w:ascii="Arial" w:hAnsi="Arial" w:cs="Arial"/>
          <w:b/>
          <w:sz w:val="20"/>
        </w:rPr>
        <w:t xml:space="preserve">Section 6 – Meaning of </w:t>
      </w:r>
      <w:r w:rsidR="00835C74" w:rsidRPr="0092230E">
        <w:rPr>
          <w:rFonts w:ascii="Arial" w:hAnsi="Arial" w:cs="Arial"/>
          <w:b/>
          <w:i/>
          <w:sz w:val="20"/>
        </w:rPr>
        <w:t>declared related party</w:t>
      </w:r>
      <w:r w:rsidR="00166F8A" w:rsidRPr="0092230E">
        <w:rPr>
          <w:rFonts w:ascii="Arial" w:hAnsi="Arial" w:cs="Arial"/>
          <w:b/>
          <w:i/>
          <w:sz w:val="20"/>
        </w:rPr>
        <w:t>—</w:t>
      </w:r>
      <w:r w:rsidR="00476373" w:rsidRPr="0092230E">
        <w:rPr>
          <w:rFonts w:ascii="Arial" w:hAnsi="Arial" w:cs="Arial"/>
          <w:b/>
          <w:sz w:val="20"/>
        </w:rPr>
        <w:t>participating person</w:t>
      </w:r>
    </w:p>
    <w:p w14:paraId="586F4475" w14:textId="77777777" w:rsidR="00805DAC" w:rsidRPr="0092230E" w:rsidRDefault="00805DAC" w:rsidP="00805DAC">
      <w:pPr>
        <w:pStyle w:val="ABABulletLevel1"/>
        <w:spacing w:after="120"/>
        <w:rPr>
          <w:rFonts w:ascii="Arial" w:hAnsi="Arial" w:cs="Arial"/>
          <w:sz w:val="20"/>
        </w:rPr>
      </w:pPr>
      <w:r w:rsidRPr="0092230E">
        <w:rPr>
          <w:rFonts w:ascii="Arial" w:hAnsi="Arial" w:cs="Arial"/>
          <w:sz w:val="20"/>
        </w:rPr>
        <w:t xml:space="preserve">The Determination includes provision for a proportion of the revenue of ‘declared related parties’ to be included in the calculation of a participating person’s eligible revenue. Section 6 defines ‘declared related party’ </w:t>
      </w:r>
      <w:r w:rsidR="0078705F" w:rsidRPr="0092230E">
        <w:rPr>
          <w:rFonts w:ascii="Arial" w:hAnsi="Arial" w:cs="Arial"/>
          <w:sz w:val="20"/>
        </w:rPr>
        <w:t>in relation to</w:t>
      </w:r>
      <w:r w:rsidRPr="0092230E">
        <w:rPr>
          <w:rFonts w:ascii="Arial" w:hAnsi="Arial" w:cs="Arial"/>
          <w:sz w:val="20"/>
        </w:rPr>
        <w:t xml:space="preserve"> a participating person. The ability to capture the revenue of entities other than the </w:t>
      </w:r>
      <w:r w:rsidR="0078705F" w:rsidRPr="0092230E">
        <w:rPr>
          <w:rFonts w:ascii="Arial" w:hAnsi="Arial" w:cs="Arial"/>
          <w:sz w:val="20"/>
        </w:rPr>
        <w:t xml:space="preserve">participating person </w:t>
      </w:r>
      <w:r w:rsidRPr="0092230E">
        <w:rPr>
          <w:rFonts w:ascii="Arial" w:hAnsi="Arial" w:cs="Arial"/>
          <w:sz w:val="20"/>
        </w:rPr>
        <w:t>is designed to discourage, and ultimately deal with, persons trying to minimise their revenue, and thus levy payments, by diverting revenue to associates that are not participating persons. An entity can be a declared related party for either part o</w:t>
      </w:r>
      <w:r w:rsidR="0078705F" w:rsidRPr="0092230E">
        <w:rPr>
          <w:rFonts w:ascii="Arial" w:hAnsi="Arial" w:cs="Arial"/>
          <w:sz w:val="20"/>
        </w:rPr>
        <w:t>r</w:t>
      </w:r>
      <w:r w:rsidRPr="0092230E">
        <w:rPr>
          <w:rFonts w:ascii="Arial" w:hAnsi="Arial" w:cs="Arial"/>
          <w:sz w:val="20"/>
        </w:rPr>
        <w:t xml:space="preserve"> the whole of </w:t>
      </w:r>
      <w:r w:rsidR="0078705F" w:rsidRPr="0092230E">
        <w:rPr>
          <w:rFonts w:ascii="Arial" w:hAnsi="Arial" w:cs="Arial"/>
          <w:sz w:val="20"/>
        </w:rPr>
        <w:t xml:space="preserve">an </w:t>
      </w:r>
      <w:r w:rsidRPr="0092230E">
        <w:rPr>
          <w:rFonts w:ascii="Arial" w:hAnsi="Arial" w:cs="Arial"/>
          <w:sz w:val="20"/>
        </w:rPr>
        <w:t>eligible revenue period.</w:t>
      </w:r>
    </w:p>
    <w:p w14:paraId="3FA2331E" w14:textId="77777777" w:rsidR="00805DAC" w:rsidRPr="0092230E" w:rsidRDefault="00805DAC" w:rsidP="00805DAC">
      <w:pPr>
        <w:pStyle w:val="ABABulletLevel1"/>
        <w:spacing w:after="120"/>
        <w:rPr>
          <w:rFonts w:ascii="Arial" w:hAnsi="Arial" w:cs="Arial"/>
          <w:sz w:val="20"/>
        </w:rPr>
      </w:pPr>
      <w:r w:rsidRPr="0092230E">
        <w:rPr>
          <w:rFonts w:ascii="Arial" w:hAnsi="Arial" w:cs="Arial"/>
          <w:sz w:val="20"/>
        </w:rPr>
        <w:t xml:space="preserve">Under subsection 6(1), an entity is a ‘declared related party’ </w:t>
      </w:r>
      <w:r w:rsidR="0078705F" w:rsidRPr="0092230E">
        <w:rPr>
          <w:rFonts w:ascii="Arial" w:hAnsi="Arial" w:cs="Arial"/>
          <w:sz w:val="20"/>
        </w:rPr>
        <w:t>in relation to a</w:t>
      </w:r>
      <w:r w:rsidRPr="0092230E">
        <w:rPr>
          <w:rFonts w:ascii="Arial" w:hAnsi="Arial" w:cs="Arial"/>
          <w:sz w:val="20"/>
        </w:rPr>
        <w:t xml:space="preserve"> participating person</w:t>
      </w:r>
      <w:r w:rsidR="0078705F" w:rsidRPr="0092230E">
        <w:rPr>
          <w:rFonts w:ascii="Arial" w:hAnsi="Arial" w:cs="Arial"/>
          <w:sz w:val="20"/>
        </w:rPr>
        <w:t xml:space="preserve"> for the whole of an eligible revenue period,</w:t>
      </w:r>
      <w:r w:rsidRPr="0092230E">
        <w:rPr>
          <w:rFonts w:ascii="Arial" w:hAnsi="Arial" w:cs="Arial"/>
          <w:sz w:val="20"/>
        </w:rPr>
        <w:t xml:space="preserve"> if the entity:</w:t>
      </w:r>
    </w:p>
    <w:p w14:paraId="4C8FCDFB" w14:textId="77777777" w:rsidR="00787EE4" w:rsidRPr="0092230E" w:rsidRDefault="0078705F" w:rsidP="00D33EC1">
      <w:pPr>
        <w:pStyle w:val="ABABulletLevel1"/>
        <w:numPr>
          <w:ilvl w:val="0"/>
          <w:numId w:val="11"/>
        </w:numPr>
        <w:spacing w:after="120"/>
        <w:rPr>
          <w:rFonts w:ascii="Arial" w:hAnsi="Arial" w:cs="Arial"/>
          <w:sz w:val="20"/>
        </w:rPr>
      </w:pPr>
      <w:r w:rsidRPr="0092230E">
        <w:rPr>
          <w:rFonts w:ascii="Arial" w:hAnsi="Arial" w:cs="Arial"/>
          <w:sz w:val="20"/>
        </w:rPr>
        <w:t>i</w:t>
      </w:r>
      <w:r w:rsidR="00805DAC" w:rsidRPr="0092230E">
        <w:rPr>
          <w:rFonts w:ascii="Arial" w:hAnsi="Arial" w:cs="Arial"/>
          <w:sz w:val="20"/>
        </w:rPr>
        <w:t>s not a participating person or</w:t>
      </w:r>
      <w:r w:rsidR="00167535" w:rsidRPr="0092230E">
        <w:rPr>
          <w:rFonts w:ascii="Arial" w:hAnsi="Arial" w:cs="Arial"/>
          <w:sz w:val="20"/>
        </w:rPr>
        <w:t xml:space="preserve"> a consolidated related party of a participating person; and</w:t>
      </w:r>
      <w:r w:rsidR="00805DAC" w:rsidRPr="0092230E">
        <w:rPr>
          <w:rFonts w:ascii="Arial" w:hAnsi="Arial" w:cs="Arial"/>
          <w:sz w:val="20"/>
        </w:rPr>
        <w:t xml:space="preserve"> </w:t>
      </w:r>
    </w:p>
    <w:p w14:paraId="43DDE5FB" w14:textId="5B4AAA55" w:rsidR="00DA3571" w:rsidRPr="0092230E" w:rsidRDefault="002F05B6" w:rsidP="00D33EC1">
      <w:pPr>
        <w:pStyle w:val="ABABulletLevel1"/>
        <w:numPr>
          <w:ilvl w:val="0"/>
          <w:numId w:val="11"/>
        </w:numPr>
        <w:spacing w:after="120"/>
        <w:rPr>
          <w:rFonts w:ascii="Arial" w:hAnsi="Arial" w:cs="Arial"/>
          <w:sz w:val="20"/>
        </w:rPr>
      </w:pPr>
      <w:r w:rsidRPr="0092230E">
        <w:rPr>
          <w:rFonts w:ascii="Arial" w:hAnsi="Arial" w:cs="Arial"/>
          <w:sz w:val="20"/>
        </w:rPr>
        <w:t>i</w:t>
      </w:r>
      <w:r w:rsidR="005F6B8D" w:rsidRPr="0092230E">
        <w:rPr>
          <w:rFonts w:ascii="Arial" w:hAnsi="Arial" w:cs="Arial"/>
          <w:sz w:val="20"/>
        </w:rPr>
        <w:t>s owned</w:t>
      </w:r>
      <w:r w:rsidR="00BC7682" w:rsidRPr="0092230E">
        <w:rPr>
          <w:rFonts w:ascii="Arial" w:hAnsi="Arial" w:cs="Arial"/>
          <w:sz w:val="20"/>
        </w:rPr>
        <w:t xml:space="preserve">, at any time during the eligible revenue period, </w:t>
      </w:r>
      <w:r w:rsidR="005F6B8D" w:rsidRPr="0092230E">
        <w:rPr>
          <w:rFonts w:ascii="Arial" w:hAnsi="Arial" w:cs="Arial"/>
          <w:sz w:val="20"/>
        </w:rPr>
        <w:t xml:space="preserve">by a body that </w:t>
      </w:r>
      <w:r w:rsidR="00BC7682" w:rsidRPr="0092230E">
        <w:rPr>
          <w:rFonts w:ascii="Arial" w:hAnsi="Arial" w:cs="Arial"/>
          <w:sz w:val="20"/>
        </w:rPr>
        <w:t xml:space="preserve">owns </w:t>
      </w:r>
      <w:r w:rsidR="00787EE4" w:rsidRPr="0092230E">
        <w:rPr>
          <w:rFonts w:ascii="Arial" w:hAnsi="Arial" w:cs="Arial"/>
          <w:sz w:val="20"/>
        </w:rPr>
        <w:t xml:space="preserve">the </w:t>
      </w:r>
      <w:r w:rsidR="00A10F0A" w:rsidRPr="0092230E">
        <w:rPr>
          <w:rFonts w:ascii="Arial" w:hAnsi="Arial" w:cs="Arial"/>
          <w:sz w:val="20"/>
        </w:rPr>
        <w:t xml:space="preserve">participating </w:t>
      </w:r>
      <w:r w:rsidR="00BC7682" w:rsidRPr="0092230E">
        <w:rPr>
          <w:rFonts w:ascii="Arial" w:hAnsi="Arial" w:cs="Arial"/>
          <w:sz w:val="20"/>
        </w:rPr>
        <w:t>person</w:t>
      </w:r>
      <w:r w:rsidR="005F6B8D" w:rsidRPr="0092230E">
        <w:rPr>
          <w:rFonts w:ascii="Arial" w:hAnsi="Arial" w:cs="Arial"/>
          <w:sz w:val="20"/>
        </w:rPr>
        <w:t xml:space="preserve"> at any time during the eligible revenue period</w:t>
      </w:r>
      <w:r w:rsidR="00DA3571" w:rsidRPr="0092230E">
        <w:rPr>
          <w:rFonts w:ascii="Arial" w:hAnsi="Arial" w:cs="Arial"/>
          <w:sz w:val="20"/>
        </w:rPr>
        <w:t>; and</w:t>
      </w:r>
    </w:p>
    <w:p w14:paraId="32CCB92F" w14:textId="77777777" w:rsidR="00BC7682" w:rsidRPr="0092230E" w:rsidRDefault="00DA3571" w:rsidP="00DA3571">
      <w:pPr>
        <w:pStyle w:val="ABABulletLevel1"/>
        <w:numPr>
          <w:ilvl w:val="0"/>
          <w:numId w:val="11"/>
        </w:numPr>
        <w:spacing w:after="120"/>
        <w:rPr>
          <w:rFonts w:ascii="Arial" w:hAnsi="Arial" w:cs="Arial"/>
          <w:sz w:val="20"/>
        </w:rPr>
      </w:pPr>
      <w:r w:rsidRPr="0092230E">
        <w:rPr>
          <w:rFonts w:ascii="Arial" w:hAnsi="Arial" w:cs="Arial"/>
          <w:sz w:val="20"/>
        </w:rPr>
        <w:t>has telecommunications sales revenue in Australia at any time during the same eligible revenue period.</w:t>
      </w:r>
    </w:p>
    <w:p w14:paraId="72E9023C" w14:textId="5124D437" w:rsidR="00BC7682" w:rsidRPr="0092230E" w:rsidRDefault="00787EE4" w:rsidP="00BC7682">
      <w:pPr>
        <w:pStyle w:val="ABABulletLevel1"/>
        <w:spacing w:after="120"/>
        <w:rPr>
          <w:rFonts w:ascii="Arial" w:hAnsi="Arial" w:cs="Arial"/>
          <w:sz w:val="20"/>
        </w:rPr>
      </w:pPr>
      <w:r w:rsidRPr="0092230E">
        <w:rPr>
          <w:rFonts w:ascii="Arial" w:hAnsi="Arial" w:cs="Arial"/>
          <w:sz w:val="20"/>
        </w:rPr>
        <w:t>Subsection 6(3) provides that a body ‘owns’ an entity if the body has company interests of more than 49% in that entity. Company</w:t>
      </w:r>
      <w:r w:rsidR="00BC7682" w:rsidRPr="0092230E">
        <w:rPr>
          <w:rFonts w:ascii="Arial" w:hAnsi="Arial" w:cs="Arial"/>
          <w:sz w:val="20"/>
        </w:rPr>
        <w:t xml:space="preserve"> interests may be traced in the same manner as company interests are traced for Part 4 of Schedule 1 </w:t>
      </w:r>
      <w:r w:rsidR="008950F7" w:rsidRPr="0092230E">
        <w:rPr>
          <w:rFonts w:ascii="Arial" w:hAnsi="Arial" w:cs="Arial"/>
          <w:sz w:val="20"/>
        </w:rPr>
        <w:t>to</w:t>
      </w:r>
      <w:r w:rsidR="00BC7682" w:rsidRPr="0092230E">
        <w:rPr>
          <w:rFonts w:ascii="Arial" w:hAnsi="Arial" w:cs="Arial"/>
          <w:sz w:val="20"/>
        </w:rPr>
        <w:t xml:space="preserve"> the </w:t>
      </w:r>
      <w:r w:rsidR="00BC7682" w:rsidRPr="0092230E">
        <w:rPr>
          <w:rFonts w:ascii="Arial" w:hAnsi="Arial" w:cs="Arial"/>
          <w:i/>
          <w:sz w:val="20"/>
        </w:rPr>
        <w:t>Broadcasting Services Act 1992</w:t>
      </w:r>
      <w:r w:rsidR="00BC7682" w:rsidRPr="0092230E">
        <w:rPr>
          <w:rFonts w:ascii="Arial" w:hAnsi="Arial" w:cs="Arial"/>
          <w:sz w:val="20"/>
        </w:rPr>
        <w:t xml:space="preserve"> (</w:t>
      </w:r>
      <w:r w:rsidR="00BC7682" w:rsidRPr="0092230E">
        <w:rPr>
          <w:rFonts w:ascii="Arial" w:hAnsi="Arial" w:cs="Arial"/>
          <w:b/>
          <w:sz w:val="20"/>
        </w:rPr>
        <w:t>the</w:t>
      </w:r>
      <w:r w:rsidR="00BC7682" w:rsidRPr="0092230E">
        <w:rPr>
          <w:rFonts w:ascii="Arial" w:hAnsi="Arial" w:cs="Arial"/>
          <w:sz w:val="20"/>
        </w:rPr>
        <w:t xml:space="preserve"> </w:t>
      </w:r>
      <w:r w:rsidR="007F3C95" w:rsidRPr="0092230E">
        <w:rPr>
          <w:rFonts w:ascii="Arial" w:hAnsi="Arial" w:cs="Arial"/>
          <w:b/>
          <w:sz w:val="20"/>
        </w:rPr>
        <w:t>BSA</w:t>
      </w:r>
      <w:r w:rsidR="00BC7682" w:rsidRPr="0092230E">
        <w:rPr>
          <w:rFonts w:ascii="Arial" w:hAnsi="Arial" w:cs="Arial"/>
          <w:sz w:val="20"/>
        </w:rPr>
        <w:t xml:space="preserve">). </w:t>
      </w:r>
    </w:p>
    <w:p w14:paraId="7007A08B" w14:textId="77777777" w:rsidR="00BC7682" w:rsidRPr="0092230E" w:rsidRDefault="00BC7682" w:rsidP="00BC7682">
      <w:pPr>
        <w:pStyle w:val="ABABulletLevel1"/>
        <w:spacing w:after="120"/>
        <w:rPr>
          <w:rFonts w:ascii="Arial" w:hAnsi="Arial" w:cs="Arial"/>
          <w:sz w:val="20"/>
        </w:rPr>
      </w:pPr>
      <w:r w:rsidRPr="0092230E">
        <w:rPr>
          <w:rFonts w:ascii="Arial" w:hAnsi="Arial" w:cs="Arial"/>
          <w:sz w:val="20"/>
        </w:rPr>
        <w:t xml:space="preserve">For example: Entity A wholly </w:t>
      </w:r>
      <w:r w:rsidR="003C4F7A" w:rsidRPr="0092230E">
        <w:rPr>
          <w:rFonts w:ascii="Arial" w:hAnsi="Arial" w:cs="Arial"/>
          <w:sz w:val="20"/>
        </w:rPr>
        <w:t xml:space="preserve">(100 per cent) </w:t>
      </w:r>
      <w:r w:rsidRPr="0092230E">
        <w:rPr>
          <w:rFonts w:ascii="Arial" w:hAnsi="Arial" w:cs="Arial"/>
          <w:sz w:val="20"/>
        </w:rPr>
        <w:t xml:space="preserve">owns </w:t>
      </w:r>
      <w:r w:rsidR="00EB7F8B" w:rsidRPr="0092230E">
        <w:rPr>
          <w:rFonts w:ascii="Arial" w:hAnsi="Arial" w:cs="Arial"/>
          <w:sz w:val="20"/>
        </w:rPr>
        <w:t>E</w:t>
      </w:r>
      <w:r w:rsidRPr="0092230E">
        <w:rPr>
          <w:rFonts w:ascii="Arial" w:hAnsi="Arial" w:cs="Arial"/>
          <w:sz w:val="20"/>
        </w:rPr>
        <w:t xml:space="preserve">ntity </w:t>
      </w:r>
      <w:r w:rsidR="00221F29" w:rsidRPr="0092230E">
        <w:rPr>
          <w:rFonts w:ascii="Arial" w:hAnsi="Arial" w:cs="Arial"/>
          <w:sz w:val="20"/>
        </w:rPr>
        <w:t xml:space="preserve">B, which is a participating person, and </w:t>
      </w:r>
      <w:r w:rsidR="00EB7F8B" w:rsidRPr="0092230E">
        <w:rPr>
          <w:rFonts w:ascii="Arial" w:hAnsi="Arial" w:cs="Arial"/>
          <w:sz w:val="20"/>
        </w:rPr>
        <w:t>E</w:t>
      </w:r>
      <w:r w:rsidR="00221F29" w:rsidRPr="0092230E">
        <w:rPr>
          <w:rFonts w:ascii="Arial" w:hAnsi="Arial" w:cs="Arial"/>
          <w:sz w:val="20"/>
        </w:rPr>
        <w:t xml:space="preserve">ntity A also owns half (50 per cent) </w:t>
      </w:r>
      <w:r w:rsidR="0058708A" w:rsidRPr="0092230E">
        <w:rPr>
          <w:rFonts w:ascii="Arial" w:hAnsi="Arial" w:cs="Arial"/>
          <w:sz w:val="20"/>
        </w:rPr>
        <w:t xml:space="preserve">of </w:t>
      </w:r>
      <w:r w:rsidR="00EB7F8B" w:rsidRPr="0092230E">
        <w:rPr>
          <w:rFonts w:ascii="Arial" w:hAnsi="Arial" w:cs="Arial"/>
          <w:sz w:val="20"/>
        </w:rPr>
        <w:t>E</w:t>
      </w:r>
      <w:r w:rsidR="00221F29" w:rsidRPr="0092230E">
        <w:rPr>
          <w:rFonts w:ascii="Arial" w:hAnsi="Arial" w:cs="Arial"/>
          <w:sz w:val="20"/>
        </w:rPr>
        <w:t xml:space="preserve">ntity C. Entity C has telecommunications sales </w:t>
      </w:r>
      <w:r w:rsidR="00476373" w:rsidRPr="0092230E">
        <w:rPr>
          <w:rFonts w:ascii="Arial" w:hAnsi="Arial" w:cs="Arial"/>
          <w:sz w:val="20"/>
        </w:rPr>
        <w:t xml:space="preserve">revenue earned </w:t>
      </w:r>
      <w:r w:rsidR="000C0DAF" w:rsidRPr="0092230E">
        <w:rPr>
          <w:rFonts w:ascii="Arial" w:hAnsi="Arial" w:cs="Arial"/>
          <w:sz w:val="20"/>
        </w:rPr>
        <w:t>in Australia. Entity C is not a participating person, nor</w:t>
      </w:r>
      <w:r w:rsidR="00221F29" w:rsidRPr="0092230E">
        <w:rPr>
          <w:rFonts w:ascii="Arial" w:hAnsi="Arial" w:cs="Arial"/>
          <w:sz w:val="20"/>
        </w:rPr>
        <w:t xml:space="preserve"> a consolidated related party of </w:t>
      </w:r>
      <w:r w:rsidR="00787EE4" w:rsidRPr="0092230E">
        <w:rPr>
          <w:rFonts w:ascii="Arial" w:hAnsi="Arial" w:cs="Arial"/>
          <w:sz w:val="20"/>
        </w:rPr>
        <w:t>Entity B</w:t>
      </w:r>
      <w:r w:rsidR="00221F29" w:rsidRPr="0092230E">
        <w:rPr>
          <w:rFonts w:ascii="Arial" w:hAnsi="Arial" w:cs="Arial"/>
          <w:sz w:val="20"/>
        </w:rPr>
        <w:t xml:space="preserve">. As </w:t>
      </w:r>
      <w:r w:rsidR="00EB7F8B" w:rsidRPr="0092230E">
        <w:rPr>
          <w:rFonts w:ascii="Arial" w:hAnsi="Arial" w:cs="Arial"/>
          <w:sz w:val="20"/>
        </w:rPr>
        <w:t>E</w:t>
      </w:r>
      <w:r w:rsidR="00221F29" w:rsidRPr="0092230E">
        <w:rPr>
          <w:rFonts w:ascii="Arial" w:hAnsi="Arial" w:cs="Arial"/>
          <w:sz w:val="20"/>
        </w:rPr>
        <w:t xml:space="preserve">ntity C meets the requirements of section 6, </w:t>
      </w:r>
      <w:r w:rsidR="00EB7F8B" w:rsidRPr="0092230E">
        <w:rPr>
          <w:rFonts w:ascii="Arial" w:hAnsi="Arial" w:cs="Arial"/>
          <w:sz w:val="20"/>
        </w:rPr>
        <w:t>E</w:t>
      </w:r>
      <w:r w:rsidR="00221F29" w:rsidRPr="0092230E">
        <w:rPr>
          <w:rFonts w:ascii="Arial" w:hAnsi="Arial" w:cs="Arial"/>
          <w:sz w:val="20"/>
        </w:rPr>
        <w:t xml:space="preserve">ntity C is a declared related party of </w:t>
      </w:r>
      <w:r w:rsidR="00EB7F8B" w:rsidRPr="0092230E">
        <w:rPr>
          <w:rFonts w:ascii="Arial" w:hAnsi="Arial" w:cs="Arial"/>
          <w:sz w:val="20"/>
        </w:rPr>
        <w:t>E</w:t>
      </w:r>
      <w:r w:rsidR="00221F29" w:rsidRPr="0092230E">
        <w:rPr>
          <w:rFonts w:ascii="Arial" w:hAnsi="Arial" w:cs="Arial"/>
          <w:sz w:val="20"/>
        </w:rPr>
        <w:t xml:space="preserve">ntity B, the </w:t>
      </w:r>
      <w:r w:rsidR="00221F29" w:rsidRPr="0092230E">
        <w:rPr>
          <w:rFonts w:ascii="Arial" w:hAnsi="Arial" w:cs="Arial"/>
          <w:sz w:val="20"/>
        </w:rPr>
        <w:lastRenderedPageBreak/>
        <w:t xml:space="preserve">participating person. Entity C could be a declared related party for part or </w:t>
      </w:r>
      <w:r w:rsidR="00412693" w:rsidRPr="0092230E">
        <w:rPr>
          <w:rFonts w:ascii="Arial" w:hAnsi="Arial" w:cs="Arial"/>
          <w:sz w:val="20"/>
        </w:rPr>
        <w:t>all of</w:t>
      </w:r>
      <w:r w:rsidR="00221F29" w:rsidRPr="0092230E">
        <w:rPr>
          <w:rFonts w:ascii="Arial" w:hAnsi="Arial" w:cs="Arial"/>
          <w:sz w:val="20"/>
        </w:rPr>
        <w:t xml:space="preserve"> the </w:t>
      </w:r>
      <w:r w:rsidR="00787EE4" w:rsidRPr="0092230E">
        <w:rPr>
          <w:rFonts w:ascii="Arial" w:hAnsi="Arial" w:cs="Arial"/>
          <w:sz w:val="20"/>
        </w:rPr>
        <w:t xml:space="preserve">relevant </w:t>
      </w:r>
      <w:r w:rsidR="00221F29" w:rsidRPr="0092230E">
        <w:rPr>
          <w:rFonts w:ascii="Arial" w:hAnsi="Arial" w:cs="Arial"/>
          <w:sz w:val="20"/>
        </w:rPr>
        <w:t>eligible revenue period.</w:t>
      </w:r>
    </w:p>
    <w:p w14:paraId="6FA6F24C" w14:textId="77777777" w:rsidR="005B4267" w:rsidRPr="0092230E" w:rsidRDefault="00412693" w:rsidP="00BC7682">
      <w:pPr>
        <w:pStyle w:val="ABABulletLevel1"/>
        <w:spacing w:after="120"/>
        <w:rPr>
          <w:rFonts w:ascii="Arial" w:hAnsi="Arial" w:cs="Arial"/>
          <w:sz w:val="20"/>
        </w:rPr>
      </w:pPr>
      <w:r w:rsidRPr="0092230E">
        <w:rPr>
          <w:rFonts w:ascii="Arial" w:hAnsi="Arial" w:cs="Arial"/>
          <w:sz w:val="20"/>
        </w:rPr>
        <w:t xml:space="preserve">Subsection 6(2) </w:t>
      </w:r>
      <w:r w:rsidR="005B4267" w:rsidRPr="0092230E">
        <w:rPr>
          <w:rFonts w:ascii="Arial" w:hAnsi="Arial" w:cs="Arial"/>
          <w:sz w:val="20"/>
        </w:rPr>
        <w:t xml:space="preserve">provides </w:t>
      </w:r>
      <w:r w:rsidR="00DE65F9" w:rsidRPr="0092230E">
        <w:rPr>
          <w:rFonts w:ascii="Arial" w:hAnsi="Arial" w:cs="Arial"/>
          <w:sz w:val="20"/>
        </w:rPr>
        <w:t xml:space="preserve">that an entity </w:t>
      </w:r>
      <w:r w:rsidR="005B4267" w:rsidRPr="0092230E">
        <w:rPr>
          <w:rFonts w:ascii="Arial" w:hAnsi="Arial" w:cs="Arial"/>
          <w:sz w:val="20"/>
        </w:rPr>
        <w:t>is</w:t>
      </w:r>
      <w:r w:rsidR="00DE65F9" w:rsidRPr="0092230E">
        <w:rPr>
          <w:rFonts w:ascii="Arial" w:hAnsi="Arial" w:cs="Arial"/>
          <w:sz w:val="20"/>
        </w:rPr>
        <w:t xml:space="preserve"> a declared related party </w:t>
      </w:r>
      <w:r w:rsidR="005B4267" w:rsidRPr="0092230E">
        <w:rPr>
          <w:rFonts w:ascii="Arial" w:hAnsi="Arial" w:cs="Arial"/>
          <w:sz w:val="20"/>
        </w:rPr>
        <w:t xml:space="preserve">in relation to a participating person </w:t>
      </w:r>
      <w:r w:rsidR="00DE65F9" w:rsidRPr="0092230E">
        <w:rPr>
          <w:rFonts w:ascii="Arial" w:hAnsi="Arial" w:cs="Arial"/>
          <w:sz w:val="20"/>
        </w:rPr>
        <w:t xml:space="preserve">for </w:t>
      </w:r>
      <w:r w:rsidR="005B4267" w:rsidRPr="0092230E">
        <w:rPr>
          <w:rFonts w:ascii="Arial" w:hAnsi="Arial" w:cs="Arial"/>
          <w:sz w:val="20"/>
        </w:rPr>
        <w:t xml:space="preserve">any </w:t>
      </w:r>
      <w:r w:rsidR="00DE65F9" w:rsidRPr="0092230E">
        <w:rPr>
          <w:rFonts w:ascii="Arial" w:hAnsi="Arial" w:cs="Arial"/>
          <w:sz w:val="20"/>
        </w:rPr>
        <w:t xml:space="preserve">part of </w:t>
      </w:r>
      <w:r w:rsidR="005B4267" w:rsidRPr="0092230E">
        <w:rPr>
          <w:rFonts w:ascii="Arial" w:hAnsi="Arial" w:cs="Arial"/>
          <w:sz w:val="20"/>
        </w:rPr>
        <w:t>an</w:t>
      </w:r>
      <w:r w:rsidR="00DE65F9" w:rsidRPr="0092230E">
        <w:rPr>
          <w:rFonts w:ascii="Arial" w:hAnsi="Arial" w:cs="Arial"/>
          <w:sz w:val="20"/>
        </w:rPr>
        <w:t xml:space="preserve"> eligible revenue period</w:t>
      </w:r>
      <w:r w:rsidR="005B4267" w:rsidRPr="0092230E">
        <w:rPr>
          <w:rFonts w:ascii="Arial" w:hAnsi="Arial" w:cs="Arial"/>
          <w:sz w:val="20"/>
        </w:rPr>
        <w:t xml:space="preserve"> during which the entity:</w:t>
      </w:r>
    </w:p>
    <w:p w14:paraId="72AA4CE9" w14:textId="77777777" w:rsidR="00167535" w:rsidRPr="0092230E" w:rsidRDefault="00167535">
      <w:pPr>
        <w:pStyle w:val="ABABulletLevel1"/>
        <w:numPr>
          <w:ilvl w:val="0"/>
          <w:numId w:val="17"/>
        </w:numPr>
        <w:spacing w:after="120"/>
        <w:rPr>
          <w:rFonts w:ascii="Arial" w:hAnsi="Arial" w:cs="Arial"/>
          <w:sz w:val="20"/>
        </w:rPr>
      </w:pPr>
      <w:r w:rsidRPr="0092230E">
        <w:rPr>
          <w:rFonts w:ascii="Arial" w:hAnsi="Arial" w:cs="Arial"/>
          <w:sz w:val="20"/>
        </w:rPr>
        <w:t>is not:</w:t>
      </w:r>
    </w:p>
    <w:p w14:paraId="0A5577DD" w14:textId="77777777" w:rsidR="00EA5EA5" w:rsidRPr="0092230E" w:rsidRDefault="005B4267">
      <w:pPr>
        <w:pStyle w:val="ABABulletLevel1"/>
        <w:numPr>
          <w:ilvl w:val="1"/>
          <w:numId w:val="17"/>
        </w:numPr>
        <w:spacing w:after="120"/>
        <w:rPr>
          <w:rFonts w:ascii="Arial" w:hAnsi="Arial" w:cs="Arial"/>
          <w:sz w:val="20"/>
        </w:rPr>
      </w:pPr>
      <w:r w:rsidRPr="0092230E">
        <w:rPr>
          <w:rFonts w:ascii="Arial" w:hAnsi="Arial" w:cs="Arial"/>
          <w:sz w:val="20"/>
        </w:rPr>
        <w:t>a carrier; or</w:t>
      </w:r>
    </w:p>
    <w:p w14:paraId="0BE41E73" w14:textId="77777777" w:rsidR="00EA5EA5" w:rsidRPr="0092230E" w:rsidRDefault="005B4267">
      <w:pPr>
        <w:pStyle w:val="ABABulletLevel1"/>
        <w:numPr>
          <w:ilvl w:val="1"/>
          <w:numId w:val="17"/>
        </w:numPr>
        <w:spacing w:after="120"/>
        <w:rPr>
          <w:rFonts w:ascii="Arial" w:hAnsi="Arial" w:cs="Arial"/>
          <w:sz w:val="20"/>
        </w:rPr>
      </w:pPr>
      <w:r w:rsidRPr="0092230E">
        <w:rPr>
          <w:rFonts w:ascii="Arial" w:hAnsi="Arial" w:cs="Arial"/>
          <w:sz w:val="20"/>
        </w:rPr>
        <w:t xml:space="preserve">a consolidated related party </w:t>
      </w:r>
      <w:r w:rsidR="00A10F0A" w:rsidRPr="0092230E">
        <w:rPr>
          <w:rFonts w:ascii="Arial" w:hAnsi="Arial" w:cs="Arial"/>
          <w:sz w:val="20"/>
        </w:rPr>
        <w:t>of a</w:t>
      </w:r>
      <w:r w:rsidRPr="0092230E">
        <w:rPr>
          <w:rFonts w:ascii="Arial" w:hAnsi="Arial" w:cs="Arial"/>
          <w:sz w:val="20"/>
        </w:rPr>
        <w:t xml:space="preserve"> participating person; or</w:t>
      </w:r>
    </w:p>
    <w:p w14:paraId="4970C7FE" w14:textId="0D2390D1" w:rsidR="00EA5EA5" w:rsidRPr="0092230E" w:rsidRDefault="005B4267">
      <w:pPr>
        <w:pStyle w:val="ABABulletLevel1"/>
        <w:numPr>
          <w:ilvl w:val="1"/>
          <w:numId w:val="17"/>
        </w:numPr>
        <w:spacing w:after="120"/>
        <w:rPr>
          <w:rFonts w:ascii="Arial" w:hAnsi="Arial" w:cs="Arial"/>
          <w:sz w:val="20"/>
        </w:rPr>
      </w:pPr>
      <w:r w:rsidRPr="0092230E">
        <w:rPr>
          <w:rFonts w:ascii="Arial" w:hAnsi="Arial" w:cs="Arial"/>
          <w:sz w:val="20"/>
        </w:rPr>
        <w:t xml:space="preserve">a </w:t>
      </w:r>
      <w:r w:rsidR="00880865" w:rsidRPr="0092230E">
        <w:rPr>
          <w:rFonts w:ascii="Arial" w:hAnsi="Arial" w:cs="Arial"/>
          <w:sz w:val="20"/>
        </w:rPr>
        <w:t xml:space="preserve">participating </w:t>
      </w:r>
      <w:r w:rsidRPr="0092230E">
        <w:rPr>
          <w:rFonts w:ascii="Arial" w:hAnsi="Arial" w:cs="Arial"/>
          <w:sz w:val="20"/>
        </w:rPr>
        <w:t xml:space="preserve">carriage service provider </w:t>
      </w:r>
      <w:r w:rsidR="00880865" w:rsidRPr="0092230E">
        <w:rPr>
          <w:rFonts w:ascii="Arial" w:hAnsi="Arial" w:cs="Arial"/>
          <w:sz w:val="20"/>
        </w:rPr>
        <w:t xml:space="preserve">(defined in section 5 of the Determination as a carriage service provider </w:t>
      </w:r>
      <w:r w:rsidRPr="0092230E">
        <w:rPr>
          <w:rFonts w:ascii="Arial" w:hAnsi="Arial" w:cs="Arial"/>
          <w:sz w:val="20"/>
        </w:rPr>
        <w:t xml:space="preserve">in relation to which a determination under paragraph </w:t>
      </w:r>
      <w:r w:rsidR="00A82DFC" w:rsidRPr="0092230E">
        <w:rPr>
          <w:rFonts w:ascii="Arial" w:hAnsi="Arial" w:cs="Arial"/>
          <w:sz w:val="20"/>
        </w:rPr>
        <w:t>44</w:t>
      </w:r>
      <w:r w:rsidRPr="0092230E">
        <w:rPr>
          <w:rFonts w:ascii="Arial" w:hAnsi="Arial" w:cs="Arial"/>
          <w:sz w:val="20"/>
        </w:rPr>
        <w:t xml:space="preserve">(1)(b) of the </w:t>
      </w:r>
      <w:r w:rsidR="00A82DFC" w:rsidRPr="0092230E">
        <w:rPr>
          <w:rFonts w:ascii="Arial" w:hAnsi="Arial" w:cs="Arial"/>
          <w:sz w:val="20"/>
        </w:rPr>
        <w:t>TCPSS</w:t>
      </w:r>
      <w:r w:rsidRPr="0092230E">
        <w:rPr>
          <w:rFonts w:ascii="Arial" w:hAnsi="Arial" w:cs="Arial"/>
          <w:sz w:val="20"/>
        </w:rPr>
        <w:t xml:space="preserve"> Act is in force</w:t>
      </w:r>
      <w:r w:rsidR="00880865" w:rsidRPr="0092230E">
        <w:rPr>
          <w:rFonts w:ascii="Arial" w:hAnsi="Arial" w:cs="Arial"/>
          <w:sz w:val="20"/>
        </w:rPr>
        <w:t>)</w:t>
      </w:r>
      <w:r w:rsidR="00D76052" w:rsidRPr="0092230E">
        <w:rPr>
          <w:rFonts w:ascii="Arial" w:hAnsi="Arial" w:cs="Arial"/>
          <w:sz w:val="20"/>
        </w:rPr>
        <w:t xml:space="preserve">; </w:t>
      </w:r>
      <w:r w:rsidR="00167535" w:rsidRPr="0092230E">
        <w:rPr>
          <w:rFonts w:ascii="Arial" w:hAnsi="Arial" w:cs="Arial"/>
          <w:sz w:val="20"/>
        </w:rPr>
        <w:t>and</w:t>
      </w:r>
    </w:p>
    <w:p w14:paraId="06B5272E" w14:textId="77777777" w:rsidR="00702C3D" w:rsidRPr="0092230E" w:rsidRDefault="00631E34">
      <w:pPr>
        <w:pStyle w:val="ABABulletLevel1"/>
        <w:numPr>
          <w:ilvl w:val="0"/>
          <w:numId w:val="17"/>
        </w:numPr>
        <w:spacing w:after="120"/>
        <w:rPr>
          <w:rFonts w:ascii="Arial" w:hAnsi="Arial" w:cs="Arial"/>
          <w:sz w:val="20"/>
        </w:rPr>
      </w:pPr>
      <w:r w:rsidRPr="0092230E">
        <w:rPr>
          <w:rFonts w:ascii="Arial" w:hAnsi="Arial" w:cs="Arial"/>
          <w:sz w:val="20"/>
        </w:rPr>
        <w:t>is owned by a body that, at any time during the same eligible revenue period, owns the participating person; and</w:t>
      </w:r>
    </w:p>
    <w:p w14:paraId="6EACC342" w14:textId="77777777" w:rsidR="00D76052" w:rsidRPr="0092230E" w:rsidRDefault="00476373" w:rsidP="00D76052">
      <w:pPr>
        <w:pStyle w:val="ABABulletLevel1"/>
        <w:numPr>
          <w:ilvl w:val="0"/>
          <w:numId w:val="17"/>
        </w:numPr>
        <w:spacing w:after="120"/>
        <w:rPr>
          <w:rFonts w:ascii="Arial" w:hAnsi="Arial" w:cs="Arial"/>
          <w:sz w:val="20"/>
        </w:rPr>
      </w:pPr>
      <w:r w:rsidRPr="0092230E">
        <w:rPr>
          <w:rFonts w:ascii="Arial" w:hAnsi="Arial" w:cs="Arial"/>
          <w:sz w:val="20"/>
        </w:rPr>
        <w:t>has telecommunications sales revenue in Australia</w:t>
      </w:r>
      <w:r w:rsidR="000C0DAF" w:rsidRPr="0092230E">
        <w:rPr>
          <w:rFonts w:ascii="Arial" w:hAnsi="Arial" w:cs="Arial"/>
          <w:sz w:val="20"/>
        </w:rPr>
        <w:t>.</w:t>
      </w:r>
    </w:p>
    <w:p w14:paraId="74CBB9FA" w14:textId="77777777" w:rsidR="000E580E" w:rsidRPr="0092230E" w:rsidRDefault="00DE65F9" w:rsidP="00BC7682">
      <w:pPr>
        <w:pStyle w:val="ABABulletLevel1"/>
        <w:spacing w:after="120"/>
        <w:rPr>
          <w:rFonts w:ascii="Arial" w:hAnsi="Arial" w:cs="Arial"/>
          <w:sz w:val="20"/>
        </w:rPr>
      </w:pPr>
      <w:r w:rsidRPr="0092230E">
        <w:rPr>
          <w:rFonts w:ascii="Arial" w:hAnsi="Arial" w:cs="Arial"/>
          <w:sz w:val="20"/>
        </w:rPr>
        <w:t>For example, an entity may be a declared related party</w:t>
      </w:r>
      <w:r w:rsidR="00D76052" w:rsidRPr="0092230E">
        <w:rPr>
          <w:rFonts w:ascii="Arial" w:hAnsi="Arial" w:cs="Arial"/>
          <w:sz w:val="20"/>
        </w:rPr>
        <w:t xml:space="preserve"> of a participating person</w:t>
      </w:r>
      <w:r w:rsidRPr="0092230E">
        <w:rPr>
          <w:rFonts w:ascii="Arial" w:hAnsi="Arial" w:cs="Arial"/>
          <w:sz w:val="20"/>
        </w:rPr>
        <w:t xml:space="preserve"> for six months of </w:t>
      </w:r>
      <w:r w:rsidR="000E580E" w:rsidRPr="0092230E">
        <w:rPr>
          <w:rFonts w:ascii="Arial" w:hAnsi="Arial" w:cs="Arial"/>
          <w:sz w:val="20"/>
        </w:rPr>
        <w:t xml:space="preserve">an </w:t>
      </w:r>
      <w:r w:rsidRPr="0092230E">
        <w:rPr>
          <w:rFonts w:ascii="Arial" w:hAnsi="Arial" w:cs="Arial"/>
          <w:sz w:val="20"/>
        </w:rPr>
        <w:t>eligible revenue period</w:t>
      </w:r>
      <w:r w:rsidR="000E580E" w:rsidRPr="0092230E">
        <w:rPr>
          <w:rFonts w:ascii="Arial" w:hAnsi="Arial" w:cs="Arial"/>
          <w:sz w:val="20"/>
        </w:rPr>
        <w:t>,</w:t>
      </w:r>
      <w:r w:rsidRPr="0092230E">
        <w:rPr>
          <w:rFonts w:ascii="Arial" w:hAnsi="Arial" w:cs="Arial"/>
          <w:sz w:val="20"/>
        </w:rPr>
        <w:t xml:space="preserve"> and then gain its own carrier licence, and retain that </w:t>
      </w:r>
      <w:r w:rsidR="00BD115B" w:rsidRPr="0092230E">
        <w:rPr>
          <w:rFonts w:ascii="Arial" w:hAnsi="Arial" w:cs="Arial"/>
          <w:sz w:val="20"/>
        </w:rPr>
        <w:t xml:space="preserve">licence </w:t>
      </w:r>
      <w:r w:rsidRPr="0092230E">
        <w:rPr>
          <w:rFonts w:ascii="Arial" w:hAnsi="Arial" w:cs="Arial"/>
          <w:sz w:val="20"/>
        </w:rPr>
        <w:t>for the remaining six months of the eligible revenue period. In this instance, the entity</w:t>
      </w:r>
      <w:r w:rsidR="000E580E" w:rsidRPr="0092230E">
        <w:rPr>
          <w:rFonts w:ascii="Arial" w:hAnsi="Arial" w:cs="Arial"/>
          <w:sz w:val="20"/>
        </w:rPr>
        <w:t xml:space="preserve"> would be a declared related party of a participating person for the part of the eligible revenue period during which it did not hold its own carrier licence (that is, the entity was not a carrier). </w:t>
      </w:r>
    </w:p>
    <w:p w14:paraId="46AAA787" w14:textId="2714787F" w:rsidR="000E580E" w:rsidRPr="0092230E" w:rsidRDefault="000E580E" w:rsidP="00BC7682">
      <w:pPr>
        <w:pStyle w:val="ABABulletLevel1"/>
        <w:spacing w:after="120"/>
        <w:rPr>
          <w:rFonts w:ascii="Arial" w:hAnsi="Arial" w:cs="Arial"/>
          <w:sz w:val="20"/>
        </w:rPr>
      </w:pPr>
      <w:r w:rsidRPr="0092230E">
        <w:rPr>
          <w:rFonts w:ascii="Arial" w:hAnsi="Arial" w:cs="Arial"/>
          <w:sz w:val="20"/>
        </w:rPr>
        <w:t xml:space="preserve">If the entity is a participating person (as defined in section </w:t>
      </w:r>
      <w:r w:rsidR="00FD1A92" w:rsidRPr="0092230E">
        <w:rPr>
          <w:rFonts w:ascii="Arial" w:hAnsi="Arial" w:cs="Arial"/>
          <w:sz w:val="20"/>
        </w:rPr>
        <w:t>44</w:t>
      </w:r>
      <w:r w:rsidRPr="0092230E">
        <w:rPr>
          <w:rFonts w:ascii="Arial" w:hAnsi="Arial" w:cs="Arial"/>
          <w:sz w:val="20"/>
        </w:rPr>
        <w:t xml:space="preserve"> of the T</w:t>
      </w:r>
      <w:r w:rsidR="00FD1A92" w:rsidRPr="0092230E">
        <w:rPr>
          <w:rFonts w:ascii="Arial" w:hAnsi="Arial" w:cs="Arial"/>
          <w:sz w:val="20"/>
        </w:rPr>
        <w:t>CPSS</w:t>
      </w:r>
      <w:r w:rsidRPr="0092230E">
        <w:rPr>
          <w:rFonts w:ascii="Arial" w:hAnsi="Arial" w:cs="Arial"/>
          <w:sz w:val="20"/>
        </w:rPr>
        <w:t xml:space="preserve"> Act) for the remaining 6 months of the eligible revenue period</w:t>
      </w:r>
      <w:r w:rsidR="00DB1DC6" w:rsidRPr="0092230E">
        <w:rPr>
          <w:rFonts w:ascii="Arial" w:hAnsi="Arial" w:cs="Arial"/>
          <w:sz w:val="20"/>
        </w:rPr>
        <w:t xml:space="preserve"> </w:t>
      </w:r>
      <w:r w:rsidRPr="0092230E">
        <w:rPr>
          <w:rFonts w:ascii="Arial" w:hAnsi="Arial" w:cs="Arial"/>
          <w:sz w:val="20"/>
        </w:rPr>
        <w:t xml:space="preserve">the entity would be required to submit its own eligible revenue return under section </w:t>
      </w:r>
      <w:r w:rsidR="00FD1A92" w:rsidRPr="0092230E">
        <w:rPr>
          <w:rFonts w:ascii="Arial" w:hAnsi="Arial" w:cs="Arial"/>
          <w:sz w:val="20"/>
        </w:rPr>
        <w:t>43</w:t>
      </w:r>
      <w:r w:rsidRPr="0092230E">
        <w:rPr>
          <w:rFonts w:ascii="Arial" w:hAnsi="Arial" w:cs="Arial"/>
          <w:sz w:val="20"/>
        </w:rPr>
        <w:t xml:space="preserve"> of the T</w:t>
      </w:r>
      <w:r w:rsidR="00FD1A92" w:rsidRPr="0092230E">
        <w:rPr>
          <w:rFonts w:ascii="Arial" w:hAnsi="Arial" w:cs="Arial"/>
          <w:sz w:val="20"/>
        </w:rPr>
        <w:t>CPSS</w:t>
      </w:r>
      <w:r w:rsidRPr="0092230E">
        <w:rPr>
          <w:rFonts w:ascii="Arial" w:hAnsi="Arial" w:cs="Arial"/>
          <w:sz w:val="20"/>
        </w:rPr>
        <w:t xml:space="preserve"> Act. </w:t>
      </w:r>
    </w:p>
    <w:p w14:paraId="1BE9BBB0" w14:textId="77777777" w:rsidR="0078705F" w:rsidRPr="0092230E" w:rsidRDefault="0078705F" w:rsidP="0078705F">
      <w:pPr>
        <w:pStyle w:val="ABABulletLevel1"/>
        <w:spacing w:after="120"/>
        <w:rPr>
          <w:rFonts w:ascii="Arial" w:hAnsi="Arial" w:cs="Arial"/>
          <w:sz w:val="20"/>
        </w:rPr>
      </w:pPr>
      <w:r w:rsidRPr="0092230E">
        <w:rPr>
          <w:rFonts w:ascii="Arial" w:hAnsi="Arial" w:cs="Arial"/>
          <w:sz w:val="20"/>
        </w:rPr>
        <w:t xml:space="preserve">If an entity is a declared related party in relation to a participating person for </w:t>
      </w:r>
      <w:r w:rsidR="00631E34" w:rsidRPr="0092230E">
        <w:rPr>
          <w:rFonts w:ascii="Arial" w:hAnsi="Arial" w:cs="Arial"/>
          <w:sz w:val="20"/>
        </w:rPr>
        <w:t xml:space="preserve">the whole or part of </w:t>
      </w:r>
      <w:r w:rsidRPr="0092230E">
        <w:rPr>
          <w:rFonts w:ascii="Arial" w:hAnsi="Arial" w:cs="Arial"/>
          <w:sz w:val="20"/>
        </w:rPr>
        <w:t xml:space="preserve">an eligible revenue period, a proportion of the telecommunications sales revenue (determined using the declared related party factor defined in section </w:t>
      </w:r>
      <w:r w:rsidR="00166F8A" w:rsidRPr="0092230E">
        <w:rPr>
          <w:rFonts w:ascii="Arial" w:hAnsi="Arial" w:cs="Arial"/>
          <w:sz w:val="20"/>
        </w:rPr>
        <w:t>8</w:t>
      </w:r>
      <w:r w:rsidRPr="0092230E">
        <w:rPr>
          <w:rFonts w:ascii="Arial" w:hAnsi="Arial" w:cs="Arial"/>
          <w:sz w:val="20"/>
        </w:rPr>
        <w:t xml:space="preserve">) of that entity is added to the telecommunications sales revenue of the participating person and its consolidated related parties (if any). </w:t>
      </w:r>
    </w:p>
    <w:p w14:paraId="5A7575DD" w14:textId="77777777" w:rsidR="005F6B8D" w:rsidRPr="0092230E" w:rsidRDefault="005F6B8D" w:rsidP="00166F8A">
      <w:pPr>
        <w:pStyle w:val="ABABulletLevel1"/>
        <w:spacing w:after="120"/>
        <w:rPr>
          <w:rFonts w:ascii="Arial" w:hAnsi="Arial" w:cs="Arial"/>
          <w:b/>
          <w:sz w:val="20"/>
        </w:rPr>
      </w:pPr>
    </w:p>
    <w:p w14:paraId="473CE571" w14:textId="77777777" w:rsidR="00166F8A" w:rsidRPr="0092230E" w:rsidRDefault="00166F8A" w:rsidP="00166F8A">
      <w:pPr>
        <w:pStyle w:val="ABABulletLevel1"/>
        <w:spacing w:after="120"/>
        <w:rPr>
          <w:rFonts w:ascii="Arial" w:hAnsi="Arial" w:cs="Arial"/>
          <w:b/>
          <w:sz w:val="20"/>
        </w:rPr>
      </w:pPr>
      <w:r w:rsidRPr="0092230E">
        <w:rPr>
          <w:rFonts w:ascii="Arial" w:hAnsi="Arial" w:cs="Arial"/>
          <w:b/>
          <w:sz w:val="20"/>
        </w:rPr>
        <w:t xml:space="preserve">Section 7 – Meaning of </w:t>
      </w:r>
      <w:r w:rsidRPr="0092230E">
        <w:rPr>
          <w:rFonts w:ascii="Arial" w:hAnsi="Arial" w:cs="Arial"/>
          <w:b/>
          <w:i/>
          <w:sz w:val="20"/>
        </w:rPr>
        <w:t>declared related party—</w:t>
      </w:r>
      <w:r w:rsidRPr="0092230E">
        <w:rPr>
          <w:rFonts w:ascii="Arial" w:hAnsi="Arial" w:cs="Arial"/>
          <w:b/>
          <w:sz w:val="20"/>
        </w:rPr>
        <w:t>non-participating person</w:t>
      </w:r>
    </w:p>
    <w:p w14:paraId="063AFFBD" w14:textId="77777777" w:rsidR="00166F8A" w:rsidRPr="0092230E" w:rsidRDefault="00166F8A" w:rsidP="0078705F">
      <w:pPr>
        <w:pStyle w:val="ABABulletLevel1"/>
        <w:spacing w:after="120"/>
        <w:rPr>
          <w:rFonts w:ascii="Arial" w:hAnsi="Arial" w:cs="Arial"/>
          <w:sz w:val="20"/>
        </w:rPr>
      </w:pPr>
      <w:r w:rsidRPr="0092230E">
        <w:rPr>
          <w:rFonts w:ascii="Arial" w:hAnsi="Arial" w:cs="Arial"/>
          <w:sz w:val="20"/>
        </w:rPr>
        <w:t>Section 7 defines a declared related party in relation to a non-participating person. The definition in section 7 is in substantially the same terms as the definition in section 6.</w:t>
      </w:r>
    </w:p>
    <w:p w14:paraId="6ECB646D" w14:textId="4D108292" w:rsidR="00B1518E" w:rsidRPr="0092230E" w:rsidRDefault="005F6B8D" w:rsidP="0078705F">
      <w:pPr>
        <w:pStyle w:val="ABABulletLevel1"/>
        <w:spacing w:after="120"/>
        <w:rPr>
          <w:rFonts w:ascii="Arial" w:hAnsi="Arial" w:cs="Arial"/>
          <w:sz w:val="20"/>
        </w:rPr>
      </w:pPr>
      <w:r w:rsidRPr="0092230E">
        <w:rPr>
          <w:rFonts w:ascii="Arial" w:hAnsi="Arial" w:cs="Arial"/>
          <w:sz w:val="20"/>
        </w:rPr>
        <w:t>The term “non-participating person”</w:t>
      </w:r>
      <w:r w:rsidR="006B1D87" w:rsidRPr="0092230E">
        <w:rPr>
          <w:rFonts w:ascii="Arial" w:hAnsi="Arial" w:cs="Arial"/>
          <w:sz w:val="20"/>
        </w:rPr>
        <w:t xml:space="preserve"> is defined by subsection 4(3)</w:t>
      </w:r>
      <w:r w:rsidRPr="0092230E">
        <w:rPr>
          <w:rFonts w:ascii="Arial" w:hAnsi="Arial" w:cs="Arial"/>
          <w:sz w:val="20"/>
        </w:rPr>
        <w:t xml:space="preserve"> of the </w:t>
      </w:r>
      <w:r w:rsidR="006B1D87" w:rsidRPr="0092230E">
        <w:rPr>
          <w:rFonts w:ascii="Arial" w:hAnsi="Arial" w:cs="Arial"/>
          <w:i/>
          <w:sz w:val="20"/>
        </w:rPr>
        <w:t>Telecommunications (Participating Persons) Determination 2015</w:t>
      </w:r>
      <w:r w:rsidR="002B7C05" w:rsidRPr="0092230E">
        <w:rPr>
          <w:rFonts w:ascii="Arial" w:hAnsi="Arial" w:cs="Arial"/>
          <w:sz w:val="20"/>
        </w:rPr>
        <w:t xml:space="preserve"> and refers to a person who, but for the existence of a determination in force under subsection 44(2) of the TCPSS Act which applies to that person, would have been a participating person</w:t>
      </w:r>
      <w:r w:rsidR="00787D46" w:rsidRPr="0092230E">
        <w:rPr>
          <w:rFonts w:ascii="Arial" w:hAnsi="Arial" w:cs="Arial"/>
          <w:sz w:val="20"/>
        </w:rPr>
        <w:t>.</w:t>
      </w:r>
    </w:p>
    <w:p w14:paraId="2071A76A" w14:textId="0BD8A5AF" w:rsidR="00166F8A" w:rsidRPr="0092230E" w:rsidRDefault="006B1D87" w:rsidP="0078705F">
      <w:pPr>
        <w:pStyle w:val="ABABulletLevel1"/>
        <w:spacing w:after="120"/>
        <w:rPr>
          <w:rFonts w:ascii="Arial" w:hAnsi="Arial" w:cs="Arial"/>
          <w:sz w:val="20"/>
        </w:rPr>
      </w:pPr>
      <w:r w:rsidRPr="0092230E">
        <w:rPr>
          <w:rFonts w:ascii="Arial" w:hAnsi="Arial" w:cs="Arial"/>
          <w:sz w:val="20"/>
        </w:rPr>
        <w:t xml:space="preserve"> </w:t>
      </w:r>
      <w:r w:rsidR="005F6B8D" w:rsidRPr="0092230E">
        <w:rPr>
          <w:rFonts w:ascii="Arial" w:hAnsi="Arial" w:cs="Arial"/>
          <w:sz w:val="20"/>
        </w:rPr>
        <w:t xml:space="preserve"> </w:t>
      </w:r>
    </w:p>
    <w:p w14:paraId="4330585C" w14:textId="77777777" w:rsidR="00805DAC" w:rsidRPr="0092230E" w:rsidRDefault="00805DAC" w:rsidP="00805DAC">
      <w:pPr>
        <w:pStyle w:val="ABABulletLevel1"/>
        <w:spacing w:after="120"/>
        <w:rPr>
          <w:rFonts w:ascii="Arial" w:hAnsi="Arial" w:cs="Arial"/>
          <w:b/>
          <w:sz w:val="20"/>
        </w:rPr>
      </w:pPr>
      <w:r w:rsidRPr="0092230E">
        <w:rPr>
          <w:rFonts w:ascii="Arial" w:hAnsi="Arial" w:cs="Arial"/>
          <w:b/>
          <w:sz w:val="20"/>
        </w:rPr>
        <w:t xml:space="preserve">Section </w:t>
      </w:r>
      <w:r w:rsidR="00E755D3" w:rsidRPr="0092230E">
        <w:rPr>
          <w:rFonts w:ascii="Arial" w:hAnsi="Arial" w:cs="Arial"/>
          <w:b/>
          <w:sz w:val="20"/>
        </w:rPr>
        <w:t xml:space="preserve">8 </w:t>
      </w:r>
      <w:r w:rsidRPr="0092230E">
        <w:rPr>
          <w:rFonts w:ascii="Arial" w:hAnsi="Arial" w:cs="Arial"/>
          <w:b/>
          <w:sz w:val="20"/>
        </w:rPr>
        <w:t xml:space="preserve">– </w:t>
      </w:r>
      <w:r w:rsidR="00B850D4" w:rsidRPr="0092230E">
        <w:rPr>
          <w:rFonts w:ascii="Arial" w:hAnsi="Arial" w:cs="Arial"/>
          <w:b/>
          <w:sz w:val="20"/>
        </w:rPr>
        <w:t xml:space="preserve">Meaning of </w:t>
      </w:r>
      <w:r w:rsidR="00B850D4" w:rsidRPr="0092230E">
        <w:rPr>
          <w:rFonts w:ascii="Arial" w:hAnsi="Arial" w:cs="Arial"/>
          <w:b/>
          <w:i/>
          <w:sz w:val="20"/>
        </w:rPr>
        <w:t>declared related party factor</w:t>
      </w:r>
    </w:p>
    <w:p w14:paraId="30BAACDF" w14:textId="77777777" w:rsidR="000E580E" w:rsidRPr="0092230E" w:rsidRDefault="00152B8D" w:rsidP="00805DAC">
      <w:pPr>
        <w:pStyle w:val="ABABulletLevel1"/>
        <w:spacing w:after="120"/>
        <w:rPr>
          <w:rFonts w:ascii="Arial" w:hAnsi="Arial" w:cs="Arial"/>
          <w:sz w:val="20"/>
        </w:rPr>
      </w:pPr>
      <w:r w:rsidRPr="0092230E">
        <w:rPr>
          <w:rFonts w:ascii="Arial" w:hAnsi="Arial" w:cs="Arial"/>
          <w:sz w:val="20"/>
        </w:rPr>
        <w:t xml:space="preserve">Section </w:t>
      </w:r>
      <w:r w:rsidR="00E755D3" w:rsidRPr="0092230E">
        <w:rPr>
          <w:rFonts w:ascii="Arial" w:hAnsi="Arial" w:cs="Arial"/>
          <w:sz w:val="20"/>
        </w:rPr>
        <w:t xml:space="preserve">8 </w:t>
      </w:r>
      <w:r w:rsidR="000E580E" w:rsidRPr="0092230E">
        <w:rPr>
          <w:rFonts w:ascii="Arial" w:hAnsi="Arial" w:cs="Arial"/>
          <w:sz w:val="20"/>
        </w:rPr>
        <w:t xml:space="preserve">sets out how to determine the </w:t>
      </w:r>
      <w:r w:rsidRPr="0092230E">
        <w:rPr>
          <w:rFonts w:ascii="Arial" w:hAnsi="Arial" w:cs="Arial"/>
          <w:sz w:val="20"/>
        </w:rPr>
        <w:t xml:space="preserve">‘declared related party factor’, </w:t>
      </w:r>
      <w:r w:rsidR="000E580E" w:rsidRPr="0092230E">
        <w:rPr>
          <w:rFonts w:ascii="Arial" w:hAnsi="Arial" w:cs="Arial"/>
          <w:sz w:val="20"/>
        </w:rPr>
        <w:t xml:space="preserve">of a declared related party </w:t>
      </w:r>
      <w:r w:rsidRPr="0092230E">
        <w:rPr>
          <w:rFonts w:ascii="Arial" w:hAnsi="Arial" w:cs="Arial"/>
          <w:sz w:val="20"/>
        </w:rPr>
        <w:t>in relation to a participating perso</w:t>
      </w:r>
      <w:r w:rsidR="000E580E" w:rsidRPr="0092230E">
        <w:rPr>
          <w:rFonts w:ascii="Arial" w:hAnsi="Arial" w:cs="Arial"/>
          <w:sz w:val="20"/>
        </w:rPr>
        <w:t>n or a</w:t>
      </w:r>
      <w:r w:rsidRPr="0092230E">
        <w:rPr>
          <w:rFonts w:ascii="Arial" w:hAnsi="Arial" w:cs="Arial"/>
          <w:sz w:val="20"/>
        </w:rPr>
        <w:t xml:space="preserve"> non-participating person. The declared related party factor is used to determine the proportion of </w:t>
      </w:r>
      <w:r w:rsidR="000E580E" w:rsidRPr="0092230E">
        <w:rPr>
          <w:rFonts w:ascii="Arial" w:hAnsi="Arial" w:cs="Arial"/>
          <w:sz w:val="20"/>
        </w:rPr>
        <w:t xml:space="preserve">a </w:t>
      </w:r>
      <w:r w:rsidRPr="0092230E">
        <w:rPr>
          <w:rFonts w:ascii="Arial" w:hAnsi="Arial" w:cs="Arial"/>
          <w:sz w:val="20"/>
        </w:rPr>
        <w:t xml:space="preserve">declared related party’s revenue </w:t>
      </w:r>
      <w:r w:rsidR="000E580E" w:rsidRPr="0092230E">
        <w:rPr>
          <w:rFonts w:ascii="Arial" w:hAnsi="Arial" w:cs="Arial"/>
          <w:sz w:val="20"/>
        </w:rPr>
        <w:t>(</w:t>
      </w:r>
      <w:r w:rsidRPr="0092230E">
        <w:rPr>
          <w:rFonts w:ascii="Arial" w:hAnsi="Arial" w:cs="Arial"/>
          <w:sz w:val="20"/>
        </w:rPr>
        <w:t xml:space="preserve">and </w:t>
      </w:r>
      <w:r w:rsidR="000E580E" w:rsidRPr="0092230E">
        <w:rPr>
          <w:rFonts w:ascii="Arial" w:hAnsi="Arial" w:cs="Arial"/>
          <w:sz w:val="20"/>
        </w:rPr>
        <w:t xml:space="preserve">the proportion of any applicable </w:t>
      </w:r>
      <w:r w:rsidRPr="0092230E">
        <w:rPr>
          <w:rFonts w:ascii="Arial" w:hAnsi="Arial" w:cs="Arial"/>
          <w:sz w:val="20"/>
        </w:rPr>
        <w:t>deductions</w:t>
      </w:r>
      <w:r w:rsidR="000E580E" w:rsidRPr="0092230E">
        <w:rPr>
          <w:rFonts w:ascii="Arial" w:hAnsi="Arial" w:cs="Arial"/>
          <w:sz w:val="20"/>
        </w:rPr>
        <w:t>)</w:t>
      </w:r>
      <w:r w:rsidRPr="0092230E">
        <w:rPr>
          <w:rFonts w:ascii="Arial" w:hAnsi="Arial" w:cs="Arial"/>
          <w:sz w:val="20"/>
        </w:rPr>
        <w:t xml:space="preserve"> that must be included</w:t>
      </w:r>
      <w:r w:rsidR="000E580E" w:rsidRPr="0092230E">
        <w:rPr>
          <w:rFonts w:ascii="Arial" w:hAnsi="Arial" w:cs="Arial"/>
          <w:sz w:val="20"/>
        </w:rPr>
        <w:t xml:space="preserve"> (or in the case of deductions, excluded)</w:t>
      </w:r>
      <w:r w:rsidRPr="0092230E">
        <w:rPr>
          <w:rFonts w:ascii="Arial" w:hAnsi="Arial" w:cs="Arial"/>
          <w:sz w:val="20"/>
        </w:rPr>
        <w:t xml:space="preserve"> in calculating </w:t>
      </w:r>
      <w:r w:rsidR="000E580E" w:rsidRPr="0092230E">
        <w:rPr>
          <w:rFonts w:ascii="Arial" w:hAnsi="Arial" w:cs="Arial"/>
          <w:sz w:val="20"/>
        </w:rPr>
        <w:t xml:space="preserve">the eligible revenue of the </w:t>
      </w:r>
      <w:r w:rsidRPr="0092230E">
        <w:rPr>
          <w:rFonts w:ascii="Arial" w:hAnsi="Arial" w:cs="Arial"/>
          <w:sz w:val="20"/>
        </w:rPr>
        <w:t>person</w:t>
      </w:r>
      <w:r w:rsidR="000C0DAF" w:rsidRPr="0092230E">
        <w:rPr>
          <w:rFonts w:ascii="Arial" w:hAnsi="Arial" w:cs="Arial"/>
          <w:sz w:val="20"/>
        </w:rPr>
        <w:t xml:space="preserve"> in relation</w:t>
      </w:r>
      <w:r w:rsidR="000E580E" w:rsidRPr="0092230E">
        <w:rPr>
          <w:rFonts w:ascii="Arial" w:hAnsi="Arial" w:cs="Arial"/>
          <w:sz w:val="20"/>
        </w:rPr>
        <w:t xml:space="preserve"> to whom the entity is a declared related party</w:t>
      </w:r>
      <w:r w:rsidR="00F411C9" w:rsidRPr="0092230E">
        <w:rPr>
          <w:rFonts w:ascii="Arial" w:hAnsi="Arial" w:cs="Arial"/>
          <w:sz w:val="20"/>
        </w:rPr>
        <w:t>. The formula</w:t>
      </w:r>
      <w:r w:rsidR="00E755D3" w:rsidRPr="0092230E">
        <w:rPr>
          <w:rFonts w:ascii="Arial" w:hAnsi="Arial" w:cs="Arial"/>
          <w:sz w:val="20"/>
        </w:rPr>
        <w:t>e</w:t>
      </w:r>
      <w:r w:rsidR="00F411C9" w:rsidRPr="0092230E">
        <w:rPr>
          <w:rFonts w:ascii="Arial" w:hAnsi="Arial" w:cs="Arial"/>
          <w:sz w:val="20"/>
        </w:rPr>
        <w:t xml:space="preserve"> to be used to calculate the declared related party factor </w:t>
      </w:r>
      <w:r w:rsidR="00E755D3" w:rsidRPr="0092230E">
        <w:rPr>
          <w:rFonts w:ascii="Arial" w:hAnsi="Arial" w:cs="Arial"/>
          <w:sz w:val="20"/>
        </w:rPr>
        <w:t>are</w:t>
      </w:r>
      <w:r w:rsidR="00F411C9" w:rsidRPr="0092230E">
        <w:rPr>
          <w:rFonts w:ascii="Arial" w:hAnsi="Arial" w:cs="Arial"/>
          <w:sz w:val="20"/>
        </w:rPr>
        <w:t>:</w:t>
      </w:r>
    </w:p>
    <w:p w14:paraId="0486ACA0" w14:textId="77777777" w:rsidR="00702C3D" w:rsidRPr="0092230E" w:rsidRDefault="00E755D3">
      <w:pPr>
        <w:pStyle w:val="ABABulletLevel1"/>
        <w:numPr>
          <w:ilvl w:val="0"/>
          <w:numId w:val="20"/>
        </w:numPr>
        <w:spacing w:after="120"/>
        <w:rPr>
          <w:rFonts w:ascii="Arial" w:hAnsi="Arial" w:cs="Arial"/>
          <w:sz w:val="20"/>
        </w:rPr>
      </w:pPr>
      <w:r w:rsidRPr="0092230E">
        <w:rPr>
          <w:rFonts w:ascii="Arial" w:hAnsi="Arial" w:cs="Arial"/>
          <w:sz w:val="20"/>
        </w:rPr>
        <w:t>p</w:t>
      </w:r>
      <w:r w:rsidR="00F411C9" w:rsidRPr="0092230E">
        <w:rPr>
          <w:rFonts w:ascii="Arial" w:hAnsi="Arial" w:cs="Arial"/>
          <w:sz w:val="20"/>
        </w:rPr>
        <w:t>articipating person</w:t>
      </w:r>
      <w:r w:rsidRPr="0092230E">
        <w:rPr>
          <w:rFonts w:ascii="Arial" w:hAnsi="Arial" w:cs="Arial"/>
          <w:sz w:val="20"/>
        </w:rPr>
        <w:t xml:space="preserve"> interest</w:t>
      </w:r>
      <w:r w:rsidR="00F411C9" w:rsidRPr="0092230E">
        <w:rPr>
          <w:rFonts w:ascii="Arial" w:hAnsi="Arial" w:cs="Arial"/>
          <w:sz w:val="20"/>
        </w:rPr>
        <w:t xml:space="preserve"> </w:t>
      </w:r>
      <w:r w:rsidR="006747D9" w:rsidRPr="0092230E">
        <w:rPr>
          <w:rFonts w:ascii="Arial" w:hAnsi="Arial" w:cs="Arial"/>
          <w:sz w:val="20"/>
        </w:rPr>
        <w:t xml:space="preserve">  </w:t>
      </w:r>
      <w:r w:rsidR="00F411C9" w:rsidRPr="0092230E">
        <w:rPr>
          <w:rFonts w:ascii="Arial" w:hAnsi="Arial" w:cs="Arial"/>
          <w:sz w:val="20"/>
        </w:rPr>
        <w:t>x</w:t>
      </w:r>
      <w:r w:rsidR="006747D9" w:rsidRPr="0092230E">
        <w:rPr>
          <w:rFonts w:ascii="Arial" w:hAnsi="Arial" w:cs="Arial"/>
          <w:sz w:val="20"/>
        </w:rPr>
        <w:t xml:space="preserve"> </w:t>
      </w:r>
      <w:r w:rsidR="00F411C9" w:rsidRPr="0092230E">
        <w:rPr>
          <w:rFonts w:ascii="Arial" w:hAnsi="Arial" w:cs="Arial"/>
          <w:sz w:val="20"/>
        </w:rPr>
        <w:t xml:space="preserve"> </w:t>
      </w:r>
      <w:r w:rsidR="006747D9" w:rsidRPr="0092230E">
        <w:rPr>
          <w:rFonts w:ascii="Arial" w:hAnsi="Arial" w:cs="Arial"/>
          <w:sz w:val="20"/>
        </w:rPr>
        <w:t xml:space="preserve"> </w:t>
      </w:r>
      <w:r w:rsidR="00F411C9" w:rsidRPr="0092230E">
        <w:rPr>
          <w:rFonts w:ascii="Arial" w:hAnsi="Arial" w:cs="Arial"/>
          <w:sz w:val="20"/>
        </w:rPr>
        <w:t>party interest</w:t>
      </w:r>
      <w:r w:rsidRPr="0092230E">
        <w:rPr>
          <w:rFonts w:ascii="Arial" w:hAnsi="Arial" w:cs="Arial"/>
          <w:sz w:val="20"/>
        </w:rPr>
        <w:t>; or</w:t>
      </w:r>
    </w:p>
    <w:p w14:paraId="3D991FC9" w14:textId="77777777" w:rsidR="00702C3D" w:rsidRPr="0092230E" w:rsidRDefault="00E755D3">
      <w:pPr>
        <w:pStyle w:val="ABABulletLevel1"/>
        <w:numPr>
          <w:ilvl w:val="0"/>
          <w:numId w:val="20"/>
        </w:numPr>
        <w:spacing w:after="120"/>
        <w:rPr>
          <w:rFonts w:ascii="Arial" w:hAnsi="Arial" w:cs="Arial"/>
          <w:sz w:val="20"/>
        </w:rPr>
      </w:pPr>
      <w:r w:rsidRPr="0092230E">
        <w:rPr>
          <w:rFonts w:ascii="Arial" w:hAnsi="Arial" w:cs="Arial"/>
          <w:sz w:val="20"/>
        </w:rPr>
        <w:t xml:space="preserve">non-participating person interest </w:t>
      </w:r>
      <w:r w:rsidR="006747D9" w:rsidRPr="0092230E">
        <w:rPr>
          <w:rFonts w:ascii="Arial" w:hAnsi="Arial" w:cs="Arial"/>
          <w:sz w:val="20"/>
        </w:rPr>
        <w:t xml:space="preserve">  </w:t>
      </w:r>
      <w:r w:rsidRPr="0092230E">
        <w:rPr>
          <w:rFonts w:ascii="Arial" w:hAnsi="Arial" w:cs="Arial"/>
          <w:sz w:val="20"/>
        </w:rPr>
        <w:t xml:space="preserve">x </w:t>
      </w:r>
      <w:r w:rsidR="006747D9" w:rsidRPr="0092230E">
        <w:rPr>
          <w:rFonts w:ascii="Arial" w:hAnsi="Arial" w:cs="Arial"/>
          <w:sz w:val="20"/>
        </w:rPr>
        <w:t xml:space="preserve">  </w:t>
      </w:r>
      <w:r w:rsidRPr="0092230E">
        <w:rPr>
          <w:rFonts w:ascii="Arial" w:hAnsi="Arial" w:cs="Arial"/>
          <w:sz w:val="20"/>
        </w:rPr>
        <w:t>party interest.</w:t>
      </w:r>
    </w:p>
    <w:p w14:paraId="36653B8F" w14:textId="77777777" w:rsidR="00F411C9" w:rsidRPr="0092230E" w:rsidRDefault="00F411C9" w:rsidP="00805DAC">
      <w:pPr>
        <w:pStyle w:val="ABABulletLevel1"/>
        <w:spacing w:after="120"/>
        <w:rPr>
          <w:rFonts w:ascii="Arial" w:hAnsi="Arial" w:cs="Arial"/>
          <w:sz w:val="20"/>
        </w:rPr>
      </w:pPr>
      <w:r w:rsidRPr="0092230E">
        <w:rPr>
          <w:rFonts w:ascii="Arial" w:hAnsi="Arial" w:cs="Arial"/>
          <w:sz w:val="20"/>
        </w:rPr>
        <w:t>The participating person</w:t>
      </w:r>
      <w:r w:rsidR="00E755D3" w:rsidRPr="0092230E">
        <w:rPr>
          <w:rFonts w:ascii="Arial" w:hAnsi="Arial" w:cs="Arial"/>
          <w:sz w:val="20"/>
        </w:rPr>
        <w:t xml:space="preserve"> interest</w:t>
      </w:r>
      <w:r w:rsidRPr="0092230E">
        <w:rPr>
          <w:rFonts w:ascii="Arial" w:hAnsi="Arial" w:cs="Arial"/>
          <w:sz w:val="20"/>
        </w:rPr>
        <w:t xml:space="preserve"> or non-</w:t>
      </w:r>
      <w:r w:rsidR="00D4160A" w:rsidRPr="0092230E">
        <w:rPr>
          <w:rFonts w:ascii="Arial" w:hAnsi="Arial" w:cs="Arial"/>
          <w:sz w:val="20"/>
        </w:rPr>
        <w:t>participating</w:t>
      </w:r>
      <w:r w:rsidRPr="0092230E">
        <w:rPr>
          <w:rFonts w:ascii="Arial" w:hAnsi="Arial" w:cs="Arial"/>
          <w:sz w:val="20"/>
        </w:rPr>
        <w:t xml:space="preserve"> person interest is the proportion of the participating or non-participating person that is owned by the same body that owns the declared related party of the participating or non-participating person, as the case may be. </w:t>
      </w:r>
    </w:p>
    <w:p w14:paraId="64AAB91C" w14:textId="77777777" w:rsidR="00F411C9" w:rsidRPr="0092230E" w:rsidRDefault="00F411C9" w:rsidP="00805DAC">
      <w:pPr>
        <w:pStyle w:val="ABABulletLevel1"/>
        <w:spacing w:after="120"/>
        <w:rPr>
          <w:rFonts w:ascii="Arial" w:hAnsi="Arial" w:cs="Arial"/>
          <w:sz w:val="20"/>
        </w:rPr>
      </w:pPr>
      <w:r w:rsidRPr="0092230E">
        <w:rPr>
          <w:rFonts w:ascii="Arial" w:hAnsi="Arial" w:cs="Arial"/>
          <w:sz w:val="20"/>
        </w:rPr>
        <w:t xml:space="preserve">The ‘party interest’ is the proportion of the declared related party that is owned by the same body that owns the participating person or non-participating person. </w:t>
      </w:r>
    </w:p>
    <w:p w14:paraId="7A7CAC4E" w14:textId="77777777" w:rsidR="007262D6" w:rsidRDefault="007262D6" w:rsidP="00805DAC">
      <w:pPr>
        <w:pStyle w:val="ABABulletLevel1"/>
        <w:spacing w:after="120"/>
        <w:rPr>
          <w:rFonts w:ascii="Arial" w:hAnsi="Arial" w:cs="Arial"/>
          <w:sz w:val="20"/>
        </w:rPr>
      </w:pPr>
    </w:p>
    <w:p w14:paraId="048C510D" w14:textId="77777777" w:rsidR="00F411C9" w:rsidRPr="0092230E" w:rsidRDefault="00F411C9" w:rsidP="00805DAC">
      <w:pPr>
        <w:pStyle w:val="ABABulletLevel1"/>
        <w:spacing w:after="120"/>
        <w:rPr>
          <w:rFonts w:ascii="Arial" w:hAnsi="Arial" w:cs="Arial"/>
          <w:sz w:val="20"/>
        </w:rPr>
      </w:pPr>
      <w:r w:rsidRPr="0092230E">
        <w:rPr>
          <w:rFonts w:ascii="Arial" w:hAnsi="Arial" w:cs="Arial"/>
          <w:sz w:val="20"/>
        </w:rPr>
        <w:lastRenderedPageBreak/>
        <w:t xml:space="preserve">The following examples illustrate how the </w:t>
      </w:r>
      <w:r w:rsidR="00BC24CA" w:rsidRPr="0092230E">
        <w:rPr>
          <w:rFonts w:ascii="Arial" w:hAnsi="Arial" w:cs="Arial"/>
          <w:sz w:val="20"/>
        </w:rPr>
        <w:t>declared related party factor is determined</w:t>
      </w:r>
      <w:r w:rsidRPr="0092230E">
        <w:rPr>
          <w:rFonts w:ascii="Arial" w:hAnsi="Arial" w:cs="Arial"/>
          <w:sz w:val="20"/>
        </w:rPr>
        <w:t>:</w:t>
      </w:r>
    </w:p>
    <w:p w14:paraId="160E0617" w14:textId="77777777" w:rsidR="003C4F7A" w:rsidRPr="0092230E" w:rsidRDefault="00476373" w:rsidP="00F411C9">
      <w:pPr>
        <w:pStyle w:val="ABABulletLevel1"/>
        <w:spacing w:after="120"/>
        <w:rPr>
          <w:rFonts w:ascii="Arial" w:hAnsi="Arial" w:cs="Arial"/>
          <w:sz w:val="20"/>
        </w:rPr>
      </w:pPr>
      <w:r w:rsidRPr="0092230E">
        <w:rPr>
          <w:rFonts w:ascii="Arial" w:hAnsi="Arial" w:cs="Arial"/>
          <w:i/>
          <w:sz w:val="20"/>
        </w:rPr>
        <w:t>Example 1</w:t>
      </w:r>
      <w:r w:rsidR="00F411C9" w:rsidRPr="0092230E">
        <w:rPr>
          <w:rFonts w:ascii="Arial" w:hAnsi="Arial" w:cs="Arial"/>
          <w:sz w:val="20"/>
        </w:rPr>
        <w:t>:</w:t>
      </w:r>
      <w:r w:rsidR="00DA4BE9" w:rsidRPr="0092230E">
        <w:rPr>
          <w:rFonts w:ascii="Arial" w:hAnsi="Arial" w:cs="Arial"/>
          <w:sz w:val="20"/>
        </w:rPr>
        <w:t xml:space="preserve"> </w:t>
      </w:r>
      <w:r w:rsidR="003C4F7A" w:rsidRPr="0092230E">
        <w:rPr>
          <w:rFonts w:ascii="Arial" w:hAnsi="Arial" w:cs="Arial"/>
          <w:sz w:val="20"/>
        </w:rPr>
        <w:t xml:space="preserve">Entity A wholly (100 per cent) owns </w:t>
      </w:r>
      <w:r w:rsidR="00EB7F8B" w:rsidRPr="0092230E">
        <w:rPr>
          <w:rFonts w:ascii="Arial" w:hAnsi="Arial" w:cs="Arial"/>
          <w:sz w:val="20"/>
        </w:rPr>
        <w:t>E</w:t>
      </w:r>
      <w:r w:rsidR="003C4F7A" w:rsidRPr="0092230E">
        <w:rPr>
          <w:rFonts w:ascii="Arial" w:hAnsi="Arial" w:cs="Arial"/>
          <w:sz w:val="20"/>
        </w:rPr>
        <w:t>ntity B</w:t>
      </w:r>
      <w:r w:rsidR="0058708A" w:rsidRPr="0092230E">
        <w:rPr>
          <w:rFonts w:ascii="Arial" w:hAnsi="Arial" w:cs="Arial"/>
          <w:sz w:val="20"/>
        </w:rPr>
        <w:t xml:space="preserve">, which is a participating person, and </w:t>
      </w:r>
      <w:r w:rsidR="00EB7F8B" w:rsidRPr="0092230E">
        <w:rPr>
          <w:rFonts w:ascii="Arial" w:hAnsi="Arial" w:cs="Arial"/>
          <w:sz w:val="20"/>
        </w:rPr>
        <w:t>E</w:t>
      </w:r>
      <w:r w:rsidR="0058708A" w:rsidRPr="0092230E">
        <w:rPr>
          <w:rFonts w:ascii="Arial" w:hAnsi="Arial" w:cs="Arial"/>
          <w:sz w:val="20"/>
        </w:rPr>
        <w:t xml:space="preserve">ntity A also owns half (50 per cent) of </w:t>
      </w:r>
      <w:r w:rsidR="00EB7F8B" w:rsidRPr="0092230E">
        <w:rPr>
          <w:rFonts w:ascii="Arial" w:hAnsi="Arial" w:cs="Arial"/>
          <w:sz w:val="20"/>
        </w:rPr>
        <w:t>E</w:t>
      </w:r>
      <w:r w:rsidR="0058708A" w:rsidRPr="0092230E">
        <w:rPr>
          <w:rFonts w:ascii="Arial" w:hAnsi="Arial" w:cs="Arial"/>
          <w:sz w:val="20"/>
        </w:rPr>
        <w:t>ntity C. Entity C</w:t>
      </w:r>
      <w:r w:rsidR="00BC24CA" w:rsidRPr="0092230E">
        <w:rPr>
          <w:rFonts w:ascii="Arial" w:hAnsi="Arial" w:cs="Arial"/>
          <w:sz w:val="20"/>
        </w:rPr>
        <w:t xml:space="preserve"> (under subsection 6(1))</w:t>
      </w:r>
      <w:r w:rsidR="0058708A" w:rsidRPr="0092230E">
        <w:rPr>
          <w:rFonts w:ascii="Arial" w:hAnsi="Arial" w:cs="Arial"/>
          <w:sz w:val="20"/>
        </w:rPr>
        <w:t xml:space="preserve"> is a declared related party of </w:t>
      </w:r>
      <w:r w:rsidR="00EB7F8B" w:rsidRPr="0092230E">
        <w:rPr>
          <w:rFonts w:ascii="Arial" w:hAnsi="Arial" w:cs="Arial"/>
          <w:sz w:val="20"/>
        </w:rPr>
        <w:t>E</w:t>
      </w:r>
      <w:r w:rsidR="0058708A" w:rsidRPr="0092230E">
        <w:rPr>
          <w:rFonts w:ascii="Arial" w:hAnsi="Arial" w:cs="Arial"/>
          <w:sz w:val="20"/>
        </w:rPr>
        <w:t>ntity B, the participating person</w:t>
      </w:r>
      <w:r w:rsidR="00E13D3A" w:rsidRPr="0092230E">
        <w:rPr>
          <w:rFonts w:ascii="Arial" w:hAnsi="Arial" w:cs="Arial"/>
          <w:sz w:val="20"/>
        </w:rPr>
        <w:t>,</w:t>
      </w:r>
      <w:r w:rsidR="00BC24CA" w:rsidRPr="0092230E">
        <w:rPr>
          <w:rFonts w:ascii="Arial" w:hAnsi="Arial" w:cs="Arial"/>
          <w:sz w:val="20"/>
        </w:rPr>
        <w:t xml:space="preserve"> for the whole of the eligible revenue period</w:t>
      </w:r>
      <w:r w:rsidR="0058708A" w:rsidRPr="0092230E">
        <w:rPr>
          <w:rFonts w:ascii="Arial" w:hAnsi="Arial" w:cs="Arial"/>
          <w:sz w:val="20"/>
        </w:rPr>
        <w:t>. The declared related party factor is 50 per cent, being 100 per cent x 50 per cent = 50 per cent.</w:t>
      </w:r>
    </w:p>
    <w:p w14:paraId="330C53D5" w14:textId="77777777" w:rsidR="00E13D3A" w:rsidRPr="0092230E" w:rsidRDefault="00476373" w:rsidP="00DA4BE9">
      <w:pPr>
        <w:pStyle w:val="ABABulletLevel1"/>
        <w:spacing w:after="120"/>
        <w:rPr>
          <w:rFonts w:ascii="Arial" w:hAnsi="Arial" w:cs="Arial"/>
          <w:sz w:val="20"/>
        </w:rPr>
      </w:pPr>
      <w:r w:rsidRPr="0092230E">
        <w:rPr>
          <w:rFonts w:ascii="Arial" w:hAnsi="Arial" w:cs="Arial"/>
          <w:i/>
          <w:sz w:val="20"/>
        </w:rPr>
        <w:t>Example 2</w:t>
      </w:r>
      <w:r w:rsidR="00BC24CA" w:rsidRPr="0092230E">
        <w:rPr>
          <w:rFonts w:ascii="Arial" w:hAnsi="Arial" w:cs="Arial"/>
          <w:sz w:val="20"/>
        </w:rPr>
        <w:t>:</w:t>
      </w:r>
      <w:r w:rsidR="00DA4BE9" w:rsidRPr="0092230E">
        <w:rPr>
          <w:rFonts w:ascii="Arial" w:hAnsi="Arial" w:cs="Arial"/>
          <w:sz w:val="20"/>
        </w:rPr>
        <w:t xml:space="preserve"> Entity </w:t>
      </w:r>
      <w:r w:rsidR="005357CA" w:rsidRPr="0092230E">
        <w:rPr>
          <w:rFonts w:ascii="Arial" w:hAnsi="Arial" w:cs="Arial"/>
          <w:sz w:val="20"/>
        </w:rPr>
        <w:t>A</w:t>
      </w:r>
      <w:r w:rsidR="00DA4BE9" w:rsidRPr="0092230E">
        <w:rPr>
          <w:rFonts w:ascii="Arial" w:hAnsi="Arial" w:cs="Arial"/>
          <w:sz w:val="20"/>
        </w:rPr>
        <w:t xml:space="preserve"> wholly (100 per cent) owns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B</w:t>
      </w:r>
      <w:r w:rsidR="00DA4BE9" w:rsidRPr="0092230E">
        <w:rPr>
          <w:rFonts w:ascii="Arial" w:hAnsi="Arial" w:cs="Arial"/>
          <w:sz w:val="20"/>
        </w:rPr>
        <w:t xml:space="preserve"> (a carrier) and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A</w:t>
      </w:r>
      <w:r w:rsidR="00DA4BE9" w:rsidRPr="0092230E">
        <w:rPr>
          <w:rFonts w:ascii="Arial" w:hAnsi="Arial" w:cs="Arial"/>
          <w:sz w:val="20"/>
        </w:rPr>
        <w:t xml:space="preserve"> also owns half (50 per cent) of </w:t>
      </w:r>
      <w:r w:rsidR="00EB7F8B" w:rsidRPr="0092230E">
        <w:rPr>
          <w:rFonts w:ascii="Arial" w:hAnsi="Arial" w:cs="Arial"/>
          <w:sz w:val="20"/>
        </w:rPr>
        <w:t>E</w:t>
      </w:r>
      <w:r w:rsidR="00DA4BE9" w:rsidRPr="0092230E">
        <w:rPr>
          <w:rFonts w:ascii="Arial" w:hAnsi="Arial" w:cs="Arial"/>
          <w:sz w:val="20"/>
        </w:rPr>
        <w:t xml:space="preserve">ntity </w:t>
      </w:r>
      <w:r w:rsidR="005357CA" w:rsidRPr="0092230E">
        <w:rPr>
          <w:rFonts w:ascii="Arial" w:hAnsi="Arial" w:cs="Arial"/>
          <w:sz w:val="20"/>
        </w:rPr>
        <w:t>C</w:t>
      </w:r>
      <w:r w:rsidR="00DA4BE9" w:rsidRPr="0092230E">
        <w:rPr>
          <w:rFonts w:ascii="Arial" w:hAnsi="Arial" w:cs="Arial"/>
          <w:sz w:val="20"/>
        </w:rPr>
        <w:t xml:space="preserve">. Together entities </w:t>
      </w:r>
      <w:r w:rsidR="005357CA" w:rsidRPr="0092230E">
        <w:rPr>
          <w:rFonts w:ascii="Arial" w:hAnsi="Arial" w:cs="Arial"/>
          <w:sz w:val="20"/>
        </w:rPr>
        <w:t>A</w:t>
      </w:r>
      <w:r w:rsidR="00DA4BE9" w:rsidRPr="0092230E">
        <w:rPr>
          <w:rFonts w:ascii="Arial" w:hAnsi="Arial" w:cs="Arial"/>
          <w:sz w:val="20"/>
        </w:rPr>
        <w:t xml:space="preserve"> and </w:t>
      </w:r>
      <w:r w:rsidR="005357CA" w:rsidRPr="0092230E">
        <w:rPr>
          <w:rFonts w:ascii="Arial" w:hAnsi="Arial" w:cs="Arial"/>
          <w:sz w:val="20"/>
        </w:rPr>
        <w:t>B</w:t>
      </w:r>
      <w:r w:rsidR="00DA4BE9" w:rsidRPr="0092230E">
        <w:rPr>
          <w:rFonts w:ascii="Arial" w:hAnsi="Arial" w:cs="Arial"/>
          <w:sz w:val="20"/>
        </w:rPr>
        <w:t xml:space="preserve"> earned $20 million </w:t>
      </w:r>
      <w:r w:rsidR="005B23B2" w:rsidRPr="0092230E">
        <w:rPr>
          <w:rFonts w:ascii="Arial" w:hAnsi="Arial" w:cs="Arial"/>
          <w:sz w:val="20"/>
        </w:rPr>
        <w:t xml:space="preserve">eligible revenue </w:t>
      </w:r>
      <w:r w:rsidR="00DA4BE9" w:rsidRPr="0092230E">
        <w:rPr>
          <w:rFonts w:ascii="Arial" w:hAnsi="Arial" w:cs="Arial"/>
          <w:sz w:val="20"/>
        </w:rPr>
        <w:t xml:space="preserve">during the </w:t>
      </w:r>
      <w:r w:rsidR="00E13D3A" w:rsidRPr="0092230E">
        <w:rPr>
          <w:rFonts w:ascii="Arial" w:hAnsi="Arial" w:cs="Arial"/>
          <w:sz w:val="20"/>
        </w:rPr>
        <w:t xml:space="preserve">relevant </w:t>
      </w:r>
      <w:r w:rsidR="00DA4BE9" w:rsidRPr="0092230E">
        <w:rPr>
          <w:rFonts w:ascii="Arial" w:hAnsi="Arial" w:cs="Arial"/>
          <w:sz w:val="20"/>
        </w:rPr>
        <w:t>eligible revenue period</w:t>
      </w:r>
      <w:r w:rsidR="00BC24CA" w:rsidRPr="0092230E">
        <w:rPr>
          <w:rFonts w:ascii="Arial" w:hAnsi="Arial" w:cs="Arial"/>
          <w:sz w:val="20"/>
        </w:rPr>
        <w:t>.</w:t>
      </w:r>
      <w:r w:rsidR="00DA4BE9" w:rsidRPr="0092230E">
        <w:rPr>
          <w:rFonts w:ascii="Arial" w:hAnsi="Arial" w:cs="Arial"/>
          <w:sz w:val="20"/>
        </w:rPr>
        <w:t xml:space="preserve"> Entity </w:t>
      </w:r>
      <w:r w:rsidR="005357CA" w:rsidRPr="0092230E">
        <w:rPr>
          <w:rFonts w:ascii="Arial" w:hAnsi="Arial" w:cs="Arial"/>
          <w:sz w:val="20"/>
        </w:rPr>
        <w:t>C</w:t>
      </w:r>
      <w:r w:rsidR="00DA4BE9" w:rsidRPr="0092230E">
        <w:rPr>
          <w:rFonts w:ascii="Arial" w:hAnsi="Arial" w:cs="Arial"/>
          <w:sz w:val="20"/>
        </w:rPr>
        <w:t xml:space="preserve"> earned $</w:t>
      </w:r>
      <w:r w:rsidR="005357CA" w:rsidRPr="0092230E">
        <w:rPr>
          <w:rFonts w:ascii="Arial" w:hAnsi="Arial" w:cs="Arial"/>
          <w:sz w:val="20"/>
        </w:rPr>
        <w:t>12</w:t>
      </w:r>
      <w:r w:rsidR="00DA4BE9" w:rsidRPr="0092230E">
        <w:rPr>
          <w:rFonts w:ascii="Arial" w:hAnsi="Arial" w:cs="Arial"/>
          <w:sz w:val="20"/>
        </w:rPr>
        <w:t xml:space="preserve"> million in telecommunications sales revenue </w:t>
      </w:r>
      <w:r w:rsidR="00E13D3A" w:rsidRPr="0092230E">
        <w:rPr>
          <w:rFonts w:ascii="Arial" w:hAnsi="Arial" w:cs="Arial"/>
          <w:sz w:val="20"/>
        </w:rPr>
        <w:t>in the same period</w:t>
      </w:r>
      <w:r w:rsidR="00DA4BE9" w:rsidRPr="0092230E">
        <w:rPr>
          <w:rFonts w:ascii="Arial" w:hAnsi="Arial" w:cs="Arial"/>
          <w:sz w:val="20"/>
        </w:rPr>
        <w:t>, is not a participating person, nor a consolidated related party of a participating person.</w:t>
      </w:r>
      <w:r w:rsidR="005B23B2" w:rsidRPr="0092230E">
        <w:rPr>
          <w:rFonts w:ascii="Arial" w:hAnsi="Arial" w:cs="Arial"/>
          <w:sz w:val="20"/>
        </w:rPr>
        <w:t xml:space="preserve"> </w:t>
      </w:r>
      <w:r w:rsidR="00E13D3A" w:rsidRPr="0092230E">
        <w:rPr>
          <w:rFonts w:ascii="Arial" w:hAnsi="Arial" w:cs="Arial"/>
          <w:sz w:val="20"/>
        </w:rPr>
        <w:t>Entity C is a declared related party of Entity B.</w:t>
      </w:r>
    </w:p>
    <w:p w14:paraId="7AF8E40C" w14:textId="77777777" w:rsidR="00E13D3A" w:rsidRPr="0092230E" w:rsidRDefault="00E13D3A" w:rsidP="00DA4BE9">
      <w:pPr>
        <w:pStyle w:val="ABABulletLevel1"/>
        <w:spacing w:after="120"/>
        <w:rPr>
          <w:rFonts w:ascii="Arial" w:hAnsi="Arial" w:cs="Arial"/>
          <w:sz w:val="20"/>
        </w:rPr>
      </w:pPr>
      <w:r w:rsidRPr="0092230E">
        <w:rPr>
          <w:rFonts w:ascii="Arial" w:hAnsi="Arial" w:cs="Arial"/>
          <w:sz w:val="20"/>
        </w:rPr>
        <w:t>The declared related party factor is 50 per cent, being 100 per cent x 50 per cent = 50 per cent. Therefore, 50 per cent of the telecommunications sales revenue of Entity C ($</w:t>
      </w:r>
      <w:r w:rsidR="00C50394" w:rsidRPr="0092230E">
        <w:rPr>
          <w:rFonts w:ascii="Arial" w:hAnsi="Arial" w:cs="Arial"/>
          <w:sz w:val="20"/>
        </w:rPr>
        <w:t xml:space="preserve">6 million) is the proportion of revenue to be included in Entity B’s calculations. </w:t>
      </w:r>
    </w:p>
    <w:p w14:paraId="3951A01D" w14:textId="13985BEA" w:rsidR="00835C74" w:rsidRPr="0092230E" w:rsidRDefault="007F1628" w:rsidP="00835C74">
      <w:pPr>
        <w:pStyle w:val="ABABulletLevel1"/>
        <w:spacing w:after="120"/>
        <w:rPr>
          <w:rFonts w:ascii="Arial" w:hAnsi="Arial" w:cs="Arial"/>
          <w:sz w:val="20"/>
        </w:rPr>
      </w:pPr>
      <w:r w:rsidRPr="0092230E">
        <w:rPr>
          <w:rFonts w:ascii="Arial" w:hAnsi="Arial" w:cs="Arial"/>
          <w:sz w:val="20"/>
        </w:rPr>
        <w:t>The declared related party factor is referred to through</w:t>
      </w:r>
      <w:r w:rsidR="004A7310" w:rsidRPr="0092230E">
        <w:rPr>
          <w:rFonts w:ascii="Arial" w:hAnsi="Arial" w:cs="Arial"/>
          <w:sz w:val="20"/>
        </w:rPr>
        <w:t>out</w:t>
      </w:r>
      <w:r w:rsidRPr="0092230E">
        <w:rPr>
          <w:rFonts w:ascii="Arial" w:hAnsi="Arial" w:cs="Arial"/>
          <w:sz w:val="20"/>
        </w:rPr>
        <w:t xml:space="preserve"> the Determination </w:t>
      </w:r>
      <w:r w:rsidR="00D73FBC">
        <w:rPr>
          <w:rFonts w:ascii="Arial" w:hAnsi="Arial" w:cs="Arial"/>
          <w:sz w:val="20"/>
        </w:rPr>
        <w:t>so</w:t>
      </w:r>
      <w:r w:rsidRPr="0092230E">
        <w:rPr>
          <w:rFonts w:ascii="Arial" w:hAnsi="Arial" w:cs="Arial"/>
          <w:sz w:val="20"/>
        </w:rPr>
        <w:t xml:space="preserve"> that only a</w:t>
      </w:r>
      <w:r w:rsidR="00DA1DC5">
        <w:rPr>
          <w:rFonts w:ascii="Arial" w:hAnsi="Arial" w:cs="Arial"/>
          <w:sz w:val="20"/>
        </w:rPr>
        <w:t>n</w:t>
      </w:r>
      <w:r w:rsidRPr="0092230E">
        <w:rPr>
          <w:rFonts w:ascii="Arial" w:hAnsi="Arial" w:cs="Arial"/>
          <w:sz w:val="20"/>
        </w:rPr>
        <w:t xml:space="preserve"> </w:t>
      </w:r>
      <w:r w:rsidR="00DA1DC5">
        <w:rPr>
          <w:rFonts w:ascii="Arial" w:hAnsi="Arial" w:cs="Arial"/>
          <w:sz w:val="20"/>
        </w:rPr>
        <w:t>appropriate</w:t>
      </w:r>
      <w:r w:rsidR="00DA1DC5" w:rsidRPr="0092230E">
        <w:rPr>
          <w:rFonts w:ascii="Arial" w:hAnsi="Arial" w:cs="Arial"/>
          <w:sz w:val="20"/>
        </w:rPr>
        <w:t xml:space="preserve"> </w:t>
      </w:r>
      <w:r w:rsidRPr="0092230E">
        <w:rPr>
          <w:rFonts w:ascii="Arial" w:hAnsi="Arial" w:cs="Arial"/>
          <w:sz w:val="20"/>
        </w:rPr>
        <w:t xml:space="preserve">portion of the declared related </w:t>
      </w:r>
      <w:r w:rsidR="009C6E72" w:rsidRPr="0092230E">
        <w:rPr>
          <w:rFonts w:ascii="Arial" w:hAnsi="Arial" w:cs="Arial"/>
          <w:sz w:val="20"/>
        </w:rPr>
        <w:t>party’s revenue</w:t>
      </w:r>
      <w:r w:rsidR="004A7310" w:rsidRPr="0092230E">
        <w:rPr>
          <w:rFonts w:ascii="Arial" w:hAnsi="Arial" w:cs="Arial"/>
          <w:sz w:val="20"/>
        </w:rPr>
        <w:t xml:space="preserve"> (and any applicable deductions)</w:t>
      </w:r>
      <w:r w:rsidR="009C6E72" w:rsidRPr="0092230E">
        <w:rPr>
          <w:rFonts w:ascii="Arial" w:hAnsi="Arial" w:cs="Arial"/>
          <w:sz w:val="20"/>
        </w:rPr>
        <w:t xml:space="preserve"> </w:t>
      </w:r>
      <w:r w:rsidR="006440F6">
        <w:rPr>
          <w:rFonts w:ascii="Arial" w:hAnsi="Arial" w:cs="Arial"/>
          <w:sz w:val="20"/>
        </w:rPr>
        <w:t>is</w:t>
      </w:r>
      <w:r w:rsidRPr="0092230E">
        <w:rPr>
          <w:rFonts w:ascii="Arial" w:hAnsi="Arial" w:cs="Arial"/>
          <w:sz w:val="20"/>
        </w:rPr>
        <w:t xml:space="preserve"> included</w:t>
      </w:r>
      <w:r w:rsidR="009C6E72" w:rsidRPr="0092230E">
        <w:rPr>
          <w:rFonts w:ascii="Arial" w:hAnsi="Arial" w:cs="Arial"/>
          <w:sz w:val="20"/>
        </w:rPr>
        <w:t xml:space="preserve"> </w:t>
      </w:r>
      <w:r w:rsidRPr="0092230E">
        <w:rPr>
          <w:rFonts w:ascii="Arial" w:hAnsi="Arial" w:cs="Arial"/>
          <w:sz w:val="20"/>
        </w:rPr>
        <w:t>in the calculation of the participating person’s eligible revenue.</w:t>
      </w:r>
    </w:p>
    <w:p w14:paraId="0B7846D7" w14:textId="77777777" w:rsidR="00DA4BE9" w:rsidRPr="0092230E" w:rsidRDefault="00DA4BE9" w:rsidP="00835C74">
      <w:pPr>
        <w:pStyle w:val="ABABulletLevel1"/>
        <w:spacing w:after="120"/>
        <w:rPr>
          <w:rFonts w:ascii="Arial" w:hAnsi="Arial" w:cs="Arial"/>
          <w:sz w:val="20"/>
        </w:rPr>
      </w:pPr>
      <w:r w:rsidRPr="0092230E">
        <w:rPr>
          <w:rFonts w:ascii="Arial" w:hAnsi="Arial" w:cs="Arial"/>
          <w:sz w:val="20"/>
        </w:rPr>
        <w:t>In the above example</w:t>
      </w:r>
      <w:r w:rsidR="005357CA" w:rsidRPr="0092230E">
        <w:rPr>
          <w:rFonts w:ascii="Arial" w:hAnsi="Arial" w:cs="Arial"/>
          <w:sz w:val="20"/>
        </w:rPr>
        <w:t>s</w:t>
      </w:r>
      <w:r w:rsidR="00AE115D" w:rsidRPr="0092230E">
        <w:rPr>
          <w:rFonts w:ascii="Arial" w:hAnsi="Arial" w:cs="Arial"/>
          <w:sz w:val="20"/>
        </w:rPr>
        <w:t xml:space="preserve">, </w:t>
      </w:r>
      <w:r w:rsidR="005357CA" w:rsidRPr="0092230E">
        <w:rPr>
          <w:rFonts w:ascii="Arial" w:hAnsi="Arial" w:cs="Arial"/>
          <w:sz w:val="20"/>
        </w:rPr>
        <w:t>to work out the eligible revenue of the participating person:</w:t>
      </w:r>
    </w:p>
    <w:p w14:paraId="20425277" w14:textId="570AEAC9" w:rsidR="005357CA" w:rsidRPr="0092230E"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100 per cent of the revenue and deductions of the participating person, </w:t>
      </w:r>
      <w:r w:rsidR="00EB7F8B" w:rsidRPr="0092230E">
        <w:rPr>
          <w:rFonts w:ascii="Arial" w:hAnsi="Arial" w:cs="Arial"/>
          <w:sz w:val="20"/>
        </w:rPr>
        <w:t>E</w:t>
      </w:r>
      <w:r w:rsidRPr="0092230E">
        <w:rPr>
          <w:rFonts w:ascii="Arial" w:hAnsi="Arial" w:cs="Arial"/>
          <w:sz w:val="20"/>
        </w:rPr>
        <w:t xml:space="preserve">ntity B, </w:t>
      </w:r>
      <w:r w:rsidR="00842984">
        <w:rPr>
          <w:rFonts w:ascii="Arial" w:hAnsi="Arial" w:cs="Arial"/>
          <w:sz w:val="20"/>
        </w:rPr>
        <w:t>are</w:t>
      </w:r>
      <w:r w:rsidR="00842984" w:rsidRPr="0092230E">
        <w:rPr>
          <w:rFonts w:ascii="Arial" w:hAnsi="Arial" w:cs="Arial"/>
          <w:sz w:val="20"/>
        </w:rPr>
        <w:t xml:space="preserve"> </w:t>
      </w:r>
      <w:r w:rsidRPr="0092230E">
        <w:rPr>
          <w:rFonts w:ascii="Arial" w:hAnsi="Arial" w:cs="Arial"/>
          <w:sz w:val="20"/>
        </w:rPr>
        <w:t>included;</w:t>
      </w:r>
    </w:p>
    <w:p w14:paraId="2B626717" w14:textId="58DE057F" w:rsidR="005357CA" w:rsidRPr="0092230E"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100 per cent of the revenue and deductions of any consolidated related parties of </w:t>
      </w:r>
      <w:r w:rsidR="00EB7F8B" w:rsidRPr="0092230E">
        <w:rPr>
          <w:rFonts w:ascii="Arial" w:hAnsi="Arial" w:cs="Arial"/>
          <w:sz w:val="20"/>
        </w:rPr>
        <w:t>E</w:t>
      </w:r>
      <w:r w:rsidRPr="0092230E">
        <w:rPr>
          <w:rFonts w:ascii="Arial" w:hAnsi="Arial" w:cs="Arial"/>
          <w:sz w:val="20"/>
        </w:rPr>
        <w:t xml:space="preserve">ntity B </w:t>
      </w:r>
      <w:r w:rsidR="00B0423B">
        <w:rPr>
          <w:rFonts w:ascii="Arial" w:hAnsi="Arial" w:cs="Arial"/>
          <w:sz w:val="20"/>
        </w:rPr>
        <w:t>are</w:t>
      </w:r>
      <w:r w:rsidR="00B0423B" w:rsidRPr="0092230E">
        <w:rPr>
          <w:rFonts w:ascii="Arial" w:hAnsi="Arial" w:cs="Arial"/>
          <w:sz w:val="20"/>
        </w:rPr>
        <w:t xml:space="preserve"> </w:t>
      </w:r>
      <w:r w:rsidRPr="0092230E">
        <w:rPr>
          <w:rFonts w:ascii="Arial" w:hAnsi="Arial" w:cs="Arial"/>
          <w:sz w:val="20"/>
        </w:rPr>
        <w:t>included; and</w:t>
      </w:r>
    </w:p>
    <w:p w14:paraId="7919983F" w14:textId="5885C93A" w:rsidR="009C6E72" w:rsidRPr="0092230E" w:rsidRDefault="005357CA" w:rsidP="005357CA">
      <w:pPr>
        <w:pStyle w:val="ABABulletLevel1"/>
        <w:numPr>
          <w:ilvl w:val="0"/>
          <w:numId w:val="11"/>
        </w:numPr>
        <w:spacing w:after="120"/>
        <w:rPr>
          <w:rFonts w:ascii="Arial" w:hAnsi="Arial" w:cs="Arial"/>
          <w:sz w:val="20"/>
        </w:rPr>
      </w:pPr>
      <w:r w:rsidRPr="0092230E">
        <w:rPr>
          <w:rFonts w:ascii="Arial" w:hAnsi="Arial" w:cs="Arial"/>
          <w:sz w:val="20"/>
        </w:rPr>
        <w:t xml:space="preserve">50 per cent of the revenue and deductions of the declared related party, </w:t>
      </w:r>
      <w:r w:rsidR="00EB7F8B" w:rsidRPr="0092230E">
        <w:rPr>
          <w:rFonts w:ascii="Arial" w:hAnsi="Arial" w:cs="Arial"/>
          <w:sz w:val="20"/>
        </w:rPr>
        <w:t>E</w:t>
      </w:r>
      <w:r w:rsidRPr="0092230E">
        <w:rPr>
          <w:rFonts w:ascii="Arial" w:hAnsi="Arial" w:cs="Arial"/>
          <w:sz w:val="20"/>
        </w:rPr>
        <w:t xml:space="preserve">ntity C, </w:t>
      </w:r>
      <w:r w:rsidR="004E4886">
        <w:rPr>
          <w:rFonts w:ascii="Arial" w:hAnsi="Arial" w:cs="Arial"/>
          <w:sz w:val="20"/>
        </w:rPr>
        <w:t>are</w:t>
      </w:r>
      <w:r w:rsidR="004E4886" w:rsidRPr="0092230E">
        <w:rPr>
          <w:rFonts w:ascii="Arial" w:hAnsi="Arial" w:cs="Arial"/>
          <w:sz w:val="20"/>
        </w:rPr>
        <w:t xml:space="preserve"> </w:t>
      </w:r>
      <w:r w:rsidRPr="0092230E">
        <w:rPr>
          <w:rFonts w:ascii="Arial" w:hAnsi="Arial" w:cs="Arial"/>
          <w:sz w:val="20"/>
        </w:rPr>
        <w:t xml:space="preserve">included in the calculation of </w:t>
      </w:r>
      <w:r w:rsidR="00EB7F8B" w:rsidRPr="0092230E">
        <w:rPr>
          <w:rFonts w:ascii="Arial" w:hAnsi="Arial" w:cs="Arial"/>
          <w:sz w:val="20"/>
        </w:rPr>
        <w:t>E</w:t>
      </w:r>
      <w:r w:rsidRPr="0092230E">
        <w:rPr>
          <w:rFonts w:ascii="Arial" w:hAnsi="Arial" w:cs="Arial"/>
          <w:sz w:val="20"/>
        </w:rPr>
        <w:t>ntity B’s eligible revenue.</w:t>
      </w:r>
    </w:p>
    <w:p w14:paraId="65F2A03F" w14:textId="77777777" w:rsidR="00702C3D" w:rsidRPr="0092230E" w:rsidRDefault="00702C3D">
      <w:pPr>
        <w:pStyle w:val="ABABulletLevel1"/>
        <w:spacing w:after="120"/>
        <w:ind w:left="720"/>
        <w:rPr>
          <w:rFonts w:ascii="Arial" w:hAnsi="Arial" w:cs="Arial"/>
          <w:sz w:val="20"/>
        </w:rPr>
      </w:pPr>
    </w:p>
    <w:p w14:paraId="27FA785D" w14:textId="77777777" w:rsidR="00CC19B0" w:rsidRPr="0092230E" w:rsidRDefault="00CC19B0" w:rsidP="00CC19B0">
      <w:pPr>
        <w:pStyle w:val="ABABulletLevel1"/>
        <w:spacing w:after="120"/>
        <w:rPr>
          <w:rFonts w:ascii="Arial" w:hAnsi="Arial" w:cs="Arial"/>
          <w:b/>
          <w:i/>
          <w:sz w:val="20"/>
        </w:rPr>
      </w:pPr>
      <w:r w:rsidRPr="0092230E">
        <w:rPr>
          <w:rFonts w:ascii="Arial" w:hAnsi="Arial" w:cs="Arial"/>
          <w:b/>
          <w:sz w:val="20"/>
        </w:rPr>
        <w:t xml:space="preserve">Section </w:t>
      </w:r>
      <w:r w:rsidR="0000373F" w:rsidRPr="0092230E">
        <w:rPr>
          <w:rFonts w:ascii="Arial" w:hAnsi="Arial" w:cs="Arial"/>
          <w:b/>
          <w:sz w:val="20"/>
        </w:rPr>
        <w:t xml:space="preserve">9 </w:t>
      </w:r>
      <w:r w:rsidRPr="0092230E">
        <w:rPr>
          <w:rFonts w:ascii="Arial" w:hAnsi="Arial" w:cs="Arial"/>
          <w:b/>
          <w:sz w:val="20"/>
        </w:rPr>
        <w:t xml:space="preserve">– </w:t>
      </w:r>
      <w:r w:rsidR="005444C5" w:rsidRPr="0092230E">
        <w:rPr>
          <w:rFonts w:ascii="Arial" w:hAnsi="Arial" w:cs="Arial"/>
          <w:b/>
          <w:sz w:val="20"/>
        </w:rPr>
        <w:t xml:space="preserve">Meaning of </w:t>
      </w:r>
      <w:r w:rsidR="005444C5" w:rsidRPr="0092230E">
        <w:rPr>
          <w:rFonts w:ascii="Arial" w:hAnsi="Arial" w:cs="Arial"/>
          <w:b/>
          <w:i/>
          <w:sz w:val="20"/>
        </w:rPr>
        <w:t xml:space="preserve">non-telecommunications </w:t>
      </w:r>
      <w:r w:rsidR="009C6E72" w:rsidRPr="0092230E">
        <w:rPr>
          <w:rFonts w:ascii="Arial" w:hAnsi="Arial" w:cs="Arial"/>
          <w:b/>
          <w:i/>
          <w:sz w:val="20"/>
        </w:rPr>
        <w:t xml:space="preserve">sale </w:t>
      </w:r>
      <w:r w:rsidR="005444C5" w:rsidRPr="0092230E">
        <w:rPr>
          <w:rFonts w:ascii="Arial" w:hAnsi="Arial" w:cs="Arial"/>
          <w:b/>
          <w:i/>
          <w:sz w:val="20"/>
        </w:rPr>
        <w:t>revenue</w:t>
      </w:r>
    </w:p>
    <w:p w14:paraId="4EE85BB4" w14:textId="77777777" w:rsidR="00DE6FC9" w:rsidRPr="0092230E" w:rsidRDefault="00CC19B0" w:rsidP="00CC19B0">
      <w:pPr>
        <w:pStyle w:val="ABABulletLevel1"/>
        <w:spacing w:after="120"/>
        <w:rPr>
          <w:rFonts w:ascii="Arial" w:hAnsi="Arial" w:cs="Arial"/>
          <w:sz w:val="20"/>
        </w:rPr>
      </w:pPr>
      <w:r w:rsidRPr="0092230E">
        <w:rPr>
          <w:rFonts w:ascii="Arial" w:hAnsi="Arial" w:cs="Arial"/>
          <w:sz w:val="20"/>
        </w:rPr>
        <w:t xml:space="preserve">Section </w:t>
      </w:r>
      <w:r w:rsidR="0000373F" w:rsidRPr="0092230E">
        <w:rPr>
          <w:rFonts w:ascii="Arial" w:hAnsi="Arial" w:cs="Arial"/>
          <w:sz w:val="20"/>
        </w:rPr>
        <w:t xml:space="preserve">9 </w:t>
      </w:r>
      <w:r w:rsidRPr="0092230E">
        <w:rPr>
          <w:rFonts w:ascii="Arial" w:hAnsi="Arial" w:cs="Arial"/>
          <w:sz w:val="20"/>
        </w:rPr>
        <w:t xml:space="preserve">of the Determination provides </w:t>
      </w:r>
      <w:r w:rsidR="005444C5" w:rsidRPr="0092230E">
        <w:rPr>
          <w:rFonts w:ascii="Arial" w:hAnsi="Arial" w:cs="Arial"/>
          <w:sz w:val="20"/>
        </w:rPr>
        <w:t xml:space="preserve">that an amount of revenue is non-telecommunications sales revenue if it is earned from an activity outside the telecommunications industry. The ‘telecommunications industry’ is defined in section 7 of the </w:t>
      </w:r>
      <w:r w:rsidR="005444C5" w:rsidRPr="0092230E">
        <w:rPr>
          <w:rFonts w:ascii="Arial" w:hAnsi="Arial" w:cs="Arial"/>
          <w:i/>
          <w:sz w:val="20"/>
        </w:rPr>
        <w:t>Telecommunications Act 1997</w:t>
      </w:r>
      <w:r w:rsidR="005444C5" w:rsidRPr="0092230E">
        <w:rPr>
          <w:rFonts w:ascii="Arial" w:hAnsi="Arial" w:cs="Arial"/>
          <w:sz w:val="20"/>
        </w:rPr>
        <w:t xml:space="preserve">. </w:t>
      </w:r>
    </w:p>
    <w:p w14:paraId="4312F304" w14:textId="77777777" w:rsidR="00CC19B0" w:rsidRPr="0092230E" w:rsidRDefault="005444C5" w:rsidP="00CC19B0">
      <w:pPr>
        <w:pStyle w:val="ABABulletLevel1"/>
        <w:spacing w:after="120"/>
        <w:rPr>
          <w:rFonts w:ascii="Arial" w:hAnsi="Arial" w:cs="Arial"/>
          <w:sz w:val="20"/>
        </w:rPr>
      </w:pPr>
      <w:r w:rsidRPr="0092230E">
        <w:rPr>
          <w:rFonts w:ascii="Arial" w:hAnsi="Arial" w:cs="Arial"/>
          <w:sz w:val="20"/>
        </w:rPr>
        <w:t xml:space="preserve">Section </w:t>
      </w:r>
      <w:r w:rsidR="0000373F" w:rsidRPr="0092230E">
        <w:rPr>
          <w:rFonts w:ascii="Arial" w:hAnsi="Arial" w:cs="Arial"/>
          <w:sz w:val="20"/>
        </w:rPr>
        <w:t xml:space="preserve">9 </w:t>
      </w:r>
      <w:r w:rsidRPr="0092230E">
        <w:rPr>
          <w:rFonts w:ascii="Arial" w:hAnsi="Arial" w:cs="Arial"/>
          <w:sz w:val="20"/>
        </w:rPr>
        <w:t xml:space="preserve">also provides that the ACMA may, in writing, declare that a </w:t>
      </w:r>
      <w:r w:rsidR="00DE6FC9" w:rsidRPr="0092230E">
        <w:rPr>
          <w:rFonts w:ascii="Arial" w:hAnsi="Arial" w:cs="Arial"/>
          <w:sz w:val="20"/>
        </w:rPr>
        <w:t>specified amount or the value of a benefit or service</w:t>
      </w:r>
      <w:r w:rsidR="009C6E72" w:rsidRPr="0092230E">
        <w:rPr>
          <w:rFonts w:ascii="Arial" w:hAnsi="Arial" w:cs="Arial"/>
          <w:sz w:val="20"/>
        </w:rPr>
        <w:t>,</w:t>
      </w:r>
      <w:r w:rsidR="00DE6FC9" w:rsidRPr="0092230E">
        <w:rPr>
          <w:rFonts w:ascii="Arial" w:hAnsi="Arial" w:cs="Arial"/>
          <w:sz w:val="20"/>
        </w:rPr>
        <w:t xml:space="preserve"> is non-telecommunications </w:t>
      </w:r>
      <w:r w:rsidR="009C6E72" w:rsidRPr="0092230E">
        <w:rPr>
          <w:rFonts w:ascii="Arial" w:hAnsi="Arial" w:cs="Arial"/>
          <w:sz w:val="20"/>
        </w:rPr>
        <w:t xml:space="preserve">sales </w:t>
      </w:r>
      <w:r w:rsidR="00DE6FC9" w:rsidRPr="0092230E">
        <w:rPr>
          <w:rFonts w:ascii="Arial" w:hAnsi="Arial" w:cs="Arial"/>
          <w:sz w:val="20"/>
        </w:rPr>
        <w:t>revenue.</w:t>
      </w:r>
      <w:r w:rsidR="009C6E72" w:rsidRPr="0092230E">
        <w:rPr>
          <w:rFonts w:ascii="Arial" w:hAnsi="Arial" w:cs="Arial"/>
          <w:sz w:val="20"/>
        </w:rPr>
        <w:t xml:space="preserve"> The declaration must also state which participating person or declared related party or consolidated related party of the participating person, the declaration applies to, and if the declaration specifies that a value of a benefit or service is non-telecommunications sales revenue, how the ACMA worked out that value. </w:t>
      </w:r>
    </w:p>
    <w:p w14:paraId="6FE2E6C3" w14:textId="77777777" w:rsidR="00C749E3" w:rsidRPr="0092230E" w:rsidRDefault="00C749E3" w:rsidP="00C749E3">
      <w:pPr>
        <w:spacing w:after="200" w:line="240" w:lineRule="auto"/>
        <w:rPr>
          <w:rFonts w:ascii="Arial" w:hAnsi="Arial" w:cs="Arial"/>
          <w:b/>
          <w:szCs w:val="20"/>
        </w:rPr>
      </w:pPr>
    </w:p>
    <w:p w14:paraId="5F4F63B4" w14:textId="5BEF6811" w:rsidR="00220F3E" w:rsidRPr="0092230E" w:rsidRDefault="00220F3E" w:rsidP="00C749E3">
      <w:pPr>
        <w:spacing w:after="200" w:line="240" w:lineRule="auto"/>
        <w:rPr>
          <w:rFonts w:ascii="Arial" w:hAnsi="Arial" w:cs="Arial"/>
          <w:szCs w:val="20"/>
          <w:lang w:eastAsia="en-US"/>
        </w:rPr>
      </w:pPr>
      <w:r w:rsidRPr="0092230E">
        <w:rPr>
          <w:rFonts w:ascii="Arial" w:hAnsi="Arial" w:cs="Arial"/>
          <w:b/>
          <w:szCs w:val="20"/>
        </w:rPr>
        <w:t xml:space="preserve">Section </w:t>
      </w:r>
      <w:r w:rsidR="0000373F" w:rsidRPr="0092230E">
        <w:rPr>
          <w:rFonts w:ascii="Arial" w:hAnsi="Arial" w:cs="Arial"/>
          <w:b/>
          <w:szCs w:val="20"/>
        </w:rPr>
        <w:t xml:space="preserve">10 </w:t>
      </w:r>
      <w:r w:rsidRPr="0092230E">
        <w:rPr>
          <w:rFonts w:ascii="Arial" w:hAnsi="Arial" w:cs="Arial"/>
          <w:b/>
          <w:szCs w:val="20"/>
        </w:rPr>
        <w:t xml:space="preserve">– Meaning of </w:t>
      </w:r>
      <w:r w:rsidRPr="0092230E">
        <w:rPr>
          <w:rFonts w:ascii="Arial" w:hAnsi="Arial" w:cs="Arial"/>
          <w:b/>
          <w:i/>
          <w:szCs w:val="20"/>
        </w:rPr>
        <w:t>inter-person input payment</w:t>
      </w:r>
    </w:p>
    <w:p w14:paraId="03B0EC2D" w14:textId="50DB5897" w:rsidR="00903BE2" w:rsidRPr="0092230E" w:rsidRDefault="00220F3E" w:rsidP="00903BE2">
      <w:pPr>
        <w:pStyle w:val="ABABulletLevel1"/>
        <w:spacing w:after="120"/>
        <w:rPr>
          <w:rFonts w:ascii="Arial" w:hAnsi="Arial" w:cs="Arial"/>
          <w:sz w:val="20"/>
        </w:rPr>
      </w:pPr>
      <w:r w:rsidRPr="0092230E">
        <w:rPr>
          <w:rFonts w:ascii="Arial" w:hAnsi="Arial" w:cs="Arial"/>
          <w:sz w:val="20"/>
        </w:rPr>
        <w:t xml:space="preserve">Section </w:t>
      </w:r>
      <w:r w:rsidR="0000373F" w:rsidRPr="0092230E">
        <w:rPr>
          <w:rFonts w:ascii="Arial" w:hAnsi="Arial" w:cs="Arial"/>
          <w:sz w:val="20"/>
        </w:rPr>
        <w:t xml:space="preserve">10 </w:t>
      </w:r>
      <w:r w:rsidRPr="0092230E">
        <w:rPr>
          <w:rFonts w:ascii="Arial" w:hAnsi="Arial" w:cs="Arial"/>
          <w:sz w:val="20"/>
        </w:rPr>
        <w:t>of the Determination defines an inter-person input payment. These are amounts</w:t>
      </w:r>
      <w:r w:rsidR="00903BE2" w:rsidRPr="0092230E">
        <w:rPr>
          <w:rFonts w:ascii="Arial" w:hAnsi="Arial" w:cs="Arial"/>
          <w:sz w:val="20"/>
        </w:rPr>
        <w:t xml:space="preserve"> </w:t>
      </w:r>
      <w:r w:rsidRPr="0092230E">
        <w:rPr>
          <w:rFonts w:ascii="Arial" w:hAnsi="Arial" w:cs="Arial"/>
          <w:sz w:val="20"/>
        </w:rPr>
        <w:t xml:space="preserve">paid or payable by a participating person or a consolidated related party or declared related party </w:t>
      </w:r>
      <w:r w:rsidR="00DF1781" w:rsidRPr="0092230E">
        <w:rPr>
          <w:rFonts w:ascii="Arial" w:hAnsi="Arial" w:cs="Arial"/>
          <w:sz w:val="20"/>
        </w:rPr>
        <w:t>of</w:t>
      </w:r>
      <w:r w:rsidR="009742DB" w:rsidRPr="0092230E">
        <w:rPr>
          <w:rFonts w:ascii="Arial" w:hAnsi="Arial" w:cs="Arial"/>
          <w:sz w:val="20"/>
        </w:rPr>
        <w:t xml:space="preserve"> </w:t>
      </w:r>
      <w:r w:rsidRPr="0092230E">
        <w:rPr>
          <w:rFonts w:ascii="Arial" w:hAnsi="Arial" w:cs="Arial"/>
          <w:sz w:val="20"/>
        </w:rPr>
        <w:t>the participating person</w:t>
      </w:r>
      <w:r w:rsidR="00903BE2" w:rsidRPr="0092230E">
        <w:rPr>
          <w:rFonts w:ascii="Arial" w:hAnsi="Arial" w:cs="Arial"/>
          <w:sz w:val="20"/>
        </w:rPr>
        <w:t xml:space="preserve"> </w:t>
      </w:r>
      <w:r w:rsidR="00DF1781" w:rsidRPr="0092230E">
        <w:rPr>
          <w:rFonts w:ascii="Arial" w:hAnsi="Arial" w:cs="Arial"/>
          <w:sz w:val="20"/>
        </w:rPr>
        <w:t>(</w:t>
      </w:r>
      <w:r w:rsidR="00DF1781" w:rsidRPr="0092230E">
        <w:rPr>
          <w:rFonts w:ascii="Arial" w:hAnsi="Arial" w:cs="Arial"/>
          <w:b/>
          <w:sz w:val="20"/>
        </w:rPr>
        <w:t>the first participating person</w:t>
      </w:r>
      <w:r w:rsidR="00DF1781" w:rsidRPr="0092230E">
        <w:rPr>
          <w:rFonts w:ascii="Arial" w:hAnsi="Arial" w:cs="Arial"/>
          <w:sz w:val="20"/>
        </w:rPr>
        <w:t xml:space="preserve">) </w:t>
      </w:r>
      <w:r w:rsidR="009742DB" w:rsidRPr="0092230E">
        <w:rPr>
          <w:rFonts w:ascii="Arial" w:hAnsi="Arial" w:cs="Arial"/>
          <w:sz w:val="20"/>
        </w:rPr>
        <w:t>for an act done by</w:t>
      </w:r>
      <w:r w:rsidR="00903BE2" w:rsidRPr="0092230E">
        <w:rPr>
          <w:rFonts w:ascii="Arial" w:hAnsi="Arial" w:cs="Arial"/>
          <w:sz w:val="20"/>
        </w:rPr>
        <w:t xml:space="preserve"> </w:t>
      </w:r>
      <w:r w:rsidR="009742DB" w:rsidRPr="0092230E">
        <w:rPr>
          <w:rFonts w:ascii="Arial" w:hAnsi="Arial" w:cs="Arial"/>
          <w:sz w:val="20"/>
        </w:rPr>
        <w:t xml:space="preserve">another participating person or </w:t>
      </w:r>
      <w:r w:rsidR="00903BE2" w:rsidRPr="0092230E">
        <w:rPr>
          <w:rFonts w:ascii="Arial" w:hAnsi="Arial" w:cs="Arial"/>
          <w:sz w:val="20"/>
        </w:rPr>
        <w:t xml:space="preserve">a </w:t>
      </w:r>
      <w:r w:rsidR="009742DB" w:rsidRPr="0092230E">
        <w:rPr>
          <w:rFonts w:ascii="Arial" w:hAnsi="Arial" w:cs="Arial"/>
          <w:sz w:val="20"/>
        </w:rPr>
        <w:t>non-participating person</w:t>
      </w:r>
      <w:r w:rsidR="00903BE2" w:rsidRPr="0092230E">
        <w:rPr>
          <w:rFonts w:ascii="Arial" w:hAnsi="Arial" w:cs="Arial"/>
          <w:sz w:val="20"/>
        </w:rPr>
        <w:t xml:space="preserve"> </w:t>
      </w:r>
      <w:r w:rsidR="009742DB" w:rsidRPr="0092230E">
        <w:rPr>
          <w:rFonts w:ascii="Arial" w:hAnsi="Arial" w:cs="Arial"/>
          <w:sz w:val="20"/>
        </w:rPr>
        <w:t xml:space="preserve">or a declared related party or consolidated related party </w:t>
      </w:r>
      <w:r w:rsidR="00903BE2" w:rsidRPr="0092230E">
        <w:rPr>
          <w:rFonts w:ascii="Arial" w:hAnsi="Arial" w:cs="Arial"/>
          <w:sz w:val="20"/>
        </w:rPr>
        <w:t>in relation to th</w:t>
      </w:r>
      <w:r w:rsidR="00EE72BB" w:rsidRPr="0092230E">
        <w:rPr>
          <w:rFonts w:ascii="Arial" w:hAnsi="Arial" w:cs="Arial"/>
          <w:sz w:val="20"/>
        </w:rPr>
        <w:t xml:space="preserve">e second </w:t>
      </w:r>
      <w:r w:rsidR="00903BE2" w:rsidRPr="0092230E">
        <w:rPr>
          <w:rFonts w:ascii="Arial" w:hAnsi="Arial" w:cs="Arial"/>
          <w:sz w:val="20"/>
        </w:rPr>
        <w:t>person</w:t>
      </w:r>
      <w:r w:rsidR="00DF1781" w:rsidRPr="0092230E">
        <w:rPr>
          <w:rFonts w:ascii="Arial" w:hAnsi="Arial" w:cs="Arial"/>
          <w:sz w:val="20"/>
        </w:rPr>
        <w:t xml:space="preserve"> (</w:t>
      </w:r>
      <w:r w:rsidR="00DF1781" w:rsidRPr="0092230E">
        <w:rPr>
          <w:rFonts w:ascii="Arial" w:hAnsi="Arial" w:cs="Arial"/>
          <w:b/>
          <w:sz w:val="20"/>
        </w:rPr>
        <w:t>the second participating person</w:t>
      </w:r>
      <w:r w:rsidR="00DF1781" w:rsidRPr="0092230E">
        <w:rPr>
          <w:rFonts w:ascii="Arial" w:hAnsi="Arial" w:cs="Arial"/>
          <w:sz w:val="20"/>
        </w:rPr>
        <w:t>)</w:t>
      </w:r>
      <w:r w:rsidR="009742DB" w:rsidRPr="0092230E">
        <w:rPr>
          <w:rFonts w:ascii="Arial" w:hAnsi="Arial" w:cs="Arial"/>
          <w:sz w:val="20"/>
        </w:rPr>
        <w:t xml:space="preserve">. </w:t>
      </w:r>
      <w:r w:rsidRPr="0092230E">
        <w:rPr>
          <w:rFonts w:ascii="Arial" w:hAnsi="Arial" w:cs="Arial"/>
          <w:sz w:val="20"/>
        </w:rPr>
        <w:t xml:space="preserve"> </w:t>
      </w:r>
      <w:r w:rsidR="00903BE2" w:rsidRPr="0092230E">
        <w:rPr>
          <w:rFonts w:ascii="Arial" w:hAnsi="Arial" w:cs="Arial"/>
          <w:sz w:val="20"/>
        </w:rPr>
        <w:t xml:space="preserve">The act </w:t>
      </w:r>
      <w:r w:rsidR="009742DB" w:rsidRPr="0092230E">
        <w:rPr>
          <w:rFonts w:ascii="Arial" w:hAnsi="Arial" w:cs="Arial"/>
          <w:sz w:val="20"/>
        </w:rPr>
        <w:t xml:space="preserve">must </w:t>
      </w:r>
      <w:r w:rsidR="00463B56" w:rsidRPr="0092230E">
        <w:rPr>
          <w:rFonts w:ascii="Arial" w:hAnsi="Arial" w:cs="Arial"/>
          <w:sz w:val="20"/>
        </w:rPr>
        <w:t xml:space="preserve">allow </w:t>
      </w:r>
      <w:r w:rsidR="009742DB" w:rsidRPr="0092230E">
        <w:rPr>
          <w:rFonts w:ascii="Arial" w:hAnsi="Arial" w:cs="Arial"/>
          <w:sz w:val="20"/>
        </w:rPr>
        <w:t xml:space="preserve">the </w:t>
      </w:r>
      <w:r w:rsidR="00903BE2" w:rsidRPr="0092230E">
        <w:rPr>
          <w:rFonts w:ascii="Arial" w:hAnsi="Arial" w:cs="Arial"/>
          <w:sz w:val="20"/>
        </w:rPr>
        <w:t xml:space="preserve">first participating person </w:t>
      </w:r>
      <w:r w:rsidR="00463B56" w:rsidRPr="0092230E">
        <w:rPr>
          <w:rFonts w:ascii="Arial" w:hAnsi="Arial" w:cs="Arial"/>
          <w:sz w:val="20"/>
        </w:rPr>
        <w:t xml:space="preserve">to provide a listed carriage service. </w:t>
      </w:r>
    </w:p>
    <w:p w14:paraId="35613086" w14:textId="2A88E30C" w:rsidR="00571162" w:rsidRPr="0092230E" w:rsidRDefault="00571162" w:rsidP="00903BE2">
      <w:pPr>
        <w:pStyle w:val="ABABulletLevel1"/>
        <w:spacing w:after="120"/>
        <w:rPr>
          <w:rFonts w:ascii="Arial" w:hAnsi="Arial" w:cs="Arial"/>
          <w:i/>
          <w:sz w:val="20"/>
        </w:rPr>
      </w:pPr>
      <w:r w:rsidRPr="0092230E">
        <w:rPr>
          <w:rFonts w:ascii="Arial" w:hAnsi="Arial" w:cs="Arial"/>
          <w:sz w:val="20"/>
        </w:rPr>
        <w:t xml:space="preserve">The definition specifically includes reference to payments made to non-participating persons.  This will allow </w:t>
      </w:r>
      <w:r w:rsidR="0000373F" w:rsidRPr="0092230E">
        <w:rPr>
          <w:rFonts w:ascii="Arial" w:hAnsi="Arial" w:cs="Arial"/>
          <w:sz w:val="20"/>
        </w:rPr>
        <w:t xml:space="preserve">a </w:t>
      </w:r>
      <w:r w:rsidRPr="0092230E">
        <w:rPr>
          <w:rFonts w:ascii="Arial" w:hAnsi="Arial" w:cs="Arial"/>
          <w:sz w:val="20"/>
        </w:rPr>
        <w:t>participating person to</w:t>
      </w:r>
      <w:r w:rsidR="008877E6" w:rsidRPr="0092230E">
        <w:rPr>
          <w:rFonts w:ascii="Arial" w:hAnsi="Arial" w:cs="Arial"/>
          <w:sz w:val="20"/>
        </w:rPr>
        <w:t xml:space="preserve"> continue to</w:t>
      </w:r>
      <w:r w:rsidRPr="0092230E">
        <w:rPr>
          <w:rFonts w:ascii="Arial" w:hAnsi="Arial" w:cs="Arial"/>
          <w:sz w:val="20"/>
        </w:rPr>
        <w:t xml:space="preserve"> deduct (under section </w:t>
      </w:r>
      <w:r w:rsidR="003F324D" w:rsidRPr="0092230E">
        <w:rPr>
          <w:rFonts w:ascii="Arial" w:hAnsi="Arial" w:cs="Arial"/>
          <w:sz w:val="20"/>
        </w:rPr>
        <w:t>29</w:t>
      </w:r>
      <w:r w:rsidR="008877E6" w:rsidRPr="0092230E">
        <w:rPr>
          <w:rFonts w:ascii="Arial" w:hAnsi="Arial" w:cs="Arial"/>
          <w:sz w:val="20"/>
        </w:rPr>
        <w:t xml:space="preserve">) payments made to </w:t>
      </w:r>
      <w:r w:rsidR="0000373F" w:rsidRPr="0092230E">
        <w:rPr>
          <w:rFonts w:ascii="Arial" w:hAnsi="Arial" w:cs="Arial"/>
          <w:sz w:val="20"/>
        </w:rPr>
        <w:t xml:space="preserve">an </w:t>
      </w:r>
      <w:r w:rsidR="008877E6" w:rsidRPr="0092230E">
        <w:rPr>
          <w:rFonts w:ascii="Arial" w:hAnsi="Arial" w:cs="Arial"/>
          <w:sz w:val="20"/>
        </w:rPr>
        <w:t>entit</w:t>
      </w:r>
      <w:r w:rsidR="0000373F" w:rsidRPr="0092230E">
        <w:rPr>
          <w:rFonts w:ascii="Arial" w:hAnsi="Arial" w:cs="Arial"/>
          <w:sz w:val="20"/>
        </w:rPr>
        <w:t>y</w:t>
      </w:r>
      <w:r w:rsidR="008877E6" w:rsidRPr="0092230E">
        <w:rPr>
          <w:rFonts w:ascii="Arial" w:hAnsi="Arial" w:cs="Arial"/>
          <w:sz w:val="20"/>
        </w:rPr>
        <w:t xml:space="preserve"> who would have, prior to the commencement of </w:t>
      </w:r>
      <w:r w:rsidR="0000373F" w:rsidRPr="0092230E">
        <w:rPr>
          <w:rFonts w:ascii="Arial" w:hAnsi="Arial" w:cs="Arial"/>
          <w:sz w:val="20"/>
        </w:rPr>
        <w:t xml:space="preserve">a </w:t>
      </w:r>
      <w:r w:rsidR="00C80487" w:rsidRPr="0092230E">
        <w:rPr>
          <w:rFonts w:ascii="Arial" w:hAnsi="Arial" w:cs="Arial"/>
          <w:sz w:val="20"/>
        </w:rPr>
        <w:t>determination</w:t>
      </w:r>
      <w:r w:rsidR="0000373F" w:rsidRPr="0092230E">
        <w:rPr>
          <w:rFonts w:ascii="Arial" w:hAnsi="Arial" w:cs="Arial"/>
          <w:sz w:val="20"/>
        </w:rPr>
        <w:t xml:space="preserve"> made under subsection </w:t>
      </w:r>
      <w:r w:rsidR="00DF1781" w:rsidRPr="0092230E">
        <w:rPr>
          <w:rFonts w:ascii="Arial" w:hAnsi="Arial" w:cs="Arial"/>
          <w:sz w:val="20"/>
        </w:rPr>
        <w:t>44</w:t>
      </w:r>
      <w:r w:rsidR="0000373F" w:rsidRPr="0092230E">
        <w:rPr>
          <w:rFonts w:ascii="Arial" w:hAnsi="Arial" w:cs="Arial"/>
          <w:sz w:val="20"/>
        </w:rPr>
        <w:t>(2)</w:t>
      </w:r>
      <w:r w:rsidR="008877E6" w:rsidRPr="0092230E">
        <w:rPr>
          <w:rFonts w:ascii="Arial" w:hAnsi="Arial" w:cs="Arial"/>
          <w:sz w:val="20"/>
        </w:rPr>
        <w:t xml:space="preserve"> been</w:t>
      </w:r>
      <w:r w:rsidR="0000373F" w:rsidRPr="0092230E">
        <w:rPr>
          <w:rFonts w:ascii="Arial" w:hAnsi="Arial" w:cs="Arial"/>
          <w:sz w:val="20"/>
        </w:rPr>
        <w:t xml:space="preserve"> a</w:t>
      </w:r>
      <w:r w:rsidR="008877E6" w:rsidRPr="0092230E">
        <w:rPr>
          <w:rFonts w:ascii="Arial" w:hAnsi="Arial" w:cs="Arial"/>
          <w:sz w:val="20"/>
        </w:rPr>
        <w:t xml:space="preserve"> participating person. </w:t>
      </w:r>
    </w:p>
    <w:p w14:paraId="6C8F44AB" w14:textId="3A4852A7" w:rsidR="00220F3E" w:rsidRPr="0092230E" w:rsidRDefault="00EE72BB" w:rsidP="00220F3E">
      <w:pPr>
        <w:pStyle w:val="ABABulletLevel1"/>
        <w:spacing w:after="120"/>
        <w:rPr>
          <w:rFonts w:ascii="Arial" w:hAnsi="Arial" w:cs="Arial"/>
          <w:sz w:val="20"/>
        </w:rPr>
      </w:pPr>
      <w:r w:rsidRPr="0092230E">
        <w:rPr>
          <w:rFonts w:ascii="Arial" w:hAnsi="Arial" w:cs="Arial"/>
          <w:sz w:val="20"/>
        </w:rPr>
        <w:t xml:space="preserve">Further, section </w:t>
      </w:r>
      <w:r w:rsidR="0000373F" w:rsidRPr="0092230E">
        <w:rPr>
          <w:rFonts w:ascii="Arial" w:hAnsi="Arial" w:cs="Arial"/>
          <w:sz w:val="20"/>
        </w:rPr>
        <w:t>10</w:t>
      </w:r>
      <w:r w:rsidRPr="0092230E">
        <w:rPr>
          <w:rFonts w:ascii="Arial" w:hAnsi="Arial" w:cs="Arial"/>
          <w:sz w:val="20"/>
        </w:rPr>
        <w:t xml:space="preserve"> </w:t>
      </w:r>
      <w:r w:rsidR="00476373" w:rsidRPr="0092230E">
        <w:rPr>
          <w:rFonts w:ascii="Arial" w:hAnsi="Arial" w:cs="Arial"/>
          <w:sz w:val="20"/>
        </w:rPr>
        <w:t xml:space="preserve">provides that an amount is an inter-person input payment only if the amount </w:t>
      </w:r>
      <w:r w:rsidRPr="0092230E">
        <w:rPr>
          <w:rFonts w:ascii="Arial" w:hAnsi="Arial" w:cs="Arial"/>
          <w:sz w:val="20"/>
        </w:rPr>
        <w:t xml:space="preserve">is included by the second </w:t>
      </w:r>
      <w:r w:rsidR="00DF1781" w:rsidRPr="0092230E">
        <w:rPr>
          <w:rFonts w:ascii="Arial" w:hAnsi="Arial" w:cs="Arial"/>
          <w:sz w:val="20"/>
        </w:rPr>
        <w:t xml:space="preserve">participating </w:t>
      </w:r>
      <w:r w:rsidRPr="0092230E">
        <w:rPr>
          <w:rFonts w:ascii="Arial" w:hAnsi="Arial" w:cs="Arial"/>
          <w:sz w:val="20"/>
        </w:rPr>
        <w:t>person (if that person is a participating</w:t>
      </w:r>
      <w:r w:rsidR="00182013" w:rsidRPr="0092230E">
        <w:rPr>
          <w:rFonts w:ascii="Arial" w:hAnsi="Arial" w:cs="Arial"/>
          <w:sz w:val="20"/>
        </w:rPr>
        <w:t xml:space="preserve"> person) as part</w:t>
      </w:r>
      <w:r w:rsidRPr="0092230E">
        <w:rPr>
          <w:rFonts w:ascii="Arial" w:hAnsi="Arial" w:cs="Arial"/>
          <w:sz w:val="20"/>
        </w:rPr>
        <w:t xml:space="preserve"> of its </w:t>
      </w:r>
      <w:r w:rsidR="00182013" w:rsidRPr="0092230E">
        <w:rPr>
          <w:rFonts w:ascii="Arial" w:hAnsi="Arial" w:cs="Arial"/>
          <w:sz w:val="20"/>
        </w:rPr>
        <w:t>gross telecommunications sales revenue</w:t>
      </w:r>
      <w:r w:rsidRPr="0092230E">
        <w:rPr>
          <w:rFonts w:ascii="Arial" w:hAnsi="Arial" w:cs="Arial"/>
          <w:sz w:val="20"/>
        </w:rPr>
        <w:t>, without claiming the amount as a</w:t>
      </w:r>
      <w:r w:rsidR="00476373" w:rsidRPr="0092230E">
        <w:rPr>
          <w:rFonts w:ascii="Arial" w:hAnsi="Arial" w:cs="Arial"/>
          <w:sz w:val="20"/>
        </w:rPr>
        <w:t xml:space="preserve"> deduction </w:t>
      </w:r>
      <w:r w:rsidRPr="0092230E">
        <w:rPr>
          <w:rFonts w:ascii="Arial" w:hAnsi="Arial" w:cs="Arial"/>
          <w:sz w:val="20"/>
        </w:rPr>
        <w:t>under</w:t>
      </w:r>
      <w:r w:rsidR="00362DE0" w:rsidRPr="0092230E">
        <w:rPr>
          <w:rFonts w:ascii="Arial" w:hAnsi="Arial" w:cs="Arial"/>
          <w:sz w:val="20"/>
        </w:rPr>
        <w:t xml:space="preserve"> any of sections </w:t>
      </w:r>
      <w:r w:rsidR="00EA520C" w:rsidRPr="0092230E">
        <w:rPr>
          <w:rFonts w:ascii="Arial" w:hAnsi="Arial" w:cs="Arial"/>
          <w:sz w:val="20"/>
        </w:rPr>
        <w:t xml:space="preserve">23 </w:t>
      </w:r>
      <w:r w:rsidR="00362DE0" w:rsidRPr="0092230E">
        <w:rPr>
          <w:rFonts w:ascii="Arial" w:hAnsi="Arial" w:cs="Arial"/>
          <w:sz w:val="20"/>
        </w:rPr>
        <w:t xml:space="preserve">to </w:t>
      </w:r>
      <w:r w:rsidR="00EA520C" w:rsidRPr="0092230E">
        <w:rPr>
          <w:rFonts w:ascii="Arial" w:hAnsi="Arial" w:cs="Arial"/>
          <w:sz w:val="20"/>
        </w:rPr>
        <w:t>28</w:t>
      </w:r>
      <w:r w:rsidR="00362DE0" w:rsidRPr="0092230E">
        <w:rPr>
          <w:rFonts w:ascii="Arial" w:hAnsi="Arial" w:cs="Arial"/>
          <w:sz w:val="20"/>
        </w:rPr>
        <w:t xml:space="preserve">, </w:t>
      </w:r>
      <w:r w:rsidR="00EA520C" w:rsidRPr="0092230E">
        <w:rPr>
          <w:rFonts w:ascii="Arial" w:hAnsi="Arial" w:cs="Arial"/>
          <w:sz w:val="20"/>
        </w:rPr>
        <w:t>30</w:t>
      </w:r>
      <w:r w:rsidR="00362DE0" w:rsidRPr="0092230E">
        <w:rPr>
          <w:rFonts w:ascii="Arial" w:hAnsi="Arial" w:cs="Arial"/>
          <w:sz w:val="20"/>
        </w:rPr>
        <w:t xml:space="preserve"> or </w:t>
      </w:r>
      <w:r w:rsidR="00EA520C" w:rsidRPr="0092230E">
        <w:rPr>
          <w:rFonts w:ascii="Arial" w:hAnsi="Arial" w:cs="Arial"/>
          <w:sz w:val="20"/>
        </w:rPr>
        <w:t xml:space="preserve">33 </w:t>
      </w:r>
      <w:r w:rsidRPr="0092230E">
        <w:rPr>
          <w:rFonts w:ascii="Arial" w:hAnsi="Arial" w:cs="Arial"/>
          <w:sz w:val="20"/>
        </w:rPr>
        <w:t xml:space="preserve">of the Determination. If the second </w:t>
      </w:r>
      <w:r w:rsidR="00DF1781" w:rsidRPr="0092230E">
        <w:rPr>
          <w:rFonts w:ascii="Arial" w:hAnsi="Arial" w:cs="Arial"/>
          <w:sz w:val="20"/>
        </w:rPr>
        <w:t xml:space="preserve">participating </w:t>
      </w:r>
      <w:r w:rsidRPr="0092230E">
        <w:rPr>
          <w:rFonts w:ascii="Arial" w:hAnsi="Arial" w:cs="Arial"/>
          <w:sz w:val="20"/>
        </w:rPr>
        <w:t xml:space="preserve">person is a non-participating person, the </w:t>
      </w:r>
      <w:r w:rsidR="00182013" w:rsidRPr="0092230E">
        <w:rPr>
          <w:rFonts w:ascii="Arial" w:hAnsi="Arial" w:cs="Arial"/>
          <w:sz w:val="20"/>
        </w:rPr>
        <w:t>provision requires that the person would have</w:t>
      </w:r>
      <w:r w:rsidR="00073EC3" w:rsidRPr="0092230E">
        <w:rPr>
          <w:rFonts w:ascii="Arial" w:hAnsi="Arial" w:cs="Arial"/>
          <w:sz w:val="20"/>
        </w:rPr>
        <w:t xml:space="preserve"> been required to</w:t>
      </w:r>
      <w:r w:rsidR="00182013" w:rsidRPr="0092230E">
        <w:rPr>
          <w:rFonts w:ascii="Arial" w:hAnsi="Arial" w:cs="Arial"/>
          <w:sz w:val="20"/>
        </w:rPr>
        <w:t xml:space="preserve"> include the </w:t>
      </w:r>
      <w:r w:rsidR="00073EC3" w:rsidRPr="0092230E">
        <w:rPr>
          <w:rFonts w:ascii="Arial" w:hAnsi="Arial" w:cs="Arial"/>
          <w:sz w:val="20"/>
        </w:rPr>
        <w:t xml:space="preserve">amount </w:t>
      </w:r>
      <w:r w:rsidR="00182013" w:rsidRPr="0092230E">
        <w:rPr>
          <w:rFonts w:ascii="Arial" w:hAnsi="Arial" w:cs="Arial"/>
          <w:sz w:val="20"/>
        </w:rPr>
        <w:t>as part of their gross telecommunications sales revenue without deduct</w:t>
      </w:r>
      <w:r w:rsidR="00073EC3" w:rsidRPr="0092230E">
        <w:rPr>
          <w:rFonts w:ascii="Arial" w:hAnsi="Arial" w:cs="Arial"/>
          <w:sz w:val="20"/>
        </w:rPr>
        <w:t>ing</w:t>
      </w:r>
      <w:r w:rsidR="00182013" w:rsidRPr="0092230E">
        <w:rPr>
          <w:rFonts w:ascii="Arial" w:hAnsi="Arial" w:cs="Arial"/>
          <w:sz w:val="20"/>
        </w:rPr>
        <w:t xml:space="preserve"> the amount</w:t>
      </w:r>
      <w:r w:rsidR="00073EC3" w:rsidRPr="0092230E">
        <w:rPr>
          <w:rFonts w:ascii="Arial" w:hAnsi="Arial" w:cs="Arial"/>
          <w:sz w:val="20"/>
        </w:rPr>
        <w:t xml:space="preserve">, had </w:t>
      </w:r>
      <w:r w:rsidR="00073EC3" w:rsidRPr="0092230E">
        <w:rPr>
          <w:rFonts w:ascii="Arial" w:hAnsi="Arial" w:cs="Arial"/>
          <w:sz w:val="20"/>
        </w:rPr>
        <w:lastRenderedPageBreak/>
        <w:t>the</w:t>
      </w:r>
      <w:r w:rsidR="00182013" w:rsidRPr="0092230E">
        <w:rPr>
          <w:rFonts w:ascii="Arial" w:hAnsi="Arial" w:cs="Arial"/>
          <w:sz w:val="20"/>
        </w:rPr>
        <w:t xml:space="preserve"> </w:t>
      </w:r>
      <w:r w:rsidR="00073EC3" w:rsidRPr="0092230E">
        <w:rPr>
          <w:rFonts w:ascii="Arial" w:hAnsi="Arial" w:cs="Arial"/>
          <w:sz w:val="20"/>
        </w:rPr>
        <w:t>person been a participating person</w:t>
      </w:r>
      <w:r w:rsidR="00182013" w:rsidRPr="0092230E">
        <w:rPr>
          <w:rFonts w:ascii="Arial" w:hAnsi="Arial" w:cs="Arial"/>
          <w:sz w:val="20"/>
        </w:rPr>
        <w:t xml:space="preserve">.  </w:t>
      </w:r>
      <w:r w:rsidRPr="0092230E">
        <w:rPr>
          <w:rFonts w:ascii="Arial" w:hAnsi="Arial" w:cs="Arial"/>
          <w:sz w:val="20"/>
        </w:rPr>
        <w:t xml:space="preserve">This </w:t>
      </w:r>
      <w:r w:rsidR="0000373F" w:rsidRPr="0092230E">
        <w:rPr>
          <w:rFonts w:ascii="Arial" w:hAnsi="Arial" w:cs="Arial"/>
          <w:sz w:val="20"/>
        </w:rPr>
        <w:t xml:space="preserve">ensures that only one deduction is </w:t>
      </w:r>
      <w:r w:rsidR="006747D9" w:rsidRPr="0092230E">
        <w:rPr>
          <w:rFonts w:ascii="Arial" w:hAnsi="Arial" w:cs="Arial"/>
          <w:sz w:val="20"/>
        </w:rPr>
        <w:t xml:space="preserve">made </w:t>
      </w:r>
      <w:r w:rsidRPr="0092230E">
        <w:rPr>
          <w:rFonts w:ascii="Arial" w:hAnsi="Arial" w:cs="Arial"/>
          <w:sz w:val="20"/>
        </w:rPr>
        <w:t xml:space="preserve">in respect of </w:t>
      </w:r>
      <w:r w:rsidR="0000373F" w:rsidRPr="0092230E">
        <w:rPr>
          <w:rFonts w:ascii="Arial" w:hAnsi="Arial" w:cs="Arial"/>
          <w:sz w:val="20"/>
        </w:rPr>
        <w:t xml:space="preserve">the </w:t>
      </w:r>
      <w:r w:rsidRPr="0092230E">
        <w:rPr>
          <w:rFonts w:ascii="Arial" w:hAnsi="Arial" w:cs="Arial"/>
          <w:sz w:val="20"/>
        </w:rPr>
        <w:t>one amount</w:t>
      </w:r>
      <w:r w:rsidR="0000373F" w:rsidRPr="0092230E">
        <w:rPr>
          <w:rFonts w:ascii="Arial" w:hAnsi="Arial" w:cs="Arial"/>
          <w:sz w:val="20"/>
        </w:rPr>
        <w:t xml:space="preserve"> constituted by the inter-person input payment</w:t>
      </w:r>
      <w:r w:rsidRPr="0092230E">
        <w:rPr>
          <w:rFonts w:ascii="Arial" w:hAnsi="Arial" w:cs="Arial"/>
          <w:sz w:val="20"/>
        </w:rPr>
        <w:t>.</w:t>
      </w:r>
      <w:r w:rsidR="00182013" w:rsidRPr="0092230E">
        <w:rPr>
          <w:rFonts w:ascii="Arial" w:hAnsi="Arial" w:cs="Arial"/>
          <w:sz w:val="20"/>
        </w:rPr>
        <w:t xml:space="preserve"> </w:t>
      </w:r>
      <w:r w:rsidR="00463B56" w:rsidRPr="0092230E">
        <w:rPr>
          <w:rFonts w:ascii="Arial" w:hAnsi="Arial" w:cs="Arial"/>
          <w:sz w:val="20"/>
        </w:rPr>
        <w:t xml:space="preserve">Section </w:t>
      </w:r>
      <w:r w:rsidR="003F324D" w:rsidRPr="0092230E">
        <w:rPr>
          <w:rFonts w:ascii="Arial" w:hAnsi="Arial" w:cs="Arial"/>
          <w:sz w:val="20"/>
        </w:rPr>
        <w:t>29</w:t>
      </w:r>
      <w:r w:rsidR="0000373F" w:rsidRPr="0092230E">
        <w:rPr>
          <w:rFonts w:ascii="Arial" w:hAnsi="Arial" w:cs="Arial"/>
          <w:sz w:val="20"/>
        </w:rPr>
        <w:t xml:space="preserve"> </w:t>
      </w:r>
      <w:r w:rsidR="00463B56" w:rsidRPr="0092230E">
        <w:rPr>
          <w:rFonts w:ascii="Arial" w:hAnsi="Arial" w:cs="Arial"/>
          <w:sz w:val="20"/>
        </w:rPr>
        <w:t xml:space="preserve">provides for the deduction of inter-person input payment amounts. </w:t>
      </w:r>
    </w:p>
    <w:p w14:paraId="4F4A329B" w14:textId="77777777" w:rsidR="00621800" w:rsidRPr="0092230E" w:rsidRDefault="00621800" w:rsidP="00220F3E">
      <w:pPr>
        <w:pStyle w:val="ABABulletLevel1"/>
        <w:spacing w:after="120"/>
        <w:rPr>
          <w:rFonts w:ascii="Arial" w:hAnsi="Arial" w:cs="Arial"/>
          <w:sz w:val="20"/>
        </w:rPr>
      </w:pPr>
      <w:r w:rsidRPr="0092230E">
        <w:rPr>
          <w:rFonts w:ascii="Arial" w:hAnsi="Arial" w:cs="Arial"/>
          <w:sz w:val="20"/>
        </w:rPr>
        <w:t>While these amounts are deductions, they are clearly different to</w:t>
      </w:r>
      <w:r w:rsidR="00182013" w:rsidRPr="0092230E">
        <w:rPr>
          <w:rFonts w:ascii="Arial" w:hAnsi="Arial" w:cs="Arial"/>
          <w:sz w:val="20"/>
        </w:rPr>
        <w:t xml:space="preserve"> other</w:t>
      </w:r>
      <w:r w:rsidRPr="0092230E">
        <w:rPr>
          <w:rFonts w:ascii="Arial" w:hAnsi="Arial" w:cs="Arial"/>
          <w:sz w:val="20"/>
        </w:rPr>
        <w:t xml:space="preserve"> deductible revenue streams because they are payments made (or incurred) by the participating person or related party, rather than a form of income received by that party. Inter-person input payments are to be deducted to ensure that participating persons making the payments are not levied disproportionately, given their input payments represent revenue actually passed on to their upstream suppliers. By deducting inter-person input payments from gross telecommunications sales revenue, the Determination aims to approximate a value-added tax regime.</w:t>
      </w:r>
    </w:p>
    <w:p w14:paraId="6C844018" w14:textId="77777777" w:rsidR="00220F3E" w:rsidRPr="0092230E" w:rsidRDefault="00220F3E" w:rsidP="00220F3E">
      <w:pPr>
        <w:pStyle w:val="ABABulletLevel1"/>
        <w:spacing w:after="120"/>
        <w:rPr>
          <w:rFonts w:ascii="Arial" w:hAnsi="Arial" w:cs="Arial"/>
          <w:sz w:val="20"/>
        </w:rPr>
      </w:pPr>
      <w:r w:rsidRPr="0092230E">
        <w:rPr>
          <w:rFonts w:ascii="Arial" w:hAnsi="Arial" w:cs="Arial"/>
          <w:sz w:val="20"/>
        </w:rPr>
        <w:t xml:space="preserve">Section </w:t>
      </w:r>
      <w:r w:rsidR="00854CB9" w:rsidRPr="0092230E">
        <w:rPr>
          <w:rFonts w:ascii="Arial" w:hAnsi="Arial" w:cs="Arial"/>
          <w:sz w:val="20"/>
        </w:rPr>
        <w:t xml:space="preserve">10 </w:t>
      </w:r>
      <w:r w:rsidRPr="0092230E">
        <w:rPr>
          <w:rFonts w:ascii="Arial" w:hAnsi="Arial" w:cs="Arial"/>
          <w:sz w:val="20"/>
        </w:rPr>
        <w:t xml:space="preserve">also provides that the ACMA may, in writing, declare that a specified amount </w:t>
      </w:r>
      <w:r w:rsidR="00323D5A" w:rsidRPr="0092230E">
        <w:rPr>
          <w:rFonts w:ascii="Arial" w:hAnsi="Arial" w:cs="Arial"/>
          <w:sz w:val="20"/>
        </w:rPr>
        <w:t>is an inter-person inp</w:t>
      </w:r>
      <w:r w:rsidR="00BB454A" w:rsidRPr="0092230E">
        <w:rPr>
          <w:rFonts w:ascii="Arial" w:hAnsi="Arial" w:cs="Arial"/>
          <w:sz w:val="20"/>
        </w:rPr>
        <w:t>u</w:t>
      </w:r>
      <w:r w:rsidR="00323D5A" w:rsidRPr="0092230E">
        <w:rPr>
          <w:rFonts w:ascii="Arial" w:hAnsi="Arial" w:cs="Arial"/>
          <w:sz w:val="20"/>
        </w:rPr>
        <w:t>t p</w:t>
      </w:r>
      <w:r w:rsidR="00BB454A" w:rsidRPr="0092230E">
        <w:rPr>
          <w:rFonts w:ascii="Arial" w:hAnsi="Arial" w:cs="Arial"/>
          <w:sz w:val="20"/>
        </w:rPr>
        <w:t>ayment in relation to one or more specified</w:t>
      </w:r>
      <w:r w:rsidR="00323D5A" w:rsidRPr="0092230E">
        <w:rPr>
          <w:rFonts w:ascii="Arial" w:hAnsi="Arial" w:cs="Arial"/>
          <w:sz w:val="20"/>
        </w:rPr>
        <w:t xml:space="preserve"> participating person</w:t>
      </w:r>
      <w:r w:rsidR="00BB454A" w:rsidRPr="0092230E">
        <w:rPr>
          <w:rFonts w:ascii="Arial" w:hAnsi="Arial" w:cs="Arial"/>
          <w:sz w:val="20"/>
        </w:rPr>
        <w:t>s, or declared related parties or consolidated related parties</w:t>
      </w:r>
      <w:r w:rsidR="00323D5A" w:rsidRPr="0092230E">
        <w:rPr>
          <w:rFonts w:ascii="Arial" w:hAnsi="Arial" w:cs="Arial"/>
          <w:sz w:val="20"/>
        </w:rPr>
        <w:t xml:space="preserve"> of </w:t>
      </w:r>
      <w:r w:rsidR="00BB454A" w:rsidRPr="0092230E">
        <w:rPr>
          <w:rFonts w:ascii="Arial" w:hAnsi="Arial" w:cs="Arial"/>
          <w:sz w:val="20"/>
        </w:rPr>
        <w:t>those</w:t>
      </w:r>
      <w:r w:rsidR="00323D5A" w:rsidRPr="0092230E">
        <w:rPr>
          <w:rFonts w:ascii="Arial" w:hAnsi="Arial" w:cs="Arial"/>
          <w:sz w:val="20"/>
        </w:rPr>
        <w:t xml:space="preserve"> person</w:t>
      </w:r>
      <w:r w:rsidR="00BB454A" w:rsidRPr="0092230E">
        <w:rPr>
          <w:rFonts w:ascii="Arial" w:hAnsi="Arial" w:cs="Arial"/>
          <w:sz w:val="20"/>
        </w:rPr>
        <w:t>s</w:t>
      </w:r>
      <w:r w:rsidRPr="0092230E">
        <w:rPr>
          <w:rFonts w:ascii="Arial" w:hAnsi="Arial" w:cs="Arial"/>
          <w:sz w:val="20"/>
        </w:rPr>
        <w:t>.</w:t>
      </w:r>
    </w:p>
    <w:p w14:paraId="289BC61E" w14:textId="77777777" w:rsidR="00182013" w:rsidRPr="0092230E" w:rsidRDefault="00182013" w:rsidP="00333C5C">
      <w:pPr>
        <w:pStyle w:val="ABABulletLevel1"/>
        <w:spacing w:after="120"/>
        <w:rPr>
          <w:rFonts w:ascii="Arial" w:hAnsi="Arial" w:cs="Arial"/>
          <w:b/>
          <w:sz w:val="20"/>
        </w:rPr>
      </w:pPr>
    </w:p>
    <w:p w14:paraId="7B0C27DD" w14:textId="77777777" w:rsidR="00182013" w:rsidRPr="0092230E" w:rsidRDefault="00182013" w:rsidP="00333C5C">
      <w:pPr>
        <w:pStyle w:val="ABABulletLevel1"/>
        <w:spacing w:after="120"/>
        <w:rPr>
          <w:rFonts w:ascii="Arial" w:hAnsi="Arial" w:cs="Arial"/>
          <w:b/>
          <w:sz w:val="20"/>
        </w:rPr>
      </w:pPr>
      <w:r w:rsidRPr="0092230E">
        <w:rPr>
          <w:rFonts w:ascii="Arial" w:hAnsi="Arial" w:cs="Arial"/>
          <w:b/>
          <w:sz w:val="20"/>
        </w:rPr>
        <w:t>Part 2 – Accounting concepts</w:t>
      </w:r>
    </w:p>
    <w:p w14:paraId="1C62479E" w14:textId="77777777" w:rsidR="00333C5C" w:rsidRPr="0092230E" w:rsidRDefault="00333C5C" w:rsidP="00333C5C">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11 </w:t>
      </w:r>
      <w:r w:rsidRPr="0092230E">
        <w:rPr>
          <w:rFonts w:ascii="Arial" w:hAnsi="Arial" w:cs="Arial"/>
          <w:b/>
          <w:sz w:val="20"/>
        </w:rPr>
        <w:t>– Accounting on a group basis</w:t>
      </w:r>
    </w:p>
    <w:p w14:paraId="01623578" w14:textId="77777777" w:rsidR="003714F2" w:rsidRPr="0092230E" w:rsidRDefault="00182013" w:rsidP="00333C5C">
      <w:pPr>
        <w:pStyle w:val="ABABulletLevel1"/>
        <w:spacing w:after="120"/>
        <w:rPr>
          <w:rFonts w:ascii="Arial" w:hAnsi="Arial" w:cs="Arial"/>
          <w:sz w:val="20"/>
        </w:rPr>
      </w:pPr>
      <w:r w:rsidRPr="0092230E">
        <w:rPr>
          <w:rFonts w:ascii="Arial" w:hAnsi="Arial" w:cs="Arial"/>
          <w:sz w:val="20"/>
        </w:rPr>
        <w:t>S</w:t>
      </w:r>
      <w:r w:rsidR="00333C5C" w:rsidRPr="0092230E">
        <w:rPr>
          <w:rFonts w:ascii="Arial" w:hAnsi="Arial" w:cs="Arial"/>
          <w:sz w:val="20"/>
        </w:rPr>
        <w:t xml:space="preserve">ection </w:t>
      </w:r>
      <w:r w:rsidR="006F1C8F" w:rsidRPr="0092230E">
        <w:rPr>
          <w:rFonts w:ascii="Arial" w:hAnsi="Arial" w:cs="Arial"/>
          <w:sz w:val="20"/>
        </w:rPr>
        <w:t xml:space="preserve">11 </w:t>
      </w:r>
      <w:r w:rsidRPr="0092230E">
        <w:rPr>
          <w:rFonts w:ascii="Arial" w:hAnsi="Arial" w:cs="Arial"/>
          <w:sz w:val="20"/>
        </w:rPr>
        <w:t>provides that</w:t>
      </w:r>
      <w:r w:rsidR="00333C5C" w:rsidRPr="0092230E">
        <w:rPr>
          <w:rFonts w:ascii="Arial" w:hAnsi="Arial" w:cs="Arial"/>
          <w:sz w:val="20"/>
        </w:rPr>
        <w:t xml:space="preserve"> two or more participating persons that have the same </w:t>
      </w:r>
      <w:r w:rsidR="00364ED2" w:rsidRPr="0092230E">
        <w:rPr>
          <w:rFonts w:ascii="Arial" w:hAnsi="Arial" w:cs="Arial"/>
          <w:sz w:val="20"/>
        </w:rPr>
        <w:t>‘</w:t>
      </w:r>
      <w:r w:rsidR="00476373" w:rsidRPr="0092230E">
        <w:rPr>
          <w:rFonts w:ascii="Arial" w:hAnsi="Arial" w:cs="Arial"/>
          <w:sz w:val="20"/>
        </w:rPr>
        <w:t>ultimate Australian parent entity</w:t>
      </w:r>
      <w:r w:rsidR="00364ED2" w:rsidRPr="0092230E">
        <w:rPr>
          <w:rFonts w:ascii="Arial" w:hAnsi="Arial" w:cs="Arial"/>
          <w:sz w:val="20"/>
        </w:rPr>
        <w:t>’</w:t>
      </w:r>
      <w:r w:rsidR="00333C5C" w:rsidRPr="0092230E">
        <w:rPr>
          <w:rFonts w:ascii="Arial" w:hAnsi="Arial" w:cs="Arial"/>
          <w:sz w:val="20"/>
        </w:rPr>
        <w:t xml:space="preserve"> </w:t>
      </w:r>
      <w:r w:rsidRPr="0092230E">
        <w:rPr>
          <w:rFonts w:ascii="Arial" w:hAnsi="Arial" w:cs="Arial"/>
          <w:sz w:val="20"/>
        </w:rPr>
        <w:t xml:space="preserve">may </w:t>
      </w:r>
      <w:r w:rsidR="00333C5C" w:rsidRPr="0092230E">
        <w:rPr>
          <w:rFonts w:ascii="Arial" w:hAnsi="Arial" w:cs="Arial"/>
          <w:sz w:val="20"/>
        </w:rPr>
        <w:t xml:space="preserve">make </w:t>
      </w:r>
      <w:r w:rsidRPr="0092230E">
        <w:rPr>
          <w:rFonts w:ascii="Arial" w:hAnsi="Arial" w:cs="Arial"/>
          <w:sz w:val="20"/>
        </w:rPr>
        <w:t xml:space="preserve">certain </w:t>
      </w:r>
      <w:r w:rsidR="00333C5C" w:rsidRPr="0092230E">
        <w:rPr>
          <w:rFonts w:ascii="Arial" w:hAnsi="Arial" w:cs="Arial"/>
          <w:sz w:val="20"/>
        </w:rPr>
        <w:t>eligible revenue calculations under the Determination</w:t>
      </w:r>
      <w:r w:rsidRPr="0092230E">
        <w:rPr>
          <w:rFonts w:ascii="Arial" w:hAnsi="Arial" w:cs="Arial"/>
          <w:sz w:val="20"/>
        </w:rPr>
        <w:t>, as a group or individually</w:t>
      </w:r>
      <w:r w:rsidR="00333C5C" w:rsidRPr="0092230E">
        <w:rPr>
          <w:rFonts w:ascii="Arial" w:hAnsi="Arial" w:cs="Arial"/>
          <w:sz w:val="20"/>
        </w:rPr>
        <w:t>.</w:t>
      </w:r>
      <w:r w:rsidR="00364ED2" w:rsidRPr="0092230E">
        <w:rPr>
          <w:rFonts w:ascii="Arial" w:hAnsi="Arial" w:cs="Arial"/>
          <w:sz w:val="20"/>
        </w:rPr>
        <w:t xml:space="preserve"> </w:t>
      </w:r>
      <w:r w:rsidR="003714F2" w:rsidRPr="0092230E">
        <w:rPr>
          <w:rFonts w:ascii="Arial" w:hAnsi="Arial" w:cs="Arial"/>
          <w:sz w:val="20"/>
        </w:rPr>
        <w:t>Section 5 defines</w:t>
      </w:r>
      <w:r w:rsidR="00A6002B" w:rsidRPr="0092230E">
        <w:rPr>
          <w:rFonts w:ascii="Arial" w:hAnsi="Arial" w:cs="Arial"/>
          <w:sz w:val="20"/>
        </w:rPr>
        <w:t xml:space="preserve"> the</w:t>
      </w:r>
      <w:r w:rsidR="003714F2" w:rsidRPr="0092230E">
        <w:rPr>
          <w:rFonts w:ascii="Arial" w:hAnsi="Arial" w:cs="Arial"/>
          <w:sz w:val="20"/>
        </w:rPr>
        <w:t xml:space="preserve"> ‘ultimate Australian parent entity’ of a participating person as an entity described in that way under accounting </w:t>
      </w:r>
      <w:r w:rsidR="007015AC" w:rsidRPr="0092230E">
        <w:rPr>
          <w:rFonts w:ascii="Arial" w:hAnsi="Arial" w:cs="Arial"/>
          <w:sz w:val="20"/>
        </w:rPr>
        <w:t>methods</w:t>
      </w:r>
      <w:r w:rsidR="003714F2" w:rsidRPr="0092230E">
        <w:rPr>
          <w:rFonts w:ascii="Arial" w:hAnsi="Arial" w:cs="Arial"/>
          <w:sz w:val="20"/>
        </w:rPr>
        <w:t xml:space="preserve"> commonly used in Australia, and in the financial statements in which the participating person’s revenue is reported. </w:t>
      </w:r>
    </w:p>
    <w:p w14:paraId="2FA9F17F" w14:textId="77777777" w:rsidR="0038475C" w:rsidRPr="0092230E" w:rsidRDefault="0038475C" w:rsidP="003214EE">
      <w:pPr>
        <w:pStyle w:val="ABABulletLevel1"/>
        <w:spacing w:after="120"/>
        <w:rPr>
          <w:rFonts w:ascii="Arial" w:hAnsi="Arial" w:cs="Arial"/>
          <w:sz w:val="20"/>
        </w:rPr>
      </w:pPr>
      <w:r w:rsidRPr="0092230E">
        <w:rPr>
          <w:rFonts w:ascii="Arial" w:hAnsi="Arial" w:cs="Arial"/>
          <w:sz w:val="20"/>
        </w:rPr>
        <w:t xml:space="preserve">Subsection </w:t>
      </w:r>
      <w:r w:rsidR="006F1C8F" w:rsidRPr="0092230E">
        <w:rPr>
          <w:rFonts w:ascii="Arial" w:hAnsi="Arial" w:cs="Arial"/>
          <w:sz w:val="20"/>
        </w:rPr>
        <w:t>11</w:t>
      </w:r>
      <w:r w:rsidRPr="0092230E">
        <w:rPr>
          <w:rFonts w:ascii="Arial" w:hAnsi="Arial" w:cs="Arial"/>
          <w:sz w:val="20"/>
        </w:rPr>
        <w:t xml:space="preserve">(2) provides that </w:t>
      </w:r>
      <w:r w:rsidR="00B53264" w:rsidRPr="0092230E">
        <w:rPr>
          <w:rFonts w:ascii="Arial" w:hAnsi="Arial" w:cs="Arial"/>
          <w:sz w:val="20"/>
        </w:rPr>
        <w:t xml:space="preserve">where two or more participating persons have the same ultimate Australian parent entity, </w:t>
      </w:r>
      <w:r w:rsidRPr="0092230E">
        <w:rPr>
          <w:rFonts w:ascii="Arial" w:hAnsi="Arial" w:cs="Arial"/>
          <w:sz w:val="20"/>
        </w:rPr>
        <w:t xml:space="preserve">each participating person may make its calculation in accordance with the Determination in its own right. Subsection </w:t>
      </w:r>
      <w:r w:rsidR="007015AC" w:rsidRPr="0092230E">
        <w:rPr>
          <w:rFonts w:ascii="Arial" w:hAnsi="Arial" w:cs="Arial"/>
          <w:sz w:val="20"/>
        </w:rPr>
        <w:t>1</w:t>
      </w:r>
      <w:r w:rsidR="00D67095" w:rsidRPr="0092230E">
        <w:rPr>
          <w:rFonts w:ascii="Arial" w:hAnsi="Arial" w:cs="Arial"/>
          <w:sz w:val="20"/>
        </w:rPr>
        <w:t>1</w:t>
      </w:r>
      <w:r w:rsidRPr="0092230E">
        <w:rPr>
          <w:rFonts w:ascii="Arial" w:hAnsi="Arial" w:cs="Arial"/>
          <w:sz w:val="20"/>
        </w:rPr>
        <w:t xml:space="preserve">(3) provides an alternative to subsection </w:t>
      </w:r>
      <w:r w:rsidR="006F1C8F" w:rsidRPr="0092230E">
        <w:rPr>
          <w:rFonts w:ascii="Arial" w:hAnsi="Arial" w:cs="Arial"/>
          <w:sz w:val="20"/>
        </w:rPr>
        <w:t>11</w:t>
      </w:r>
      <w:r w:rsidRPr="0092230E">
        <w:rPr>
          <w:rFonts w:ascii="Arial" w:hAnsi="Arial" w:cs="Arial"/>
          <w:sz w:val="20"/>
        </w:rPr>
        <w:t xml:space="preserve">(2). Under subsection </w:t>
      </w:r>
      <w:r w:rsidR="006F1C8F" w:rsidRPr="0092230E">
        <w:rPr>
          <w:rFonts w:ascii="Arial" w:hAnsi="Arial" w:cs="Arial"/>
          <w:sz w:val="20"/>
        </w:rPr>
        <w:t>11</w:t>
      </w:r>
      <w:r w:rsidRPr="0092230E">
        <w:rPr>
          <w:rFonts w:ascii="Arial" w:hAnsi="Arial" w:cs="Arial"/>
          <w:sz w:val="20"/>
        </w:rPr>
        <w:t>(3), participating persons with the same ultimate Australian parent entity may make all the calculations required</w:t>
      </w:r>
      <w:r w:rsidR="00B53264" w:rsidRPr="0092230E">
        <w:rPr>
          <w:rFonts w:ascii="Arial" w:hAnsi="Arial" w:cs="Arial"/>
          <w:sz w:val="20"/>
        </w:rPr>
        <w:t xml:space="preserve"> under Parts 3 or 4 of the Determination </w:t>
      </w:r>
      <w:r w:rsidRPr="0092230E">
        <w:rPr>
          <w:rFonts w:ascii="Arial" w:hAnsi="Arial" w:cs="Arial"/>
          <w:sz w:val="20"/>
        </w:rPr>
        <w:t>on a group basis.</w:t>
      </w:r>
    </w:p>
    <w:p w14:paraId="25A251C2" w14:textId="77777777" w:rsidR="00B53264" w:rsidRPr="0092230E" w:rsidRDefault="00CA40C6" w:rsidP="003214EE">
      <w:pPr>
        <w:pStyle w:val="ABABulletLevel1"/>
        <w:spacing w:after="120"/>
        <w:rPr>
          <w:rFonts w:ascii="Arial" w:hAnsi="Arial" w:cs="Arial"/>
          <w:sz w:val="20"/>
        </w:rPr>
      </w:pPr>
      <w:r w:rsidRPr="0092230E">
        <w:rPr>
          <w:rFonts w:ascii="Arial" w:hAnsi="Arial" w:cs="Arial"/>
          <w:sz w:val="20"/>
        </w:rPr>
        <w:t xml:space="preserve">Under subsection </w:t>
      </w:r>
      <w:r w:rsidR="006F1C8F" w:rsidRPr="0092230E">
        <w:rPr>
          <w:rFonts w:ascii="Arial" w:hAnsi="Arial" w:cs="Arial"/>
          <w:sz w:val="20"/>
        </w:rPr>
        <w:t>12</w:t>
      </w:r>
      <w:r w:rsidRPr="0092230E">
        <w:rPr>
          <w:rFonts w:ascii="Arial" w:hAnsi="Arial" w:cs="Arial"/>
          <w:sz w:val="20"/>
        </w:rPr>
        <w:t>(2), where participating persons have the same ultimate Australian parent entity, the starting point for calculating eligible revenue is the consolidated financial statements of the parent entity. Using consolidated financial statements reduces opportunities for minimising ‘eligible revenue’, allows for the elimination of payments between participating persons within a corporate group</w:t>
      </w:r>
      <w:r w:rsidR="0038475C" w:rsidRPr="0092230E">
        <w:rPr>
          <w:rFonts w:ascii="Arial" w:hAnsi="Arial" w:cs="Arial"/>
          <w:sz w:val="20"/>
        </w:rPr>
        <w:t xml:space="preserve"> </w:t>
      </w:r>
      <w:r w:rsidRPr="0092230E">
        <w:rPr>
          <w:rFonts w:ascii="Arial" w:hAnsi="Arial" w:cs="Arial"/>
          <w:sz w:val="20"/>
        </w:rPr>
        <w:t xml:space="preserve">and provides for a more comprehensive audit trail. </w:t>
      </w:r>
    </w:p>
    <w:p w14:paraId="5F273C6E" w14:textId="77777777" w:rsidR="002A164D" w:rsidRPr="0092230E" w:rsidRDefault="00CA40C6" w:rsidP="003214EE">
      <w:pPr>
        <w:pStyle w:val="ABABulletLevel1"/>
        <w:spacing w:after="120"/>
        <w:rPr>
          <w:rFonts w:ascii="Arial" w:hAnsi="Arial" w:cs="Arial"/>
          <w:sz w:val="20"/>
        </w:rPr>
      </w:pPr>
      <w:r w:rsidRPr="0092230E">
        <w:rPr>
          <w:rFonts w:ascii="Arial" w:hAnsi="Arial" w:cs="Arial"/>
          <w:sz w:val="20"/>
        </w:rPr>
        <w:t>Using consolidated financial statements also allow</w:t>
      </w:r>
      <w:r w:rsidR="00A61CD8" w:rsidRPr="0092230E">
        <w:rPr>
          <w:rFonts w:ascii="Arial" w:hAnsi="Arial" w:cs="Arial"/>
          <w:sz w:val="20"/>
        </w:rPr>
        <w:t>s</w:t>
      </w:r>
      <w:r w:rsidRPr="0092230E">
        <w:rPr>
          <w:rFonts w:ascii="Arial" w:hAnsi="Arial" w:cs="Arial"/>
          <w:sz w:val="20"/>
        </w:rPr>
        <w:t xml:space="preserve"> participating persons to make some calculations on a group basis. Section </w:t>
      </w:r>
      <w:r w:rsidR="006F1C8F" w:rsidRPr="0092230E">
        <w:rPr>
          <w:rFonts w:ascii="Arial" w:hAnsi="Arial" w:cs="Arial"/>
          <w:sz w:val="20"/>
        </w:rPr>
        <w:t xml:space="preserve">36 </w:t>
      </w:r>
      <w:r w:rsidRPr="0092230E">
        <w:rPr>
          <w:rFonts w:ascii="Arial" w:hAnsi="Arial" w:cs="Arial"/>
          <w:sz w:val="20"/>
        </w:rPr>
        <w:t>provides for the attribution of eligible revenue to individual participating persons where eligible revenue is being worked out by the participating person using the method of accounting on a group basis.</w:t>
      </w:r>
    </w:p>
    <w:p w14:paraId="7F462BF3" w14:textId="77777777" w:rsidR="002642D5" w:rsidRPr="0092230E" w:rsidRDefault="002642D5" w:rsidP="003214EE">
      <w:pPr>
        <w:pStyle w:val="ABABulletLevel1"/>
        <w:spacing w:after="120"/>
        <w:rPr>
          <w:rFonts w:ascii="Arial" w:hAnsi="Arial" w:cs="Arial"/>
          <w:sz w:val="20"/>
        </w:rPr>
      </w:pPr>
    </w:p>
    <w:p w14:paraId="421105A9" w14:textId="77777777" w:rsidR="00407BAA" w:rsidRPr="0092230E" w:rsidRDefault="00476373" w:rsidP="00407BAA">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12 </w:t>
      </w:r>
      <w:r w:rsidRPr="0092230E">
        <w:rPr>
          <w:rFonts w:ascii="Arial" w:hAnsi="Arial" w:cs="Arial"/>
          <w:b/>
          <w:sz w:val="20"/>
        </w:rPr>
        <w:t>– Sales revenue</w:t>
      </w:r>
    </w:p>
    <w:p w14:paraId="2212EBF4" w14:textId="77777777" w:rsidR="007F0C84" w:rsidRPr="0092230E" w:rsidRDefault="007F0C84" w:rsidP="00407BAA">
      <w:pPr>
        <w:pStyle w:val="ABABulletLevel1"/>
        <w:spacing w:after="120"/>
        <w:rPr>
          <w:rFonts w:ascii="Arial" w:hAnsi="Arial" w:cs="Arial"/>
          <w:sz w:val="20"/>
        </w:rPr>
      </w:pPr>
      <w:r w:rsidRPr="0092230E">
        <w:rPr>
          <w:rFonts w:ascii="Arial" w:hAnsi="Arial" w:cs="Arial"/>
          <w:sz w:val="20"/>
        </w:rPr>
        <w:t xml:space="preserve">Subsection </w:t>
      </w:r>
      <w:r w:rsidR="00140AB0" w:rsidRPr="0092230E">
        <w:rPr>
          <w:rFonts w:ascii="Arial" w:hAnsi="Arial" w:cs="Arial"/>
          <w:sz w:val="20"/>
        </w:rPr>
        <w:t>12</w:t>
      </w:r>
      <w:r w:rsidRPr="0092230E">
        <w:rPr>
          <w:rFonts w:ascii="Arial" w:hAnsi="Arial" w:cs="Arial"/>
          <w:sz w:val="20"/>
        </w:rPr>
        <w:t>(1)</w:t>
      </w:r>
      <w:r w:rsidR="00407BAA" w:rsidRPr="0092230E">
        <w:rPr>
          <w:rFonts w:ascii="Arial" w:hAnsi="Arial" w:cs="Arial"/>
          <w:sz w:val="20"/>
        </w:rPr>
        <w:t xml:space="preserve"> states that the sales revenue </w:t>
      </w:r>
      <w:r w:rsidRPr="0092230E">
        <w:rPr>
          <w:rFonts w:ascii="Arial" w:hAnsi="Arial" w:cs="Arial"/>
          <w:sz w:val="20"/>
        </w:rPr>
        <w:t xml:space="preserve">of a participating person, consolidated related party or declared related party </w:t>
      </w:r>
      <w:r w:rsidR="00407BAA" w:rsidRPr="0092230E">
        <w:rPr>
          <w:rFonts w:ascii="Arial" w:hAnsi="Arial" w:cs="Arial"/>
          <w:sz w:val="20"/>
        </w:rPr>
        <w:t xml:space="preserve">for </w:t>
      </w:r>
      <w:r w:rsidRPr="0092230E">
        <w:rPr>
          <w:rFonts w:ascii="Arial" w:hAnsi="Arial" w:cs="Arial"/>
          <w:sz w:val="20"/>
        </w:rPr>
        <w:t xml:space="preserve">an </w:t>
      </w:r>
      <w:r w:rsidR="00407BAA" w:rsidRPr="0092230E">
        <w:rPr>
          <w:rFonts w:ascii="Arial" w:hAnsi="Arial" w:cs="Arial"/>
          <w:sz w:val="20"/>
        </w:rPr>
        <w:t xml:space="preserve">eligible revenue period is to be </w:t>
      </w:r>
      <w:r w:rsidR="00B63D71" w:rsidRPr="0092230E">
        <w:rPr>
          <w:rFonts w:ascii="Arial" w:hAnsi="Arial" w:cs="Arial"/>
          <w:sz w:val="20"/>
        </w:rPr>
        <w:t xml:space="preserve">worked out </w:t>
      </w:r>
      <w:r w:rsidR="00407BAA" w:rsidRPr="0092230E">
        <w:rPr>
          <w:rFonts w:ascii="Arial" w:hAnsi="Arial" w:cs="Arial"/>
          <w:sz w:val="20"/>
        </w:rPr>
        <w:t xml:space="preserve">from particular sources identified in subsections </w:t>
      </w:r>
      <w:r w:rsidR="00476373" w:rsidRPr="0092230E">
        <w:rPr>
          <w:rFonts w:ascii="Arial" w:hAnsi="Arial" w:cs="Arial"/>
          <w:sz w:val="20"/>
        </w:rPr>
        <w:t>1</w:t>
      </w:r>
      <w:r w:rsidR="0029235C" w:rsidRPr="0092230E">
        <w:rPr>
          <w:rFonts w:ascii="Arial" w:hAnsi="Arial" w:cs="Arial"/>
          <w:sz w:val="20"/>
        </w:rPr>
        <w:t>2</w:t>
      </w:r>
      <w:r w:rsidR="00476373" w:rsidRPr="0092230E">
        <w:rPr>
          <w:rFonts w:ascii="Arial" w:hAnsi="Arial" w:cs="Arial"/>
          <w:sz w:val="20"/>
        </w:rPr>
        <w:t>(2) and 1</w:t>
      </w:r>
      <w:r w:rsidR="0029235C" w:rsidRPr="0092230E">
        <w:rPr>
          <w:rFonts w:ascii="Arial" w:hAnsi="Arial" w:cs="Arial"/>
          <w:sz w:val="20"/>
        </w:rPr>
        <w:t>2</w:t>
      </w:r>
      <w:r w:rsidR="00476373" w:rsidRPr="0092230E">
        <w:rPr>
          <w:rFonts w:ascii="Arial" w:hAnsi="Arial" w:cs="Arial"/>
          <w:sz w:val="20"/>
        </w:rPr>
        <w:t>(4)</w:t>
      </w:r>
      <w:r w:rsidR="00B00772" w:rsidRPr="0092230E">
        <w:rPr>
          <w:rFonts w:ascii="Arial" w:hAnsi="Arial" w:cs="Arial"/>
          <w:sz w:val="20"/>
        </w:rPr>
        <w:t xml:space="preserve"> to identify the reven</w:t>
      </w:r>
      <w:r w:rsidR="000526B4" w:rsidRPr="0092230E">
        <w:rPr>
          <w:rFonts w:ascii="Arial" w:hAnsi="Arial" w:cs="Arial"/>
          <w:sz w:val="20"/>
        </w:rPr>
        <w:t>u</w:t>
      </w:r>
      <w:r w:rsidR="00B00772" w:rsidRPr="0092230E">
        <w:rPr>
          <w:rFonts w:ascii="Arial" w:hAnsi="Arial" w:cs="Arial"/>
          <w:sz w:val="20"/>
        </w:rPr>
        <w:t>e for the ‘relevant period’ (being the period during the eligible revenue period in which the participating person holds a carrier licence, or is a participating carriage service provider)</w:t>
      </w:r>
      <w:r w:rsidR="00476373" w:rsidRPr="0092230E">
        <w:rPr>
          <w:rFonts w:ascii="Arial" w:hAnsi="Arial" w:cs="Arial"/>
          <w:sz w:val="20"/>
        </w:rPr>
        <w:t xml:space="preserve">. </w:t>
      </w:r>
      <w:r w:rsidR="00407BAA" w:rsidRPr="0092230E">
        <w:rPr>
          <w:rFonts w:ascii="Arial" w:hAnsi="Arial" w:cs="Arial"/>
          <w:sz w:val="20"/>
        </w:rPr>
        <w:t xml:space="preserve"> </w:t>
      </w:r>
    </w:p>
    <w:p w14:paraId="4AF2B506" w14:textId="77777777" w:rsidR="00B63D71" w:rsidRPr="0092230E" w:rsidRDefault="00B63D71" w:rsidP="003214EE">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12</w:t>
      </w:r>
      <w:r w:rsidRPr="0092230E">
        <w:rPr>
          <w:rFonts w:ascii="Arial" w:hAnsi="Arial" w:cs="Arial"/>
          <w:sz w:val="20"/>
        </w:rPr>
        <w:t>(2) identif</w:t>
      </w:r>
      <w:r w:rsidR="00C1489A" w:rsidRPr="0092230E">
        <w:rPr>
          <w:rFonts w:ascii="Arial" w:hAnsi="Arial" w:cs="Arial"/>
          <w:sz w:val="20"/>
        </w:rPr>
        <w:t>ies</w:t>
      </w:r>
      <w:r w:rsidRPr="0092230E">
        <w:rPr>
          <w:rFonts w:ascii="Arial" w:hAnsi="Arial" w:cs="Arial"/>
          <w:sz w:val="20"/>
        </w:rPr>
        <w:t xml:space="preserve"> the sources from which sales revenue is to </w:t>
      </w:r>
      <w:r w:rsidR="00906830" w:rsidRPr="0092230E">
        <w:rPr>
          <w:rFonts w:ascii="Arial" w:hAnsi="Arial" w:cs="Arial"/>
          <w:sz w:val="20"/>
        </w:rPr>
        <w:t xml:space="preserve">be </w:t>
      </w:r>
      <w:r w:rsidRPr="0092230E">
        <w:rPr>
          <w:rFonts w:ascii="Arial" w:hAnsi="Arial" w:cs="Arial"/>
          <w:sz w:val="20"/>
        </w:rPr>
        <w:t>worked out</w:t>
      </w:r>
      <w:r w:rsidR="00277B3B" w:rsidRPr="0092230E">
        <w:rPr>
          <w:rFonts w:ascii="Arial" w:hAnsi="Arial" w:cs="Arial"/>
          <w:sz w:val="20"/>
        </w:rPr>
        <w:t xml:space="preserve"> as follows</w:t>
      </w:r>
      <w:r w:rsidR="00906830" w:rsidRPr="0092230E">
        <w:rPr>
          <w:rFonts w:ascii="Arial" w:hAnsi="Arial" w:cs="Arial"/>
          <w:sz w:val="20"/>
        </w:rPr>
        <w:t>:</w:t>
      </w:r>
    </w:p>
    <w:p w14:paraId="5C1788A9"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 xml:space="preserve">where a participating person’s </w:t>
      </w:r>
      <w:r w:rsidR="00277B3B" w:rsidRPr="0092230E">
        <w:rPr>
          <w:rFonts w:ascii="Arial" w:hAnsi="Arial" w:cs="Arial"/>
          <w:sz w:val="20"/>
        </w:rPr>
        <w:t xml:space="preserve">sales </w:t>
      </w:r>
      <w:r w:rsidRPr="0092230E">
        <w:rPr>
          <w:rFonts w:ascii="Arial" w:hAnsi="Arial" w:cs="Arial"/>
          <w:sz w:val="20"/>
        </w:rPr>
        <w:t>revenue is included in the consolidated financial statements of an ultimate Australian parent entity</w:t>
      </w:r>
      <w:r w:rsidR="00B3189A" w:rsidRPr="0092230E">
        <w:rPr>
          <w:rFonts w:ascii="Arial" w:hAnsi="Arial" w:cs="Arial"/>
          <w:sz w:val="20"/>
        </w:rPr>
        <w:t>,</w:t>
      </w:r>
      <w:r w:rsidR="00277B3B" w:rsidRPr="0092230E">
        <w:rPr>
          <w:rFonts w:ascii="Arial" w:hAnsi="Arial" w:cs="Arial"/>
          <w:sz w:val="20"/>
        </w:rPr>
        <w:t xml:space="preserve"> the sources are:</w:t>
      </w:r>
    </w:p>
    <w:p w14:paraId="0DE2A14D" w14:textId="77777777" w:rsidR="00702C3D" w:rsidRPr="0092230E" w:rsidRDefault="00277B3B">
      <w:pPr>
        <w:pStyle w:val="ABABulletLevel1"/>
        <w:numPr>
          <w:ilvl w:val="1"/>
          <w:numId w:val="22"/>
        </w:numPr>
        <w:spacing w:after="120"/>
        <w:rPr>
          <w:rFonts w:ascii="Arial" w:hAnsi="Arial" w:cs="Arial"/>
          <w:sz w:val="20"/>
        </w:rPr>
      </w:pPr>
      <w:r w:rsidRPr="0092230E">
        <w:rPr>
          <w:rFonts w:ascii="Arial" w:hAnsi="Arial" w:cs="Arial"/>
          <w:sz w:val="20"/>
        </w:rPr>
        <w:t>the most recent audited financial statements of the ultimate Australian parent entity; or</w:t>
      </w:r>
    </w:p>
    <w:p w14:paraId="4A52BBA6" w14:textId="77777777" w:rsidR="00702C3D" w:rsidRPr="0092230E" w:rsidRDefault="00277B3B">
      <w:pPr>
        <w:pStyle w:val="ABABulletLevel1"/>
        <w:numPr>
          <w:ilvl w:val="1"/>
          <w:numId w:val="22"/>
        </w:numPr>
        <w:spacing w:after="120"/>
        <w:rPr>
          <w:rFonts w:ascii="Arial" w:hAnsi="Arial" w:cs="Arial"/>
          <w:sz w:val="20"/>
        </w:rPr>
      </w:pPr>
      <w:r w:rsidRPr="0092230E">
        <w:rPr>
          <w:rFonts w:ascii="Arial" w:hAnsi="Arial" w:cs="Arial"/>
          <w:sz w:val="20"/>
        </w:rPr>
        <w:t>if the ultimate Australian parent entity is not required to audit its financial statements – the most recent financial statements of the ultimate Australian parent entity</w:t>
      </w:r>
      <w:r w:rsidR="00906830" w:rsidRPr="0092230E">
        <w:rPr>
          <w:rFonts w:ascii="Arial" w:hAnsi="Arial" w:cs="Arial"/>
          <w:sz w:val="20"/>
        </w:rPr>
        <w:t>;</w:t>
      </w:r>
      <w:r w:rsidRPr="0092230E">
        <w:rPr>
          <w:rFonts w:ascii="Arial" w:hAnsi="Arial" w:cs="Arial"/>
          <w:sz w:val="20"/>
        </w:rPr>
        <w:t xml:space="preserve"> and</w:t>
      </w:r>
    </w:p>
    <w:p w14:paraId="62F59D61"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 xml:space="preserve">where a participating person’s </w:t>
      </w:r>
      <w:r w:rsidR="00277B3B" w:rsidRPr="0092230E">
        <w:rPr>
          <w:rFonts w:ascii="Arial" w:hAnsi="Arial" w:cs="Arial"/>
          <w:sz w:val="20"/>
        </w:rPr>
        <w:t xml:space="preserve">sales </w:t>
      </w:r>
      <w:r w:rsidRPr="0092230E">
        <w:rPr>
          <w:rFonts w:ascii="Arial" w:hAnsi="Arial" w:cs="Arial"/>
          <w:sz w:val="20"/>
        </w:rPr>
        <w:t>revenue is not included in the consolidated financial statements of an ultimate Australian parent entity</w:t>
      </w:r>
      <w:r w:rsidR="00B3189A" w:rsidRPr="0092230E">
        <w:rPr>
          <w:rFonts w:ascii="Arial" w:hAnsi="Arial" w:cs="Arial"/>
          <w:sz w:val="20"/>
        </w:rPr>
        <w:t>,</w:t>
      </w:r>
      <w:r w:rsidRPr="0092230E">
        <w:rPr>
          <w:rFonts w:ascii="Arial" w:hAnsi="Arial" w:cs="Arial"/>
          <w:sz w:val="20"/>
        </w:rPr>
        <w:t xml:space="preserve"> </w:t>
      </w:r>
      <w:r w:rsidR="00277B3B" w:rsidRPr="0092230E">
        <w:rPr>
          <w:rFonts w:ascii="Arial" w:hAnsi="Arial" w:cs="Arial"/>
          <w:sz w:val="20"/>
        </w:rPr>
        <w:t>the sources are:</w:t>
      </w:r>
    </w:p>
    <w:p w14:paraId="03A3766C"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lastRenderedPageBreak/>
        <w:t>the most recent audited financial statements</w:t>
      </w:r>
      <w:r w:rsidR="00991402" w:rsidRPr="0092230E">
        <w:rPr>
          <w:rFonts w:ascii="Arial" w:hAnsi="Arial" w:cs="Arial"/>
          <w:sz w:val="20"/>
        </w:rPr>
        <w:t xml:space="preserve"> including the sales revenue</w:t>
      </w:r>
      <w:r w:rsidRPr="0092230E">
        <w:rPr>
          <w:rFonts w:ascii="Arial" w:hAnsi="Arial" w:cs="Arial"/>
          <w:sz w:val="20"/>
        </w:rPr>
        <w:t xml:space="preserve"> of the participating person; or</w:t>
      </w:r>
    </w:p>
    <w:p w14:paraId="3102BB17"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 xml:space="preserve">if the participating person is not required to audit its financial statements – the most recent financial statements </w:t>
      </w:r>
      <w:r w:rsidR="00991402" w:rsidRPr="0092230E">
        <w:rPr>
          <w:rFonts w:ascii="Arial" w:hAnsi="Arial" w:cs="Arial"/>
          <w:sz w:val="20"/>
        </w:rPr>
        <w:t xml:space="preserve">including the sales revenue </w:t>
      </w:r>
      <w:r w:rsidRPr="0092230E">
        <w:rPr>
          <w:rFonts w:ascii="Arial" w:hAnsi="Arial" w:cs="Arial"/>
          <w:sz w:val="20"/>
        </w:rPr>
        <w:t>of the participating person; and</w:t>
      </w:r>
    </w:p>
    <w:p w14:paraId="50D0417D" w14:textId="77777777" w:rsidR="00702C3D" w:rsidRPr="0092230E" w:rsidRDefault="00906830">
      <w:pPr>
        <w:pStyle w:val="ABABulletLevel1"/>
        <w:numPr>
          <w:ilvl w:val="0"/>
          <w:numId w:val="22"/>
        </w:numPr>
        <w:spacing w:after="120"/>
        <w:rPr>
          <w:rFonts w:ascii="Arial" w:hAnsi="Arial" w:cs="Arial"/>
          <w:sz w:val="20"/>
        </w:rPr>
      </w:pPr>
      <w:r w:rsidRPr="0092230E">
        <w:rPr>
          <w:rFonts w:ascii="Arial" w:hAnsi="Arial" w:cs="Arial"/>
          <w:sz w:val="20"/>
        </w:rPr>
        <w:t>for a declared related party</w:t>
      </w:r>
      <w:r w:rsidR="00B3189A" w:rsidRPr="0092230E">
        <w:rPr>
          <w:rFonts w:ascii="Arial" w:hAnsi="Arial" w:cs="Arial"/>
          <w:sz w:val="20"/>
        </w:rPr>
        <w:t>,</w:t>
      </w:r>
      <w:r w:rsidRPr="0092230E">
        <w:rPr>
          <w:rFonts w:ascii="Arial" w:hAnsi="Arial" w:cs="Arial"/>
          <w:sz w:val="20"/>
        </w:rPr>
        <w:t xml:space="preserve"> </w:t>
      </w:r>
      <w:r w:rsidR="00277B3B" w:rsidRPr="0092230E">
        <w:rPr>
          <w:rFonts w:ascii="Arial" w:hAnsi="Arial" w:cs="Arial"/>
          <w:sz w:val="20"/>
        </w:rPr>
        <w:t>the sources are:</w:t>
      </w:r>
    </w:p>
    <w:p w14:paraId="606D33F9"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the most recent audited financial statements of the declared related party; or</w:t>
      </w:r>
    </w:p>
    <w:p w14:paraId="586FAFF2" w14:textId="77777777" w:rsidR="00277B3B" w:rsidRPr="0092230E" w:rsidRDefault="00277B3B" w:rsidP="00277B3B">
      <w:pPr>
        <w:pStyle w:val="ABABulletLevel1"/>
        <w:numPr>
          <w:ilvl w:val="1"/>
          <w:numId w:val="22"/>
        </w:numPr>
        <w:spacing w:after="120"/>
        <w:rPr>
          <w:rFonts w:ascii="Arial" w:hAnsi="Arial" w:cs="Arial"/>
          <w:sz w:val="20"/>
        </w:rPr>
      </w:pPr>
      <w:r w:rsidRPr="0092230E">
        <w:rPr>
          <w:rFonts w:ascii="Arial" w:hAnsi="Arial" w:cs="Arial"/>
          <w:sz w:val="20"/>
        </w:rPr>
        <w:t xml:space="preserve">if the declared related party is not required to audit its financial statements – the most recent financial statements </w:t>
      </w:r>
      <w:r w:rsidR="00991402" w:rsidRPr="0092230E">
        <w:rPr>
          <w:rFonts w:ascii="Arial" w:hAnsi="Arial" w:cs="Arial"/>
          <w:sz w:val="20"/>
        </w:rPr>
        <w:t xml:space="preserve">including the sales revenue </w:t>
      </w:r>
      <w:r w:rsidRPr="0092230E">
        <w:rPr>
          <w:rFonts w:ascii="Arial" w:hAnsi="Arial" w:cs="Arial"/>
          <w:sz w:val="20"/>
        </w:rPr>
        <w:t>of the declared related party.</w:t>
      </w:r>
    </w:p>
    <w:p w14:paraId="52A8B45A" w14:textId="61DA1307" w:rsidR="00385BE9" w:rsidRDefault="007F4839">
      <w:pPr>
        <w:pStyle w:val="ABABulletLevel1"/>
        <w:spacing w:after="120"/>
        <w:rPr>
          <w:rFonts w:ascii="Arial" w:hAnsi="Arial" w:cs="Arial"/>
          <w:sz w:val="20"/>
        </w:rPr>
      </w:pPr>
      <w:r w:rsidRPr="0092230E">
        <w:rPr>
          <w:rFonts w:ascii="Arial" w:hAnsi="Arial" w:cs="Arial"/>
          <w:sz w:val="20"/>
        </w:rPr>
        <w:t xml:space="preserve">The sources identified in </w:t>
      </w:r>
      <w:r w:rsidR="00C1489A" w:rsidRPr="0092230E">
        <w:rPr>
          <w:rFonts w:ascii="Arial" w:hAnsi="Arial" w:cs="Arial"/>
          <w:sz w:val="20"/>
        </w:rPr>
        <w:t>s</w:t>
      </w:r>
      <w:r w:rsidR="001C6282" w:rsidRPr="0092230E">
        <w:rPr>
          <w:rFonts w:ascii="Arial" w:hAnsi="Arial" w:cs="Arial"/>
          <w:sz w:val="20"/>
        </w:rPr>
        <w:t xml:space="preserve">ubsection </w:t>
      </w:r>
      <w:r w:rsidR="002A3D23" w:rsidRPr="0092230E">
        <w:rPr>
          <w:rFonts w:ascii="Arial" w:hAnsi="Arial" w:cs="Arial"/>
          <w:sz w:val="20"/>
        </w:rPr>
        <w:t>12</w:t>
      </w:r>
      <w:r w:rsidR="00476373" w:rsidRPr="0092230E">
        <w:rPr>
          <w:rFonts w:ascii="Arial" w:hAnsi="Arial" w:cs="Arial"/>
          <w:sz w:val="20"/>
        </w:rPr>
        <w:t>(2)</w:t>
      </w:r>
      <w:r w:rsidR="001C6282" w:rsidRPr="0092230E">
        <w:rPr>
          <w:rFonts w:ascii="Arial" w:hAnsi="Arial" w:cs="Arial"/>
          <w:sz w:val="20"/>
        </w:rPr>
        <w:t xml:space="preserve"> are the most recent financial statements for a period ending on or before the end of the </w:t>
      </w:r>
      <w:r w:rsidR="00E03B27" w:rsidRPr="0092230E">
        <w:rPr>
          <w:rFonts w:ascii="Arial" w:hAnsi="Arial" w:cs="Arial"/>
          <w:sz w:val="20"/>
        </w:rPr>
        <w:t xml:space="preserve">relevant </w:t>
      </w:r>
      <w:r w:rsidR="001C6282" w:rsidRPr="0092230E">
        <w:rPr>
          <w:rFonts w:ascii="Arial" w:hAnsi="Arial" w:cs="Arial"/>
          <w:sz w:val="20"/>
        </w:rPr>
        <w:t xml:space="preserve">eligible revenue period. </w:t>
      </w:r>
      <w:r w:rsidR="00385BE9" w:rsidRPr="0092230E">
        <w:rPr>
          <w:rFonts w:ascii="Arial" w:hAnsi="Arial" w:cs="Arial"/>
          <w:sz w:val="20"/>
        </w:rPr>
        <w:t xml:space="preserve">For example, </w:t>
      </w:r>
      <w:r w:rsidR="006B0C50">
        <w:rPr>
          <w:rFonts w:ascii="Arial" w:hAnsi="Arial" w:cs="Arial"/>
          <w:sz w:val="20"/>
        </w:rPr>
        <w:t xml:space="preserve">in working out </w:t>
      </w:r>
      <w:r w:rsidR="00497A0B">
        <w:rPr>
          <w:rFonts w:ascii="Arial" w:hAnsi="Arial" w:cs="Arial"/>
          <w:sz w:val="20"/>
        </w:rPr>
        <w:t>the sales revenue of a participating person for</w:t>
      </w:r>
      <w:r w:rsidR="006232E7">
        <w:rPr>
          <w:rFonts w:ascii="Arial" w:hAnsi="Arial" w:cs="Arial"/>
          <w:sz w:val="20"/>
        </w:rPr>
        <w:t xml:space="preserve"> </w:t>
      </w:r>
      <w:r w:rsidR="00385BE9" w:rsidRPr="0092230E">
        <w:rPr>
          <w:rFonts w:ascii="Arial" w:hAnsi="Arial" w:cs="Arial"/>
          <w:sz w:val="20"/>
        </w:rPr>
        <w:t>the eligible revenue period end</w:t>
      </w:r>
      <w:r w:rsidR="00385BE9">
        <w:rPr>
          <w:rFonts w:ascii="Arial" w:hAnsi="Arial" w:cs="Arial"/>
          <w:sz w:val="20"/>
        </w:rPr>
        <w:t>ing</w:t>
      </w:r>
      <w:r w:rsidR="00385BE9" w:rsidRPr="0092230E">
        <w:rPr>
          <w:rFonts w:ascii="Arial" w:hAnsi="Arial" w:cs="Arial"/>
          <w:sz w:val="20"/>
        </w:rPr>
        <w:t xml:space="preserve"> on 30 June 2016,</w:t>
      </w:r>
      <w:r w:rsidR="00065510">
        <w:rPr>
          <w:rFonts w:ascii="Arial" w:hAnsi="Arial" w:cs="Arial"/>
          <w:sz w:val="20"/>
        </w:rPr>
        <w:t xml:space="preserve"> the most recent audited financial statements</w:t>
      </w:r>
      <w:r w:rsidR="00675E68">
        <w:rPr>
          <w:rFonts w:ascii="Arial" w:hAnsi="Arial" w:cs="Arial"/>
          <w:sz w:val="20"/>
        </w:rPr>
        <w:t>,</w:t>
      </w:r>
      <w:r w:rsidR="00065510">
        <w:rPr>
          <w:rFonts w:ascii="Arial" w:hAnsi="Arial" w:cs="Arial"/>
          <w:sz w:val="20"/>
        </w:rPr>
        <w:t xml:space="preserve"> </w:t>
      </w:r>
      <w:r w:rsidR="006B0C50">
        <w:rPr>
          <w:rFonts w:ascii="Arial" w:hAnsi="Arial" w:cs="Arial"/>
          <w:sz w:val="20"/>
        </w:rPr>
        <w:t>including the sales revenue of</w:t>
      </w:r>
      <w:r w:rsidR="00065510">
        <w:rPr>
          <w:rFonts w:ascii="Arial" w:hAnsi="Arial" w:cs="Arial"/>
          <w:sz w:val="20"/>
        </w:rPr>
        <w:t xml:space="preserve"> </w:t>
      </w:r>
      <w:r w:rsidR="006B0C50">
        <w:rPr>
          <w:rFonts w:ascii="Arial" w:hAnsi="Arial" w:cs="Arial"/>
          <w:sz w:val="20"/>
        </w:rPr>
        <w:t>the</w:t>
      </w:r>
      <w:r w:rsidR="00065510">
        <w:rPr>
          <w:rFonts w:ascii="Arial" w:hAnsi="Arial" w:cs="Arial"/>
          <w:sz w:val="20"/>
        </w:rPr>
        <w:t xml:space="preserve"> participating person</w:t>
      </w:r>
      <w:r w:rsidR="00675E68">
        <w:rPr>
          <w:rFonts w:ascii="Arial" w:hAnsi="Arial" w:cs="Arial"/>
          <w:sz w:val="20"/>
        </w:rPr>
        <w:t>,</w:t>
      </w:r>
      <w:r w:rsidR="006232E7">
        <w:rPr>
          <w:rFonts w:ascii="Arial" w:hAnsi="Arial" w:cs="Arial"/>
          <w:sz w:val="20"/>
        </w:rPr>
        <w:t xml:space="preserve"> </w:t>
      </w:r>
      <w:r w:rsidR="00065510">
        <w:rPr>
          <w:rFonts w:ascii="Arial" w:hAnsi="Arial" w:cs="Arial"/>
          <w:sz w:val="20"/>
        </w:rPr>
        <w:t>for the period</w:t>
      </w:r>
      <w:r w:rsidR="007262D6">
        <w:rPr>
          <w:rFonts w:ascii="Arial" w:hAnsi="Arial" w:cs="Arial"/>
          <w:sz w:val="20"/>
        </w:rPr>
        <w:t xml:space="preserve"> from</w:t>
      </w:r>
      <w:r w:rsidR="00065510">
        <w:rPr>
          <w:rFonts w:ascii="Arial" w:hAnsi="Arial" w:cs="Arial"/>
          <w:sz w:val="20"/>
        </w:rPr>
        <w:t xml:space="preserve"> </w:t>
      </w:r>
      <w:r w:rsidR="006232E7">
        <w:rPr>
          <w:rFonts w:ascii="Arial" w:hAnsi="Arial" w:cs="Arial"/>
          <w:sz w:val="20"/>
        </w:rPr>
        <w:t>1</w:t>
      </w:r>
      <w:r w:rsidR="00065510">
        <w:rPr>
          <w:rFonts w:ascii="Arial" w:hAnsi="Arial" w:cs="Arial"/>
          <w:sz w:val="20"/>
        </w:rPr>
        <w:t xml:space="preserve"> April</w:t>
      </w:r>
      <w:r w:rsidR="007262D6">
        <w:rPr>
          <w:rFonts w:ascii="Arial" w:hAnsi="Arial" w:cs="Arial"/>
          <w:sz w:val="20"/>
        </w:rPr>
        <w:t xml:space="preserve"> 2015 to 31 </w:t>
      </w:r>
      <w:r w:rsidR="006232E7">
        <w:rPr>
          <w:rFonts w:ascii="Arial" w:hAnsi="Arial" w:cs="Arial"/>
          <w:sz w:val="20"/>
        </w:rPr>
        <w:t>March</w:t>
      </w:r>
      <w:r w:rsidR="00065510">
        <w:rPr>
          <w:rFonts w:ascii="Arial" w:hAnsi="Arial" w:cs="Arial"/>
          <w:sz w:val="20"/>
        </w:rPr>
        <w:t xml:space="preserve"> 2016</w:t>
      </w:r>
      <w:r w:rsidR="006B0C50">
        <w:rPr>
          <w:rFonts w:ascii="Arial" w:hAnsi="Arial" w:cs="Arial"/>
          <w:sz w:val="20"/>
        </w:rPr>
        <w:t xml:space="preserve"> </w:t>
      </w:r>
      <w:r w:rsidR="00065510">
        <w:rPr>
          <w:rFonts w:ascii="Arial" w:hAnsi="Arial" w:cs="Arial"/>
          <w:sz w:val="20"/>
        </w:rPr>
        <w:t>could be used</w:t>
      </w:r>
      <w:r w:rsidR="006232E7">
        <w:rPr>
          <w:rFonts w:ascii="Arial" w:hAnsi="Arial" w:cs="Arial"/>
          <w:sz w:val="20"/>
        </w:rPr>
        <w:t xml:space="preserve"> </w:t>
      </w:r>
      <w:r w:rsidR="004218A1">
        <w:rPr>
          <w:rFonts w:ascii="Arial" w:hAnsi="Arial" w:cs="Arial"/>
          <w:sz w:val="20"/>
        </w:rPr>
        <w:t>because th</w:t>
      </w:r>
      <w:r w:rsidR="00810315">
        <w:rPr>
          <w:rFonts w:ascii="Arial" w:hAnsi="Arial" w:cs="Arial"/>
          <w:sz w:val="20"/>
        </w:rPr>
        <w:t>at</w:t>
      </w:r>
      <w:r w:rsidR="00675E68">
        <w:rPr>
          <w:rFonts w:ascii="Arial" w:hAnsi="Arial" w:cs="Arial"/>
          <w:sz w:val="20"/>
        </w:rPr>
        <w:t xml:space="preserve"> </w:t>
      </w:r>
      <w:r w:rsidR="00E1485A">
        <w:rPr>
          <w:rFonts w:ascii="Arial" w:hAnsi="Arial" w:cs="Arial"/>
          <w:sz w:val="20"/>
        </w:rPr>
        <w:t>period end</w:t>
      </w:r>
      <w:r w:rsidR="006232E7">
        <w:rPr>
          <w:rFonts w:ascii="Arial" w:hAnsi="Arial" w:cs="Arial"/>
          <w:sz w:val="20"/>
        </w:rPr>
        <w:t>s</w:t>
      </w:r>
      <w:r w:rsidR="00E1485A">
        <w:rPr>
          <w:rFonts w:ascii="Arial" w:hAnsi="Arial" w:cs="Arial"/>
          <w:sz w:val="20"/>
        </w:rPr>
        <w:t xml:space="preserve"> before the end of the relevant eligible revenue period</w:t>
      </w:r>
      <w:r w:rsidR="00065510">
        <w:rPr>
          <w:rFonts w:ascii="Arial" w:hAnsi="Arial" w:cs="Arial"/>
          <w:sz w:val="20"/>
        </w:rPr>
        <w:t xml:space="preserve">.  However, </w:t>
      </w:r>
      <w:r w:rsidR="00675E68">
        <w:rPr>
          <w:rFonts w:ascii="Arial" w:hAnsi="Arial" w:cs="Arial"/>
          <w:sz w:val="20"/>
        </w:rPr>
        <w:t>th</w:t>
      </w:r>
      <w:r w:rsidR="00E1485A">
        <w:rPr>
          <w:rFonts w:ascii="Arial" w:hAnsi="Arial" w:cs="Arial"/>
          <w:sz w:val="20"/>
        </w:rPr>
        <w:t>e</w:t>
      </w:r>
      <w:r w:rsidR="00675E68">
        <w:rPr>
          <w:rFonts w:ascii="Arial" w:hAnsi="Arial" w:cs="Arial"/>
          <w:sz w:val="20"/>
        </w:rPr>
        <w:t xml:space="preserve"> </w:t>
      </w:r>
      <w:r w:rsidR="00385BE9" w:rsidRPr="0092230E">
        <w:rPr>
          <w:rFonts w:ascii="Arial" w:hAnsi="Arial" w:cs="Arial"/>
          <w:sz w:val="20"/>
        </w:rPr>
        <w:t>audited financial statements for the period</w:t>
      </w:r>
      <w:r w:rsidR="00810315">
        <w:rPr>
          <w:rFonts w:ascii="Arial" w:hAnsi="Arial" w:cs="Arial"/>
          <w:sz w:val="20"/>
        </w:rPr>
        <w:t xml:space="preserve"> </w:t>
      </w:r>
      <w:r w:rsidR="007262D6">
        <w:rPr>
          <w:rFonts w:ascii="Arial" w:hAnsi="Arial" w:cs="Arial"/>
          <w:sz w:val="20"/>
        </w:rPr>
        <w:t xml:space="preserve">from </w:t>
      </w:r>
      <w:r w:rsidR="00810315">
        <w:rPr>
          <w:rFonts w:ascii="Arial" w:hAnsi="Arial" w:cs="Arial"/>
          <w:sz w:val="20"/>
        </w:rPr>
        <w:t>1 April 2016 to 31 March 2017</w:t>
      </w:r>
      <w:r w:rsidR="007262D6">
        <w:rPr>
          <w:rFonts w:ascii="Arial" w:hAnsi="Arial" w:cs="Arial"/>
          <w:sz w:val="20"/>
        </w:rPr>
        <w:t xml:space="preserve"> </w:t>
      </w:r>
      <w:r w:rsidR="00385BE9" w:rsidRPr="0092230E">
        <w:rPr>
          <w:rFonts w:ascii="Arial" w:hAnsi="Arial" w:cs="Arial"/>
          <w:sz w:val="20"/>
        </w:rPr>
        <w:t>could not be used</w:t>
      </w:r>
      <w:r w:rsidR="003A6561">
        <w:rPr>
          <w:rFonts w:ascii="Arial" w:hAnsi="Arial" w:cs="Arial"/>
          <w:sz w:val="20"/>
        </w:rPr>
        <w:t xml:space="preserve"> because that period end</w:t>
      </w:r>
      <w:r w:rsidR="007262D6">
        <w:rPr>
          <w:rFonts w:ascii="Arial" w:hAnsi="Arial" w:cs="Arial"/>
          <w:sz w:val="20"/>
        </w:rPr>
        <w:t>s</w:t>
      </w:r>
      <w:r w:rsidR="003A6561">
        <w:rPr>
          <w:rFonts w:ascii="Arial" w:hAnsi="Arial" w:cs="Arial"/>
          <w:sz w:val="20"/>
        </w:rPr>
        <w:t xml:space="preserve"> </w:t>
      </w:r>
      <w:r w:rsidR="004218A1">
        <w:rPr>
          <w:rFonts w:ascii="Arial" w:hAnsi="Arial" w:cs="Arial"/>
          <w:sz w:val="20"/>
        </w:rPr>
        <w:t>after</w:t>
      </w:r>
      <w:r w:rsidR="003A6561">
        <w:rPr>
          <w:rFonts w:ascii="Arial" w:hAnsi="Arial" w:cs="Arial"/>
          <w:sz w:val="20"/>
        </w:rPr>
        <w:t xml:space="preserve"> the end of the relevant eligible revenue period</w:t>
      </w:r>
      <w:r w:rsidR="00385BE9" w:rsidRPr="0092230E">
        <w:rPr>
          <w:rFonts w:ascii="Arial" w:hAnsi="Arial" w:cs="Arial"/>
          <w:sz w:val="20"/>
        </w:rPr>
        <w:t>.</w:t>
      </w:r>
      <w:bookmarkStart w:id="3" w:name="_GoBack"/>
      <w:bookmarkEnd w:id="3"/>
    </w:p>
    <w:p w14:paraId="3E2C6B84" w14:textId="3472AE88" w:rsidR="00460C2B" w:rsidRPr="0092230E" w:rsidRDefault="00476373" w:rsidP="003214EE">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12</w:t>
      </w:r>
      <w:r w:rsidRPr="0092230E">
        <w:rPr>
          <w:rFonts w:ascii="Arial" w:hAnsi="Arial" w:cs="Arial"/>
          <w:sz w:val="20"/>
        </w:rPr>
        <w:t>(3)</w:t>
      </w:r>
      <w:r w:rsidR="00460C2B" w:rsidRPr="0092230E">
        <w:rPr>
          <w:rFonts w:ascii="Arial" w:hAnsi="Arial" w:cs="Arial"/>
          <w:sz w:val="20"/>
        </w:rPr>
        <w:t xml:space="preserve"> provides that in some circumstances, sales revenue for the relevant period may be identified in more than one set of financial statements. </w:t>
      </w:r>
      <w:r w:rsidRPr="0092230E">
        <w:rPr>
          <w:rFonts w:ascii="Arial" w:hAnsi="Arial" w:cs="Arial"/>
          <w:sz w:val="20"/>
        </w:rPr>
        <w:t xml:space="preserve">Subsection </w:t>
      </w:r>
      <w:r w:rsidR="002A3D23" w:rsidRPr="0092230E">
        <w:rPr>
          <w:rFonts w:ascii="Arial" w:hAnsi="Arial" w:cs="Arial"/>
          <w:sz w:val="20"/>
        </w:rPr>
        <w:t>12</w:t>
      </w:r>
      <w:r w:rsidRPr="0092230E">
        <w:rPr>
          <w:rFonts w:ascii="Arial" w:hAnsi="Arial" w:cs="Arial"/>
          <w:sz w:val="20"/>
        </w:rPr>
        <w:t>(3) further</w:t>
      </w:r>
      <w:r w:rsidR="00460C2B" w:rsidRPr="0092230E">
        <w:rPr>
          <w:rFonts w:ascii="Arial" w:hAnsi="Arial" w:cs="Arial"/>
          <w:sz w:val="20"/>
        </w:rPr>
        <w:t xml:space="preserve"> clarifies that the number of months’ revenue in the ‘relevant period’ is the number of months’ revenue that should be reported in the participating person’s eligible revenue return. For example, if an entity was a carrier for ten months of an eligible revenue period, </w:t>
      </w:r>
      <w:r w:rsidR="00C1489A" w:rsidRPr="0092230E">
        <w:rPr>
          <w:rFonts w:ascii="Arial" w:hAnsi="Arial" w:cs="Arial"/>
          <w:sz w:val="20"/>
        </w:rPr>
        <w:t xml:space="preserve">then </w:t>
      </w:r>
      <w:r w:rsidR="001C7A5A">
        <w:rPr>
          <w:rFonts w:ascii="Arial" w:hAnsi="Arial" w:cs="Arial"/>
          <w:sz w:val="20"/>
        </w:rPr>
        <w:t xml:space="preserve">those </w:t>
      </w:r>
      <w:r w:rsidR="00460C2B" w:rsidRPr="0092230E">
        <w:rPr>
          <w:rFonts w:ascii="Arial" w:hAnsi="Arial" w:cs="Arial"/>
          <w:sz w:val="20"/>
        </w:rPr>
        <w:t>ten months’ revenues should be included in its calculation of eligible revenue.</w:t>
      </w:r>
    </w:p>
    <w:p w14:paraId="49256E6F" w14:textId="77777777" w:rsidR="00460C2B" w:rsidRPr="0092230E" w:rsidRDefault="00476373" w:rsidP="003214EE">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12</w:t>
      </w:r>
      <w:r w:rsidRPr="0092230E">
        <w:rPr>
          <w:rFonts w:ascii="Arial" w:hAnsi="Arial" w:cs="Arial"/>
          <w:sz w:val="20"/>
        </w:rPr>
        <w:t>(</w:t>
      </w:r>
      <w:r w:rsidR="00C1489A" w:rsidRPr="0092230E">
        <w:rPr>
          <w:rFonts w:ascii="Arial" w:hAnsi="Arial" w:cs="Arial"/>
          <w:sz w:val="20"/>
        </w:rPr>
        <w:t>4</w:t>
      </w:r>
      <w:r w:rsidR="00460C2B" w:rsidRPr="0092230E">
        <w:rPr>
          <w:rFonts w:ascii="Arial" w:hAnsi="Arial" w:cs="Arial"/>
          <w:sz w:val="20"/>
        </w:rPr>
        <w:t xml:space="preserve">) provides that if neither the entity’s own financial statements, nor the ultimate Australian parent entity’s consolidated financial statements identifies the </w:t>
      </w:r>
      <w:r w:rsidR="006747D9" w:rsidRPr="0092230E">
        <w:rPr>
          <w:rFonts w:ascii="Arial" w:hAnsi="Arial" w:cs="Arial"/>
          <w:sz w:val="20"/>
        </w:rPr>
        <w:t xml:space="preserve">sales revenue of the </w:t>
      </w:r>
      <w:r w:rsidR="00460C2B" w:rsidRPr="0092230E">
        <w:rPr>
          <w:rFonts w:ascii="Arial" w:hAnsi="Arial" w:cs="Arial"/>
          <w:sz w:val="20"/>
        </w:rPr>
        <w:t>participating person, consolidated related party or declared related party then the sales revenue is to be calculated using as many sources as are necessary. This subsection recognises that due to the individual circumstances of the entities, a range of sources may be necessary to properly identify sales revenue of the participating person.</w:t>
      </w:r>
    </w:p>
    <w:p w14:paraId="3C0A7D1A" w14:textId="77777777" w:rsidR="00A25946" w:rsidRPr="0092230E" w:rsidRDefault="00F64B92" w:rsidP="00A25946">
      <w:pPr>
        <w:pStyle w:val="notetext"/>
        <w:spacing w:line="240" w:lineRule="auto"/>
        <w:ind w:left="0" w:firstLine="0"/>
        <w:rPr>
          <w:rFonts w:ascii="Arial" w:hAnsi="Arial" w:cs="Arial"/>
          <w:sz w:val="20"/>
        </w:rPr>
      </w:pPr>
      <w:r w:rsidRPr="0092230E">
        <w:rPr>
          <w:rFonts w:ascii="Arial" w:hAnsi="Arial" w:cs="Arial"/>
          <w:sz w:val="20"/>
        </w:rPr>
        <w:t>For example, d</w:t>
      </w:r>
      <w:r w:rsidR="00A25946" w:rsidRPr="0092230E">
        <w:rPr>
          <w:rFonts w:ascii="Arial" w:hAnsi="Arial" w:cs="Arial"/>
          <w:sz w:val="20"/>
        </w:rPr>
        <w:t>uring an eligible revenue period, a participating person may change the participating person’s ownership or management arrangements in a way that affects how the participating person’s annual financial statements are prepared</w:t>
      </w:r>
      <w:r w:rsidR="004A3E33" w:rsidRPr="0092230E">
        <w:rPr>
          <w:rFonts w:ascii="Arial" w:hAnsi="Arial" w:cs="Arial"/>
          <w:sz w:val="20"/>
        </w:rPr>
        <w:t>, such</w:t>
      </w:r>
      <w:r w:rsidRPr="0092230E">
        <w:rPr>
          <w:rFonts w:ascii="Arial" w:hAnsi="Arial" w:cs="Arial"/>
          <w:sz w:val="20"/>
        </w:rPr>
        <w:t xml:space="preserve"> as:</w:t>
      </w:r>
    </w:p>
    <w:p w14:paraId="796E340B"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(a)</w:t>
      </w:r>
      <w:r w:rsidRPr="0092230E">
        <w:rPr>
          <w:rFonts w:ascii="Arial" w:hAnsi="Arial" w:cs="Arial"/>
          <w:sz w:val="20"/>
        </w:rPr>
        <w:tab/>
        <w:t>for accounting purposes, the participating person may cease to report in the participating person’s own right and start reporting as part of the consolidated group of an ultimate Australian parent entity; or</w:t>
      </w:r>
    </w:p>
    <w:p w14:paraId="13CF95E4"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(b)</w:t>
      </w:r>
      <w:r w:rsidRPr="0092230E">
        <w:rPr>
          <w:rFonts w:ascii="Arial" w:hAnsi="Arial" w:cs="Arial"/>
          <w:sz w:val="20"/>
        </w:rPr>
        <w:tab/>
        <w:t>for accounting purposes, the participating person may cease to report as part of an ultimate Australian parent entity’s consolidated group and start reporting as an entity in the participating person’s own right; or</w:t>
      </w:r>
    </w:p>
    <w:p w14:paraId="1DB6041A"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(c)</w:t>
      </w:r>
      <w:r w:rsidRPr="0092230E">
        <w:rPr>
          <w:rFonts w:ascii="Arial" w:hAnsi="Arial" w:cs="Arial"/>
          <w:sz w:val="20"/>
        </w:rPr>
        <w:tab/>
        <w:t>the participating person may change the reporting date for the participating person’s financial statements.</w:t>
      </w:r>
    </w:p>
    <w:p w14:paraId="6AC81CBB" w14:textId="77777777" w:rsidR="00A25946" w:rsidRPr="0092230E" w:rsidRDefault="00A25946" w:rsidP="00A25946">
      <w:pPr>
        <w:pStyle w:val="notetext"/>
        <w:spacing w:line="240" w:lineRule="auto"/>
        <w:ind w:left="0" w:firstLine="0"/>
        <w:rPr>
          <w:rFonts w:ascii="Arial" w:hAnsi="Arial" w:cs="Arial"/>
          <w:sz w:val="20"/>
        </w:rPr>
      </w:pPr>
      <w:r w:rsidRPr="0092230E">
        <w:rPr>
          <w:rFonts w:ascii="Arial" w:hAnsi="Arial" w:cs="Arial"/>
          <w:sz w:val="20"/>
        </w:rPr>
        <w:t>If the ownership or management arrangements change, the information that identifies the participating person’s sales revenue for the relevant period may be found in 2 or more annual financial statements.</w:t>
      </w:r>
      <w:r w:rsidR="004A3E33" w:rsidRPr="0092230E">
        <w:rPr>
          <w:rFonts w:ascii="Arial" w:hAnsi="Arial" w:cs="Arial"/>
          <w:sz w:val="20"/>
        </w:rPr>
        <w:t xml:space="preserve"> </w:t>
      </w:r>
    </w:p>
    <w:p w14:paraId="1A03101F" w14:textId="77777777" w:rsidR="00A25946" w:rsidRPr="0092230E" w:rsidRDefault="00A25946" w:rsidP="00A25946">
      <w:pPr>
        <w:pStyle w:val="notetext"/>
        <w:spacing w:line="240" w:lineRule="auto"/>
        <w:ind w:left="0" w:firstLine="0"/>
        <w:rPr>
          <w:rFonts w:ascii="Arial" w:hAnsi="Arial" w:cs="Arial"/>
          <w:sz w:val="20"/>
        </w:rPr>
      </w:pPr>
      <w:r w:rsidRPr="0092230E">
        <w:rPr>
          <w:rFonts w:ascii="Arial" w:hAnsi="Arial" w:cs="Arial"/>
          <w:sz w:val="20"/>
        </w:rPr>
        <w:t>Section 12 gives a broad basis for determining eligible revenue and thus funding of public telecommunications policy outcomes. This broad definitional starting point means there is less chance of appropriate revenue being accidentally omitted while enabling inappropriate revenue to be removed via the transparent deduction processes in Parts 3 and 4 of the Determination. The use of consolidated financial statements for participating persons that are members of corporate groups is designed to discourage and ultimately deal with tactics to minimise eligible revenue and therefore levy contributions</w:t>
      </w:r>
      <w:r w:rsidR="006747D9" w:rsidRPr="0092230E">
        <w:rPr>
          <w:rFonts w:ascii="Arial" w:hAnsi="Arial" w:cs="Arial"/>
          <w:sz w:val="20"/>
        </w:rPr>
        <w:t>,</w:t>
      </w:r>
      <w:r w:rsidRPr="0092230E">
        <w:rPr>
          <w:rFonts w:ascii="Arial" w:hAnsi="Arial" w:cs="Arial"/>
          <w:sz w:val="20"/>
        </w:rPr>
        <w:t xml:space="preserve"> by capturing the revenue of consolidated related parties and declared related parties and then putting the onus on the participating persons to justify any deductions claimed.</w:t>
      </w:r>
    </w:p>
    <w:p w14:paraId="028E352E" w14:textId="77777777" w:rsidR="00067542" w:rsidRPr="0092230E" w:rsidRDefault="00067542" w:rsidP="003214EE">
      <w:pPr>
        <w:pStyle w:val="ABABulletLevel1"/>
        <w:spacing w:after="120"/>
        <w:rPr>
          <w:rFonts w:ascii="Arial" w:hAnsi="Arial" w:cs="Arial"/>
          <w:sz w:val="20"/>
        </w:rPr>
      </w:pPr>
    </w:p>
    <w:p w14:paraId="1BEB1550" w14:textId="77777777" w:rsidR="007262D6" w:rsidRDefault="007262D6" w:rsidP="002F416B">
      <w:pPr>
        <w:pStyle w:val="ABABulletLevel1"/>
        <w:spacing w:after="120"/>
        <w:rPr>
          <w:rFonts w:ascii="Arial" w:hAnsi="Arial" w:cs="Arial"/>
          <w:b/>
          <w:sz w:val="20"/>
        </w:rPr>
      </w:pPr>
    </w:p>
    <w:p w14:paraId="45110CFE" w14:textId="77777777" w:rsidR="007262D6" w:rsidRDefault="007262D6">
      <w:pPr>
        <w:spacing w:after="200" w:line="276" w:lineRule="auto"/>
        <w:rPr>
          <w:rFonts w:ascii="Arial" w:hAnsi="Arial" w:cs="Arial"/>
          <w:b/>
          <w:szCs w:val="20"/>
          <w:lang w:eastAsia="en-US"/>
        </w:rPr>
      </w:pPr>
      <w:r>
        <w:rPr>
          <w:rFonts w:ascii="Arial" w:hAnsi="Arial" w:cs="Arial"/>
          <w:b/>
        </w:rPr>
        <w:br w:type="page"/>
      </w:r>
    </w:p>
    <w:p w14:paraId="249AD6DE" w14:textId="249D63F9" w:rsidR="002F416B" w:rsidRPr="0092230E" w:rsidRDefault="002F416B" w:rsidP="002F416B">
      <w:pPr>
        <w:pStyle w:val="ABABulletLevel1"/>
        <w:spacing w:after="120"/>
        <w:rPr>
          <w:rFonts w:ascii="Arial" w:hAnsi="Arial" w:cs="Arial"/>
          <w:b/>
          <w:i/>
          <w:sz w:val="20"/>
        </w:rPr>
      </w:pPr>
      <w:r w:rsidRPr="0092230E">
        <w:rPr>
          <w:rFonts w:ascii="Arial" w:hAnsi="Arial" w:cs="Arial"/>
          <w:b/>
          <w:sz w:val="20"/>
        </w:rPr>
        <w:lastRenderedPageBreak/>
        <w:t xml:space="preserve">Section </w:t>
      </w:r>
      <w:r w:rsidR="00067542" w:rsidRPr="0092230E">
        <w:rPr>
          <w:rFonts w:ascii="Arial" w:hAnsi="Arial" w:cs="Arial"/>
          <w:b/>
          <w:sz w:val="20"/>
        </w:rPr>
        <w:t xml:space="preserve">13 </w:t>
      </w:r>
      <w:r w:rsidRPr="0092230E">
        <w:rPr>
          <w:rFonts w:ascii="Arial" w:hAnsi="Arial" w:cs="Arial"/>
          <w:b/>
          <w:sz w:val="20"/>
        </w:rPr>
        <w:t>– Bundled revenue</w:t>
      </w:r>
    </w:p>
    <w:p w14:paraId="6331BC1E" w14:textId="77777777" w:rsidR="002F416B" w:rsidRPr="0092230E" w:rsidRDefault="002F416B" w:rsidP="002F416B">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 xml:space="preserve">13 </w:t>
      </w:r>
      <w:r w:rsidRPr="0092230E">
        <w:rPr>
          <w:rFonts w:ascii="Arial" w:hAnsi="Arial" w:cs="Arial"/>
          <w:sz w:val="20"/>
        </w:rPr>
        <w:t>provides the definition of bundled revenue, and provides that in order to work out an amount of revenue to be deducted</w:t>
      </w:r>
      <w:r w:rsidR="00E03B27" w:rsidRPr="0092230E">
        <w:rPr>
          <w:rFonts w:ascii="Arial" w:hAnsi="Arial" w:cs="Arial"/>
          <w:sz w:val="20"/>
        </w:rPr>
        <w:t xml:space="preserve"> under Part 3 or 4 (deductible revenue)</w:t>
      </w:r>
      <w:r w:rsidRPr="0092230E">
        <w:rPr>
          <w:rFonts w:ascii="Arial" w:hAnsi="Arial" w:cs="Arial"/>
          <w:sz w:val="20"/>
        </w:rPr>
        <w:t xml:space="preserve">, </w:t>
      </w:r>
      <w:r w:rsidR="00AC3C1F" w:rsidRPr="0092230E">
        <w:rPr>
          <w:rFonts w:ascii="Arial" w:hAnsi="Arial" w:cs="Arial"/>
          <w:sz w:val="20"/>
        </w:rPr>
        <w:t xml:space="preserve">a participating person </w:t>
      </w:r>
      <w:r w:rsidR="005B06C7" w:rsidRPr="0092230E">
        <w:rPr>
          <w:rFonts w:ascii="Arial" w:hAnsi="Arial" w:cs="Arial"/>
          <w:sz w:val="20"/>
        </w:rPr>
        <w:t xml:space="preserve">must </w:t>
      </w:r>
      <w:r w:rsidRPr="0092230E">
        <w:rPr>
          <w:rFonts w:ascii="Arial" w:hAnsi="Arial" w:cs="Arial"/>
          <w:sz w:val="20"/>
        </w:rPr>
        <w:t>separate the deductible revenue from other amounts with which the deductible revenue is bundled. This section ensures that participating persons are able to deduct amounts that are deductible, but that they do not deduct amount</w:t>
      </w:r>
      <w:r w:rsidR="0029235C" w:rsidRPr="0092230E">
        <w:rPr>
          <w:rFonts w:ascii="Arial" w:hAnsi="Arial" w:cs="Arial"/>
          <w:sz w:val="20"/>
        </w:rPr>
        <w:t>s</w:t>
      </w:r>
      <w:r w:rsidRPr="0092230E">
        <w:rPr>
          <w:rFonts w:ascii="Arial" w:hAnsi="Arial" w:cs="Arial"/>
          <w:sz w:val="20"/>
        </w:rPr>
        <w:t xml:space="preserve"> that are not deductible, which are bundled with deductible amounts.</w:t>
      </w:r>
    </w:p>
    <w:p w14:paraId="060AC7F5" w14:textId="77777777" w:rsidR="00E03B27" w:rsidRPr="0092230E" w:rsidRDefault="00E03B27" w:rsidP="002F416B">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13</w:t>
      </w:r>
      <w:r w:rsidRPr="0092230E">
        <w:rPr>
          <w:rFonts w:ascii="Arial" w:hAnsi="Arial" w:cs="Arial"/>
          <w:sz w:val="20"/>
        </w:rPr>
        <w:t xml:space="preserve">(2) defines bundled revenue as revenue that comes from different sources or acts and is received in a way that does not show how much of the revenue came from </w:t>
      </w:r>
      <w:r w:rsidR="008C31EB" w:rsidRPr="0092230E">
        <w:rPr>
          <w:rFonts w:ascii="Arial" w:hAnsi="Arial" w:cs="Arial"/>
          <w:sz w:val="20"/>
        </w:rPr>
        <w:t xml:space="preserve">the </w:t>
      </w:r>
      <w:r w:rsidRPr="0092230E">
        <w:rPr>
          <w:rFonts w:ascii="Arial" w:hAnsi="Arial" w:cs="Arial"/>
          <w:sz w:val="20"/>
        </w:rPr>
        <w:t xml:space="preserve">individual sources or acts. </w:t>
      </w:r>
      <w:r w:rsidR="008C31EB" w:rsidRPr="0092230E">
        <w:rPr>
          <w:rFonts w:ascii="Arial" w:hAnsi="Arial" w:cs="Arial"/>
          <w:sz w:val="20"/>
        </w:rPr>
        <w:t xml:space="preserve"> Subsection </w:t>
      </w:r>
      <w:r w:rsidR="002A3D23" w:rsidRPr="0092230E">
        <w:rPr>
          <w:rFonts w:ascii="Arial" w:hAnsi="Arial" w:cs="Arial"/>
          <w:sz w:val="20"/>
        </w:rPr>
        <w:t>13</w:t>
      </w:r>
      <w:r w:rsidR="008C31EB" w:rsidRPr="0092230E">
        <w:rPr>
          <w:rFonts w:ascii="Arial" w:hAnsi="Arial" w:cs="Arial"/>
          <w:sz w:val="20"/>
        </w:rPr>
        <w:t xml:space="preserve">(3) provides that the value of a benefit or service can be included in bundled revenue. </w:t>
      </w:r>
    </w:p>
    <w:p w14:paraId="66A5BB8C" w14:textId="77777777" w:rsidR="002272A6" w:rsidRPr="0092230E" w:rsidRDefault="002272A6" w:rsidP="002F416B">
      <w:pPr>
        <w:pStyle w:val="ABABulletLevel1"/>
        <w:spacing w:after="120"/>
        <w:rPr>
          <w:rFonts w:ascii="Arial" w:hAnsi="Arial" w:cs="Arial"/>
          <w:sz w:val="20"/>
        </w:rPr>
      </w:pPr>
      <w:r w:rsidRPr="0092230E">
        <w:rPr>
          <w:rFonts w:ascii="Arial" w:hAnsi="Arial" w:cs="Arial"/>
          <w:sz w:val="20"/>
        </w:rPr>
        <w:t xml:space="preserve">Subsection </w:t>
      </w:r>
      <w:r w:rsidR="002A3D23" w:rsidRPr="0092230E">
        <w:rPr>
          <w:rFonts w:ascii="Arial" w:hAnsi="Arial" w:cs="Arial"/>
          <w:sz w:val="20"/>
        </w:rPr>
        <w:t>13</w:t>
      </w:r>
      <w:r w:rsidRPr="0092230E">
        <w:rPr>
          <w:rFonts w:ascii="Arial" w:hAnsi="Arial" w:cs="Arial"/>
          <w:sz w:val="20"/>
        </w:rPr>
        <w:t xml:space="preserve">(8) provides that if a participating person separates a </w:t>
      </w:r>
      <w:r w:rsidR="008C31EB" w:rsidRPr="0092230E">
        <w:rPr>
          <w:rFonts w:ascii="Arial" w:hAnsi="Arial" w:cs="Arial"/>
          <w:sz w:val="20"/>
        </w:rPr>
        <w:t xml:space="preserve">kind of </w:t>
      </w:r>
      <w:r w:rsidRPr="0092230E">
        <w:rPr>
          <w:rFonts w:ascii="Arial" w:hAnsi="Arial" w:cs="Arial"/>
          <w:sz w:val="20"/>
        </w:rPr>
        <w:t xml:space="preserve">deductible </w:t>
      </w:r>
      <w:r w:rsidR="008C31EB" w:rsidRPr="0092230E">
        <w:rPr>
          <w:rFonts w:ascii="Arial" w:hAnsi="Arial" w:cs="Arial"/>
          <w:sz w:val="20"/>
        </w:rPr>
        <w:t xml:space="preserve">revenue </w:t>
      </w:r>
      <w:r w:rsidRPr="0092230E">
        <w:rPr>
          <w:rFonts w:ascii="Arial" w:hAnsi="Arial" w:cs="Arial"/>
          <w:sz w:val="20"/>
        </w:rPr>
        <w:t>from bundled revenue</w:t>
      </w:r>
      <w:r w:rsidR="008C31EB" w:rsidRPr="0092230E">
        <w:rPr>
          <w:rFonts w:ascii="Arial" w:hAnsi="Arial" w:cs="Arial"/>
          <w:sz w:val="20"/>
        </w:rPr>
        <w:t xml:space="preserve"> for Part 3 or 4</w:t>
      </w:r>
      <w:r w:rsidRPr="0092230E">
        <w:rPr>
          <w:rFonts w:ascii="Arial" w:hAnsi="Arial" w:cs="Arial"/>
          <w:sz w:val="20"/>
        </w:rPr>
        <w:t>, the participating person must identify:</w:t>
      </w:r>
    </w:p>
    <w:p w14:paraId="7F18D6E0" w14:textId="77777777"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t>the total amount of the bundled revenue; and</w:t>
      </w:r>
    </w:p>
    <w:p w14:paraId="76F85A97" w14:textId="77777777"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t>the amount of bundled revenue that the person is deducting; and</w:t>
      </w:r>
    </w:p>
    <w:p w14:paraId="30B83F94" w14:textId="77777777" w:rsidR="0065701F" w:rsidRPr="0092230E" w:rsidRDefault="0065701F" w:rsidP="0065701F">
      <w:pPr>
        <w:pStyle w:val="ABABulletLevel1"/>
        <w:numPr>
          <w:ilvl w:val="0"/>
          <w:numId w:val="13"/>
        </w:numPr>
        <w:spacing w:after="120"/>
        <w:rPr>
          <w:rFonts w:ascii="Arial" w:hAnsi="Arial" w:cs="Arial"/>
          <w:b/>
          <w:sz w:val="20"/>
        </w:rPr>
      </w:pPr>
      <w:r w:rsidRPr="0092230E">
        <w:rPr>
          <w:rFonts w:ascii="Arial" w:hAnsi="Arial" w:cs="Arial"/>
          <w:sz w:val="20"/>
        </w:rPr>
        <w:t xml:space="preserve">how the participating person worked out the </w:t>
      </w:r>
      <w:r w:rsidR="008C31EB" w:rsidRPr="0092230E">
        <w:rPr>
          <w:rFonts w:ascii="Arial" w:hAnsi="Arial" w:cs="Arial"/>
          <w:sz w:val="20"/>
        </w:rPr>
        <w:t xml:space="preserve">amount of </w:t>
      </w:r>
      <w:r w:rsidRPr="0092230E">
        <w:rPr>
          <w:rFonts w:ascii="Arial" w:hAnsi="Arial" w:cs="Arial"/>
          <w:sz w:val="20"/>
        </w:rPr>
        <w:t xml:space="preserve">deductible </w:t>
      </w:r>
      <w:r w:rsidR="008C31EB" w:rsidRPr="0092230E">
        <w:rPr>
          <w:rFonts w:ascii="Arial" w:hAnsi="Arial" w:cs="Arial"/>
          <w:sz w:val="20"/>
        </w:rPr>
        <w:t>revenue</w:t>
      </w:r>
      <w:r w:rsidRPr="0092230E">
        <w:rPr>
          <w:rFonts w:ascii="Arial" w:hAnsi="Arial" w:cs="Arial"/>
          <w:sz w:val="20"/>
        </w:rPr>
        <w:t>.</w:t>
      </w:r>
    </w:p>
    <w:p w14:paraId="276BD9D3" w14:textId="77777777" w:rsidR="0065701F" w:rsidRPr="0092230E" w:rsidRDefault="0065701F" w:rsidP="0065701F">
      <w:pPr>
        <w:pStyle w:val="ABABulletLevel1"/>
        <w:spacing w:after="120"/>
        <w:rPr>
          <w:rFonts w:ascii="Arial" w:hAnsi="Arial" w:cs="Arial"/>
          <w:b/>
          <w:sz w:val="20"/>
        </w:rPr>
      </w:pPr>
      <w:r w:rsidRPr="0092230E">
        <w:rPr>
          <w:rFonts w:ascii="Arial" w:hAnsi="Arial" w:cs="Arial"/>
          <w:sz w:val="20"/>
        </w:rPr>
        <w:t xml:space="preserve">For example, under section </w:t>
      </w:r>
      <w:r w:rsidR="002A3D23" w:rsidRPr="0092230E">
        <w:rPr>
          <w:rFonts w:ascii="Arial" w:hAnsi="Arial" w:cs="Arial"/>
          <w:sz w:val="20"/>
        </w:rPr>
        <w:t>26</w:t>
      </w:r>
      <w:r w:rsidRPr="0092230E">
        <w:rPr>
          <w:rFonts w:ascii="Arial" w:hAnsi="Arial" w:cs="Arial"/>
          <w:sz w:val="20"/>
        </w:rPr>
        <w:t xml:space="preserve">, revenue from the </w:t>
      </w:r>
      <w:r w:rsidRPr="0092230E">
        <w:rPr>
          <w:rFonts w:ascii="Arial" w:hAnsi="Arial" w:cs="Arial"/>
          <w:i/>
          <w:sz w:val="20"/>
        </w:rPr>
        <w:t>content</w:t>
      </w:r>
      <w:r w:rsidRPr="0092230E">
        <w:rPr>
          <w:rFonts w:ascii="Arial" w:hAnsi="Arial" w:cs="Arial"/>
          <w:sz w:val="20"/>
        </w:rPr>
        <w:t xml:space="preserve"> of a content service is deductible, whereas revenue from </w:t>
      </w:r>
      <w:r w:rsidRPr="0092230E">
        <w:rPr>
          <w:rFonts w:ascii="Arial" w:hAnsi="Arial" w:cs="Arial"/>
          <w:i/>
          <w:sz w:val="20"/>
        </w:rPr>
        <w:t>carriage</w:t>
      </w:r>
      <w:r w:rsidRPr="0092230E">
        <w:rPr>
          <w:rFonts w:ascii="Arial" w:hAnsi="Arial" w:cs="Arial"/>
          <w:sz w:val="20"/>
        </w:rPr>
        <w:t xml:space="preserve"> of a content service is not deductible. If a participating person earns revenue from pay TV services, with the revenue from content and carriage services being bundled together, then in order to claim a deduction for revenue from content services, the participating person must identify:</w:t>
      </w:r>
    </w:p>
    <w:p w14:paraId="6F902AF2"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 xml:space="preserve">the total amount of the bundled revenue (including </w:t>
      </w:r>
      <w:r w:rsidR="008C31EB" w:rsidRPr="0092230E">
        <w:rPr>
          <w:rFonts w:ascii="Arial" w:hAnsi="Arial" w:cs="Arial"/>
          <w:sz w:val="20"/>
        </w:rPr>
        <w:t xml:space="preserve">revenue earned from </w:t>
      </w:r>
      <w:r w:rsidRPr="0092230E">
        <w:rPr>
          <w:rFonts w:ascii="Arial" w:hAnsi="Arial" w:cs="Arial"/>
          <w:sz w:val="20"/>
        </w:rPr>
        <w:t>both content and carriage components); and</w:t>
      </w:r>
    </w:p>
    <w:p w14:paraId="08CC8811"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 xml:space="preserve">the amount of </w:t>
      </w:r>
      <w:r w:rsidR="008C31EB" w:rsidRPr="0092230E">
        <w:rPr>
          <w:rFonts w:ascii="Arial" w:hAnsi="Arial" w:cs="Arial"/>
          <w:sz w:val="20"/>
        </w:rPr>
        <w:t xml:space="preserve">the bundled </w:t>
      </w:r>
      <w:r w:rsidRPr="0092230E">
        <w:rPr>
          <w:rFonts w:ascii="Arial" w:hAnsi="Arial" w:cs="Arial"/>
          <w:sz w:val="20"/>
        </w:rPr>
        <w:t xml:space="preserve">revenue attributable to </w:t>
      </w:r>
      <w:r w:rsidR="008C31EB" w:rsidRPr="0092230E">
        <w:rPr>
          <w:rFonts w:ascii="Arial" w:hAnsi="Arial" w:cs="Arial"/>
          <w:sz w:val="20"/>
        </w:rPr>
        <w:t xml:space="preserve">the </w:t>
      </w:r>
      <w:r w:rsidRPr="0092230E">
        <w:rPr>
          <w:rFonts w:ascii="Arial" w:hAnsi="Arial" w:cs="Arial"/>
          <w:sz w:val="20"/>
        </w:rPr>
        <w:t>content</w:t>
      </w:r>
      <w:r w:rsidR="008C31EB" w:rsidRPr="0092230E">
        <w:rPr>
          <w:rFonts w:ascii="Arial" w:hAnsi="Arial" w:cs="Arial"/>
          <w:sz w:val="20"/>
        </w:rPr>
        <w:t xml:space="preserve"> of the content service</w:t>
      </w:r>
      <w:r w:rsidRPr="0092230E">
        <w:rPr>
          <w:rFonts w:ascii="Arial" w:hAnsi="Arial" w:cs="Arial"/>
          <w:sz w:val="20"/>
        </w:rPr>
        <w:t>, which is deductible; and</w:t>
      </w:r>
    </w:p>
    <w:p w14:paraId="298CBB49" w14:textId="77777777" w:rsidR="0065701F" w:rsidRPr="0092230E" w:rsidRDefault="0065701F" w:rsidP="0065701F">
      <w:pPr>
        <w:pStyle w:val="ABABulletLevel1"/>
        <w:numPr>
          <w:ilvl w:val="0"/>
          <w:numId w:val="14"/>
        </w:numPr>
        <w:spacing w:after="120"/>
        <w:rPr>
          <w:rFonts w:ascii="Arial" w:hAnsi="Arial" w:cs="Arial"/>
          <w:b/>
          <w:sz w:val="20"/>
        </w:rPr>
      </w:pPr>
      <w:r w:rsidRPr="0092230E">
        <w:rPr>
          <w:rFonts w:ascii="Arial" w:hAnsi="Arial" w:cs="Arial"/>
          <w:sz w:val="20"/>
        </w:rPr>
        <w:t>how the participating person worked out the deductible amount.</w:t>
      </w:r>
    </w:p>
    <w:p w14:paraId="16F9A176" w14:textId="77777777" w:rsidR="0065701F" w:rsidRPr="0092230E" w:rsidRDefault="000F01EA" w:rsidP="003214EE">
      <w:pPr>
        <w:pStyle w:val="ABABulletLevel1"/>
        <w:spacing w:after="120"/>
        <w:rPr>
          <w:rFonts w:ascii="Arial" w:hAnsi="Arial" w:cs="Arial"/>
          <w:sz w:val="20"/>
        </w:rPr>
      </w:pPr>
      <w:r w:rsidRPr="0092230E">
        <w:rPr>
          <w:rFonts w:ascii="Arial" w:hAnsi="Arial" w:cs="Arial"/>
          <w:sz w:val="20"/>
        </w:rPr>
        <w:t>S</w:t>
      </w:r>
      <w:r w:rsidR="00247125" w:rsidRPr="0092230E">
        <w:rPr>
          <w:rFonts w:ascii="Arial" w:hAnsi="Arial" w:cs="Arial"/>
          <w:sz w:val="20"/>
        </w:rPr>
        <w:t>ubs</w:t>
      </w:r>
      <w:r w:rsidRPr="0092230E">
        <w:rPr>
          <w:rFonts w:ascii="Arial" w:hAnsi="Arial" w:cs="Arial"/>
          <w:sz w:val="20"/>
        </w:rPr>
        <w:t xml:space="preserve">ection </w:t>
      </w:r>
      <w:r w:rsidR="002A3D23" w:rsidRPr="0092230E">
        <w:rPr>
          <w:rFonts w:ascii="Arial" w:hAnsi="Arial" w:cs="Arial"/>
          <w:sz w:val="20"/>
        </w:rPr>
        <w:t>13</w:t>
      </w:r>
      <w:r w:rsidR="00247125" w:rsidRPr="0092230E">
        <w:rPr>
          <w:rFonts w:ascii="Arial" w:hAnsi="Arial" w:cs="Arial"/>
          <w:sz w:val="20"/>
        </w:rPr>
        <w:t>(4)</w:t>
      </w:r>
      <w:r w:rsidR="00E66071" w:rsidRPr="0092230E">
        <w:rPr>
          <w:rFonts w:ascii="Arial" w:hAnsi="Arial" w:cs="Arial"/>
          <w:sz w:val="20"/>
        </w:rPr>
        <w:t xml:space="preserve"> </w:t>
      </w:r>
      <w:r w:rsidRPr="0092230E">
        <w:rPr>
          <w:rFonts w:ascii="Arial" w:hAnsi="Arial" w:cs="Arial"/>
          <w:sz w:val="20"/>
        </w:rPr>
        <w:t xml:space="preserve">allows the ACMA to make declarations </w:t>
      </w:r>
      <w:r w:rsidR="008C31EB" w:rsidRPr="0092230E">
        <w:rPr>
          <w:rFonts w:ascii="Arial" w:hAnsi="Arial" w:cs="Arial"/>
          <w:sz w:val="20"/>
        </w:rPr>
        <w:t>that a specified amount of revenue of a participating person, or declared related party or consolidated related party in relation to a participating person</w:t>
      </w:r>
      <w:r w:rsidR="00241296" w:rsidRPr="0092230E">
        <w:rPr>
          <w:rFonts w:ascii="Arial" w:hAnsi="Arial" w:cs="Arial"/>
          <w:sz w:val="20"/>
        </w:rPr>
        <w:t xml:space="preserve">, is bundled revenue. If the ACMA makes a declaration, it must specify the persons to whom the declaration relates, the amount of revenue that is deductible revenue (or how that amount is to be worked out) and if the bundled revenue includes the value of a benefit or service, how that was worked out. </w:t>
      </w:r>
    </w:p>
    <w:p w14:paraId="01B3D95A" w14:textId="77777777" w:rsidR="00AC3C1F" w:rsidRPr="0092230E" w:rsidRDefault="00AC3C1F" w:rsidP="003214EE">
      <w:pPr>
        <w:pStyle w:val="ABABulletLevel1"/>
        <w:spacing w:after="120"/>
        <w:rPr>
          <w:rFonts w:ascii="Arial" w:hAnsi="Arial" w:cs="Arial"/>
          <w:sz w:val="20"/>
        </w:rPr>
      </w:pPr>
    </w:p>
    <w:p w14:paraId="6BA60EFC" w14:textId="77777777" w:rsidR="00702C3D" w:rsidRPr="0092230E" w:rsidRDefault="00476373">
      <w:pPr>
        <w:pStyle w:val="ABABulletLevel1"/>
        <w:keepNext/>
        <w:spacing w:after="120"/>
        <w:rPr>
          <w:rFonts w:ascii="Arial" w:hAnsi="Arial" w:cs="Arial"/>
          <w:b/>
          <w:sz w:val="20"/>
        </w:rPr>
      </w:pPr>
      <w:r w:rsidRPr="0092230E">
        <w:rPr>
          <w:rFonts w:ascii="Arial" w:hAnsi="Arial" w:cs="Arial"/>
          <w:b/>
          <w:sz w:val="20"/>
        </w:rPr>
        <w:t>Part 3</w:t>
      </w:r>
      <w:r w:rsidR="00AC3C1F" w:rsidRPr="0092230E">
        <w:rPr>
          <w:rFonts w:ascii="Arial" w:hAnsi="Arial" w:cs="Arial"/>
          <w:b/>
          <w:sz w:val="20"/>
        </w:rPr>
        <w:t xml:space="preserve"> </w:t>
      </w:r>
      <w:r w:rsidR="0056104F" w:rsidRPr="0092230E">
        <w:rPr>
          <w:rFonts w:ascii="Arial" w:hAnsi="Arial" w:cs="Arial"/>
          <w:b/>
          <w:sz w:val="20"/>
        </w:rPr>
        <w:t>– Gross telecommunications sales revenue</w:t>
      </w:r>
    </w:p>
    <w:p w14:paraId="6EBBAFD0" w14:textId="77777777" w:rsidR="00C749E3" w:rsidRPr="0092230E" w:rsidRDefault="00C749E3" w:rsidP="00192B36">
      <w:pPr>
        <w:pStyle w:val="ABABulletLevel1"/>
        <w:spacing w:after="120"/>
        <w:rPr>
          <w:rFonts w:ascii="Arial" w:hAnsi="Arial" w:cs="Arial"/>
          <w:b/>
          <w:sz w:val="20"/>
        </w:rPr>
      </w:pPr>
    </w:p>
    <w:p w14:paraId="5C99C9B7" w14:textId="77777777" w:rsidR="00192B36" w:rsidRPr="0092230E" w:rsidRDefault="00192B36" w:rsidP="00192B36">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14 </w:t>
      </w:r>
      <w:r w:rsidRPr="0092230E">
        <w:rPr>
          <w:rFonts w:ascii="Arial" w:hAnsi="Arial" w:cs="Arial"/>
          <w:b/>
          <w:sz w:val="20"/>
        </w:rPr>
        <w:t xml:space="preserve">– Purpose of Part </w:t>
      </w:r>
    </w:p>
    <w:p w14:paraId="12DC5F1B" w14:textId="77777777"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 xml:space="preserve">14 </w:t>
      </w:r>
      <w:r w:rsidRPr="0092230E">
        <w:rPr>
          <w:rFonts w:ascii="Arial" w:hAnsi="Arial" w:cs="Arial"/>
          <w:sz w:val="20"/>
        </w:rPr>
        <w:t xml:space="preserve">explains that the purpose of Part 3 is to </w:t>
      </w:r>
      <w:r w:rsidR="0056104F" w:rsidRPr="0092230E">
        <w:rPr>
          <w:rFonts w:ascii="Arial" w:hAnsi="Arial" w:cs="Arial"/>
          <w:sz w:val="20"/>
        </w:rPr>
        <w:t xml:space="preserve">set out how </w:t>
      </w:r>
      <w:r w:rsidRPr="0092230E">
        <w:rPr>
          <w:rFonts w:ascii="Arial" w:hAnsi="Arial" w:cs="Arial"/>
          <w:sz w:val="20"/>
        </w:rPr>
        <w:t>the participating person’s gross telecommunications sales revenue</w:t>
      </w:r>
      <w:r w:rsidR="0056104F" w:rsidRPr="0092230E">
        <w:rPr>
          <w:rFonts w:ascii="Arial" w:hAnsi="Arial" w:cs="Arial"/>
          <w:sz w:val="20"/>
        </w:rPr>
        <w:t xml:space="preserve"> for an eligible revenue period is worked out</w:t>
      </w:r>
      <w:r w:rsidRPr="0092230E">
        <w:rPr>
          <w:rFonts w:ascii="Arial" w:hAnsi="Arial" w:cs="Arial"/>
          <w:sz w:val="20"/>
        </w:rPr>
        <w:t>.</w:t>
      </w:r>
      <w:r w:rsidR="0056104F" w:rsidRPr="0092230E">
        <w:rPr>
          <w:rFonts w:ascii="Arial" w:hAnsi="Arial" w:cs="Arial"/>
          <w:sz w:val="20"/>
        </w:rPr>
        <w:t xml:space="preserve">  </w:t>
      </w:r>
    </w:p>
    <w:p w14:paraId="2B393852" w14:textId="77777777" w:rsidR="002642D5" w:rsidRPr="0092230E" w:rsidRDefault="002642D5" w:rsidP="00192B36">
      <w:pPr>
        <w:pStyle w:val="ABABulletLevel1"/>
        <w:spacing w:after="120"/>
        <w:rPr>
          <w:rFonts w:ascii="Arial" w:hAnsi="Arial" w:cs="Arial"/>
          <w:b/>
          <w:sz w:val="20"/>
        </w:rPr>
      </w:pPr>
    </w:p>
    <w:p w14:paraId="4D326D64" w14:textId="77777777" w:rsidR="00192B36" w:rsidRPr="0092230E" w:rsidRDefault="00192B36" w:rsidP="00192B36">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15 </w:t>
      </w:r>
      <w:r w:rsidRPr="0092230E">
        <w:rPr>
          <w:rFonts w:ascii="Arial" w:hAnsi="Arial" w:cs="Arial"/>
          <w:b/>
          <w:sz w:val="20"/>
        </w:rPr>
        <w:t>– Initial sales revenue</w:t>
      </w:r>
    </w:p>
    <w:p w14:paraId="229B79BC" w14:textId="77777777"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 xml:space="preserve">15 </w:t>
      </w:r>
      <w:r w:rsidRPr="0092230E">
        <w:rPr>
          <w:rFonts w:ascii="Arial" w:hAnsi="Arial" w:cs="Arial"/>
          <w:sz w:val="20"/>
        </w:rPr>
        <w:t xml:space="preserve">provides that the initial sales revenue of the participating person, consolidated related parties, and declared related parties </w:t>
      </w:r>
      <w:r w:rsidR="0056104F" w:rsidRPr="0092230E">
        <w:rPr>
          <w:rFonts w:ascii="Arial" w:hAnsi="Arial" w:cs="Arial"/>
          <w:sz w:val="20"/>
        </w:rPr>
        <w:t xml:space="preserve">for the whole of an eligible revenue period is to be </w:t>
      </w:r>
      <w:r w:rsidR="00871B7E" w:rsidRPr="0092230E">
        <w:rPr>
          <w:rFonts w:ascii="Arial" w:hAnsi="Arial" w:cs="Arial"/>
          <w:sz w:val="20"/>
        </w:rPr>
        <w:t>worked out</w:t>
      </w:r>
      <w:r w:rsidR="0056104F" w:rsidRPr="0092230E">
        <w:rPr>
          <w:rFonts w:ascii="Arial" w:hAnsi="Arial" w:cs="Arial"/>
          <w:sz w:val="20"/>
        </w:rPr>
        <w:t xml:space="preserve"> using the sources specified in section </w:t>
      </w:r>
      <w:r w:rsidR="002A3D23" w:rsidRPr="0092230E">
        <w:rPr>
          <w:rFonts w:ascii="Arial" w:hAnsi="Arial" w:cs="Arial"/>
          <w:sz w:val="20"/>
        </w:rPr>
        <w:t>12</w:t>
      </w:r>
      <w:r w:rsidRPr="0092230E">
        <w:rPr>
          <w:rFonts w:ascii="Arial" w:hAnsi="Arial" w:cs="Arial"/>
          <w:sz w:val="20"/>
        </w:rPr>
        <w:t xml:space="preserve">. </w:t>
      </w:r>
      <w:r w:rsidR="00871B7E" w:rsidRPr="0092230E">
        <w:rPr>
          <w:rFonts w:ascii="Arial" w:hAnsi="Arial" w:cs="Arial"/>
          <w:sz w:val="20"/>
        </w:rPr>
        <w:t xml:space="preserve"> </w:t>
      </w:r>
    </w:p>
    <w:p w14:paraId="4199E40F" w14:textId="77777777" w:rsidR="00192B36" w:rsidRPr="0092230E" w:rsidRDefault="00192B36" w:rsidP="00192B36">
      <w:pPr>
        <w:pStyle w:val="ABABulletLevel1"/>
        <w:spacing w:after="120"/>
        <w:rPr>
          <w:rFonts w:ascii="Arial" w:hAnsi="Arial" w:cs="Arial"/>
          <w:sz w:val="20"/>
        </w:rPr>
      </w:pPr>
      <w:r w:rsidRPr="0092230E">
        <w:rPr>
          <w:rFonts w:ascii="Arial" w:hAnsi="Arial" w:cs="Arial"/>
          <w:sz w:val="20"/>
        </w:rPr>
        <w:t xml:space="preserve">For the participating person and any consolidated related party, 100 per cent of the sales revenue identified in the financial statements </w:t>
      </w:r>
      <w:r w:rsidR="007F1172" w:rsidRPr="0092230E">
        <w:rPr>
          <w:rFonts w:ascii="Arial" w:hAnsi="Arial" w:cs="Arial"/>
          <w:sz w:val="20"/>
        </w:rPr>
        <w:t xml:space="preserve">must </w:t>
      </w:r>
      <w:r w:rsidRPr="0092230E">
        <w:rPr>
          <w:rFonts w:ascii="Arial" w:hAnsi="Arial" w:cs="Arial"/>
          <w:sz w:val="20"/>
        </w:rPr>
        <w:t xml:space="preserve">be </w:t>
      </w:r>
      <w:r w:rsidR="00871B7E" w:rsidRPr="0092230E">
        <w:rPr>
          <w:rFonts w:ascii="Arial" w:hAnsi="Arial" w:cs="Arial"/>
          <w:sz w:val="20"/>
        </w:rPr>
        <w:t xml:space="preserve">included </w:t>
      </w:r>
      <w:r w:rsidRPr="0092230E">
        <w:rPr>
          <w:rFonts w:ascii="Arial" w:hAnsi="Arial" w:cs="Arial"/>
          <w:sz w:val="20"/>
        </w:rPr>
        <w:t xml:space="preserve">as ‘initial sales revenue’. </w:t>
      </w:r>
      <w:r w:rsidR="00C82C71" w:rsidRPr="0092230E">
        <w:rPr>
          <w:rFonts w:ascii="Arial" w:hAnsi="Arial" w:cs="Arial"/>
          <w:sz w:val="20"/>
        </w:rPr>
        <w:t xml:space="preserve">This is added to the </w:t>
      </w:r>
      <w:r w:rsidR="00871B7E" w:rsidRPr="0092230E">
        <w:rPr>
          <w:rFonts w:ascii="Arial" w:hAnsi="Arial" w:cs="Arial"/>
          <w:sz w:val="20"/>
        </w:rPr>
        <w:t xml:space="preserve">sales </w:t>
      </w:r>
      <w:r w:rsidR="00C82C71" w:rsidRPr="0092230E">
        <w:rPr>
          <w:rFonts w:ascii="Arial" w:hAnsi="Arial" w:cs="Arial"/>
          <w:sz w:val="20"/>
        </w:rPr>
        <w:t xml:space="preserve">revenue </w:t>
      </w:r>
      <w:r w:rsidR="00871B7E" w:rsidRPr="0092230E">
        <w:rPr>
          <w:rFonts w:ascii="Arial" w:hAnsi="Arial" w:cs="Arial"/>
          <w:sz w:val="20"/>
        </w:rPr>
        <w:t>of</w:t>
      </w:r>
      <w:r w:rsidR="00C82C71" w:rsidRPr="0092230E">
        <w:rPr>
          <w:rFonts w:ascii="Arial" w:hAnsi="Arial" w:cs="Arial"/>
          <w:sz w:val="20"/>
        </w:rPr>
        <w:t xml:space="preserve"> declared related parties</w:t>
      </w:r>
      <w:r w:rsidR="00871B7E" w:rsidRPr="0092230E">
        <w:rPr>
          <w:rFonts w:ascii="Arial" w:hAnsi="Arial" w:cs="Arial"/>
          <w:sz w:val="20"/>
        </w:rPr>
        <w:t xml:space="preserve"> (if any) which is again identified from the sources specified in section </w:t>
      </w:r>
      <w:r w:rsidR="002A3D23" w:rsidRPr="0092230E">
        <w:rPr>
          <w:rFonts w:ascii="Arial" w:hAnsi="Arial" w:cs="Arial"/>
          <w:sz w:val="20"/>
        </w:rPr>
        <w:t>12</w:t>
      </w:r>
      <w:r w:rsidR="00C82C71" w:rsidRPr="0092230E">
        <w:rPr>
          <w:rFonts w:ascii="Arial" w:hAnsi="Arial" w:cs="Arial"/>
          <w:sz w:val="20"/>
        </w:rPr>
        <w:t xml:space="preserve">. </w:t>
      </w:r>
      <w:r w:rsidRPr="0092230E">
        <w:rPr>
          <w:rFonts w:ascii="Arial" w:hAnsi="Arial" w:cs="Arial"/>
          <w:sz w:val="20"/>
        </w:rPr>
        <w:t xml:space="preserve">For declared related parties, the amount of </w:t>
      </w:r>
      <w:r w:rsidR="00871B7E" w:rsidRPr="0092230E">
        <w:rPr>
          <w:rFonts w:ascii="Arial" w:hAnsi="Arial" w:cs="Arial"/>
          <w:sz w:val="20"/>
        </w:rPr>
        <w:t xml:space="preserve">their sales </w:t>
      </w:r>
      <w:r w:rsidRPr="0092230E">
        <w:rPr>
          <w:rFonts w:ascii="Arial" w:hAnsi="Arial" w:cs="Arial"/>
          <w:sz w:val="20"/>
        </w:rPr>
        <w:t>revenue to be included</w:t>
      </w:r>
      <w:r w:rsidR="00871B7E" w:rsidRPr="0092230E">
        <w:rPr>
          <w:rFonts w:ascii="Arial" w:hAnsi="Arial" w:cs="Arial"/>
          <w:sz w:val="20"/>
        </w:rPr>
        <w:t xml:space="preserve"> as part of</w:t>
      </w:r>
      <w:r w:rsidRPr="0092230E">
        <w:rPr>
          <w:rFonts w:ascii="Arial" w:hAnsi="Arial" w:cs="Arial"/>
          <w:sz w:val="20"/>
        </w:rPr>
        <w:t xml:space="preserve"> the </w:t>
      </w:r>
      <w:r w:rsidR="00C82C71" w:rsidRPr="0092230E">
        <w:rPr>
          <w:rFonts w:ascii="Arial" w:hAnsi="Arial" w:cs="Arial"/>
          <w:sz w:val="20"/>
        </w:rPr>
        <w:t xml:space="preserve">participating person’s </w:t>
      </w:r>
      <w:r w:rsidRPr="0092230E">
        <w:rPr>
          <w:rFonts w:ascii="Arial" w:hAnsi="Arial" w:cs="Arial"/>
          <w:sz w:val="20"/>
        </w:rPr>
        <w:t>revenue is the</w:t>
      </w:r>
      <w:r w:rsidR="00871B7E" w:rsidRPr="0092230E">
        <w:rPr>
          <w:rFonts w:ascii="Arial" w:hAnsi="Arial" w:cs="Arial"/>
          <w:sz w:val="20"/>
        </w:rPr>
        <w:t>ir</w:t>
      </w:r>
      <w:r w:rsidRPr="0092230E">
        <w:rPr>
          <w:rFonts w:ascii="Arial" w:hAnsi="Arial" w:cs="Arial"/>
          <w:sz w:val="20"/>
        </w:rPr>
        <w:t xml:space="preserve"> sales revenue multiplied by the declared related party factor. </w:t>
      </w:r>
    </w:p>
    <w:p w14:paraId="47CEE738" w14:textId="77777777" w:rsidR="00192B36" w:rsidRPr="0092230E" w:rsidRDefault="00192B36" w:rsidP="00192B36">
      <w:pPr>
        <w:pStyle w:val="ABABulletLevel1"/>
        <w:spacing w:after="120"/>
        <w:rPr>
          <w:rFonts w:ascii="Arial" w:hAnsi="Arial" w:cs="Arial"/>
          <w:sz w:val="20"/>
        </w:rPr>
      </w:pPr>
      <w:r w:rsidRPr="0092230E">
        <w:rPr>
          <w:rFonts w:ascii="Arial" w:hAnsi="Arial" w:cs="Arial"/>
          <w:sz w:val="20"/>
        </w:rPr>
        <w:lastRenderedPageBreak/>
        <w:t>S</w:t>
      </w:r>
      <w:r w:rsidR="00054D58" w:rsidRPr="0092230E">
        <w:rPr>
          <w:rFonts w:ascii="Arial" w:hAnsi="Arial" w:cs="Arial"/>
          <w:sz w:val="20"/>
        </w:rPr>
        <w:t>ubs</w:t>
      </w:r>
      <w:r w:rsidRPr="0092230E">
        <w:rPr>
          <w:rFonts w:ascii="Arial" w:hAnsi="Arial" w:cs="Arial"/>
          <w:sz w:val="20"/>
        </w:rPr>
        <w:t xml:space="preserve">ection </w:t>
      </w:r>
      <w:r w:rsidR="002A3D23" w:rsidRPr="0092230E">
        <w:rPr>
          <w:rFonts w:ascii="Arial" w:hAnsi="Arial" w:cs="Arial"/>
          <w:sz w:val="20"/>
        </w:rPr>
        <w:t>15</w:t>
      </w:r>
      <w:r w:rsidR="00054D58" w:rsidRPr="0092230E">
        <w:rPr>
          <w:rFonts w:ascii="Arial" w:hAnsi="Arial" w:cs="Arial"/>
          <w:sz w:val="20"/>
        </w:rPr>
        <w:t xml:space="preserve">(5) </w:t>
      </w:r>
      <w:r w:rsidRPr="0092230E">
        <w:rPr>
          <w:rFonts w:ascii="Arial" w:hAnsi="Arial" w:cs="Arial"/>
          <w:sz w:val="20"/>
        </w:rPr>
        <w:t xml:space="preserve">provides that the ACMA may make declarations about whether the sales revenue </w:t>
      </w:r>
      <w:r w:rsidR="00871B7E" w:rsidRPr="0092230E">
        <w:rPr>
          <w:rFonts w:ascii="Arial" w:hAnsi="Arial" w:cs="Arial"/>
          <w:sz w:val="20"/>
        </w:rPr>
        <w:t xml:space="preserve">(either part or whole) </w:t>
      </w:r>
      <w:r w:rsidRPr="0092230E">
        <w:rPr>
          <w:rFonts w:ascii="Arial" w:hAnsi="Arial" w:cs="Arial"/>
          <w:sz w:val="20"/>
        </w:rPr>
        <w:t>of declared related parties</w:t>
      </w:r>
      <w:r w:rsidR="00871B7E" w:rsidRPr="0092230E">
        <w:rPr>
          <w:rFonts w:ascii="Arial" w:hAnsi="Arial" w:cs="Arial"/>
          <w:sz w:val="20"/>
        </w:rPr>
        <w:t xml:space="preserve"> (specified in the declaration)</w:t>
      </w:r>
      <w:r w:rsidRPr="0092230E">
        <w:rPr>
          <w:rFonts w:ascii="Arial" w:hAnsi="Arial" w:cs="Arial"/>
          <w:sz w:val="20"/>
        </w:rPr>
        <w:t xml:space="preserve"> is </w:t>
      </w:r>
      <w:r w:rsidR="00054D58" w:rsidRPr="0092230E">
        <w:rPr>
          <w:rFonts w:ascii="Arial" w:hAnsi="Arial" w:cs="Arial"/>
          <w:sz w:val="20"/>
        </w:rPr>
        <w:t xml:space="preserve">not </w:t>
      </w:r>
      <w:r w:rsidRPr="0092230E">
        <w:rPr>
          <w:rFonts w:ascii="Arial" w:hAnsi="Arial" w:cs="Arial"/>
          <w:sz w:val="20"/>
        </w:rPr>
        <w:t>part of the participating person’s</w:t>
      </w:r>
      <w:r w:rsidR="00871B7E" w:rsidRPr="0092230E">
        <w:rPr>
          <w:rFonts w:ascii="Arial" w:hAnsi="Arial" w:cs="Arial"/>
          <w:sz w:val="20"/>
        </w:rPr>
        <w:t xml:space="preserve"> initial</w:t>
      </w:r>
      <w:r w:rsidRPr="0092230E">
        <w:rPr>
          <w:rFonts w:ascii="Arial" w:hAnsi="Arial" w:cs="Arial"/>
          <w:sz w:val="20"/>
        </w:rPr>
        <w:t xml:space="preserve"> sales revenue.</w:t>
      </w:r>
    </w:p>
    <w:p w14:paraId="67892C07" w14:textId="77777777" w:rsidR="00871B7E" w:rsidRPr="0092230E" w:rsidRDefault="00871B7E" w:rsidP="00192B36">
      <w:pPr>
        <w:pStyle w:val="ABABulletLevel1"/>
        <w:spacing w:after="120"/>
        <w:rPr>
          <w:rFonts w:ascii="Arial" w:hAnsi="Arial" w:cs="Arial"/>
          <w:b/>
          <w:sz w:val="20"/>
        </w:rPr>
      </w:pPr>
    </w:p>
    <w:p w14:paraId="146AFCD6" w14:textId="77777777" w:rsidR="00E05B56" w:rsidRPr="0092230E" w:rsidRDefault="00E05B56" w:rsidP="004C43F6">
      <w:pPr>
        <w:pStyle w:val="ABABulletLevel1"/>
        <w:keepNext/>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16 </w:t>
      </w:r>
      <w:r w:rsidRPr="0092230E">
        <w:rPr>
          <w:rFonts w:ascii="Arial" w:hAnsi="Arial" w:cs="Arial"/>
          <w:b/>
          <w:sz w:val="20"/>
        </w:rPr>
        <w:t xml:space="preserve">– </w:t>
      </w:r>
      <w:r w:rsidR="00C82C71" w:rsidRPr="0092230E">
        <w:rPr>
          <w:rFonts w:ascii="Arial" w:hAnsi="Arial" w:cs="Arial"/>
          <w:b/>
          <w:sz w:val="20"/>
        </w:rPr>
        <w:t>Non-telecommunications sales revenue</w:t>
      </w:r>
    </w:p>
    <w:p w14:paraId="67724D9F" w14:textId="364A7C34" w:rsidR="00E05B56" w:rsidRPr="0092230E" w:rsidRDefault="00C82C71" w:rsidP="00E05B56">
      <w:pPr>
        <w:pStyle w:val="ABABulletLevel1"/>
        <w:spacing w:after="120"/>
        <w:rPr>
          <w:rFonts w:ascii="Arial" w:hAnsi="Arial" w:cs="Arial"/>
          <w:b/>
          <w:sz w:val="20"/>
        </w:rPr>
      </w:pPr>
      <w:r w:rsidRPr="0092230E">
        <w:rPr>
          <w:rFonts w:ascii="Arial" w:hAnsi="Arial" w:cs="Arial"/>
          <w:sz w:val="20"/>
        </w:rPr>
        <w:t xml:space="preserve">Section </w:t>
      </w:r>
      <w:r w:rsidR="002A3D23" w:rsidRPr="0092230E">
        <w:rPr>
          <w:rFonts w:ascii="Arial" w:hAnsi="Arial" w:cs="Arial"/>
          <w:sz w:val="20"/>
        </w:rPr>
        <w:t xml:space="preserve">16 </w:t>
      </w:r>
      <w:r w:rsidRPr="0092230E">
        <w:rPr>
          <w:rFonts w:ascii="Arial" w:hAnsi="Arial" w:cs="Arial"/>
          <w:sz w:val="20"/>
        </w:rPr>
        <w:t xml:space="preserve">allows a participating person to deduct from the initial sales revenue it has identified under section </w:t>
      </w:r>
      <w:r w:rsidR="002A3D23" w:rsidRPr="0092230E">
        <w:rPr>
          <w:rFonts w:ascii="Arial" w:hAnsi="Arial" w:cs="Arial"/>
          <w:sz w:val="20"/>
        </w:rPr>
        <w:t xml:space="preserve">15 </w:t>
      </w:r>
      <w:r w:rsidRPr="0092230E">
        <w:rPr>
          <w:rFonts w:ascii="Arial" w:hAnsi="Arial" w:cs="Arial"/>
          <w:sz w:val="20"/>
        </w:rPr>
        <w:t xml:space="preserve">any amount that is earned from an activity outside the telecommunications </w:t>
      </w:r>
      <w:r w:rsidR="00F77F4C" w:rsidRPr="0092230E">
        <w:rPr>
          <w:rFonts w:ascii="Arial" w:hAnsi="Arial" w:cs="Arial"/>
          <w:sz w:val="20"/>
        </w:rPr>
        <w:t>industry</w:t>
      </w:r>
      <w:r w:rsidR="00C41250" w:rsidRPr="0092230E">
        <w:rPr>
          <w:rFonts w:ascii="Arial" w:hAnsi="Arial" w:cs="Arial"/>
          <w:sz w:val="20"/>
        </w:rPr>
        <w:t xml:space="preserve"> (</w:t>
      </w:r>
      <w:r w:rsidR="00871B7E" w:rsidRPr="0092230E">
        <w:rPr>
          <w:rFonts w:ascii="Arial" w:hAnsi="Arial" w:cs="Arial"/>
          <w:sz w:val="20"/>
        </w:rPr>
        <w:t>that is, non-telecommunications sales revenue, which is defined in</w:t>
      </w:r>
      <w:r w:rsidR="00C41250" w:rsidRPr="0092230E">
        <w:rPr>
          <w:rFonts w:ascii="Arial" w:hAnsi="Arial" w:cs="Arial"/>
          <w:sz w:val="20"/>
        </w:rPr>
        <w:t xml:space="preserve"> section </w:t>
      </w:r>
      <w:r w:rsidR="006B64D0" w:rsidRPr="0092230E">
        <w:rPr>
          <w:rFonts w:ascii="Arial" w:hAnsi="Arial" w:cs="Arial"/>
          <w:sz w:val="20"/>
        </w:rPr>
        <w:t>9</w:t>
      </w:r>
      <w:r w:rsidR="00C41250" w:rsidRPr="0092230E">
        <w:rPr>
          <w:rFonts w:ascii="Arial" w:hAnsi="Arial" w:cs="Arial"/>
          <w:sz w:val="20"/>
        </w:rPr>
        <w:t>)</w:t>
      </w:r>
      <w:r w:rsidR="00F77F4C" w:rsidRPr="0092230E">
        <w:rPr>
          <w:rFonts w:ascii="Arial" w:hAnsi="Arial" w:cs="Arial"/>
          <w:sz w:val="20"/>
        </w:rPr>
        <w:t xml:space="preserve">. This enables the removal of </w:t>
      </w:r>
      <w:r w:rsidR="00871B7E" w:rsidRPr="0092230E">
        <w:rPr>
          <w:rFonts w:ascii="Arial" w:hAnsi="Arial" w:cs="Arial"/>
          <w:sz w:val="20"/>
        </w:rPr>
        <w:t xml:space="preserve">sales </w:t>
      </w:r>
      <w:r w:rsidR="00F77F4C" w:rsidRPr="0092230E">
        <w:rPr>
          <w:rFonts w:ascii="Arial" w:hAnsi="Arial" w:cs="Arial"/>
          <w:sz w:val="20"/>
        </w:rPr>
        <w:t xml:space="preserve">revenue not earned </w:t>
      </w:r>
      <w:r w:rsidR="00871B7E" w:rsidRPr="0092230E">
        <w:rPr>
          <w:rFonts w:ascii="Arial" w:hAnsi="Arial" w:cs="Arial"/>
          <w:sz w:val="20"/>
        </w:rPr>
        <w:t xml:space="preserve">from an activity </w:t>
      </w:r>
      <w:r w:rsidR="00F77F4C" w:rsidRPr="0092230E">
        <w:rPr>
          <w:rFonts w:ascii="Arial" w:hAnsi="Arial" w:cs="Arial"/>
          <w:sz w:val="20"/>
        </w:rPr>
        <w:t xml:space="preserve">in the telecommunications industry and which is not considered appropriate to be subject to </w:t>
      </w:r>
      <w:r w:rsidR="006747D9" w:rsidRPr="0092230E">
        <w:rPr>
          <w:rFonts w:ascii="Arial" w:hAnsi="Arial" w:cs="Arial"/>
          <w:sz w:val="20"/>
        </w:rPr>
        <w:t xml:space="preserve">the </w:t>
      </w:r>
      <w:r w:rsidR="00F77F4C" w:rsidRPr="0092230E">
        <w:rPr>
          <w:rFonts w:ascii="Arial" w:hAnsi="Arial" w:cs="Arial"/>
          <w:sz w:val="20"/>
        </w:rPr>
        <w:t>levy</w:t>
      </w:r>
      <w:r w:rsidR="006B64D0" w:rsidRPr="0092230E">
        <w:rPr>
          <w:rFonts w:ascii="Arial" w:hAnsi="Arial" w:cs="Arial"/>
          <w:sz w:val="20"/>
        </w:rPr>
        <w:t xml:space="preserve"> imposed under the </w:t>
      </w:r>
      <w:r w:rsidR="006B64D0" w:rsidRPr="0092230E">
        <w:rPr>
          <w:rFonts w:ascii="Arial" w:hAnsi="Arial" w:cs="Arial"/>
          <w:i/>
          <w:sz w:val="20"/>
        </w:rPr>
        <w:t>Telecommunications (Industry Levy) Act 2012</w:t>
      </w:r>
      <w:r w:rsidR="00F77F4C" w:rsidRPr="0092230E">
        <w:rPr>
          <w:rFonts w:ascii="Arial" w:hAnsi="Arial" w:cs="Arial"/>
          <w:sz w:val="20"/>
        </w:rPr>
        <w:t xml:space="preserve">. Such deductions are appropriate for two main reasons; </w:t>
      </w:r>
      <w:r w:rsidR="002B7C05" w:rsidRPr="0092230E">
        <w:rPr>
          <w:rFonts w:ascii="Arial" w:hAnsi="Arial" w:cs="Arial"/>
          <w:sz w:val="20"/>
        </w:rPr>
        <w:t xml:space="preserve">persons who conduct </w:t>
      </w:r>
      <w:r w:rsidR="00F77F4C" w:rsidRPr="0092230E">
        <w:rPr>
          <w:rFonts w:ascii="Arial" w:hAnsi="Arial" w:cs="Arial"/>
          <w:sz w:val="20"/>
        </w:rPr>
        <w:t xml:space="preserve">activities outside the telecommunications industry are not direct beneficiaries of the universal telecommunications services and, in operating in such markets, participating persons may be competing with </w:t>
      </w:r>
      <w:r w:rsidR="00871B7E" w:rsidRPr="0092230E">
        <w:rPr>
          <w:rFonts w:ascii="Arial" w:hAnsi="Arial" w:cs="Arial"/>
          <w:sz w:val="20"/>
        </w:rPr>
        <w:t xml:space="preserve">entities </w:t>
      </w:r>
      <w:r w:rsidR="00F77F4C" w:rsidRPr="0092230E">
        <w:rPr>
          <w:rFonts w:ascii="Arial" w:hAnsi="Arial" w:cs="Arial"/>
          <w:sz w:val="20"/>
        </w:rPr>
        <w:t>not otherwise subject to the levy.</w:t>
      </w:r>
    </w:p>
    <w:p w14:paraId="2718A93A" w14:textId="77777777" w:rsidR="00FE75EC" w:rsidRPr="0092230E" w:rsidRDefault="00F77F4C" w:rsidP="003214EE">
      <w:pPr>
        <w:pStyle w:val="ABABulletLevel1"/>
        <w:spacing w:after="120"/>
        <w:rPr>
          <w:rFonts w:ascii="Arial" w:hAnsi="Arial" w:cs="Arial"/>
          <w:sz w:val="20"/>
        </w:rPr>
      </w:pPr>
      <w:r w:rsidRPr="0092230E">
        <w:rPr>
          <w:rFonts w:ascii="Arial" w:hAnsi="Arial" w:cs="Arial"/>
          <w:sz w:val="20"/>
        </w:rPr>
        <w:t xml:space="preserve">Section </w:t>
      </w:r>
      <w:r w:rsidR="002A3D23" w:rsidRPr="0092230E">
        <w:rPr>
          <w:rFonts w:ascii="Arial" w:hAnsi="Arial" w:cs="Arial"/>
          <w:sz w:val="20"/>
        </w:rPr>
        <w:t xml:space="preserve">16 </w:t>
      </w:r>
      <w:r w:rsidRPr="0092230E">
        <w:rPr>
          <w:rFonts w:ascii="Arial" w:hAnsi="Arial" w:cs="Arial"/>
          <w:sz w:val="20"/>
        </w:rPr>
        <w:t>provides that non-telecommunications sales revenue of participating persons, consolidated related parties and declared related parties may be deducted.</w:t>
      </w:r>
      <w:r w:rsidR="00FE75EC" w:rsidRPr="0092230E">
        <w:rPr>
          <w:rFonts w:ascii="Arial" w:hAnsi="Arial" w:cs="Arial"/>
          <w:sz w:val="20"/>
        </w:rPr>
        <w:t xml:space="preserve"> Any non-telecommunications sales revenue of declared related parties must be multiplied by the declared related party factor for that party</w:t>
      </w:r>
      <w:r w:rsidR="00871B7E" w:rsidRPr="0092230E">
        <w:rPr>
          <w:rFonts w:ascii="Arial" w:hAnsi="Arial" w:cs="Arial"/>
          <w:sz w:val="20"/>
        </w:rPr>
        <w:t xml:space="preserve"> to work out the amount that is deductible</w:t>
      </w:r>
      <w:r w:rsidR="00FE75EC" w:rsidRPr="0092230E">
        <w:rPr>
          <w:rFonts w:ascii="Arial" w:hAnsi="Arial" w:cs="Arial"/>
          <w:sz w:val="20"/>
        </w:rPr>
        <w:t>.</w:t>
      </w:r>
      <w:r w:rsidRPr="0092230E">
        <w:rPr>
          <w:rFonts w:ascii="Arial" w:hAnsi="Arial" w:cs="Arial"/>
          <w:sz w:val="20"/>
        </w:rPr>
        <w:t xml:space="preserve"> </w:t>
      </w:r>
    </w:p>
    <w:p w14:paraId="7820CF16" w14:textId="77777777" w:rsidR="00FE75EC" w:rsidRPr="0092230E" w:rsidRDefault="005E1897" w:rsidP="003214EE">
      <w:pPr>
        <w:pStyle w:val="ABABulletLevel1"/>
        <w:spacing w:after="120"/>
        <w:rPr>
          <w:rFonts w:ascii="Arial" w:hAnsi="Arial" w:cs="Arial"/>
          <w:sz w:val="20"/>
        </w:rPr>
      </w:pPr>
      <w:r w:rsidRPr="0092230E">
        <w:rPr>
          <w:rFonts w:ascii="Arial" w:hAnsi="Arial" w:cs="Arial"/>
          <w:sz w:val="20"/>
        </w:rPr>
        <w:t xml:space="preserve">For example: Entity B is a participating person, and </w:t>
      </w:r>
      <w:r w:rsidR="00EB7F8B" w:rsidRPr="0092230E">
        <w:rPr>
          <w:rFonts w:ascii="Arial" w:hAnsi="Arial" w:cs="Arial"/>
          <w:sz w:val="20"/>
        </w:rPr>
        <w:t>E</w:t>
      </w:r>
      <w:r w:rsidRPr="0092230E">
        <w:rPr>
          <w:rFonts w:ascii="Arial" w:hAnsi="Arial" w:cs="Arial"/>
          <w:sz w:val="20"/>
        </w:rPr>
        <w:t xml:space="preserve">ntity C is its declared related party. Entity C earned $100,000 sales revenue during the eligible revenue period. Of this, $25,000 was earned from activities outside of the telecommunications industry. The declared related party factor </w:t>
      </w:r>
      <w:r w:rsidR="00871B7E" w:rsidRPr="0092230E">
        <w:rPr>
          <w:rFonts w:ascii="Arial" w:hAnsi="Arial" w:cs="Arial"/>
          <w:sz w:val="20"/>
        </w:rPr>
        <w:t xml:space="preserve">(worked out using the formula in section </w:t>
      </w:r>
      <w:r w:rsidR="00E16B2B" w:rsidRPr="0092230E">
        <w:rPr>
          <w:rFonts w:ascii="Arial" w:hAnsi="Arial" w:cs="Arial"/>
          <w:sz w:val="20"/>
        </w:rPr>
        <w:t>8</w:t>
      </w:r>
      <w:r w:rsidR="00871B7E" w:rsidRPr="0092230E">
        <w:rPr>
          <w:rFonts w:ascii="Arial" w:hAnsi="Arial" w:cs="Arial"/>
          <w:sz w:val="20"/>
        </w:rPr>
        <w:t xml:space="preserve">) </w:t>
      </w:r>
      <w:r w:rsidRPr="0092230E">
        <w:rPr>
          <w:rFonts w:ascii="Arial" w:hAnsi="Arial" w:cs="Arial"/>
          <w:sz w:val="20"/>
        </w:rPr>
        <w:t xml:space="preserve">is 50 per cent. As they are declared related parties, a proportion of </w:t>
      </w:r>
      <w:r w:rsidR="00EB7F8B" w:rsidRPr="0092230E">
        <w:rPr>
          <w:rFonts w:ascii="Arial" w:hAnsi="Arial" w:cs="Arial"/>
          <w:sz w:val="20"/>
        </w:rPr>
        <w:t>E</w:t>
      </w:r>
      <w:r w:rsidRPr="0092230E">
        <w:rPr>
          <w:rFonts w:ascii="Arial" w:hAnsi="Arial" w:cs="Arial"/>
          <w:sz w:val="20"/>
        </w:rPr>
        <w:t xml:space="preserve">ntity C’s sales revenue must be included in the calculation of the eligible revenue of the participating person, </w:t>
      </w:r>
      <w:r w:rsidR="00EB7F8B" w:rsidRPr="0092230E">
        <w:rPr>
          <w:rFonts w:ascii="Arial" w:hAnsi="Arial" w:cs="Arial"/>
          <w:sz w:val="20"/>
        </w:rPr>
        <w:t>E</w:t>
      </w:r>
      <w:r w:rsidRPr="0092230E">
        <w:rPr>
          <w:rFonts w:ascii="Arial" w:hAnsi="Arial" w:cs="Arial"/>
          <w:sz w:val="20"/>
        </w:rPr>
        <w:t>ntity B. In this example:</w:t>
      </w:r>
    </w:p>
    <w:p w14:paraId="1DB587F7" w14:textId="77777777" w:rsidR="005E1897" w:rsidRPr="0092230E" w:rsidRDefault="005E1897" w:rsidP="003E1636">
      <w:pPr>
        <w:pStyle w:val="ABABulletLevel1"/>
        <w:numPr>
          <w:ilvl w:val="0"/>
          <w:numId w:val="16"/>
        </w:numPr>
        <w:spacing w:after="120"/>
        <w:rPr>
          <w:rFonts w:ascii="Arial" w:hAnsi="Arial" w:cs="Arial"/>
          <w:sz w:val="20"/>
        </w:rPr>
      </w:pPr>
      <w:r w:rsidRPr="0092230E">
        <w:rPr>
          <w:rFonts w:ascii="Arial" w:hAnsi="Arial" w:cs="Arial"/>
          <w:sz w:val="20"/>
        </w:rPr>
        <w:t xml:space="preserve">$50,000 of </w:t>
      </w:r>
      <w:r w:rsidR="00EB7F8B" w:rsidRPr="0092230E">
        <w:rPr>
          <w:rFonts w:ascii="Arial" w:hAnsi="Arial" w:cs="Arial"/>
          <w:sz w:val="20"/>
        </w:rPr>
        <w:t>E</w:t>
      </w:r>
      <w:r w:rsidRPr="0092230E">
        <w:rPr>
          <w:rFonts w:ascii="Arial" w:hAnsi="Arial" w:cs="Arial"/>
          <w:sz w:val="20"/>
        </w:rPr>
        <w:t>ntity C’s sales revenue would be included as initial sales revenue (being $100,000 sales revenue earned x declared related party factor of 50 per cent)</w:t>
      </w:r>
      <w:r w:rsidR="00871B7E" w:rsidRPr="0092230E">
        <w:rPr>
          <w:rFonts w:ascii="Arial" w:hAnsi="Arial" w:cs="Arial"/>
          <w:sz w:val="20"/>
        </w:rPr>
        <w:t xml:space="preserve"> as calculated under section </w:t>
      </w:r>
      <w:r w:rsidR="002A3D23" w:rsidRPr="0092230E">
        <w:rPr>
          <w:rFonts w:ascii="Arial" w:hAnsi="Arial" w:cs="Arial"/>
          <w:sz w:val="20"/>
        </w:rPr>
        <w:t>15</w:t>
      </w:r>
      <w:r w:rsidRPr="0092230E">
        <w:rPr>
          <w:rFonts w:ascii="Arial" w:hAnsi="Arial" w:cs="Arial"/>
          <w:sz w:val="20"/>
        </w:rPr>
        <w:t>;</w:t>
      </w:r>
    </w:p>
    <w:p w14:paraId="582DC3B4" w14:textId="77777777" w:rsidR="005E1897" w:rsidRPr="0092230E" w:rsidRDefault="005E1897" w:rsidP="003E1636">
      <w:pPr>
        <w:pStyle w:val="ABABulletLevel1"/>
        <w:numPr>
          <w:ilvl w:val="0"/>
          <w:numId w:val="16"/>
        </w:numPr>
        <w:spacing w:after="120"/>
        <w:rPr>
          <w:rFonts w:ascii="Arial" w:hAnsi="Arial" w:cs="Arial"/>
          <w:sz w:val="20"/>
        </w:rPr>
      </w:pPr>
      <w:r w:rsidRPr="0092230E">
        <w:rPr>
          <w:rFonts w:ascii="Arial" w:hAnsi="Arial" w:cs="Arial"/>
          <w:sz w:val="20"/>
        </w:rPr>
        <w:t xml:space="preserve">$12,500 of </w:t>
      </w:r>
      <w:r w:rsidR="00EB7F8B" w:rsidRPr="0092230E">
        <w:rPr>
          <w:rFonts w:ascii="Arial" w:hAnsi="Arial" w:cs="Arial"/>
          <w:sz w:val="20"/>
        </w:rPr>
        <w:t>E</w:t>
      </w:r>
      <w:r w:rsidRPr="0092230E">
        <w:rPr>
          <w:rFonts w:ascii="Arial" w:hAnsi="Arial" w:cs="Arial"/>
          <w:sz w:val="20"/>
        </w:rPr>
        <w:t>ntity C’s sales revenue would be deductible as non-telecommunications sales revenue (being $25,000 sales revenue earned outside the telecommunications industry</w:t>
      </w:r>
      <w:r w:rsidR="003E1636" w:rsidRPr="0092230E">
        <w:rPr>
          <w:rFonts w:ascii="Arial" w:hAnsi="Arial" w:cs="Arial"/>
          <w:sz w:val="20"/>
        </w:rPr>
        <w:t xml:space="preserve"> x declared related party factor of 50 per cent)</w:t>
      </w:r>
      <w:r w:rsidR="00871B7E" w:rsidRPr="0092230E">
        <w:rPr>
          <w:rFonts w:ascii="Arial" w:hAnsi="Arial" w:cs="Arial"/>
          <w:sz w:val="20"/>
        </w:rPr>
        <w:t xml:space="preserve"> from Entity B’s initial sales revenue as calculated under section </w:t>
      </w:r>
      <w:r w:rsidR="002A3D23" w:rsidRPr="0092230E">
        <w:rPr>
          <w:rFonts w:ascii="Arial" w:hAnsi="Arial" w:cs="Arial"/>
          <w:sz w:val="20"/>
        </w:rPr>
        <w:t>15</w:t>
      </w:r>
      <w:r w:rsidR="003E1636" w:rsidRPr="0092230E">
        <w:rPr>
          <w:rFonts w:ascii="Arial" w:hAnsi="Arial" w:cs="Arial"/>
          <w:sz w:val="20"/>
        </w:rPr>
        <w:t>.</w:t>
      </w:r>
    </w:p>
    <w:p w14:paraId="6EB9BA56" w14:textId="77777777" w:rsidR="0065701F" w:rsidRPr="0092230E" w:rsidRDefault="00F77F4C" w:rsidP="003214EE">
      <w:pPr>
        <w:pStyle w:val="ABABulletLevel1"/>
        <w:spacing w:after="120"/>
        <w:rPr>
          <w:rFonts w:ascii="Arial" w:hAnsi="Arial" w:cs="Arial"/>
          <w:sz w:val="20"/>
        </w:rPr>
      </w:pPr>
      <w:r w:rsidRPr="0092230E">
        <w:rPr>
          <w:rFonts w:ascii="Arial" w:hAnsi="Arial" w:cs="Arial"/>
          <w:sz w:val="20"/>
        </w:rPr>
        <w:t xml:space="preserve">Any amount of revenue being deducted must be </w:t>
      </w:r>
      <w:r w:rsidR="00ED1E7A" w:rsidRPr="0092230E">
        <w:rPr>
          <w:rFonts w:ascii="Arial" w:hAnsi="Arial" w:cs="Arial"/>
          <w:sz w:val="20"/>
        </w:rPr>
        <w:t>based on adequate and sufficient</w:t>
      </w:r>
      <w:r w:rsidRPr="0092230E">
        <w:rPr>
          <w:rFonts w:ascii="Arial" w:hAnsi="Arial" w:cs="Arial"/>
          <w:sz w:val="20"/>
        </w:rPr>
        <w:t xml:space="preserve"> evidence and have been included in the participating person’s initial sales revenue</w:t>
      </w:r>
      <w:r w:rsidR="00C85E41" w:rsidRPr="0092230E">
        <w:rPr>
          <w:rFonts w:ascii="Arial" w:hAnsi="Arial" w:cs="Arial"/>
          <w:sz w:val="20"/>
        </w:rPr>
        <w:t xml:space="preserve"> calculated under section </w:t>
      </w:r>
      <w:r w:rsidR="002A3D23" w:rsidRPr="0092230E">
        <w:rPr>
          <w:rFonts w:ascii="Arial" w:hAnsi="Arial" w:cs="Arial"/>
          <w:sz w:val="20"/>
        </w:rPr>
        <w:t>15</w:t>
      </w:r>
      <w:r w:rsidRPr="0092230E">
        <w:rPr>
          <w:rFonts w:ascii="Arial" w:hAnsi="Arial" w:cs="Arial"/>
          <w:sz w:val="20"/>
        </w:rPr>
        <w:t>.</w:t>
      </w:r>
      <w:r w:rsidR="00C85E41" w:rsidRPr="0092230E">
        <w:rPr>
          <w:rFonts w:ascii="Arial" w:hAnsi="Arial" w:cs="Arial"/>
          <w:sz w:val="20"/>
        </w:rPr>
        <w:t xml:space="preserve"> </w:t>
      </w:r>
      <w:r w:rsidR="00D4160A" w:rsidRPr="0092230E">
        <w:rPr>
          <w:rFonts w:ascii="Arial" w:hAnsi="Arial" w:cs="Arial"/>
          <w:sz w:val="20"/>
        </w:rPr>
        <w:t xml:space="preserve">Subsection </w:t>
      </w:r>
      <w:r w:rsidR="002A3D23" w:rsidRPr="0092230E">
        <w:rPr>
          <w:rFonts w:ascii="Arial" w:hAnsi="Arial" w:cs="Arial"/>
          <w:sz w:val="20"/>
        </w:rPr>
        <w:t>16</w:t>
      </w:r>
      <w:r w:rsidR="00D4160A" w:rsidRPr="0092230E">
        <w:rPr>
          <w:rFonts w:ascii="Arial" w:hAnsi="Arial" w:cs="Arial"/>
          <w:sz w:val="20"/>
        </w:rPr>
        <w:t xml:space="preserve">(3) provides that any amount deducted must not be more than the total amount received by the participating person, or its consolidated related party or declared related party, in connection with the activity that created the non-telecommunications sales revenue. </w:t>
      </w:r>
      <w:r w:rsidR="00C85E41" w:rsidRPr="0092230E">
        <w:rPr>
          <w:rFonts w:ascii="Arial" w:hAnsi="Arial" w:cs="Arial"/>
          <w:sz w:val="20"/>
        </w:rPr>
        <w:t xml:space="preserve">This is to ensure that only revenue actually received in connection with activities outside the telecommunications industry </w:t>
      </w:r>
      <w:r w:rsidR="0002593D" w:rsidRPr="0092230E">
        <w:rPr>
          <w:rFonts w:ascii="Arial" w:hAnsi="Arial" w:cs="Arial"/>
          <w:sz w:val="20"/>
        </w:rPr>
        <w:t xml:space="preserve">is </w:t>
      </w:r>
      <w:r w:rsidR="00C85E41" w:rsidRPr="0092230E">
        <w:rPr>
          <w:rFonts w:ascii="Arial" w:hAnsi="Arial" w:cs="Arial"/>
          <w:sz w:val="20"/>
        </w:rPr>
        <w:t xml:space="preserve">deductible. </w:t>
      </w:r>
    </w:p>
    <w:p w14:paraId="662E6F4C" w14:textId="77777777" w:rsidR="00C85E41" w:rsidRPr="0092230E" w:rsidRDefault="00C85E41" w:rsidP="003214EE">
      <w:pPr>
        <w:pStyle w:val="ABABulletLevel1"/>
        <w:spacing w:after="120"/>
        <w:rPr>
          <w:rFonts w:ascii="Arial" w:hAnsi="Arial" w:cs="Arial"/>
          <w:sz w:val="20"/>
        </w:rPr>
      </w:pPr>
    </w:p>
    <w:p w14:paraId="1E70B2C5" w14:textId="77777777" w:rsidR="00ED1E7A" w:rsidRPr="0092230E" w:rsidRDefault="00ED1E7A" w:rsidP="00ED1E7A">
      <w:pPr>
        <w:pStyle w:val="ABABulletLevel1"/>
        <w:spacing w:after="120"/>
        <w:rPr>
          <w:rFonts w:ascii="Arial" w:hAnsi="Arial" w:cs="Arial"/>
          <w:b/>
          <w:i/>
          <w:sz w:val="20"/>
        </w:rPr>
      </w:pPr>
      <w:r w:rsidRPr="0092230E">
        <w:rPr>
          <w:rFonts w:ascii="Arial" w:hAnsi="Arial" w:cs="Arial"/>
          <w:b/>
          <w:sz w:val="20"/>
        </w:rPr>
        <w:t xml:space="preserve">Section </w:t>
      </w:r>
      <w:r w:rsidR="00067542" w:rsidRPr="0092230E">
        <w:rPr>
          <w:rFonts w:ascii="Arial" w:hAnsi="Arial" w:cs="Arial"/>
          <w:b/>
          <w:sz w:val="20"/>
        </w:rPr>
        <w:t xml:space="preserve">17 </w:t>
      </w:r>
      <w:r w:rsidRPr="0092230E">
        <w:rPr>
          <w:rFonts w:ascii="Arial" w:hAnsi="Arial" w:cs="Arial"/>
          <w:b/>
          <w:sz w:val="20"/>
        </w:rPr>
        <w:t>– Other telecommunications sales revenue</w:t>
      </w:r>
    </w:p>
    <w:p w14:paraId="6486E237" w14:textId="77777777" w:rsidR="00C41250" w:rsidRPr="0092230E" w:rsidRDefault="00ED1E7A" w:rsidP="00ED1E7A">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 xml:space="preserve">17 </w:t>
      </w:r>
      <w:r w:rsidRPr="0092230E">
        <w:rPr>
          <w:rFonts w:ascii="Arial" w:hAnsi="Arial" w:cs="Arial"/>
          <w:sz w:val="20"/>
        </w:rPr>
        <w:t xml:space="preserve">requires a participating person to </w:t>
      </w:r>
      <w:r w:rsidR="00C41250" w:rsidRPr="0092230E">
        <w:rPr>
          <w:rFonts w:ascii="Arial" w:hAnsi="Arial" w:cs="Arial"/>
          <w:sz w:val="20"/>
        </w:rPr>
        <w:t xml:space="preserve">also </w:t>
      </w:r>
      <w:r w:rsidRPr="0092230E">
        <w:rPr>
          <w:rFonts w:ascii="Arial" w:hAnsi="Arial" w:cs="Arial"/>
          <w:sz w:val="20"/>
        </w:rPr>
        <w:t xml:space="preserve">include in its gross telecommunications sales revenue other amounts that could reasonably be described as </w:t>
      </w:r>
      <w:r w:rsidR="00C85E41" w:rsidRPr="0092230E">
        <w:rPr>
          <w:rFonts w:ascii="Arial" w:hAnsi="Arial" w:cs="Arial"/>
          <w:sz w:val="20"/>
        </w:rPr>
        <w:t xml:space="preserve">telecommunications </w:t>
      </w:r>
      <w:r w:rsidRPr="0092230E">
        <w:rPr>
          <w:rFonts w:ascii="Arial" w:hAnsi="Arial" w:cs="Arial"/>
          <w:sz w:val="20"/>
        </w:rPr>
        <w:t>sales revenue of the participating person, consolidated related party or declared related party. This is designed to be a general safeguard to capture telecommunications sales revenue which might otherwise escape the levy net, for example, because it is somehow disguised in a participating person’s annual financial statements.</w:t>
      </w:r>
      <w:r w:rsidR="009E5719" w:rsidRPr="0092230E">
        <w:rPr>
          <w:rFonts w:ascii="Arial" w:hAnsi="Arial" w:cs="Arial"/>
          <w:sz w:val="20"/>
        </w:rPr>
        <w:t xml:space="preserve"> </w:t>
      </w:r>
    </w:p>
    <w:p w14:paraId="25A15018" w14:textId="77777777" w:rsidR="00C41250" w:rsidRPr="0092230E" w:rsidRDefault="00C41250" w:rsidP="00C41250">
      <w:pPr>
        <w:pStyle w:val="ABABulletLevel1"/>
        <w:spacing w:after="120"/>
        <w:rPr>
          <w:rFonts w:ascii="Arial" w:hAnsi="Arial" w:cs="Arial"/>
          <w:sz w:val="20"/>
        </w:rPr>
      </w:pPr>
      <w:r w:rsidRPr="0092230E">
        <w:rPr>
          <w:rFonts w:ascii="Arial" w:hAnsi="Arial" w:cs="Arial"/>
          <w:sz w:val="20"/>
        </w:rPr>
        <w:t xml:space="preserve">An amount of revenue is telecommunications sales revenue if it is income earned from </w:t>
      </w:r>
      <w:r w:rsidR="00C85E41" w:rsidRPr="0092230E">
        <w:rPr>
          <w:rFonts w:ascii="Arial" w:hAnsi="Arial" w:cs="Arial"/>
          <w:sz w:val="20"/>
        </w:rPr>
        <w:t>an</w:t>
      </w:r>
      <w:r w:rsidRPr="0092230E">
        <w:rPr>
          <w:rFonts w:ascii="Arial" w:hAnsi="Arial" w:cs="Arial"/>
          <w:sz w:val="20"/>
        </w:rPr>
        <w:t xml:space="preserve"> activity undertaken by the person within the telecommunications industry. The ‘telecommunications industry’ is defined in section 7 of the </w:t>
      </w:r>
      <w:r w:rsidRPr="0092230E">
        <w:rPr>
          <w:rFonts w:ascii="Arial" w:hAnsi="Arial" w:cs="Arial"/>
          <w:i/>
          <w:sz w:val="20"/>
        </w:rPr>
        <w:t>Telecommunications Act 1997</w:t>
      </w:r>
      <w:r w:rsidRPr="0092230E">
        <w:rPr>
          <w:rFonts w:ascii="Arial" w:hAnsi="Arial" w:cs="Arial"/>
          <w:sz w:val="20"/>
        </w:rPr>
        <w:t xml:space="preserve">. </w:t>
      </w:r>
    </w:p>
    <w:p w14:paraId="388A62B7" w14:textId="77777777" w:rsidR="00ED1E7A" w:rsidRPr="0092230E" w:rsidRDefault="00ED1E7A" w:rsidP="00ED1E7A">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 xml:space="preserve">17 </w:t>
      </w:r>
      <w:r w:rsidRPr="0092230E">
        <w:rPr>
          <w:rFonts w:ascii="Arial" w:hAnsi="Arial" w:cs="Arial"/>
          <w:sz w:val="20"/>
        </w:rPr>
        <w:t xml:space="preserve">also enables the ACMA to make a declaration to the effect that a participating person must </w:t>
      </w:r>
      <w:r w:rsidR="00C41250" w:rsidRPr="0092230E">
        <w:rPr>
          <w:rFonts w:ascii="Arial" w:hAnsi="Arial" w:cs="Arial"/>
          <w:sz w:val="20"/>
        </w:rPr>
        <w:t>recognise</w:t>
      </w:r>
      <w:r w:rsidR="005834DE" w:rsidRPr="0092230E">
        <w:rPr>
          <w:rFonts w:ascii="Arial" w:hAnsi="Arial" w:cs="Arial"/>
          <w:sz w:val="20"/>
        </w:rPr>
        <w:t xml:space="preserve"> the value of a benefit or service, or part thereof, as telecommunications sales revenue</w:t>
      </w:r>
      <w:r w:rsidR="00C85E41" w:rsidRPr="0092230E">
        <w:rPr>
          <w:rFonts w:ascii="Arial" w:hAnsi="Arial" w:cs="Arial"/>
          <w:sz w:val="20"/>
        </w:rPr>
        <w:t xml:space="preserve"> of the participating person or a consolidated related party or declared related party of the participating person (specified in the declaration)</w:t>
      </w:r>
      <w:r w:rsidR="005834DE" w:rsidRPr="0092230E">
        <w:rPr>
          <w:rFonts w:ascii="Arial" w:hAnsi="Arial" w:cs="Arial"/>
          <w:sz w:val="20"/>
        </w:rPr>
        <w:t>, and therefore part of</w:t>
      </w:r>
      <w:r w:rsidRPr="0092230E">
        <w:rPr>
          <w:rFonts w:ascii="Arial" w:hAnsi="Arial" w:cs="Arial"/>
          <w:sz w:val="20"/>
        </w:rPr>
        <w:t xml:space="preserve"> its gross telecommunications </w:t>
      </w:r>
      <w:r w:rsidRPr="0092230E">
        <w:rPr>
          <w:rFonts w:ascii="Arial" w:hAnsi="Arial" w:cs="Arial"/>
          <w:sz w:val="20"/>
        </w:rPr>
        <w:lastRenderedPageBreak/>
        <w:t>sales revenue.</w:t>
      </w:r>
      <w:r w:rsidR="00C85E41" w:rsidRPr="0092230E">
        <w:rPr>
          <w:rFonts w:ascii="Arial" w:hAnsi="Arial" w:cs="Arial"/>
          <w:sz w:val="20"/>
        </w:rPr>
        <w:t xml:space="preserve"> A declaration must state how the ACMA worked out the value or proportion of the value of a benefit or service mentioned in the declaration. </w:t>
      </w:r>
    </w:p>
    <w:p w14:paraId="2FF9D096" w14:textId="77777777" w:rsidR="002642D5" w:rsidRPr="0092230E" w:rsidRDefault="002642D5" w:rsidP="00ED1E7A">
      <w:pPr>
        <w:pStyle w:val="ABABulletLevel1"/>
        <w:spacing w:after="120"/>
        <w:rPr>
          <w:rFonts w:ascii="Arial" w:hAnsi="Arial" w:cs="Arial"/>
          <w:sz w:val="20"/>
        </w:rPr>
      </w:pPr>
    </w:p>
    <w:p w14:paraId="1DC3D69F" w14:textId="77777777" w:rsidR="00B95427" w:rsidRPr="0092230E" w:rsidRDefault="00476373" w:rsidP="004C43F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18 </w:t>
      </w:r>
      <w:r w:rsidRPr="0092230E">
        <w:rPr>
          <w:rFonts w:ascii="Arial" w:hAnsi="Arial" w:cs="Arial"/>
          <w:b/>
          <w:sz w:val="20"/>
        </w:rPr>
        <w:t xml:space="preserve">– Revenue before person becomes carrier or </w:t>
      </w:r>
      <w:r w:rsidR="004D4F56" w:rsidRPr="0092230E">
        <w:rPr>
          <w:rFonts w:ascii="Arial" w:hAnsi="Arial" w:cs="Arial"/>
          <w:b/>
          <w:sz w:val="20"/>
        </w:rPr>
        <w:t xml:space="preserve">participating </w:t>
      </w:r>
      <w:r w:rsidRPr="0092230E">
        <w:rPr>
          <w:rFonts w:ascii="Arial" w:hAnsi="Arial" w:cs="Arial"/>
          <w:b/>
          <w:sz w:val="20"/>
        </w:rPr>
        <w:t>carriage service provider</w:t>
      </w:r>
    </w:p>
    <w:p w14:paraId="7D0D5A37" w14:textId="77777777" w:rsidR="00482527" w:rsidRPr="0092230E" w:rsidRDefault="00B95427" w:rsidP="00482527">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 xml:space="preserve">18 </w:t>
      </w:r>
      <w:r w:rsidR="00EF1591" w:rsidRPr="0092230E">
        <w:rPr>
          <w:rFonts w:ascii="Arial" w:hAnsi="Arial" w:cs="Arial"/>
          <w:sz w:val="20"/>
        </w:rPr>
        <w:t xml:space="preserve">allows the deduction of revenue earned </w:t>
      </w:r>
      <w:r w:rsidR="00A31FCA" w:rsidRPr="0092230E">
        <w:rPr>
          <w:rFonts w:ascii="Arial" w:hAnsi="Arial" w:cs="Arial"/>
          <w:sz w:val="20"/>
        </w:rPr>
        <w:t xml:space="preserve">during an eligible revenue period but </w:t>
      </w:r>
      <w:r w:rsidR="00EF1591" w:rsidRPr="0092230E">
        <w:rPr>
          <w:rFonts w:ascii="Arial" w:hAnsi="Arial" w:cs="Arial"/>
          <w:sz w:val="20"/>
        </w:rPr>
        <w:t xml:space="preserve">prior to the participating person becoming a carrier or </w:t>
      </w:r>
      <w:r w:rsidR="004A3E33" w:rsidRPr="0092230E">
        <w:rPr>
          <w:rFonts w:ascii="Arial" w:hAnsi="Arial" w:cs="Arial"/>
          <w:sz w:val="20"/>
        </w:rPr>
        <w:t xml:space="preserve">a participating </w:t>
      </w:r>
      <w:r w:rsidR="00EF1591" w:rsidRPr="0092230E">
        <w:rPr>
          <w:rFonts w:ascii="Arial" w:hAnsi="Arial" w:cs="Arial"/>
          <w:sz w:val="20"/>
        </w:rPr>
        <w:t>carriage service provider</w:t>
      </w:r>
      <w:r w:rsidR="00BF1FAB" w:rsidRPr="0092230E">
        <w:rPr>
          <w:rFonts w:ascii="Arial" w:hAnsi="Arial" w:cs="Arial"/>
          <w:sz w:val="20"/>
        </w:rPr>
        <w:t xml:space="preserve"> </w:t>
      </w:r>
      <w:r w:rsidR="000F7D49" w:rsidRPr="0092230E">
        <w:rPr>
          <w:rFonts w:ascii="Arial" w:hAnsi="Arial" w:cs="Arial"/>
          <w:sz w:val="20"/>
        </w:rPr>
        <w:t xml:space="preserve">from the participating person’s initial sales revenue determined under section </w:t>
      </w:r>
      <w:r w:rsidR="001C5B4A" w:rsidRPr="0092230E">
        <w:rPr>
          <w:rFonts w:ascii="Arial" w:hAnsi="Arial" w:cs="Arial"/>
          <w:sz w:val="20"/>
        </w:rPr>
        <w:t>15</w:t>
      </w:r>
      <w:r w:rsidR="000F7D49" w:rsidRPr="0092230E">
        <w:rPr>
          <w:rFonts w:ascii="Arial" w:hAnsi="Arial" w:cs="Arial"/>
          <w:sz w:val="20"/>
        </w:rPr>
        <w:t xml:space="preserve">. </w:t>
      </w:r>
      <w:r w:rsidR="00EF1591" w:rsidRPr="0092230E">
        <w:rPr>
          <w:rFonts w:ascii="Arial" w:hAnsi="Arial" w:cs="Arial"/>
          <w:sz w:val="20"/>
        </w:rPr>
        <w:t xml:space="preserve"> </w:t>
      </w:r>
      <w:r w:rsidR="00482527" w:rsidRPr="0092230E">
        <w:rPr>
          <w:rFonts w:ascii="Arial" w:hAnsi="Arial" w:cs="Arial"/>
          <w:sz w:val="20"/>
        </w:rPr>
        <w:t xml:space="preserve">It is intended that an entity may only deduct revenue under section </w:t>
      </w:r>
      <w:r w:rsidR="001C5B4A" w:rsidRPr="0092230E">
        <w:rPr>
          <w:rFonts w:ascii="Arial" w:hAnsi="Arial" w:cs="Arial"/>
          <w:sz w:val="20"/>
        </w:rPr>
        <w:t>18</w:t>
      </w:r>
      <w:r w:rsidR="00482527" w:rsidRPr="0092230E">
        <w:rPr>
          <w:rFonts w:ascii="Arial" w:hAnsi="Arial" w:cs="Arial"/>
          <w:sz w:val="20"/>
        </w:rPr>
        <w:t xml:space="preserve">, if that revenue was included in the initial sales revenue identified under section </w:t>
      </w:r>
      <w:r w:rsidR="001C5B4A" w:rsidRPr="0092230E">
        <w:rPr>
          <w:rFonts w:ascii="Arial" w:hAnsi="Arial" w:cs="Arial"/>
          <w:sz w:val="20"/>
        </w:rPr>
        <w:t>15</w:t>
      </w:r>
      <w:r w:rsidR="00482527" w:rsidRPr="0092230E">
        <w:rPr>
          <w:rFonts w:ascii="Arial" w:hAnsi="Arial" w:cs="Arial"/>
          <w:sz w:val="20"/>
        </w:rPr>
        <w:t>.</w:t>
      </w:r>
    </w:p>
    <w:p w14:paraId="044AE2A0" w14:textId="77777777" w:rsidR="00EF1591" w:rsidRPr="0092230E" w:rsidRDefault="00EF1591" w:rsidP="00B95427">
      <w:pPr>
        <w:pStyle w:val="ABABulletLevel1"/>
        <w:spacing w:after="120"/>
        <w:rPr>
          <w:rFonts w:ascii="Arial" w:hAnsi="Arial" w:cs="Arial"/>
          <w:sz w:val="20"/>
        </w:rPr>
      </w:pPr>
      <w:r w:rsidRPr="0092230E">
        <w:rPr>
          <w:rFonts w:ascii="Arial" w:hAnsi="Arial" w:cs="Arial"/>
          <w:sz w:val="20"/>
        </w:rPr>
        <w:t xml:space="preserve">Section </w:t>
      </w:r>
      <w:r w:rsidR="001C5B4A" w:rsidRPr="0092230E">
        <w:rPr>
          <w:rFonts w:ascii="Arial" w:hAnsi="Arial" w:cs="Arial"/>
          <w:sz w:val="20"/>
        </w:rPr>
        <w:t xml:space="preserve">18 </w:t>
      </w:r>
      <w:r w:rsidRPr="0092230E">
        <w:rPr>
          <w:rFonts w:ascii="Arial" w:hAnsi="Arial" w:cs="Arial"/>
          <w:sz w:val="20"/>
        </w:rPr>
        <w:t>allows deductions of revenue earned by participating persons and consolidated related parties and the deduction of a proportion of revenue earned by declared related parties</w:t>
      </w:r>
      <w:r w:rsidR="002A36E1" w:rsidRPr="0092230E">
        <w:rPr>
          <w:rFonts w:ascii="Arial" w:hAnsi="Arial" w:cs="Arial"/>
          <w:sz w:val="20"/>
        </w:rPr>
        <w:t xml:space="preserve">, in the period during the eligible revenue period before the participating person becomes a carrier or </w:t>
      </w:r>
      <w:r w:rsidR="00FD515E" w:rsidRPr="0092230E">
        <w:rPr>
          <w:rFonts w:ascii="Arial" w:hAnsi="Arial" w:cs="Arial"/>
          <w:sz w:val="20"/>
        </w:rPr>
        <w:t xml:space="preserve">participating </w:t>
      </w:r>
      <w:r w:rsidR="002A36E1" w:rsidRPr="0092230E">
        <w:rPr>
          <w:rFonts w:ascii="Arial" w:hAnsi="Arial" w:cs="Arial"/>
          <w:sz w:val="20"/>
        </w:rPr>
        <w:t>carriage service provider</w:t>
      </w:r>
      <w:r w:rsidRPr="0092230E">
        <w:rPr>
          <w:rFonts w:ascii="Arial" w:hAnsi="Arial" w:cs="Arial"/>
          <w:sz w:val="20"/>
        </w:rPr>
        <w:t xml:space="preserve">. Section </w:t>
      </w:r>
      <w:r w:rsidR="001C5B4A" w:rsidRPr="0092230E">
        <w:rPr>
          <w:rFonts w:ascii="Arial" w:hAnsi="Arial" w:cs="Arial"/>
          <w:sz w:val="20"/>
        </w:rPr>
        <w:t xml:space="preserve">18 </w:t>
      </w:r>
      <w:r w:rsidRPr="0092230E">
        <w:rPr>
          <w:rFonts w:ascii="Arial" w:hAnsi="Arial" w:cs="Arial"/>
          <w:sz w:val="20"/>
        </w:rPr>
        <w:t xml:space="preserve">needs to be read in combination with section </w:t>
      </w:r>
      <w:r w:rsidR="001C5B4A" w:rsidRPr="0092230E">
        <w:rPr>
          <w:rFonts w:ascii="Arial" w:hAnsi="Arial" w:cs="Arial"/>
          <w:sz w:val="20"/>
        </w:rPr>
        <w:t>12</w:t>
      </w:r>
      <w:r w:rsidRPr="0092230E">
        <w:rPr>
          <w:rFonts w:ascii="Arial" w:hAnsi="Arial" w:cs="Arial"/>
          <w:sz w:val="20"/>
        </w:rPr>
        <w:t>, which requires that the sales revenue to be identified is the sales revenue for the ‘relevant period’</w:t>
      </w:r>
      <w:r w:rsidR="001C5B4A" w:rsidRPr="0092230E">
        <w:rPr>
          <w:rFonts w:ascii="Arial" w:hAnsi="Arial" w:cs="Arial"/>
          <w:sz w:val="20"/>
        </w:rPr>
        <w:t xml:space="preserve">; the </w:t>
      </w:r>
      <w:r w:rsidRPr="0092230E">
        <w:rPr>
          <w:rFonts w:ascii="Arial" w:hAnsi="Arial" w:cs="Arial"/>
          <w:sz w:val="20"/>
        </w:rPr>
        <w:t xml:space="preserve">relevant period, being the period of time, during the eligible revenue period in which the participating person holds a carrier licence, or is a </w:t>
      </w:r>
      <w:r w:rsidR="004A3E33" w:rsidRPr="0092230E">
        <w:rPr>
          <w:rFonts w:ascii="Arial" w:hAnsi="Arial" w:cs="Arial"/>
          <w:sz w:val="20"/>
        </w:rPr>
        <w:t xml:space="preserve">participating </w:t>
      </w:r>
      <w:r w:rsidRPr="0092230E">
        <w:rPr>
          <w:rFonts w:ascii="Arial" w:hAnsi="Arial" w:cs="Arial"/>
          <w:sz w:val="20"/>
        </w:rPr>
        <w:t>carriage service provider.</w:t>
      </w:r>
    </w:p>
    <w:p w14:paraId="47E4C44E" w14:textId="10532312" w:rsidR="00EB7F8B" w:rsidRPr="0092230E" w:rsidRDefault="00EB7F8B" w:rsidP="00EB7F8B">
      <w:pPr>
        <w:pStyle w:val="ABABulletLevel1"/>
        <w:spacing w:after="120"/>
        <w:rPr>
          <w:rFonts w:ascii="Arial" w:hAnsi="Arial" w:cs="Arial"/>
          <w:sz w:val="20"/>
        </w:rPr>
      </w:pPr>
      <w:r w:rsidRPr="0092230E">
        <w:rPr>
          <w:rFonts w:ascii="Arial" w:hAnsi="Arial" w:cs="Arial"/>
          <w:sz w:val="20"/>
        </w:rPr>
        <w:t>For example, Entity D gains a c</w:t>
      </w:r>
      <w:r w:rsidR="002B7C05" w:rsidRPr="0092230E">
        <w:rPr>
          <w:rFonts w:ascii="Arial" w:hAnsi="Arial" w:cs="Arial"/>
          <w:sz w:val="20"/>
        </w:rPr>
        <w:t>arrier licence on 1 January 2015</w:t>
      </w:r>
      <w:r w:rsidRPr="0092230E">
        <w:rPr>
          <w:rFonts w:ascii="Arial" w:hAnsi="Arial" w:cs="Arial"/>
          <w:sz w:val="20"/>
        </w:rPr>
        <w:t>, and therefore had a carrier licence for 6 months of the eligible revenue p</w:t>
      </w:r>
      <w:r w:rsidR="002B7C05" w:rsidRPr="0092230E">
        <w:rPr>
          <w:rFonts w:ascii="Arial" w:hAnsi="Arial" w:cs="Arial"/>
          <w:sz w:val="20"/>
        </w:rPr>
        <w:t>eriod that runs from 1 July 2014</w:t>
      </w:r>
      <w:r w:rsidRPr="0092230E">
        <w:rPr>
          <w:rFonts w:ascii="Arial" w:hAnsi="Arial" w:cs="Arial"/>
          <w:sz w:val="20"/>
        </w:rPr>
        <w:t xml:space="preserve"> to </w:t>
      </w:r>
      <w:r w:rsidR="002B7C05" w:rsidRPr="0092230E">
        <w:rPr>
          <w:rFonts w:ascii="Arial" w:hAnsi="Arial" w:cs="Arial"/>
          <w:sz w:val="20"/>
        </w:rPr>
        <w:t>30 June 2015</w:t>
      </w:r>
      <w:r w:rsidRPr="0092230E">
        <w:rPr>
          <w:rFonts w:ascii="Arial" w:hAnsi="Arial" w:cs="Arial"/>
          <w:sz w:val="20"/>
        </w:rPr>
        <w:t xml:space="preserve">. For Entity D, the ‘relevant period’ for which sales revenue is to be identified is 6 months. Entity D would identify its initial sales revenue, under section </w:t>
      </w:r>
      <w:r w:rsidR="00FE4D29" w:rsidRPr="0092230E">
        <w:rPr>
          <w:rFonts w:ascii="Arial" w:hAnsi="Arial" w:cs="Arial"/>
          <w:sz w:val="20"/>
        </w:rPr>
        <w:t>15</w:t>
      </w:r>
      <w:r w:rsidRPr="0092230E">
        <w:rPr>
          <w:rFonts w:ascii="Arial" w:hAnsi="Arial" w:cs="Arial"/>
          <w:sz w:val="20"/>
        </w:rPr>
        <w:t xml:space="preserve">, and then under section </w:t>
      </w:r>
      <w:r w:rsidR="00FE4D29" w:rsidRPr="0092230E">
        <w:rPr>
          <w:rFonts w:ascii="Arial" w:hAnsi="Arial" w:cs="Arial"/>
          <w:sz w:val="20"/>
        </w:rPr>
        <w:t xml:space="preserve">18 </w:t>
      </w:r>
      <w:r w:rsidRPr="0092230E">
        <w:rPr>
          <w:rFonts w:ascii="Arial" w:hAnsi="Arial" w:cs="Arial"/>
          <w:sz w:val="20"/>
        </w:rPr>
        <w:t xml:space="preserve">deduct revenue earned prior to it gaining its carrier licence. The result, in accordance with section </w:t>
      </w:r>
      <w:r w:rsidR="00FE4D29" w:rsidRPr="0092230E">
        <w:rPr>
          <w:rFonts w:ascii="Arial" w:hAnsi="Arial" w:cs="Arial"/>
          <w:sz w:val="20"/>
        </w:rPr>
        <w:t>12</w:t>
      </w:r>
      <w:r w:rsidRPr="0092230E">
        <w:rPr>
          <w:rFonts w:ascii="Arial" w:hAnsi="Arial" w:cs="Arial"/>
          <w:sz w:val="20"/>
        </w:rPr>
        <w:t>, is that the calculation of Entity D’s eligible revenue is based on 6 months of revenue.</w:t>
      </w:r>
    </w:p>
    <w:p w14:paraId="2E4BB64F" w14:textId="77777777" w:rsidR="000C323B" w:rsidRPr="0092230E" w:rsidRDefault="000C323B" w:rsidP="00EB7F8B">
      <w:pPr>
        <w:pStyle w:val="ABABulletLevel1"/>
        <w:spacing w:after="120"/>
        <w:rPr>
          <w:rFonts w:ascii="Arial" w:hAnsi="Arial" w:cs="Arial"/>
          <w:sz w:val="20"/>
        </w:rPr>
      </w:pPr>
      <w:r w:rsidRPr="0092230E">
        <w:rPr>
          <w:rFonts w:ascii="Arial" w:hAnsi="Arial" w:cs="Arial"/>
          <w:sz w:val="20"/>
        </w:rPr>
        <w:t xml:space="preserve">Paragraph </w:t>
      </w:r>
      <w:r w:rsidR="00FE4D29" w:rsidRPr="0092230E">
        <w:rPr>
          <w:rFonts w:ascii="Arial" w:hAnsi="Arial" w:cs="Arial"/>
          <w:sz w:val="20"/>
        </w:rPr>
        <w:t>18</w:t>
      </w:r>
      <w:r w:rsidRPr="0092230E">
        <w:rPr>
          <w:rFonts w:ascii="Arial" w:hAnsi="Arial" w:cs="Arial"/>
          <w:sz w:val="20"/>
        </w:rPr>
        <w:t xml:space="preserve">(3)(a) provides that a participating person cannot, under section </w:t>
      </w:r>
      <w:r w:rsidR="00FE4D29" w:rsidRPr="0092230E">
        <w:rPr>
          <w:rFonts w:ascii="Arial" w:hAnsi="Arial" w:cs="Arial"/>
          <w:sz w:val="20"/>
        </w:rPr>
        <w:t>18</w:t>
      </w:r>
      <w:r w:rsidRPr="0092230E">
        <w:rPr>
          <w:rFonts w:ascii="Arial" w:hAnsi="Arial" w:cs="Arial"/>
          <w:sz w:val="20"/>
        </w:rPr>
        <w:t xml:space="preserve">, deduct an amount of revenue that was earned before the day the party or person (as applicable) became a carrier or </w:t>
      </w:r>
      <w:r w:rsidR="00FD515E" w:rsidRPr="0092230E">
        <w:rPr>
          <w:rFonts w:ascii="Arial" w:hAnsi="Arial" w:cs="Arial"/>
          <w:sz w:val="20"/>
        </w:rPr>
        <w:t xml:space="preserve">participating </w:t>
      </w:r>
      <w:r w:rsidRPr="0092230E">
        <w:rPr>
          <w:rFonts w:ascii="Arial" w:hAnsi="Arial" w:cs="Arial"/>
          <w:sz w:val="20"/>
        </w:rPr>
        <w:t xml:space="preserve">carriage service provider, if the amount relates to an activity in the telecommunications industry that was required, by law, to be performed on or after that day. </w:t>
      </w:r>
    </w:p>
    <w:p w14:paraId="299DC39A" w14:textId="77777777" w:rsidR="00EB7F8B" w:rsidRPr="0092230E" w:rsidRDefault="00476373" w:rsidP="00EB7F8B">
      <w:pPr>
        <w:pStyle w:val="ABABulletLevel1"/>
        <w:spacing w:after="120"/>
        <w:rPr>
          <w:rFonts w:ascii="Arial" w:hAnsi="Arial" w:cs="Arial"/>
          <w:sz w:val="20"/>
        </w:rPr>
      </w:pPr>
      <w:r w:rsidRPr="0092230E">
        <w:rPr>
          <w:rFonts w:ascii="Arial" w:hAnsi="Arial" w:cs="Arial"/>
          <w:sz w:val="20"/>
        </w:rPr>
        <w:t xml:space="preserve">Paragraphs </w:t>
      </w:r>
      <w:r w:rsidR="00FE4D29" w:rsidRPr="0092230E">
        <w:rPr>
          <w:rFonts w:ascii="Arial" w:hAnsi="Arial" w:cs="Arial"/>
          <w:sz w:val="20"/>
        </w:rPr>
        <w:t>18</w:t>
      </w:r>
      <w:r w:rsidRPr="0092230E">
        <w:rPr>
          <w:rFonts w:ascii="Arial" w:hAnsi="Arial" w:cs="Arial"/>
          <w:sz w:val="20"/>
        </w:rPr>
        <w:t xml:space="preserve">(3)(b) and (c) provide that a participating person </w:t>
      </w:r>
      <w:r w:rsidR="00BF1FAB" w:rsidRPr="0092230E">
        <w:rPr>
          <w:rFonts w:ascii="Arial" w:hAnsi="Arial" w:cs="Arial"/>
          <w:sz w:val="20"/>
        </w:rPr>
        <w:t>cannot</w:t>
      </w:r>
      <w:r w:rsidR="00084265" w:rsidRPr="0092230E">
        <w:rPr>
          <w:rFonts w:ascii="Arial" w:hAnsi="Arial" w:cs="Arial"/>
          <w:sz w:val="20"/>
        </w:rPr>
        <w:t xml:space="preserve">, under subsection </w:t>
      </w:r>
      <w:r w:rsidR="00FE4D29" w:rsidRPr="0092230E">
        <w:rPr>
          <w:rFonts w:ascii="Arial" w:hAnsi="Arial" w:cs="Arial"/>
          <w:sz w:val="20"/>
        </w:rPr>
        <w:t>18</w:t>
      </w:r>
      <w:r w:rsidR="00084265" w:rsidRPr="0092230E">
        <w:rPr>
          <w:rFonts w:ascii="Arial" w:hAnsi="Arial" w:cs="Arial"/>
          <w:sz w:val="20"/>
        </w:rPr>
        <w:t xml:space="preserve">(1), </w:t>
      </w:r>
      <w:r w:rsidR="00BB227A" w:rsidRPr="0092230E">
        <w:rPr>
          <w:rFonts w:ascii="Arial" w:hAnsi="Arial" w:cs="Arial"/>
          <w:sz w:val="20"/>
        </w:rPr>
        <w:t xml:space="preserve">claim </w:t>
      </w:r>
      <w:r w:rsidR="00BF1FAB" w:rsidRPr="0092230E">
        <w:rPr>
          <w:rFonts w:ascii="Arial" w:hAnsi="Arial" w:cs="Arial"/>
          <w:sz w:val="20"/>
        </w:rPr>
        <w:t>a deduction for revenue earned</w:t>
      </w:r>
      <w:r w:rsidR="000C323B" w:rsidRPr="0092230E">
        <w:rPr>
          <w:rFonts w:ascii="Arial" w:hAnsi="Arial" w:cs="Arial"/>
          <w:sz w:val="20"/>
        </w:rPr>
        <w:t xml:space="preserve"> by a consolidated related party of the participating person, in the period</w:t>
      </w:r>
      <w:r w:rsidR="00BF1FAB" w:rsidRPr="0092230E">
        <w:rPr>
          <w:rFonts w:ascii="Arial" w:hAnsi="Arial" w:cs="Arial"/>
          <w:sz w:val="20"/>
        </w:rPr>
        <w:t xml:space="preserve"> prior to the participating person becoming a carrier or carriage service provider</w:t>
      </w:r>
      <w:r w:rsidR="00084265" w:rsidRPr="0092230E">
        <w:rPr>
          <w:rFonts w:ascii="Arial" w:hAnsi="Arial" w:cs="Arial"/>
          <w:sz w:val="20"/>
        </w:rPr>
        <w:t>,</w:t>
      </w:r>
      <w:r w:rsidR="00BB227A" w:rsidRPr="0092230E">
        <w:rPr>
          <w:rFonts w:ascii="Arial" w:hAnsi="Arial" w:cs="Arial"/>
          <w:sz w:val="20"/>
        </w:rPr>
        <w:t xml:space="preserve"> </w:t>
      </w:r>
      <w:r w:rsidR="00BF1FAB" w:rsidRPr="0092230E">
        <w:rPr>
          <w:rFonts w:ascii="Arial" w:hAnsi="Arial" w:cs="Arial"/>
          <w:sz w:val="20"/>
        </w:rPr>
        <w:t>if</w:t>
      </w:r>
      <w:r w:rsidR="00BB227A" w:rsidRPr="0092230E">
        <w:rPr>
          <w:rFonts w:ascii="Arial" w:hAnsi="Arial" w:cs="Arial"/>
          <w:sz w:val="20"/>
        </w:rPr>
        <w:t xml:space="preserve"> </w:t>
      </w:r>
      <w:r w:rsidR="00BF1FAB" w:rsidRPr="0092230E">
        <w:rPr>
          <w:rFonts w:ascii="Arial" w:hAnsi="Arial" w:cs="Arial"/>
          <w:sz w:val="20"/>
        </w:rPr>
        <w:t xml:space="preserve">the amount was earned </w:t>
      </w:r>
      <w:r w:rsidR="00084265" w:rsidRPr="0092230E">
        <w:rPr>
          <w:rFonts w:ascii="Arial" w:hAnsi="Arial" w:cs="Arial"/>
          <w:sz w:val="20"/>
        </w:rPr>
        <w:t xml:space="preserve">while the </w:t>
      </w:r>
      <w:r w:rsidR="00BF1FAB" w:rsidRPr="0092230E">
        <w:rPr>
          <w:rFonts w:ascii="Arial" w:hAnsi="Arial" w:cs="Arial"/>
          <w:sz w:val="20"/>
        </w:rPr>
        <w:t>consolidated related party held a carrier licence</w:t>
      </w:r>
      <w:r w:rsidR="00084265" w:rsidRPr="0092230E">
        <w:rPr>
          <w:rFonts w:ascii="Arial" w:hAnsi="Arial" w:cs="Arial"/>
          <w:sz w:val="20"/>
        </w:rPr>
        <w:t xml:space="preserve">, or was a </w:t>
      </w:r>
      <w:r w:rsidR="004A3E33" w:rsidRPr="0092230E">
        <w:rPr>
          <w:rFonts w:ascii="Arial" w:hAnsi="Arial" w:cs="Arial"/>
          <w:sz w:val="20"/>
        </w:rPr>
        <w:t xml:space="preserve">participating </w:t>
      </w:r>
      <w:r w:rsidR="00084265" w:rsidRPr="0092230E">
        <w:rPr>
          <w:rFonts w:ascii="Arial" w:hAnsi="Arial" w:cs="Arial"/>
          <w:sz w:val="20"/>
        </w:rPr>
        <w:t>carriage service provider</w:t>
      </w:r>
      <w:r w:rsidR="00BF1FAB" w:rsidRPr="0092230E">
        <w:rPr>
          <w:rFonts w:ascii="Arial" w:hAnsi="Arial" w:cs="Arial"/>
          <w:sz w:val="20"/>
        </w:rPr>
        <w:t>.</w:t>
      </w:r>
      <w:r w:rsidR="00B33CA5" w:rsidRPr="0092230E">
        <w:rPr>
          <w:rFonts w:ascii="Arial" w:hAnsi="Arial" w:cs="Arial"/>
          <w:sz w:val="20"/>
        </w:rPr>
        <w:t xml:space="preserve"> </w:t>
      </w:r>
      <w:r w:rsidR="00482527" w:rsidRPr="0092230E">
        <w:rPr>
          <w:rFonts w:ascii="Arial" w:hAnsi="Arial" w:cs="Arial"/>
          <w:sz w:val="20"/>
        </w:rPr>
        <w:t xml:space="preserve">The purpose of this provision is to prevent potential revenue shifting between related parties </w:t>
      </w:r>
      <w:r w:rsidR="00FD515E" w:rsidRPr="0092230E">
        <w:rPr>
          <w:rFonts w:ascii="Arial" w:hAnsi="Arial" w:cs="Arial"/>
          <w:sz w:val="20"/>
        </w:rPr>
        <w:t>done for the purpose of claiming</w:t>
      </w:r>
      <w:r w:rsidR="00482527" w:rsidRPr="0092230E">
        <w:rPr>
          <w:rFonts w:ascii="Arial" w:hAnsi="Arial" w:cs="Arial"/>
          <w:sz w:val="20"/>
        </w:rPr>
        <w:t xml:space="preserve"> maximum deductions for an eligible revenue period. </w:t>
      </w:r>
    </w:p>
    <w:p w14:paraId="2465A8B0" w14:textId="77777777" w:rsidR="009B2A80" w:rsidRPr="0092230E" w:rsidRDefault="009B2A80" w:rsidP="00B95427">
      <w:pPr>
        <w:pStyle w:val="ABABulletLevel1"/>
        <w:spacing w:after="120"/>
        <w:rPr>
          <w:rFonts w:ascii="Arial" w:hAnsi="Arial" w:cs="Arial"/>
          <w:sz w:val="20"/>
        </w:rPr>
      </w:pPr>
    </w:p>
    <w:p w14:paraId="6B053530" w14:textId="77777777" w:rsidR="009B2A80" w:rsidRPr="0092230E" w:rsidRDefault="009B2A80" w:rsidP="009B2A80">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19 </w:t>
      </w:r>
      <w:r w:rsidRPr="0092230E">
        <w:rPr>
          <w:rFonts w:ascii="Arial" w:hAnsi="Arial" w:cs="Arial"/>
          <w:b/>
          <w:sz w:val="20"/>
        </w:rPr>
        <w:t xml:space="preserve">– Revenue after person ceases to be carrier or </w:t>
      </w:r>
      <w:r w:rsidR="00ED362F" w:rsidRPr="0092230E">
        <w:rPr>
          <w:rFonts w:ascii="Arial" w:hAnsi="Arial" w:cs="Arial"/>
          <w:b/>
          <w:sz w:val="20"/>
        </w:rPr>
        <w:t xml:space="preserve">participating </w:t>
      </w:r>
      <w:r w:rsidRPr="0092230E">
        <w:rPr>
          <w:rFonts w:ascii="Arial" w:hAnsi="Arial" w:cs="Arial"/>
          <w:b/>
          <w:sz w:val="20"/>
        </w:rPr>
        <w:t>carriage service provider</w:t>
      </w:r>
    </w:p>
    <w:p w14:paraId="41D656B1" w14:textId="77777777" w:rsidR="004A6A13" w:rsidRPr="0092230E" w:rsidRDefault="009B2A80" w:rsidP="004A6A13">
      <w:pPr>
        <w:pStyle w:val="ABABulletLevel1"/>
        <w:spacing w:after="120"/>
        <w:rPr>
          <w:rFonts w:ascii="Arial" w:hAnsi="Arial" w:cs="Arial"/>
          <w:sz w:val="20"/>
        </w:rPr>
      </w:pPr>
      <w:r w:rsidRPr="0092230E">
        <w:rPr>
          <w:rFonts w:ascii="Arial" w:hAnsi="Arial" w:cs="Arial"/>
          <w:sz w:val="20"/>
        </w:rPr>
        <w:t xml:space="preserve">Section </w:t>
      </w:r>
      <w:r w:rsidR="00785F11" w:rsidRPr="0092230E">
        <w:rPr>
          <w:rFonts w:ascii="Arial" w:hAnsi="Arial" w:cs="Arial"/>
          <w:sz w:val="20"/>
        </w:rPr>
        <w:t xml:space="preserve">19 </w:t>
      </w:r>
      <w:r w:rsidRPr="0092230E">
        <w:rPr>
          <w:rFonts w:ascii="Arial" w:hAnsi="Arial" w:cs="Arial"/>
          <w:sz w:val="20"/>
        </w:rPr>
        <w:t xml:space="preserve">works in a similar way to section </w:t>
      </w:r>
      <w:r w:rsidR="00785F11" w:rsidRPr="0092230E">
        <w:rPr>
          <w:rFonts w:ascii="Arial" w:hAnsi="Arial" w:cs="Arial"/>
          <w:sz w:val="20"/>
        </w:rPr>
        <w:t>18</w:t>
      </w:r>
      <w:r w:rsidRPr="0092230E">
        <w:rPr>
          <w:rFonts w:ascii="Arial" w:hAnsi="Arial" w:cs="Arial"/>
          <w:sz w:val="20"/>
        </w:rPr>
        <w:t xml:space="preserve">. It allows a deduction for revenue earned </w:t>
      </w:r>
      <w:r w:rsidR="004A6A13" w:rsidRPr="0092230E">
        <w:rPr>
          <w:rFonts w:ascii="Arial" w:hAnsi="Arial" w:cs="Arial"/>
          <w:sz w:val="20"/>
        </w:rPr>
        <w:t xml:space="preserve">during an eligible revenue period, but </w:t>
      </w:r>
      <w:r w:rsidRPr="0092230E">
        <w:rPr>
          <w:rFonts w:ascii="Arial" w:hAnsi="Arial" w:cs="Arial"/>
          <w:sz w:val="20"/>
        </w:rPr>
        <w:t xml:space="preserve">after </w:t>
      </w:r>
      <w:r w:rsidR="004A6A13" w:rsidRPr="0092230E">
        <w:rPr>
          <w:rFonts w:ascii="Arial" w:hAnsi="Arial" w:cs="Arial"/>
          <w:sz w:val="20"/>
        </w:rPr>
        <w:t xml:space="preserve">a participating </w:t>
      </w:r>
      <w:r w:rsidRPr="0092230E">
        <w:rPr>
          <w:rFonts w:ascii="Arial" w:hAnsi="Arial" w:cs="Arial"/>
          <w:sz w:val="20"/>
        </w:rPr>
        <w:t xml:space="preserve">person ceases to be a carrier, or </w:t>
      </w:r>
      <w:r w:rsidR="004A3E33" w:rsidRPr="0092230E">
        <w:rPr>
          <w:rFonts w:ascii="Arial" w:hAnsi="Arial" w:cs="Arial"/>
          <w:sz w:val="20"/>
        </w:rPr>
        <w:t xml:space="preserve">a participating </w:t>
      </w:r>
      <w:r w:rsidRPr="0092230E">
        <w:rPr>
          <w:rFonts w:ascii="Arial" w:hAnsi="Arial" w:cs="Arial"/>
          <w:sz w:val="20"/>
        </w:rPr>
        <w:t>carriage service provider</w:t>
      </w:r>
      <w:r w:rsidR="006747D9" w:rsidRPr="0092230E">
        <w:rPr>
          <w:rFonts w:ascii="Arial" w:hAnsi="Arial" w:cs="Arial"/>
          <w:sz w:val="20"/>
        </w:rPr>
        <w:t>,</w:t>
      </w:r>
      <w:r w:rsidRPr="0092230E">
        <w:rPr>
          <w:rFonts w:ascii="Arial" w:hAnsi="Arial" w:cs="Arial"/>
          <w:sz w:val="20"/>
        </w:rPr>
        <w:t xml:space="preserve"> </w:t>
      </w:r>
      <w:r w:rsidR="004A6A13" w:rsidRPr="0092230E">
        <w:rPr>
          <w:rFonts w:ascii="Arial" w:hAnsi="Arial" w:cs="Arial"/>
          <w:sz w:val="20"/>
        </w:rPr>
        <w:t xml:space="preserve">from the participating person’s initial sales revenue determined under section </w:t>
      </w:r>
      <w:r w:rsidR="00785F11" w:rsidRPr="0092230E">
        <w:rPr>
          <w:rFonts w:ascii="Arial" w:hAnsi="Arial" w:cs="Arial"/>
          <w:sz w:val="20"/>
        </w:rPr>
        <w:t>15</w:t>
      </w:r>
      <w:r w:rsidRPr="0092230E">
        <w:rPr>
          <w:rFonts w:ascii="Arial" w:hAnsi="Arial" w:cs="Arial"/>
          <w:sz w:val="20"/>
        </w:rPr>
        <w:t>.</w:t>
      </w:r>
      <w:r w:rsidR="004A6A13" w:rsidRPr="0092230E">
        <w:rPr>
          <w:rFonts w:ascii="Arial" w:hAnsi="Arial" w:cs="Arial"/>
          <w:sz w:val="20"/>
        </w:rPr>
        <w:t xml:space="preserve"> As with section </w:t>
      </w:r>
      <w:r w:rsidR="00785F11" w:rsidRPr="0092230E">
        <w:rPr>
          <w:rFonts w:ascii="Arial" w:hAnsi="Arial" w:cs="Arial"/>
          <w:sz w:val="20"/>
        </w:rPr>
        <w:t>18</w:t>
      </w:r>
      <w:r w:rsidR="004A6A13" w:rsidRPr="0092230E">
        <w:rPr>
          <w:rFonts w:ascii="Arial" w:hAnsi="Arial" w:cs="Arial"/>
          <w:sz w:val="20"/>
        </w:rPr>
        <w:t xml:space="preserve">, it is intended that an entity may only deduct revenue under section </w:t>
      </w:r>
      <w:r w:rsidR="00785F11" w:rsidRPr="0092230E">
        <w:rPr>
          <w:rFonts w:ascii="Arial" w:hAnsi="Arial" w:cs="Arial"/>
          <w:sz w:val="20"/>
        </w:rPr>
        <w:t>19</w:t>
      </w:r>
      <w:r w:rsidR="006747D9" w:rsidRPr="0092230E">
        <w:rPr>
          <w:rFonts w:ascii="Arial" w:hAnsi="Arial" w:cs="Arial"/>
          <w:sz w:val="20"/>
        </w:rPr>
        <w:t xml:space="preserve"> </w:t>
      </w:r>
      <w:r w:rsidR="004A6A13" w:rsidRPr="0092230E">
        <w:rPr>
          <w:rFonts w:ascii="Arial" w:hAnsi="Arial" w:cs="Arial"/>
          <w:sz w:val="20"/>
        </w:rPr>
        <w:t xml:space="preserve">if that revenue was included in the initial sales revenue identified under section </w:t>
      </w:r>
      <w:r w:rsidR="00785F11" w:rsidRPr="0092230E">
        <w:rPr>
          <w:rFonts w:ascii="Arial" w:hAnsi="Arial" w:cs="Arial"/>
          <w:sz w:val="20"/>
        </w:rPr>
        <w:t>15</w:t>
      </w:r>
      <w:r w:rsidR="004A6A13" w:rsidRPr="0092230E">
        <w:rPr>
          <w:rFonts w:ascii="Arial" w:hAnsi="Arial" w:cs="Arial"/>
          <w:sz w:val="20"/>
        </w:rPr>
        <w:t>.</w:t>
      </w:r>
    </w:p>
    <w:p w14:paraId="56C89FA3" w14:textId="77777777" w:rsidR="007573B6" w:rsidRPr="0092230E" w:rsidRDefault="004A6A13" w:rsidP="007573B6">
      <w:pPr>
        <w:pStyle w:val="ABABulletLevel1"/>
        <w:spacing w:after="120"/>
        <w:rPr>
          <w:rFonts w:ascii="Arial" w:hAnsi="Arial" w:cs="Arial"/>
          <w:sz w:val="20"/>
        </w:rPr>
      </w:pPr>
      <w:r w:rsidRPr="0092230E">
        <w:rPr>
          <w:rFonts w:ascii="Arial" w:hAnsi="Arial" w:cs="Arial"/>
          <w:sz w:val="20"/>
        </w:rPr>
        <w:t xml:space="preserve">Similarly to subsection </w:t>
      </w:r>
      <w:r w:rsidR="00785F11" w:rsidRPr="0092230E">
        <w:rPr>
          <w:rFonts w:ascii="Arial" w:hAnsi="Arial" w:cs="Arial"/>
          <w:sz w:val="20"/>
        </w:rPr>
        <w:t>18</w:t>
      </w:r>
      <w:r w:rsidRPr="0092230E">
        <w:rPr>
          <w:rFonts w:ascii="Arial" w:hAnsi="Arial" w:cs="Arial"/>
          <w:sz w:val="20"/>
        </w:rPr>
        <w:t xml:space="preserve">(3), subsection </w:t>
      </w:r>
      <w:r w:rsidR="00785F11" w:rsidRPr="0092230E">
        <w:rPr>
          <w:rFonts w:ascii="Arial" w:hAnsi="Arial" w:cs="Arial"/>
          <w:sz w:val="20"/>
        </w:rPr>
        <w:t>19</w:t>
      </w:r>
      <w:r w:rsidRPr="0092230E">
        <w:rPr>
          <w:rFonts w:ascii="Arial" w:hAnsi="Arial" w:cs="Arial"/>
          <w:sz w:val="20"/>
        </w:rPr>
        <w:t>(3) sets out the circumstances in which a participating person cannot deduct revenue earned after ceas</w:t>
      </w:r>
      <w:r w:rsidR="006D5C6D" w:rsidRPr="0092230E">
        <w:rPr>
          <w:rFonts w:ascii="Arial" w:hAnsi="Arial" w:cs="Arial"/>
          <w:sz w:val="20"/>
        </w:rPr>
        <w:t>ing</w:t>
      </w:r>
      <w:r w:rsidRPr="0092230E">
        <w:rPr>
          <w:rFonts w:ascii="Arial" w:hAnsi="Arial" w:cs="Arial"/>
          <w:sz w:val="20"/>
        </w:rPr>
        <w:t xml:space="preserve"> to be a carrier or a </w:t>
      </w:r>
      <w:r w:rsidR="00686AD0" w:rsidRPr="0092230E">
        <w:rPr>
          <w:rFonts w:ascii="Arial" w:hAnsi="Arial" w:cs="Arial"/>
          <w:sz w:val="20"/>
        </w:rPr>
        <w:t xml:space="preserve">participating </w:t>
      </w:r>
      <w:r w:rsidRPr="0092230E">
        <w:rPr>
          <w:rFonts w:ascii="Arial" w:hAnsi="Arial" w:cs="Arial"/>
          <w:sz w:val="20"/>
        </w:rPr>
        <w:t xml:space="preserve">carriage service provider. </w:t>
      </w:r>
      <w:r w:rsidR="007573B6" w:rsidRPr="0092230E">
        <w:rPr>
          <w:rFonts w:ascii="Arial" w:hAnsi="Arial" w:cs="Arial"/>
          <w:sz w:val="20"/>
        </w:rPr>
        <w:t xml:space="preserve"> </w:t>
      </w:r>
    </w:p>
    <w:p w14:paraId="69A11A29" w14:textId="77777777" w:rsidR="00067542" w:rsidRPr="0092230E" w:rsidRDefault="00067542" w:rsidP="007573B6">
      <w:pPr>
        <w:pStyle w:val="ABABulletLevel1"/>
        <w:spacing w:after="120"/>
        <w:rPr>
          <w:rFonts w:ascii="Arial" w:hAnsi="Arial" w:cs="Arial"/>
          <w:b/>
          <w:sz w:val="20"/>
        </w:rPr>
      </w:pPr>
    </w:p>
    <w:p w14:paraId="647590F3" w14:textId="77777777" w:rsidR="007573B6" w:rsidRPr="0092230E" w:rsidRDefault="007573B6" w:rsidP="007573B6">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20 </w:t>
      </w:r>
      <w:r w:rsidRPr="0092230E">
        <w:rPr>
          <w:rFonts w:ascii="Arial" w:hAnsi="Arial" w:cs="Arial"/>
          <w:b/>
          <w:sz w:val="20"/>
        </w:rPr>
        <w:t>– Declarations about revenue</w:t>
      </w:r>
    </w:p>
    <w:p w14:paraId="0D46B65D" w14:textId="77777777" w:rsidR="009208BE" w:rsidRPr="0092230E" w:rsidRDefault="007573B6" w:rsidP="00420BD5">
      <w:pPr>
        <w:pStyle w:val="ABABulletLevel1"/>
        <w:spacing w:after="120"/>
        <w:rPr>
          <w:rFonts w:ascii="Arial" w:hAnsi="Arial" w:cs="Arial"/>
          <w:sz w:val="20"/>
        </w:rPr>
      </w:pPr>
      <w:r w:rsidRPr="0092230E">
        <w:rPr>
          <w:rFonts w:ascii="Arial" w:hAnsi="Arial" w:cs="Arial"/>
          <w:sz w:val="20"/>
        </w:rPr>
        <w:t xml:space="preserve">Section </w:t>
      </w:r>
      <w:r w:rsidR="00420BD5" w:rsidRPr="0092230E">
        <w:rPr>
          <w:rFonts w:ascii="Arial" w:hAnsi="Arial" w:cs="Arial"/>
          <w:sz w:val="20"/>
        </w:rPr>
        <w:t xml:space="preserve">20 </w:t>
      </w:r>
      <w:r w:rsidR="00EB5EE6" w:rsidRPr="0092230E">
        <w:rPr>
          <w:rFonts w:ascii="Arial" w:hAnsi="Arial" w:cs="Arial"/>
          <w:sz w:val="20"/>
        </w:rPr>
        <w:t xml:space="preserve">allows the ACMA to make declarations that </w:t>
      </w:r>
      <w:r w:rsidR="00846C8B" w:rsidRPr="0092230E">
        <w:rPr>
          <w:rFonts w:ascii="Arial" w:hAnsi="Arial" w:cs="Arial"/>
          <w:sz w:val="20"/>
        </w:rPr>
        <w:t xml:space="preserve">specified amounts </w:t>
      </w:r>
      <w:r w:rsidR="004A6A13" w:rsidRPr="0092230E">
        <w:rPr>
          <w:rFonts w:ascii="Arial" w:hAnsi="Arial" w:cs="Arial"/>
          <w:sz w:val="20"/>
        </w:rPr>
        <w:t>or</w:t>
      </w:r>
      <w:r w:rsidR="00EB5EE6" w:rsidRPr="0092230E">
        <w:rPr>
          <w:rFonts w:ascii="Arial" w:hAnsi="Arial" w:cs="Arial"/>
          <w:sz w:val="20"/>
        </w:rPr>
        <w:t xml:space="preserve"> values of specified benefits or services, are </w:t>
      </w:r>
      <w:r w:rsidR="00824F5F" w:rsidRPr="0092230E">
        <w:rPr>
          <w:rFonts w:ascii="Arial" w:hAnsi="Arial" w:cs="Arial"/>
          <w:sz w:val="20"/>
        </w:rPr>
        <w:t>part of</w:t>
      </w:r>
      <w:r w:rsidR="00EB5EE6" w:rsidRPr="0092230E">
        <w:rPr>
          <w:rFonts w:ascii="Arial" w:hAnsi="Arial" w:cs="Arial"/>
          <w:sz w:val="20"/>
        </w:rPr>
        <w:t xml:space="preserve"> a participating person’s gross telecommunications sales revenue for an eligible revenue period.  </w:t>
      </w:r>
    </w:p>
    <w:p w14:paraId="6CCEB977" w14:textId="77777777" w:rsidR="00A25946" w:rsidRPr="0092230E" w:rsidRDefault="00A25946" w:rsidP="00A25946">
      <w:pPr>
        <w:pStyle w:val="notetext"/>
        <w:spacing w:before="120" w:line="240" w:lineRule="auto"/>
        <w:ind w:left="0" w:firstLine="0"/>
        <w:rPr>
          <w:rFonts w:ascii="Arial" w:hAnsi="Arial" w:cs="Arial"/>
          <w:sz w:val="20"/>
        </w:rPr>
      </w:pPr>
      <w:r w:rsidRPr="0092230E">
        <w:rPr>
          <w:rFonts w:ascii="Arial" w:hAnsi="Arial" w:cs="Arial"/>
          <w:sz w:val="20"/>
        </w:rPr>
        <w:t>A benefit or service includes:</w:t>
      </w:r>
    </w:p>
    <w:p w14:paraId="51AE0676"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(a)</w:t>
      </w:r>
      <w:r w:rsidRPr="0092230E">
        <w:rPr>
          <w:rFonts w:ascii="Arial" w:hAnsi="Arial" w:cs="Arial"/>
          <w:sz w:val="20"/>
        </w:rPr>
        <w:tab/>
        <w:t>a benefit or service received by a participating person (for example, a payment in kind); and</w:t>
      </w:r>
    </w:p>
    <w:p w14:paraId="1C3ABD01" w14:textId="77777777" w:rsidR="00A25946" w:rsidRPr="0092230E" w:rsidRDefault="00A25946" w:rsidP="00A25946">
      <w:pPr>
        <w:pStyle w:val="notepara"/>
        <w:spacing w:line="240" w:lineRule="auto"/>
        <w:ind w:left="369"/>
        <w:rPr>
          <w:rFonts w:ascii="Arial" w:hAnsi="Arial" w:cs="Arial"/>
          <w:sz w:val="20"/>
        </w:rPr>
      </w:pPr>
      <w:r w:rsidRPr="0092230E">
        <w:rPr>
          <w:rFonts w:ascii="Arial" w:hAnsi="Arial" w:cs="Arial"/>
          <w:sz w:val="20"/>
        </w:rPr>
        <w:t>(b)</w:t>
      </w:r>
      <w:r w:rsidRPr="0092230E">
        <w:rPr>
          <w:rFonts w:ascii="Arial" w:hAnsi="Arial" w:cs="Arial"/>
          <w:sz w:val="20"/>
        </w:rPr>
        <w:tab/>
        <w:t>a benefit or service provided by the participating person without receiving remuneration for the benefit or service at reasonable market rates (for example, a subsidy in kind).</w:t>
      </w:r>
    </w:p>
    <w:p w14:paraId="14718491" w14:textId="77777777" w:rsidR="00A25946" w:rsidRPr="0092230E" w:rsidRDefault="00EB5EE6" w:rsidP="00A25946">
      <w:pPr>
        <w:pStyle w:val="ABABulletLevel1"/>
        <w:spacing w:before="120" w:after="120"/>
        <w:rPr>
          <w:rFonts w:ascii="Arial" w:hAnsi="Arial" w:cs="Arial"/>
          <w:sz w:val="20"/>
        </w:rPr>
      </w:pPr>
      <w:r w:rsidRPr="0092230E">
        <w:rPr>
          <w:rFonts w:ascii="Arial" w:hAnsi="Arial" w:cs="Arial"/>
          <w:sz w:val="20"/>
        </w:rPr>
        <w:lastRenderedPageBreak/>
        <w:t xml:space="preserve">This will ensure that participating persons include all amounts that the ACMA believes should reasonably be included </w:t>
      </w:r>
      <w:r w:rsidR="00824F5F" w:rsidRPr="0092230E">
        <w:rPr>
          <w:rFonts w:ascii="Arial" w:hAnsi="Arial" w:cs="Arial"/>
          <w:sz w:val="20"/>
        </w:rPr>
        <w:t xml:space="preserve">as part of the participating person’s </w:t>
      </w:r>
      <w:r w:rsidRPr="0092230E">
        <w:rPr>
          <w:rFonts w:ascii="Arial" w:hAnsi="Arial" w:cs="Arial"/>
          <w:sz w:val="20"/>
        </w:rPr>
        <w:t>gross telecommunications sales revenue.</w:t>
      </w:r>
    </w:p>
    <w:p w14:paraId="61F760CD" w14:textId="77777777" w:rsidR="00824F5F" w:rsidRPr="0092230E" w:rsidRDefault="00824F5F" w:rsidP="00420BD5">
      <w:pPr>
        <w:pStyle w:val="ABABulletLevel1"/>
        <w:spacing w:after="120"/>
        <w:rPr>
          <w:rFonts w:ascii="Arial" w:hAnsi="Arial" w:cs="Arial"/>
          <w:sz w:val="20"/>
        </w:rPr>
      </w:pPr>
      <w:r w:rsidRPr="0092230E">
        <w:rPr>
          <w:rFonts w:ascii="Arial" w:hAnsi="Arial" w:cs="Arial"/>
          <w:sz w:val="20"/>
        </w:rPr>
        <w:t xml:space="preserve">Subsection </w:t>
      </w:r>
      <w:r w:rsidR="00420BD5" w:rsidRPr="0092230E">
        <w:rPr>
          <w:rFonts w:ascii="Arial" w:hAnsi="Arial" w:cs="Arial"/>
          <w:sz w:val="20"/>
        </w:rPr>
        <w:t>20</w:t>
      </w:r>
      <w:r w:rsidRPr="0092230E">
        <w:rPr>
          <w:rFonts w:ascii="Arial" w:hAnsi="Arial" w:cs="Arial"/>
          <w:sz w:val="20"/>
        </w:rPr>
        <w:t xml:space="preserve">(4) provides that a declaration made under section </w:t>
      </w:r>
      <w:r w:rsidR="00420BD5" w:rsidRPr="0092230E">
        <w:rPr>
          <w:rFonts w:ascii="Arial" w:hAnsi="Arial" w:cs="Arial"/>
          <w:sz w:val="20"/>
        </w:rPr>
        <w:t xml:space="preserve">20 </w:t>
      </w:r>
      <w:r w:rsidRPr="0092230E">
        <w:rPr>
          <w:rFonts w:ascii="Arial" w:hAnsi="Arial" w:cs="Arial"/>
          <w:sz w:val="20"/>
        </w:rPr>
        <w:t>may apply to one or more participating persons who are specified in the declaration but not</w:t>
      </w:r>
      <w:r w:rsidR="00E31A85" w:rsidRPr="0092230E">
        <w:rPr>
          <w:rFonts w:ascii="Arial" w:hAnsi="Arial" w:cs="Arial"/>
          <w:sz w:val="20"/>
        </w:rPr>
        <w:t xml:space="preserve"> generally</w:t>
      </w:r>
      <w:r w:rsidRPr="0092230E">
        <w:rPr>
          <w:rFonts w:ascii="Arial" w:hAnsi="Arial" w:cs="Arial"/>
          <w:sz w:val="20"/>
        </w:rPr>
        <w:t xml:space="preserve"> to all participating persons. The ACMA’s power to make declarations is therefore limited to declarations relating to particular participating person(s) who are specified in the declaration. </w:t>
      </w:r>
    </w:p>
    <w:p w14:paraId="6A49862A" w14:textId="77777777" w:rsidR="00067542" w:rsidRPr="0092230E" w:rsidRDefault="00067542" w:rsidP="004A51AD">
      <w:pPr>
        <w:pStyle w:val="ABABulletLevel1"/>
        <w:spacing w:after="120"/>
        <w:rPr>
          <w:rFonts w:ascii="Arial" w:hAnsi="Arial" w:cs="Arial"/>
          <w:b/>
          <w:sz w:val="20"/>
        </w:rPr>
      </w:pPr>
    </w:p>
    <w:p w14:paraId="21ACF677" w14:textId="77777777" w:rsidR="004A51AD" w:rsidRPr="0092230E" w:rsidRDefault="004A51AD" w:rsidP="004A51AD">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21 </w:t>
      </w:r>
      <w:r w:rsidRPr="0092230E">
        <w:rPr>
          <w:rFonts w:ascii="Arial" w:hAnsi="Arial" w:cs="Arial"/>
          <w:b/>
          <w:sz w:val="20"/>
        </w:rPr>
        <w:t>– Gross telecommunications sales revenue</w:t>
      </w:r>
    </w:p>
    <w:p w14:paraId="0377FAB7" w14:textId="77777777" w:rsidR="004A51AD" w:rsidRPr="0092230E" w:rsidRDefault="004A51AD" w:rsidP="004A51AD">
      <w:pPr>
        <w:pStyle w:val="ABABulletLevel1"/>
        <w:spacing w:after="120"/>
        <w:rPr>
          <w:rFonts w:ascii="Arial" w:hAnsi="Arial" w:cs="Arial"/>
          <w:sz w:val="20"/>
        </w:rPr>
      </w:pPr>
      <w:r w:rsidRPr="0092230E">
        <w:rPr>
          <w:rFonts w:ascii="Arial" w:hAnsi="Arial" w:cs="Arial"/>
          <w:sz w:val="20"/>
        </w:rPr>
        <w:t xml:space="preserve">Section </w:t>
      </w:r>
      <w:r w:rsidR="00824F5F" w:rsidRPr="0092230E">
        <w:rPr>
          <w:rFonts w:ascii="Arial" w:hAnsi="Arial" w:cs="Arial"/>
          <w:sz w:val="20"/>
        </w:rPr>
        <w:t>2</w:t>
      </w:r>
      <w:r w:rsidR="00420BD5" w:rsidRPr="0092230E">
        <w:rPr>
          <w:rFonts w:ascii="Arial" w:hAnsi="Arial" w:cs="Arial"/>
          <w:sz w:val="20"/>
        </w:rPr>
        <w:t>1</w:t>
      </w:r>
      <w:r w:rsidR="00824F5F" w:rsidRPr="0092230E">
        <w:rPr>
          <w:rFonts w:ascii="Arial" w:hAnsi="Arial" w:cs="Arial"/>
          <w:sz w:val="20"/>
        </w:rPr>
        <w:t xml:space="preserve"> </w:t>
      </w:r>
      <w:r w:rsidRPr="0092230E">
        <w:rPr>
          <w:rFonts w:ascii="Arial" w:hAnsi="Arial" w:cs="Arial"/>
          <w:sz w:val="20"/>
        </w:rPr>
        <w:t xml:space="preserve">provides the </w:t>
      </w:r>
      <w:r w:rsidR="00824F5F" w:rsidRPr="0092230E">
        <w:rPr>
          <w:rFonts w:ascii="Arial" w:hAnsi="Arial" w:cs="Arial"/>
          <w:sz w:val="20"/>
        </w:rPr>
        <w:t xml:space="preserve">methodology </w:t>
      </w:r>
      <w:r w:rsidRPr="0092230E">
        <w:rPr>
          <w:rFonts w:ascii="Arial" w:hAnsi="Arial" w:cs="Arial"/>
          <w:sz w:val="20"/>
        </w:rPr>
        <w:t xml:space="preserve">for determining </w:t>
      </w:r>
      <w:r w:rsidR="00824F5F" w:rsidRPr="0092230E">
        <w:rPr>
          <w:rFonts w:ascii="Arial" w:hAnsi="Arial" w:cs="Arial"/>
          <w:sz w:val="20"/>
        </w:rPr>
        <w:t xml:space="preserve">a participating person’s </w:t>
      </w:r>
      <w:r w:rsidRPr="0092230E">
        <w:rPr>
          <w:rFonts w:ascii="Arial" w:hAnsi="Arial" w:cs="Arial"/>
          <w:sz w:val="20"/>
        </w:rPr>
        <w:t>gross telecommunications sales revenue</w:t>
      </w:r>
      <w:r w:rsidR="00824F5F" w:rsidRPr="0092230E">
        <w:rPr>
          <w:rFonts w:ascii="Arial" w:hAnsi="Arial" w:cs="Arial"/>
          <w:sz w:val="20"/>
        </w:rPr>
        <w:t xml:space="preserve"> for an eligible revenue period</w:t>
      </w:r>
      <w:r w:rsidRPr="0092230E">
        <w:rPr>
          <w:rFonts w:ascii="Arial" w:hAnsi="Arial" w:cs="Arial"/>
          <w:sz w:val="20"/>
        </w:rPr>
        <w:t>.</w:t>
      </w:r>
    </w:p>
    <w:p w14:paraId="2CD9FCE6" w14:textId="77777777" w:rsidR="00824F5F" w:rsidRPr="0092230E" w:rsidRDefault="00824F5F" w:rsidP="004A51AD">
      <w:pPr>
        <w:pStyle w:val="ABABulletLevel1"/>
        <w:spacing w:after="120"/>
        <w:rPr>
          <w:rFonts w:ascii="Arial" w:hAnsi="Arial" w:cs="Arial"/>
          <w:b/>
          <w:sz w:val="20"/>
        </w:rPr>
      </w:pPr>
    </w:p>
    <w:p w14:paraId="41C7C2CB" w14:textId="77777777" w:rsidR="00824F5F" w:rsidRPr="0092230E" w:rsidRDefault="00824F5F" w:rsidP="004A51AD">
      <w:pPr>
        <w:pStyle w:val="ABABulletLevel1"/>
        <w:spacing w:after="120"/>
        <w:rPr>
          <w:rFonts w:ascii="Arial" w:hAnsi="Arial" w:cs="Arial"/>
          <w:b/>
          <w:sz w:val="20"/>
        </w:rPr>
      </w:pPr>
      <w:r w:rsidRPr="0092230E">
        <w:rPr>
          <w:rFonts w:ascii="Arial" w:hAnsi="Arial" w:cs="Arial"/>
          <w:b/>
          <w:sz w:val="20"/>
        </w:rPr>
        <w:t>Part 4 – Net telecommunications sales revenue</w:t>
      </w:r>
    </w:p>
    <w:p w14:paraId="2788CB47" w14:textId="77777777" w:rsidR="003632AA" w:rsidRPr="0092230E" w:rsidRDefault="003632AA" w:rsidP="003632AA">
      <w:pPr>
        <w:pStyle w:val="ABABulletLevel1"/>
        <w:spacing w:after="120"/>
        <w:rPr>
          <w:rFonts w:ascii="Arial" w:hAnsi="Arial" w:cs="Arial"/>
          <w:sz w:val="20"/>
        </w:rPr>
      </w:pPr>
      <w:r w:rsidRPr="0092230E">
        <w:rPr>
          <w:rFonts w:ascii="Arial" w:hAnsi="Arial" w:cs="Arial"/>
          <w:sz w:val="20"/>
        </w:rPr>
        <w:t xml:space="preserve">Once a participating person’s gross telecommunications sales revenue for an eligible revenue period is calculated under Part 3, the next step is to work out the participating person’s net telecommunications sales revenue for that period. Particular amounts of telecommunications sales revenue, detailed in sections </w:t>
      </w:r>
      <w:r w:rsidR="00341124" w:rsidRPr="0092230E">
        <w:rPr>
          <w:rFonts w:ascii="Arial" w:hAnsi="Arial" w:cs="Arial"/>
          <w:sz w:val="20"/>
        </w:rPr>
        <w:t xml:space="preserve">23 </w:t>
      </w:r>
      <w:r w:rsidRPr="0092230E">
        <w:rPr>
          <w:rFonts w:ascii="Arial" w:hAnsi="Arial" w:cs="Arial"/>
          <w:sz w:val="20"/>
        </w:rPr>
        <w:t xml:space="preserve">to </w:t>
      </w:r>
      <w:r w:rsidR="00341124" w:rsidRPr="0092230E">
        <w:rPr>
          <w:rFonts w:ascii="Arial" w:hAnsi="Arial" w:cs="Arial"/>
          <w:sz w:val="20"/>
        </w:rPr>
        <w:t>30</w:t>
      </w:r>
      <w:r w:rsidRPr="0092230E">
        <w:rPr>
          <w:rFonts w:ascii="Arial" w:hAnsi="Arial" w:cs="Arial"/>
          <w:sz w:val="20"/>
        </w:rPr>
        <w:t>, and 3</w:t>
      </w:r>
      <w:r w:rsidR="00341124" w:rsidRPr="0092230E">
        <w:rPr>
          <w:rFonts w:ascii="Arial" w:hAnsi="Arial" w:cs="Arial"/>
          <w:sz w:val="20"/>
        </w:rPr>
        <w:t>3</w:t>
      </w:r>
      <w:r w:rsidRPr="0092230E">
        <w:rPr>
          <w:rFonts w:ascii="Arial" w:hAnsi="Arial" w:cs="Arial"/>
          <w:sz w:val="20"/>
        </w:rPr>
        <w:t>, may be deducted from gross telecommunications sales revenue, in order to determine net telecommunications sales revenue.</w:t>
      </w:r>
    </w:p>
    <w:p w14:paraId="45EB1AFD" w14:textId="77777777" w:rsidR="00067542" w:rsidRPr="0092230E" w:rsidRDefault="00067542" w:rsidP="004A51AD">
      <w:pPr>
        <w:pStyle w:val="ABABulletLevel1"/>
        <w:spacing w:after="120"/>
        <w:rPr>
          <w:rFonts w:ascii="Arial" w:hAnsi="Arial" w:cs="Arial"/>
          <w:b/>
          <w:sz w:val="20"/>
        </w:rPr>
      </w:pPr>
    </w:p>
    <w:p w14:paraId="67773E97" w14:textId="08656E70" w:rsidR="00A25946" w:rsidRPr="0092230E" w:rsidRDefault="004A51AD" w:rsidP="00A2594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22 </w:t>
      </w:r>
      <w:r w:rsidR="002B7C05" w:rsidRPr="0092230E">
        <w:rPr>
          <w:rFonts w:ascii="Arial" w:hAnsi="Arial" w:cs="Arial"/>
          <w:b/>
          <w:sz w:val="20"/>
        </w:rPr>
        <w:t>– Purpose of Part</w:t>
      </w:r>
    </w:p>
    <w:p w14:paraId="64A90929" w14:textId="77777777" w:rsidR="003203D5" w:rsidRPr="0092230E" w:rsidRDefault="004A51AD" w:rsidP="004A51AD">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 xml:space="preserve">22 </w:t>
      </w:r>
      <w:r w:rsidR="003203D5" w:rsidRPr="0092230E">
        <w:rPr>
          <w:rFonts w:ascii="Arial" w:hAnsi="Arial" w:cs="Arial"/>
          <w:sz w:val="20"/>
        </w:rPr>
        <w:t xml:space="preserve">provides that the purpose of Part 4 is to set out how the net telecommunications sales revenue of a participating person for an eligible revenue period is worked out.  </w:t>
      </w:r>
      <w:r w:rsidR="008B311B" w:rsidRPr="0092230E">
        <w:rPr>
          <w:rFonts w:ascii="Arial" w:hAnsi="Arial" w:cs="Arial"/>
          <w:sz w:val="20"/>
        </w:rPr>
        <w:t xml:space="preserve">Part 4 </w:t>
      </w:r>
      <w:r w:rsidR="003203D5" w:rsidRPr="0092230E">
        <w:rPr>
          <w:rFonts w:ascii="Arial" w:hAnsi="Arial" w:cs="Arial"/>
          <w:sz w:val="20"/>
        </w:rPr>
        <w:t>outlines all of the applicable deductions</w:t>
      </w:r>
      <w:r w:rsidR="008B311B" w:rsidRPr="0092230E">
        <w:rPr>
          <w:rFonts w:ascii="Arial" w:hAnsi="Arial" w:cs="Arial"/>
          <w:sz w:val="20"/>
        </w:rPr>
        <w:t xml:space="preserve"> from gross telecommunications sales revenue</w:t>
      </w:r>
      <w:r w:rsidR="003203D5" w:rsidRPr="0092230E">
        <w:rPr>
          <w:rFonts w:ascii="Arial" w:hAnsi="Arial" w:cs="Arial"/>
          <w:sz w:val="20"/>
        </w:rPr>
        <w:t xml:space="preserve"> that can be made under the Determination</w:t>
      </w:r>
      <w:r w:rsidR="008B311B" w:rsidRPr="0092230E">
        <w:rPr>
          <w:rFonts w:ascii="Arial" w:hAnsi="Arial" w:cs="Arial"/>
          <w:sz w:val="20"/>
        </w:rPr>
        <w:t xml:space="preserve"> to calculate a participating person’s net telecommunications sales revenue for that period</w:t>
      </w:r>
      <w:r w:rsidR="003203D5" w:rsidRPr="0092230E">
        <w:rPr>
          <w:rFonts w:ascii="Arial" w:hAnsi="Arial" w:cs="Arial"/>
          <w:sz w:val="20"/>
        </w:rPr>
        <w:t xml:space="preserve">. </w:t>
      </w:r>
    </w:p>
    <w:p w14:paraId="43D14FB9" w14:textId="77777777" w:rsidR="004A51AD" w:rsidRPr="0092230E" w:rsidRDefault="003203D5" w:rsidP="004A51AD">
      <w:pPr>
        <w:pStyle w:val="ABABulletLevel1"/>
        <w:spacing w:after="120"/>
        <w:rPr>
          <w:rFonts w:ascii="Arial" w:hAnsi="Arial" w:cs="Arial"/>
          <w:sz w:val="20"/>
        </w:rPr>
      </w:pPr>
      <w:r w:rsidRPr="0092230E">
        <w:rPr>
          <w:rFonts w:ascii="Arial" w:hAnsi="Arial" w:cs="Arial"/>
          <w:sz w:val="20"/>
        </w:rPr>
        <w:t xml:space="preserve">A participating person is not required to deduct an amount </w:t>
      </w:r>
      <w:r w:rsidR="00456497" w:rsidRPr="0092230E">
        <w:rPr>
          <w:rFonts w:ascii="Arial" w:hAnsi="Arial" w:cs="Arial"/>
          <w:sz w:val="20"/>
        </w:rPr>
        <w:t xml:space="preserve">under Part 4 </w:t>
      </w:r>
      <w:r w:rsidRPr="0092230E">
        <w:rPr>
          <w:rFonts w:ascii="Arial" w:hAnsi="Arial" w:cs="Arial"/>
          <w:sz w:val="20"/>
        </w:rPr>
        <w:t xml:space="preserve">from its gross telecommunications sales revenue. </w:t>
      </w:r>
    </w:p>
    <w:p w14:paraId="4FEC4047" w14:textId="52CDE46A" w:rsidR="00362DE0" w:rsidRPr="0092230E" w:rsidRDefault="004A3E33" w:rsidP="00795DAE">
      <w:pPr>
        <w:pStyle w:val="ABABulletLevel1"/>
        <w:spacing w:after="120"/>
        <w:rPr>
          <w:rFonts w:ascii="Arial" w:hAnsi="Arial" w:cs="Arial"/>
          <w:sz w:val="20"/>
        </w:rPr>
      </w:pPr>
      <w:r w:rsidRPr="0092230E">
        <w:rPr>
          <w:rFonts w:ascii="Arial" w:hAnsi="Arial" w:cs="Arial"/>
          <w:sz w:val="20"/>
        </w:rPr>
        <w:t>Further, it is intended that an entity may only deduct revenue under sections 2</w:t>
      </w:r>
      <w:r w:rsidR="003F7EE5" w:rsidRPr="0092230E">
        <w:rPr>
          <w:rFonts w:ascii="Arial" w:hAnsi="Arial" w:cs="Arial"/>
          <w:sz w:val="20"/>
        </w:rPr>
        <w:t>3</w:t>
      </w:r>
      <w:r w:rsidRPr="0092230E">
        <w:rPr>
          <w:rFonts w:ascii="Arial" w:hAnsi="Arial" w:cs="Arial"/>
          <w:sz w:val="20"/>
        </w:rPr>
        <w:t xml:space="preserve"> to 2</w:t>
      </w:r>
      <w:r w:rsidR="003F7EE5" w:rsidRPr="0092230E">
        <w:rPr>
          <w:rFonts w:ascii="Arial" w:hAnsi="Arial" w:cs="Arial"/>
          <w:sz w:val="20"/>
        </w:rPr>
        <w:t>8</w:t>
      </w:r>
      <w:r w:rsidRPr="0092230E">
        <w:rPr>
          <w:rFonts w:ascii="Arial" w:hAnsi="Arial" w:cs="Arial"/>
          <w:sz w:val="20"/>
        </w:rPr>
        <w:t xml:space="preserve"> if that revenue was included in the entity’s initial sales revenue identified under section 1</w:t>
      </w:r>
      <w:r w:rsidR="003F7EE5" w:rsidRPr="0092230E">
        <w:rPr>
          <w:rFonts w:ascii="Arial" w:hAnsi="Arial" w:cs="Arial"/>
          <w:sz w:val="20"/>
        </w:rPr>
        <w:t>5</w:t>
      </w:r>
      <w:r w:rsidRPr="0092230E">
        <w:rPr>
          <w:rFonts w:ascii="Arial" w:hAnsi="Arial" w:cs="Arial"/>
          <w:sz w:val="20"/>
        </w:rPr>
        <w:t xml:space="preserve">. </w:t>
      </w:r>
    </w:p>
    <w:p w14:paraId="3CA33FF0" w14:textId="77777777" w:rsidR="00F25BCE" w:rsidRPr="0092230E" w:rsidRDefault="00F25BCE" w:rsidP="00795DAE">
      <w:pPr>
        <w:pStyle w:val="ABABulletLevel1"/>
        <w:spacing w:after="120"/>
        <w:rPr>
          <w:rFonts w:ascii="Arial" w:hAnsi="Arial" w:cs="Arial"/>
          <w:sz w:val="20"/>
        </w:rPr>
      </w:pPr>
    </w:p>
    <w:p w14:paraId="356AB5FE" w14:textId="77777777" w:rsidR="00795DAE" w:rsidRPr="0092230E" w:rsidRDefault="00795DAE" w:rsidP="00795DAE">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23 </w:t>
      </w:r>
      <w:r w:rsidRPr="0092230E">
        <w:rPr>
          <w:rFonts w:ascii="Arial" w:hAnsi="Arial" w:cs="Arial"/>
          <w:b/>
          <w:sz w:val="20"/>
        </w:rPr>
        <w:t>– Deduction</w:t>
      </w:r>
      <w:r w:rsidR="004A51AD" w:rsidRPr="0092230E">
        <w:rPr>
          <w:rFonts w:ascii="Arial" w:hAnsi="Arial" w:cs="Arial"/>
          <w:b/>
          <w:sz w:val="20"/>
        </w:rPr>
        <w:t>s -</w:t>
      </w:r>
      <w:r w:rsidRPr="0092230E">
        <w:rPr>
          <w:rFonts w:ascii="Arial" w:hAnsi="Arial" w:cs="Arial"/>
          <w:b/>
          <w:sz w:val="20"/>
        </w:rPr>
        <w:t xml:space="preserve"> </w:t>
      </w:r>
      <w:r w:rsidR="004A51AD" w:rsidRPr="0092230E">
        <w:rPr>
          <w:rFonts w:ascii="Arial" w:hAnsi="Arial" w:cs="Arial"/>
          <w:b/>
          <w:sz w:val="20"/>
        </w:rPr>
        <w:t>o</w:t>
      </w:r>
      <w:r w:rsidRPr="0092230E">
        <w:rPr>
          <w:rFonts w:ascii="Arial" w:hAnsi="Arial" w:cs="Arial"/>
          <w:b/>
          <w:sz w:val="20"/>
        </w:rPr>
        <w:t>verseas activities</w:t>
      </w:r>
    </w:p>
    <w:p w14:paraId="59D48EB7" w14:textId="77777777" w:rsidR="005B3246" w:rsidRPr="0092230E" w:rsidRDefault="00795DAE" w:rsidP="00795DAE">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 xml:space="preserve">23 </w:t>
      </w:r>
      <w:r w:rsidR="00700588" w:rsidRPr="0092230E">
        <w:rPr>
          <w:rFonts w:ascii="Arial" w:hAnsi="Arial" w:cs="Arial"/>
          <w:sz w:val="20"/>
        </w:rPr>
        <w:t xml:space="preserve">allows deduction of </w:t>
      </w:r>
      <w:r w:rsidR="00456497" w:rsidRPr="0092230E">
        <w:rPr>
          <w:rFonts w:ascii="Arial" w:hAnsi="Arial" w:cs="Arial"/>
          <w:sz w:val="20"/>
        </w:rPr>
        <w:t xml:space="preserve">telecommunications sales </w:t>
      </w:r>
      <w:r w:rsidR="00700588" w:rsidRPr="0092230E">
        <w:rPr>
          <w:rFonts w:ascii="Arial" w:hAnsi="Arial" w:cs="Arial"/>
          <w:sz w:val="20"/>
        </w:rPr>
        <w:t>revenue</w:t>
      </w:r>
      <w:r w:rsidRPr="0092230E">
        <w:rPr>
          <w:rFonts w:ascii="Arial" w:hAnsi="Arial" w:cs="Arial"/>
          <w:sz w:val="20"/>
        </w:rPr>
        <w:t xml:space="preserve"> </w:t>
      </w:r>
      <w:r w:rsidR="00456497" w:rsidRPr="0092230E">
        <w:rPr>
          <w:rFonts w:ascii="Arial" w:hAnsi="Arial" w:cs="Arial"/>
          <w:sz w:val="20"/>
        </w:rPr>
        <w:t>that was</w:t>
      </w:r>
      <w:r w:rsidR="004A51AD" w:rsidRPr="0092230E">
        <w:rPr>
          <w:rFonts w:ascii="Arial" w:hAnsi="Arial" w:cs="Arial"/>
          <w:sz w:val="20"/>
        </w:rPr>
        <w:t xml:space="preserve"> earned </w:t>
      </w:r>
      <w:r w:rsidR="00456497" w:rsidRPr="0092230E">
        <w:rPr>
          <w:rFonts w:ascii="Arial" w:hAnsi="Arial" w:cs="Arial"/>
          <w:sz w:val="20"/>
        </w:rPr>
        <w:t xml:space="preserve">by a participating person or a consolidated related party in relation to a participating person, and the deduction of a proportion of telecommunications sales revenue earned by declared related parties, if the revenue was earned </w:t>
      </w:r>
      <w:r w:rsidR="004A51AD" w:rsidRPr="0092230E">
        <w:rPr>
          <w:rFonts w:ascii="Arial" w:hAnsi="Arial" w:cs="Arial"/>
          <w:sz w:val="20"/>
        </w:rPr>
        <w:t>from overseas activities</w:t>
      </w:r>
      <w:r w:rsidRPr="0092230E">
        <w:rPr>
          <w:rFonts w:ascii="Arial" w:hAnsi="Arial" w:cs="Arial"/>
          <w:sz w:val="20"/>
        </w:rPr>
        <w:t>.</w:t>
      </w:r>
      <w:r w:rsidR="008F29F3" w:rsidRPr="0092230E">
        <w:rPr>
          <w:rFonts w:ascii="Arial" w:hAnsi="Arial" w:cs="Arial"/>
          <w:sz w:val="20"/>
        </w:rPr>
        <w:t xml:space="preserve"> Subsection </w:t>
      </w:r>
      <w:r w:rsidR="003F7EE5" w:rsidRPr="0092230E">
        <w:rPr>
          <w:rFonts w:ascii="Arial" w:hAnsi="Arial" w:cs="Arial"/>
          <w:sz w:val="20"/>
        </w:rPr>
        <w:t>23</w:t>
      </w:r>
      <w:r w:rsidR="008F29F3" w:rsidRPr="0092230E">
        <w:rPr>
          <w:rFonts w:ascii="Arial" w:hAnsi="Arial" w:cs="Arial"/>
          <w:sz w:val="20"/>
        </w:rPr>
        <w:t xml:space="preserve">(4) defines overseas activities as specific acts </w:t>
      </w:r>
      <w:r w:rsidR="00A25946" w:rsidRPr="0092230E">
        <w:rPr>
          <w:rFonts w:ascii="Arial" w:hAnsi="Arial" w:cs="Arial"/>
          <w:sz w:val="20"/>
        </w:rPr>
        <w:t>(specified in paragraphs (a)-(</w:t>
      </w:r>
      <w:r w:rsidR="0010558B" w:rsidRPr="0092230E">
        <w:rPr>
          <w:rFonts w:ascii="Arial" w:hAnsi="Arial" w:cs="Arial"/>
          <w:sz w:val="20"/>
        </w:rPr>
        <w:t>f</w:t>
      </w:r>
      <w:r w:rsidR="00A25946" w:rsidRPr="0092230E">
        <w:rPr>
          <w:rFonts w:ascii="Arial" w:hAnsi="Arial" w:cs="Arial"/>
          <w:sz w:val="20"/>
        </w:rPr>
        <w:t>) of the definition)</w:t>
      </w:r>
      <w:r w:rsidR="008F29F3" w:rsidRPr="0092230E">
        <w:rPr>
          <w:rFonts w:ascii="Arial" w:hAnsi="Arial" w:cs="Arial"/>
          <w:sz w:val="20"/>
        </w:rPr>
        <w:t xml:space="preserve"> that are </w:t>
      </w:r>
      <w:r w:rsidR="005B3246" w:rsidRPr="0092230E">
        <w:rPr>
          <w:rFonts w:ascii="Arial" w:hAnsi="Arial" w:cs="Arial"/>
          <w:sz w:val="20"/>
        </w:rPr>
        <w:t xml:space="preserve">carried out outside Australia, such as the supply of a carriage service that originates and terminates outside Australia, in a place outside Australia. </w:t>
      </w:r>
    </w:p>
    <w:p w14:paraId="4A73DA39" w14:textId="77777777" w:rsidR="00AA349F" w:rsidRPr="0092230E" w:rsidRDefault="00795DAE" w:rsidP="00795DAE">
      <w:pPr>
        <w:pStyle w:val="ABABulletLevel1"/>
        <w:spacing w:after="120"/>
        <w:rPr>
          <w:rFonts w:ascii="Arial" w:hAnsi="Arial" w:cs="Arial"/>
          <w:sz w:val="20"/>
        </w:rPr>
      </w:pPr>
      <w:r w:rsidRPr="0092230E">
        <w:rPr>
          <w:rFonts w:ascii="Arial" w:hAnsi="Arial" w:cs="Arial"/>
          <w:sz w:val="20"/>
        </w:rPr>
        <w:t>The intention</w:t>
      </w:r>
      <w:r w:rsidR="000A5EBC" w:rsidRPr="0092230E">
        <w:rPr>
          <w:rFonts w:ascii="Arial" w:hAnsi="Arial" w:cs="Arial"/>
          <w:sz w:val="20"/>
        </w:rPr>
        <w:t xml:space="preserve"> of section </w:t>
      </w:r>
      <w:r w:rsidR="003F7EE5" w:rsidRPr="0092230E">
        <w:rPr>
          <w:rFonts w:ascii="Arial" w:hAnsi="Arial" w:cs="Arial"/>
          <w:sz w:val="20"/>
        </w:rPr>
        <w:t xml:space="preserve">23 </w:t>
      </w:r>
      <w:r w:rsidRPr="0092230E">
        <w:rPr>
          <w:rFonts w:ascii="Arial" w:hAnsi="Arial" w:cs="Arial"/>
          <w:sz w:val="20"/>
        </w:rPr>
        <w:t xml:space="preserve">is to </w:t>
      </w:r>
      <w:r w:rsidR="00402192" w:rsidRPr="0092230E">
        <w:rPr>
          <w:rFonts w:ascii="Arial" w:hAnsi="Arial" w:cs="Arial"/>
          <w:sz w:val="20"/>
        </w:rPr>
        <w:t xml:space="preserve">allow a deduction of </w:t>
      </w:r>
      <w:r w:rsidR="005B3246" w:rsidRPr="0092230E">
        <w:rPr>
          <w:rFonts w:ascii="Arial" w:hAnsi="Arial" w:cs="Arial"/>
          <w:sz w:val="20"/>
        </w:rPr>
        <w:t xml:space="preserve">telecommunications sales </w:t>
      </w:r>
      <w:r w:rsidRPr="0092230E">
        <w:rPr>
          <w:rFonts w:ascii="Arial" w:hAnsi="Arial" w:cs="Arial"/>
          <w:sz w:val="20"/>
        </w:rPr>
        <w:t xml:space="preserve">revenue earned by participating persons, and their consolidated and declared related parties, from operating in telecommunications markets overseas.  Revenue from these operations should not be counted for </w:t>
      </w:r>
      <w:r w:rsidR="005B3246" w:rsidRPr="0092230E">
        <w:rPr>
          <w:rFonts w:ascii="Arial" w:hAnsi="Arial" w:cs="Arial"/>
          <w:sz w:val="20"/>
        </w:rPr>
        <w:t xml:space="preserve">the purposes of determining a participating person’s contribution to the </w:t>
      </w:r>
      <w:r w:rsidRPr="0092230E">
        <w:rPr>
          <w:rFonts w:ascii="Arial" w:hAnsi="Arial" w:cs="Arial"/>
          <w:sz w:val="20"/>
        </w:rPr>
        <w:t xml:space="preserve">industry levy </w:t>
      </w:r>
      <w:r w:rsidR="005B3246" w:rsidRPr="0092230E">
        <w:rPr>
          <w:rFonts w:ascii="Arial" w:hAnsi="Arial" w:cs="Arial"/>
          <w:sz w:val="20"/>
        </w:rPr>
        <w:t xml:space="preserve">which is collected to facilitate the provision of public interest </w:t>
      </w:r>
      <w:r w:rsidR="004A3E33" w:rsidRPr="0092230E">
        <w:rPr>
          <w:rFonts w:ascii="Arial" w:hAnsi="Arial" w:cs="Arial"/>
          <w:sz w:val="20"/>
        </w:rPr>
        <w:t xml:space="preserve">carriage </w:t>
      </w:r>
      <w:r w:rsidR="008B311B" w:rsidRPr="0092230E">
        <w:rPr>
          <w:rFonts w:ascii="Arial" w:hAnsi="Arial" w:cs="Arial"/>
          <w:sz w:val="20"/>
        </w:rPr>
        <w:t>services</w:t>
      </w:r>
      <w:r w:rsidR="005B3246" w:rsidRPr="0092230E">
        <w:rPr>
          <w:rFonts w:ascii="Arial" w:hAnsi="Arial" w:cs="Arial"/>
          <w:sz w:val="20"/>
        </w:rPr>
        <w:t xml:space="preserve"> in Australia. </w:t>
      </w:r>
      <w:r w:rsidRPr="0092230E">
        <w:rPr>
          <w:rFonts w:ascii="Arial" w:hAnsi="Arial" w:cs="Arial"/>
          <w:sz w:val="20"/>
        </w:rPr>
        <w:t xml:space="preserve">  </w:t>
      </w:r>
    </w:p>
    <w:p w14:paraId="59878B15" w14:textId="77777777" w:rsidR="00795DAE" w:rsidRPr="0092230E" w:rsidRDefault="00795DAE" w:rsidP="00795DAE">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 xml:space="preserve">23 </w:t>
      </w:r>
      <w:r w:rsidRPr="0092230E">
        <w:rPr>
          <w:rFonts w:ascii="Arial" w:hAnsi="Arial" w:cs="Arial"/>
          <w:sz w:val="20"/>
        </w:rPr>
        <w:t xml:space="preserve">allows deductions of revenue earned by participating persons and consolidated related parties and the deduction of a proportion of revenue earned by declared related parties, where the amount </w:t>
      </w:r>
      <w:r w:rsidR="00616930" w:rsidRPr="0092230E">
        <w:rPr>
          <w:rFonts w:ascii="Arial" w:hAnsi="Arial" w:cs="Arial"/>
          <w:sz w:val="20"/>
        </w:rPr>
        <w:t xml:space="preserve">of </w:t>
      </w:r>
      <w:r w:rsidRPr="0092230E">
        <w:rPr>
          <w:rFonts w:ascii="Arial" w:hAnsi="Arial" w:cs="Arial"/>
          <w:sz w:val="20"/>
        </w:rPr>
        <w:t xml:space="preserve">revenue claimed for </w:t>
      </w:r>
      <w:r w:rsidR="00883520" w:rsidRPr="0092230E">
        <w:rPr>
          <w:rFonts w:ascii="Arial" w:hAnsi="Arial" w:cs="Arial"/>
          <w:sz w:val="20"/>
        </w:rPr>
        <w:t>an</w:t>
      </w:r>
      <w:r w:rsidRPr="0092230E">
        <w:rPr>
          <w:rFonts w:ascii="Arial" w:hAnsi="Arial" w:cs="Arial"/>
          <w:sz w:val="20"/>
        </w:rPr>
        <w:t xml:space="preserve"> entity as a deduction was earned by the same entity in undertaking the </w:t>
      </w:r>
      <w:r w:rsidR="006747D9" w:rsidRPr="0092230E">
        <w:rPr>
          <w:rFonts w:ascii="Arial" w:hAnsi="Arial" w:cs="Arial"/>
          <w:sz w:val="20"/>
        </w:rPr>
        <w:t xml:space="preserve">overseas </w:t>
      </w:r>
      <w:r w:rsidRPr="0092230E">
        <w:rPr>
          <w:rFonts w:ascii="Arial" w:hAnsi="Arial" w:cs="Arial"/>
          <w:sz w:val="20"/>
        </w:rPr>
        <w:t>activity</w:t>
      </w:r>
      <w:r w:rsidR="004C1DCC" w:rsidRPr="0092230E">
        <w:rPr>
          <w:rFonts w:ascii="Arial" w:hAnsi="Arial" w:cs="Arial"/>
          <w:sz w:val="20"/>
        </w:rPr>
        <w:t>.</w:t>
      </w:r>
    </w:p>
    <w:p w14:paraId="3FEF7E52" w14:textId="77777777" w:rsidR="006E20FC" w:rsidRPr="0092230E" w:rsidRDefault="006E20FC" w:rsidP="00795DAE">
      <w:pPr>
        <w:pStyle w:val="ABABulletLevel1"/>
        <w:spacing w:after="120"/>
        <w:rPr>
          <w:rFonts w:ascii="Arial" w:hAnsi="Arial" w:cs="Arial"/>
          <w:sz w:val="20"/>
        </w:rPr>
      </w:pPr>
      <w:r w:rsidRPr="0092230E">
        <w:rPr>
          <w:rFonts w:ascii="Arial" w:hAnsi="Arial" w:cs="Arial"/>
          <w:sz w:val="20"/>
        </w:rPr>
        <w:t xml:space="preserve">Under section </w:t>
      </w:r>
      <w:r w:rsidR="003F7EE5" w:rsidRPr="0092230E">
        <w:rPr>
          <w:rFonts w:ascii="Arial" w:hAnsi="Arial" w:cs="Arial"/>
          <w:sz w:val="20"/>
        </w:rPr>
        <w:t>23</w:t>
      </w:r>
      <w:r w:rsidRPr="0092230E">
        <w:rPr>
          <w:rFonts w:ascii="Arial" w:hAnsi="Arial" w:cs="Arial"/>
          <w:sz w:val="20"/>
        </w:rPr>
        <w:t xml:space="preserve">, revenue is only deductible if it is earned from acts carried out overseas while providing telecommunications services overseas. For example, </w:t>
      </w:r>
      <w:r w:rsidR="00E568DD" w:rsidRPr="0092230E">
        <w:rPr>
          <w:rFonts w:ascii="Arial" w:hAnsi="Arial" w:cs="Arial"/>
          <w:sz w:val="20"/>
        </w:rPr>
        <w:t>revenue</w:t>
      </w:r>
      <w:r w:rsidR="00883520" w:rsidRPr="0092230E">
        <w:rPr>
          <w:rFonts w:ascii="Arial" w:hAnsi="Arial" w:cs="Arial"/>
          <w:sz w:val="20"/>
        </w:rPr>
        <w:t xml:space="preserve"> earned from </w:t>
      </w:r>
      <w:r w:rsidRPr="0092230E">
        <w:rPr>
          <w:rFonts w:ascii="Arial" w:hAnsi="Arial" w:cs="Arial"/>
          <w:sz w:val="20"/>
        </w:rPr>
        <w:t xml:space="preserve">operating </w:t>
      </w:r>
      <w:r w:rsidR="00883520" w:rsidRPr="0092230E">
        <w:rPr>
          <w:rFonts w:ascii="Arial" w:hAnsi="Arial" w:cs="Arial"/>
          <w:sz w:val="20"/>
        </w:rPr>
        <w:t>satellites</w:t>
      </w:r>
      <w:r w:rsidR="008B311B" w:rsidRPr="0092230E">
        <w:rPr>
          <w:rFonts w:ascii="Arial" w:hAnsi="Arial" w:cs="Arial"/>
          <w:sz w:val="20"/>
        </w:rPr>
        <w:t>,</w:t>
      </w:r>
      <w:r w:rsidR="00883520" w:rsidRPr="0092230E">
        <w:rPr>
          <w:rFonts w:ascii="Arial" w:hAnsi="Arial" w:cs="Arial"/>
          <w:sz w:val="20"/>
        </w:rPr>
        <w:t xml:space="preserve"> </w:t>
      </w:r>
      <w:r w:rsidRPr="0092230E">
        <w:rPr>
          <w:rFonts w:ascii="Arial" w:hAnsi="Arial" w:cs="Arial"/>
          <w:sz w:val="20"/>
        </w:rPr>
        <w:t xml:space="preserve">cables, networks or other facilities located </w:t>
      </w:r>
      <w:r w:rsidR="00402192" w:rsidRPr="0092230E">
        <w:rPr>
          <w:rFonts w:ascii="Arial" w:hAnsi="Arial" w:cs="Arial"/>
          <w:sz w:val="20"/>
        </w:rPr>
        <w:t xml:space="preserve">in or </w:t>
      </w:r>
      <w:r w:rsidRPr="0092230E">
        <w:rPr>
          <w:rFonts w:ascii="Arial" w:hAnsi="Arial" w:cs="Arial"/>
          <w:sz w:val="20"/>
        </w:rPr>
        <w:t xml:space="preserve">outside of Australia </w:t>
      </w:r>
      <w:r w:rsidR="00402192" w:rsidRPr="0092230E">
        <w:rPr>
          <w:rFonts w:ascii="Arial" w:hAnsi="Arial" w:cs="Arial"/>
          <w:sz w:val="20"/>
        </w:rPr>
        <w:t>would</w:t>
      </w:r>
      <w:r w:rsidRPr="0092230E">
        <w:rPr>
          <w:rFonts w:ascii="Arial" w:hAnsi="Arial" w:cs="Arial"/>
          <w:sz w:val="20"/>
        </w:rPr>
        <w:t xml:space="preserve"> only </w:t>
      </w:r>
      <w:r w:rsidR="00402192" w:rsidRPr="0092230E">
        <w:rPr>
          <w:rFonts w:ascii="Arial" w:hAnsi="Arial" w:cs="Arial"/>
          <w:sz w:val="20"/>
        </w:rPr>
        <w:t xml:space="preserve">be </w:t>
      </w:r>
      <w:r w:rsidRPr="0092230E">
        <w:rPr>
          <w:rFonts w:ascii="Arial" w:hAnsi="Arial" w:cs="Arial"/>
          <w:sz w:val="20"/>
        </w:rPr>
        <w:t>deductible when it is earned in relation to operations in or between countries other than Australia.</w:t>
      </w:r>
      <w:r w:rsidR="00402192" w:rsidRPr="0092230E">
        <w:rPr>
          <w:rFonts w:ascii="Arial" w:hAnsi="Arial" w:cs="Arial"/>
          <w:sz w:val="20"/>
        </w:rPr>
        <w:t xml:space="preserve"> Similarly, revenue earned from providing global roaming services would only be deductible</w:t>
      </w:r>
      <w:r w:rsidR="00791786" w:rsidRPr="0092230E">
        <w:rPr>
          <w:rFonts w:ascii="Arial" w:hAnsi="Arial" w:cs="Arial"/>
          <w:sz w:val="20"/>
        </w:rPr>
        <w:t xml:space="preserve"> under </w:t>
      </w:r>
      <w:r w:rsidR="00791786" w:rsidRPr="0092230E">
        <w:rPr>
          <w:rFonts w:ascii="Arial" w:hAnsi="Arial" w:cs="Arial"/>
          <w:sz w:val="20"/>
        </w:rPr>
        <w:lastRenderedPageBreak/>
        <w:t xml:space="preserve">section </w:t>
      </w:r>
      <w:r w:rsidR="003F7EE5" w:rsidRPr="0092230E">
        <w:rPr>
          <w:rFonts w:ascii="Arial" w:hAnsi="Arial" w:cs="Arial"/>
          <w:sz w:val="20"/>
        </w:rPr>
        <w:t xml:space="preserve">23 </w:t>
      </w:r>
      <w:r w:rsidR="00402192" w:rsidRPr="0092230E">
        <w:rPr>
          <w:rFonts w:ascii="Arial" w:hAnsi="Arial" w:cs="Arial"/>
          <w:sz w:val="20"/>
        </w:rPr>
        <w:t xml:space="preserve">if the carriage service is supplied outside Australia and calls made using the service originate and terminate outside Australia.   </w:t>
      </w:r>
    </w:p>
    <w:p w14:paraId="61CDD386" w14:textId="77777777" w:rsidR="00883520" w:rsidRPr="0092230E" w:rsidRDefault="00402192" w:rsidP="00795DAE">
      <w:pPr>
        <w:pStyle w:val="ABABulletLevel1"/>
        <w:spacing w:after="120"/>
        <w:rPr>
          <w:rFonts w:ascii="Arial" w:hAnsi="Arial" w:cs="Arial"/>
          <w:sz w:val="20"/>
        </w:rPr>
      </w:pPr>
      <w:r w:rsidRPr="0092230E">
        <w:rPr>
          <w:rFonts w:ascii="Arial" w:hAnsi="Arial" w:cs="Arial"/>
          <w:sz w:val="20"/>
        </w:rPr>
        <w:t xml:space="preserve">Subsection </w:t>
      </w:r>
      <w:r w:rsidR="003F7EE5" w:rsidRPr="0092230E">
        <w:rPr>
          <w:rFonts w:ascii="Arial" w:hAnsi="Arial" w:cs="Arial"/>
          <w:sz w:val="20"/>
        </w:rPr>
        <w:t>23</w:t>
      </w:r>
      <w:r w:rsidRPr="0092230E">
        <w:rPr>
          <w:rFonts w:ascii="Arial" w:hAnsi="Arial" w:cs="Arial"/>
          <w:sz w:val="20"/>
        </w:rPr>
        <w:t>(3) provides, for the avoidance of doubt, that r</w:t>
      </w:r>
      <w:r w:rsidR="00883520" w:rsidRPr="0092230E">
        <w:rPr>
          <w:rFonts w:ascii="Arial" w:hAnsi="Arial" w:cs="Arial"/>
          <w:sz w:val="20"/>
        </w:rPr>
        <w:t xml:space="preserve">evenue earned from supplying </w:t>
      </w:r>
      <w:r w:rsidR="00270D4B" w:rsidRPr="0092230E">
        <w:rPr>
          <w:rFonts w:ascii="Arial" w:hAnsi="Arial" w:cs="Arial"/>
          <w:sz w:val="20"/>
        </w:rPr>
        <w:t>a</w:t>
      </w:r>
      <w:r w:rsidR="00883520" w:rsidRPr="0092230E">
        <w:rPr>
          <w:rFonts w:ascii="Arial" w:hAnsi="Arial" w:cs="Arial"/>
          <w:sz w:val="20"/>
        </w:rPr>
        <w:t xml:space="preserve"> telecommunications service to or from Australia is not deductible.</w:t>
      </w:r>
    </w:p>
    <w:p w14:paraId="30389D50" w14:textId="77777777" w:rsidR="00791786" w:rsidRPr="0092230E" w:rsidRDefault="00791786" w:rsidP="00700588">
      <w:pPr>
        <w:pStyle w:val="ABABulletLevel1"/>
        <w:spacing w:after="120"/>
        <w:rPr>
          <w:rFonts w:ascii="Arial" w:hAnsi="Arial" w:cs="Arial"/>
          <w:b/>
          <w:sz w:val="20"/>
        </w:rPr>
      </w:pPr>
    </w:p>
    <w:p w14:paraId="06F7D38B" w14:textId="77777777" w:rsidR="00700588" w:rsidRPr="0092230E" w:rsidRDefault="00700588" w:rsidP="00700588">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24 </w:t>
      </w:r>
      <w:r w:rsidRPr="0092230E">
        <w:rPr>
          <w:rFonts w:ascii="Arial" w:hAnsi="Arial" w:cs="Arial"/>
          <w:b/>
          <w:sz w:val="20"/>
        </w:rPr>
        <w:t xml:space="preserve">– </w:t>
      </w:r>
      <w:r w:rsidR="00791786" w:rsidRPr="0092230E">
        <w:rPr>
          <w:rFonts w:ascii="Arial" w:hAnsi="Arial" w:cs="Arial"/>
          <w:b/>
          <w:sz w:val="20"/>
        </w:rPr>
        <w:t xml:space="preserve">Deductions – </w:t>
      </w:r>
      <w:r w:rsidR="00C95E63" w:rsidRPr="0092230E">
        <w:rPr>
          <w:rFonts w:ascii="Arial" w:hAnsi="Arial" w:cs="Arial"/>
          <w:b/>
          <w:sz w:val="20"/>
        </w:rPr>
        <w:t>a</w:t>
      </w:r>
      <w:r w:rsidRPr="0092230E">
        <w:rPr>
          <w:rFonts w:ascii="Arial" w:hAnsi="Arial" w:cs="Arial"/>
          <w:b/>
          <w:sz w:val="20"/>
        </w:rPr>
        <w:t xml:space="preserve">cts in Australia for overseas </w:t>
      </w:r>
      <w:r w:rsidR="00402192" w:rsidRPr="0092230E">
        <w:rPr>
          <w:rFonts w:ascii="Arial" w:hAnsi="Arial" w:cs="Arial"/>
          <w:b/>
          <w:sz w:val="20"/>
        </w:rPr>
        <w:t>services</w:t>
      </w:r>
    </w:p>
    <w:p w14:paraId="6C7B27ED" w14:textId="5D4E2B63" w:rsidR="00700588" w:rsidRPr="0092230E" w:rsidRDefault="00700588" w:rsidP="00700588">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 xml:space="preserve">24 </w:t>
      </w:r>
      <w:r w:rsidRPr="0092230E">
        <w:rPr>
          <w:rFonts w:ascii="Arial" w:hAnsi="Arial" w:cs="Arial"/>
          <w:sz w:val="20"/>
        </w:rPr>
        <w:t xml:space="preserve">provides for the deduction of revenue </w:t>
      </w:r>
      <w:r w:rsidR="00402192" w:rsidRPr="0092230E">
        <w:rPr>
          <w:rFonts w:ascii="Arial" w:hAnsi="Arial" w:cs="Arial"/>
          <w:sz w:val="20"/>
        </w:rPr>
        <w:t>that</w:t>
      </w:r>
      <w:r w:rsidRPr="0092230E">
        <w:rPr>
          <w:rFonts w:ascii="Arial" w:hAnsi="Arial" w:cs="Arial"/>
          <w:sz w:val="20"/>
        </w:rPr>
        <w:t xml:space="preserve"> has been earned from acts carried out in Australia</w:t>
      </w:r>
      <w:r w:rsidR="00616930" w:rsidRPr="0092230E">
        <w:rPr>
          <w:rFonts w:ascii="Arial" w:hAnsi="Arial" w:cs="Arial"/>
          <w:sz w:val="20"/>
        </w:rPr>
        <w:t xml:space="preserve"> </w:t>
      </w:r>
      <w:r w:rsidR="00402192" w:rsidRPr="0092230E">
        <w:rPr>
          <w:rFonts w:ascii="Arial" w:hAnsi="Arial" w:cs="Arial"/>
          <w:sz w:val="20"/>
        </w:rPr>
        <w:t xml:space="preserve">solely </w:t>
      </w:r>
      <w:r w:rsidR="00616930" w:rsidRPr="0092230E">
        <w:rPr>
          <w:rFonts w:ascii="Arial" w:hAnsi="Arial" w:cs="Arial"/>
          <w:sz w:val="20"/>
        </w:rPr>
        <w:t xml:space="preserve">for the </w:t>
      </w:r>
      <w:r w:rsidR="00402192" w:rsidRPr="0092230E">
        <w:rPr>
          <w:rFonts w:ascii="Arial" w:hAnsi="Arial" w:cs="Arial"/>
          <w:sz w:val="20"/>
        </w:rPr>
        <w:t xml:space="preserve">purposes of the </w:t>
      </w:r>
      <w:r w:rsidR="00616930" w:rsidRPr="0092230E">
        <w:rPr>
          <w:rFonts w:ascii="Arial" w:hAnsi="Arial" w:cs="Arial"/>
          <w:sz w:val="20"/>
        </w:rPr>
        <w:t>supply of a telecommunications carriage service</w:t>
      </w:r>
      <w:r w:rsidR="00402192" w:rsidRPr="0092230E">
        <w:rPr>
          <w:rFonts w:ascii="Arial" w:hAnsi="Arial" w:cs="Arial"/>
          <w:sz w:val="20"/>
        </w:rPr>
        <w:t>,</w:t>
      </w:r>
      <w:r w:rsidRPr="0092230E">
        <w:rPr>
          <w:rFonts w:ascii="Arial" w:hAnsi="Arial" w:cs="Arial"/>
          <w:sz w:val="20"/>
        </w:rPr>
        <w:t xml:space="preserve"> </w:t>
      </w:r>
      <w:r w:rsidR="00402192" w:rsidRPr="0092230E">
        <w:rPr>
          <w:rFonts w:ascii="Arial" w:hAnsi="Arial" w:cs="Arial"/>
          <w:sz w:val="20"/>
        </w:rPr>
        <w:t xml:space="preserve">in a place outside Australia </w:t>
      </w:r>
      <w:r w:rsidR="00010DCF" w:rsidRPr="0092230E">
        <w:rPr>
          <w:rFonts w:ascii="Arial" w:hAnsi="Arial" w:cs="Arial"/>
          <w:sz w:val="20"/>
        </w:rPr>
        <w:t xml:space="preserve">and which </w:t>
      </w:r>
      <w:r w:rsidR="00402192" w:rsidRPr="0092230E">
        <w:rPr>
          <w:rFonts w:ascii="Arial" w:hAnsi="Arial" w:cs="Arial"/>
          <w:sz w:val="20"/>
        </w:rPr>
        <w:t xml:space="preserve">originates and terminates outside Australia. </w:t>
      </w:r>
    </w:p>
    <w:p w14:paraId="4BB7A449" w14:textId="77777777" w:rsidR="004A3E33" w:rsidRPr="0092230E" w:rsidRDefault="00700588" w:rsidP="004A3E33">
      <w:pPr>
        <w:pStyle w:val="ABABulletLevel1"/>
        <w:spacing w:after="120"/>
        <w:rPr>
          <w:rFonts w:ascii="Arial" w:hAnsi="Arial" w:cs="Arial"/>
          <w:sz w:val="20"/>
        </w:rPr>
      </w:pPr>
      <w:r w:rsidRPr="0092230E">
        <w:rPr>
          <w:rFonts w:ascii="Arial" w:hAnsi="Arial" w:cs="Arial"/>
          <w:sz w:val="20"/>
        </w:rPr>
        <w:t xml:space="preserve">The intention of section </w:t>
      </w:r>
      <w:r w:rsidR="003F7EE5" w:rsidRPr="0092230E">
        <w:rPr>
          <w:rFonts w:ascii="Arial" w:hAnsi="Arial" w:cs="Arial"/>
          <w:sz w:val="20"/>
        </w:rPr>
        <w:t xml:space="preserve">24 </w:t>
      </w:r>
      <w:r w:rsidRPr="0092230E">
        <w:rPr>
          <w:rFonts w:ascii="Arial" w:hAnsi="Arial" w:cs="Arial"/>
          <w:sz w:val="20"/>
        </w:rPr>
        <w:t xml:space="preserve">is to </w:t>
      </w:r>
      <w:r w:rsidR="00402192" w:rsidRPr="0092230E">
        <w:rPr>
          <w:rFonts w:ascii="Arial" w:hAnsi="Arial" w:cs="Arial"/>
          <w:sz w:val="20"/>
        </w:rPr>
        <w:t>allow a deduction of</w:t>
      </w:r>
      <w:r w:rsidRPr="0092230E">
        <w:rPr>
          <w:rFonts w:ascii="Arial" w:hAnsi="Arial" w:cs="Arial"/>
          <w:sz w:val="20"/>
        </w:rPr>
        <w:t xml:space="preserve"> revenue earned by participating persons, and their consolidated and declared related parties, from operating in telecommunications markets overseas</w:t>
      </w:r>
      <w:r w:rsidR="00616930" w:rsidRPr="0092230E">
        <w:rPr>
          <w:rFonts w:ascii="Arial" w:hAnsi="Arial" w:cs="Arial"/>
          <w:sz w:val="20"/>
        </w:rPr>
        <w:t>, even though acts may be done in Australia</w:t>
      </w:r>
      <w:r w:rsidR="00402192" w:rsidRPr="0092230E">
        <w:rPr>
          <w:rFonts w:ascii="Arial" w:hAnsi="Arial" w:cs="Arial"/>
          <w:sz w:val="20"/>
        </w:rPr>
        <w:t xml:space="preserve"> in relation to the provision of those services</w:t>
      </w:r>
      <w:r w:rsidRPr="0092230E">
        <w:rPr>
          <w:rFonts w:ascii="Arial" w:hAnsi="Arial" w:cs="Arial"/>
          <w:sz w:val="20"/>
        </w:rPr>
        <w:t>.</w:t>
      </w:r>
      <w:r w:rsidR="00616930" w:rsidRPr="0092230E">
        <w:rPr>
          <w:rFonts w:ascii="Arial" w:hAnsi="Arial" w:cs="Arial"/>
          <w:sz w:val="20"/>
        </w:rPr>
        <w:t xml:space="preserve"> Such acts include, for example, providing transit, switching, signalling or management services in Australia.</w:t>
      </w:r>
      <w:r w:rsidRPr="0092230E">
        <w:rPr>
          <w:rFonts w:ascii="Arial" w:hAnsi="Arial" w:cs="Arial"/>
          <w:sz w:val="20"/>
        </w:rPr>
        <w:t xml:space="preserve"> </w:t>
      </w:r>
      <w:r w:rsidR="00AA349F" w:rsidRPr="0092230E">
        <w:rPr>
          <w:rFonts w:ascii="Arial" w:hAnsi="Arial" w:cs="Arial"/>
          <w:sz w:val="20"/>
        </w:rPr>
        <w:t xml:space="preserve">It </w:t>
      </w:r>
      <w:r w:rsidR="00A13D30" w:rsidRPr="0092230E">
        <w:rPr>
          <w:rFonts w:ascii="Arial" w:hAnsi="Arial" w:cs="Arial"/>
          <w:sz w:val="20"/>
        </w:rPr>
        <w:t>is not</w:t>
      </w:r>
      <w:r w:rsidR="00AA349F" w:rsidRPr="0092230E">
        <w:rPr>
          <w:rFonts w:ascii="Arial" w:hAnsi="Arial" w:cs="Arial"/>
          <w:sz w:val="20"/>
        </w:rPr>
        <w:t xml:space="preserve"> intended that r</w:t>
      </w:r>
      <w:r w:rsidRPr="0092230E">
        <w:rPr>
          <w:rFonts w:ascii="Arial" w:hAnsi="Arial" w:cs="Arial"/>
          <w:sz w:val="20"/>
        </w:rPr>
        <w:t xml:space="preserve">evenue from these operations be counted for </w:t>
      </w:r>
      <w:r w:rsidR="00AA349F" w:rsidRPr="0092230E">
        <w:rPr>
          <w:rFonts w:ascii="Arial" w:hAnsi="Arial" w:cs="Arial"/>
          <w:sz w:val="20"/>
        </w:rPr>
        <w:t>the purposes of determining a person’s eligible revenue</w:t>
      </w:r>
      <w:r w:rsidRPr="0092230E">
        <w:rPr>
          <w:rFonts w:ascii="Arial" w:hAnsi="Arial" w:cs="Arial"/>
          <w:sz w:val="20"/>
        </w:rPr>
        <w:t xml:space="preserve">.  </w:t>
      </w:r>
      <w:r w:rsidR="004A3E33" w:rsidRPr="0092230E">
        <w:rPr>
          <w:rFonts w:ascii="Arial" w:hAnsi="Arial" w:cs="Arial"/>
          <w:sz w:val="20"/>
        </w:rPr>
        <w:t xml:space="preserve">It is not considered appropriate that revenue from a market segment that is mainly contested by persons other than participating persons should form part of a participating person’s eligible revenue and therefore be subject to levy. </w:t>
      </w:r>
    </w:p>
    <w:p w14:paraId="5F2661A7" w14:textId="77777777" w:rsidR="00700588" w:rsidRPr="0092230E" w:rsidRDefault="00700588" w:rsidP="00700588">
      <w:pPr>
        <w:pStyle w:val="ABABulletLevel1"/>
        <w:spacing w:after="120"/>
        <w:rPr>
          <w:rFonts w:ascii="Arial" w:hAnsi="Arial" w:cs="Arial"/>
          <w:sz w:val="20"/>
        </w:rPr>
      </w:pPr>
      <w:r w:rsidRPr="0092230E">
        <w:rPr>
          <w:rFonts w:ascii="Arial" w:hAnsi="Arial" w:cs="Arial"/>
          <w:sz w:val="20"/>
        </w:rPr>
        <w:t xml:space="preserve">Section </w:t>
      </w:r>
      <w:r w:rsidR="003F7EE5" w:rsidRPr="0092230E">
        <w:rPr>
          <w:rFonts w:ascii="Arial" w:hAnsi="Arial" w:cs="Arial"/>
          <w:sz w:val="20"/>
        </w:rPr>
        <w:t xml:space="preserve">24 </w:t>
      </w:r>
      <w:r w:rsidRPr="0092230E">
        <w:rPr>
          <w:rFonts w:ascii="Arial" w:hAnsi="Arial" w:cs="Arial"/>
          <w:sz w:val="20"/>
        </w:rPr>
        <w:t xml:space="preserve">allows deductions of revenue earned by participating persons and consolidated related parties and the deduction of a proportion of revenue earned by declared related parties, where the amount </w:t>
      </w:r>
      <w:r w:rsidR="00616930" w:rsidRPr="0092230E">
        <w:rPr>
          <w:rFonts w:ascii="Arial" w:hAnsi="Arial" w:cs="Arial"/>
          <w:sz w:val="20"/>
        </w:rPr>
        <w:t xml:space="preserve">of </w:t>
      </w:r>
      <w:r w:rsidRPr="0092230E">
        <w:rPr>
          <w:rFonts w:ascii="Arial" w:hAnsi="Arial" w:cs="Arial"/>
          <w:sz w:val="20"/>
        </w:rPr>
        <w:t>revenue claimed for an entity as a deduction was earned by the same entity in undertaking the activity.</w:t>
      </w:r>
    </w:p>
    <w:p w14:paraId="5E7D3B67" w14:textId="77777777" w:rsidR="00700588" w:rsidRPr="0092230E" w:rsidRDefault="00791786" w:rsidP="00700588">
      <w:pPr>
        <w:pStyle w:val="ABABulletLevel1"/>
        <w:spacing w:after="120"/>
        <w:rPr>
          <w:rFonts w:ascii="Arial" w:hAnsi="Arial" w:cs="Arial"/>
          <w:sz w:val="20"/>
        </w:rPr>
      </w:pPr>
      <w:r w:rsidRPr="0092230E">
        <w:rPr>
          <w:rFonts w:ascii="Arial" w:hAnsi="Arial" w:cs="Arial"/>
          <w:sz w:val="20"/>
        </w:rPr>
        <w:t xml:space="preserve">Subsection </w:t>
      </w:r>
      <w:r w:rsidR="003F7EE5" w:rsidRPr="0092230E">
        <w:rPr>
          <w:rFonts w:ascii="Arial" w:hAnsi="Arial" w:cs="Arial"/>
          <w:sz w:val="20"/>
        </w:rPr>
        <w:t>24</w:t>
      </w:r>
      <w:r w:rsidRPr="0092230E">
        <w:rPr>
          <w:rFonts w:ascii="Arial" w:hAnsi="Arial" w:cs="Arial"/>
          <w:sz w:val="20"/>
        </w:rPr>
        <w:t>(3) clarifies</w:t>
      </w:r>
      <w:r w:rsidR="004A3E33" w:rsidRPr="0092230E">
        <w:rPr>
          <w:rFonts w:ascii="Arial" w:hAnsi="Arial" w:cs="Arial"/>
          <w:sz w:val="20"/>
        </w:rPr>
        <w:t>, for the avoidance of doubt,</w:t>
      </w:r>
      <w:r w:rsidRPr="0092230E">
        <w:rPr>
          <w:rFonts w:ascii="Arial" w:hAnsi="Arial" w:cs="Arial"/>
          <w:sz w:val="20"/>
        </w:rPr>
        <w:t xml:space="preserve"> that r</w:t>
      </w:r>
      <w:r w:rsidR="00476373" w:rsidRPr="0092230E">
        <w:rPr>
          <w:rFonts w:ascii="Arial" w:hAnsi="Arial" w:cs="Arial"/>
          <w:sz w:val="20"/>
        </w:rPr>
        <w:t>evenue earned from acts relating to supply of a telecommunications service to or from Australia is not deductible.</w:t>
      </w:r>
    </w:p>
    <w:p w14:paraId="055CC24D" w14:textId="77777777" w:rsidR="00791786" w:rsidRPr="0092230E" w:rsidRDefault="00791786" w:rsidP="00700588">
      <w:pPr>
        <w:pStyle w:val="ABABulletLevel1"/>
        <w:spacing w:after="120"/>
        <w:rPr>
          <w:rFonts w:ascii="Arial" w:hAnsi="Arial" w:cs="Arial"/>
          <w:sz w:val="20"/>
        </w:rPr>
      </w:pPr>
    </w:p>
    <w:p w14:paraId="5296BC51" w14:textId="77777777" w:rsidR="00E90D82" w:rsidRPr="0092230E" w:rsidRDefault="00E90D82" w:rsidP="00E90D82">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25 </w:t>
      </w:r>
      <w:r w:rsidRPr="0092230E">
        <w:rPr>
          <w:rFonts w:ascii="Arial" w:hAnsi="Arial" w:cs="Arial"/>
          <w:b/>
          <w:sz w:val="20"/>
        </w:rPr>
        <w:t>– Deduction</w:t>
      </w:r>
      <w:r w:rsidR="00D4113A" w:rsidRPr="0092230E">
        <w:rPr>
          <w:rFonts w:ascii="Arial" w:hAnsi="Arial" w:cs="Arial"/>
          <w:b/>
          <w:sz w:val="20"/>
        </w:rPr>
        <w:t>s</w:t>
      </w:r>
      <w:r w:rsidRPr="0092230E">
        <w:rPr>
          <w:rFonts w:ascii="Arial" w:hAnsi="Arial" w:cs="Arial"/>
          <w:b/>
          <w:sz w:val="20"/>
        </w:rPr>
        <w:t xml:space="preserve"> </w:t>
      </w:r>
      <w:r w:rsidR="0016172B" w:rsidRPr="0092230E">
        <w:rPr>
          <w:rFonts w:ascii="Arial" w:hAnsi="Arial" w:cs="Arial"/>
          <w:b/>
          <w:sz w:val="20"/>
        </w:rPr>
        <w:t xml:space="preserve">– </w:t>
      </w:r>
      <w:r w:rsidR="00D4113A" w:rsidRPr="0092230E">
        <w:rPr>
          <w:rFonts w:ascii="Arial" w:hAnsi="Arial" w:cs="Arial"/>
          <w:b/>
          <w:sz w:val="20"/>
        </w:rPr>
        <w:t>c</w:t>
      </w:r>
      <w:r w:rsidRPr="0092230E">
        <w:rPr>
          <w:rFonts w:ascii="Arial" w:hAnsi="Arial" w:cs="Arial"/>
          <w:b/>
          <w:sz w:val="20"/>
        </w:rPr>
        <w:t xml:space="preserve">ustomer </w:t>
      </w:r>
      <w:r w:rsidR="00D4113A" w:rsidRPr="0092230E">
        <w:rPr>
          <w:rFonts w:ascii="Arial" w:hAnsi="Arial" w:cs="Arial"/>
          <w:b/>
          <w:sz w:val="20"/>
        </w:rPr>
        <w:t>e</w:t>
      </w:r>
      <w:r w:rsidRPr="0092230E">
        <w:rPr>
          <w:rFonts w:ascii="Arial" w:hAnsi="Arial" w:cs="Arial"/>
          <w:b/>
          <w:sz w:val="20"/>
        </w:rPr>
        <w:t>quipment</w:t>
      </w:r>
    </w:p>
    <w:p w14:paraId="7BC3600A" w14:textId="77777777" w:rsidR="0042192F" w:rsidRPr="0092230E" w:rsidRDefault="00E90D82" w:rsidP="0042192F">
      <w:pPr>
        <w:pStyle w:val="ABABulletLevel1"/>
        <w:spacing w:after="120"/>
        <w:rPr>
          <w:rFonts w:ascii="Arial" w:hAnsi="Arial" w:cs="Arial"/>
          <w:sz w:val="20"/>
        </w:rPr>
      </w:pPr>
      <w:r w:rsidRPr="0092230E">
        <w:rPr>
          <w:rFonts w:ascii="Arial" w:hAnsi="Arial" w:cs="Arial"/>
          <w:sz w:val="20"/>
        </w:rPr>
        <w:t xml:space="preserve">Section </w:t>
      </w:r>
      <w:r w:rsidR="0016172B" w:rsidRPr="0092230E">
        <w:rPr>
          <w:rFonts w:ascii="Arial" w:hAnsi="Arial" w:cs="Arial"/>
          <w:sz w:val="20"/>
        </w:rPr>
        <w:t>2</w:t>
      </w:r>
      <w:r w:rsidR="009A7715" w:rsidRPr="0092230E">
        <w:rPr>
          <w:rFonts w:ascii="Arial" w:hAnsi="Arial" w:cs="Arial"/>
          <w:sz w:val="20"/>
        </w:rPr>
        <w:t>5</w:t>
      </w:r>
      <w:r w:rsidR="0016172B" w:rsidRPr="0092230E">
        <w:rPr>
          <w:rFonts w:ascii="Arial" w:hAnsi="Arial" w:cs="Arial"/>
          <w:sz w:val="20"/>
        </w:rPr>
        <w:t xml:space="preserve"> </w:t>
      </w:r>
      <w:r w:rsidRPr="0092230E">
        <w:rPr>
          <w:rFonts w:ascii="Arial" w:hAnsi="Arial" w:cs="Arial"/>
          <w:sz w:val="20"/>
        </w:rPr>
        <w:t>provides</w:t>
      </w:r>
      <w:r w:rsidR="00D4113A" w:rsidRPr="0092230E">
        <w:rPr>
          <w:rFonts w:ascii="Arial" w:hAnsi="Arial" w:cs="Arial"/>
          <w:sz w:val="20"/>
        </w:rPr>
        <w:t xml:space="preserve"> a deduction for </w:t>
      </w:r>
      <w:r w:rsidRPr="0092230E">
        <w:rPr>
          <w:rFonts w:ascii="Arial" w:hAnsi="Arial" w:cs="Arial"/>
          <w:sz w:val="20"/>
        </w:rPr>
        <w:t>revenue earned from selling, installing, insuring, repairing or maintaining customer equipment</w:t>
      </w:r>
      <w:r w:rsidR="004C1DCC" w:rsidRPr="0092230E">
        <w:rPr>
          <w:rFonts w:ascii="Arial" w:hAnsi="Arial" w:cs="Arial"/>
          <w:sz w:val="20"/>
        </w:rPr>
        <w:t>, or</w:t>
      </w:r>
      <w:r w:rsidRPr="0092230E">
        <w:rPr>
          <w:rFonts w:ascii="Arial" w:hAnsi="Arial" w:cs="Arial"/>
          <w:sz w:val="20"/>
        </w:rPr>
        <w:t xml:space="preserve"> </w:t>
      </w:r>
      <w:r w:rsidR="004C1DCC" w:rsidRPr="0092230E">
        <w:rPr>
          <w:rFonts w:ascii="Arial" w:hAnsi="Arial" w:cs="Arial"/>
          <w:sz w:val="20"/>
        </w:rPr>
        <w:t xml:space="preserve">renting customer equipment to a customer. Customer equipment has the same meaning as </w:t>
      </w:r>
      <w:r w:rsidRPr="0092230E">
        <w:rPr>
          <w:rFonts w:ascii="Arial" w:hAnsi="Arial" w:cs="Arial"/>
          <w:sz w:val="20"/>
        </w:rPr>
        <w:t xml:space="preserve">in section 21 of the </w:t>
      </w:r>
      <w:r w:rsidRPr="0092230E">
        <w:rPr>
          <w:rFonts w:ascii="Arial" w:hAnsi="Arial" w:cs="Arial"/>
          <w:i/>
          <w:sz w:val="20"/>
        </w:rPr>
        <w:t>Telecommunications Act 1997</w:t>
      </w:r>
      <w:r w:rsidRPr="0092230E">
        <w:rPr>
          <w:rFonts w:ascii="Arial" w:hAnsi="Arial" w:cs="Arial"/>
          <w:sz w:val="20"/>
        </w:rPr>
        <w:t>.</w:t>
      </w:r>
      <w:r w:rsidR="00D4113A" w:rsidRPr="0092230E">
        <w:rPr>
          <w:rFonts w:ascii="Arial" w:hAnsi="Arial" w:cs="Arial"/>
          <w:sz w:val="20"/>
        </w:rPr>
        <w:t xml:space="preserve"> It is not considered appropriate t</w:t>
      </w:r>
      <w:r w:rsidR="0016172B" w:rsidRPr="0092230E">
        <w:rPr>
          <w:rFonts w:ascii="Arial" w:hAnsi="Arial" w:cs="Arial"/>
          <w:sz w:val="20"/>
        </w:rPr>
        <w:t>hat</w:t>
      </w:r>
      <w:r w:rsidR="00D4113A" w:rsidRPr="0092230E">
        <w:rPr>
          <w:rFonts w:ascii="Arial" w:hAnsi="Arial" w:cs="Arial"/>
          <w:sz w:val="20"/>
        </w:rPr>
        <w:t xml:space="preserve"> revenue from a market segment that is so widely contested by persons other than participating persons</w:t>
      </w:r>
      <w:r w:rsidR="0016172B" w:rsidRPr="0092230E">
        <w:rPr>
          <w:rFonts w:ascii="Arial" w:hAnsi="Arial" w:cs="Arial"/>
          <w:sz w:val="20"/>
        </w:rPr>
        <w:t xml:space="preserve"> should form part of a participating person’s eligible revenue and therefore be subject to levy</w:t>
      </w:r>
      <w:r w:rsidR="00D4113A" w:rsidRPr="0092230E">
        <w:rPr>
          <w:rFonts w:ascii="Arial" w:hAnsi="Arial" w:cs="Arial"/>
          <w:sz w:val="20"/>
        </w:rPr>
        <w:t xml:space="preserve">. </w:t>
      </w:r>
      <w:r w:rsidR="0042192F" w:rsidRPr="0092230E">
        <w:rPr>
          <w:rFonts w:ascii="Arial" w:hAnsi="Arial" w:cs="Arial"/>
          <w:sz w:val="20"/>
        </w:rPr>
        <w:t xml:space="preserve">Section </w:t>
      </w:r>
      <w:r w:rsidR="0016172B" w:rsidRPr="0092230E">
        <w:rPr>
          <w:rFonts w:ascii="Arial" w:hAnsi="Arial" w:cs="Arial"/>
          <w:sz w:val="20"/>
        </w:rPr>
        <w:t>2</w:t>
      </w:r>
      <w:r w:rsidR="009A7715" w:rsidRPr="0092230E">
        <w:rPr>
          <w:rFonts w:ascii="Arial" w:hAnsi="Arial" w:cs="Arial"/>
          <w:sz w:val="20"/>
        </w:rPr>
        <w:t>5</w:t>
      </w:r>
      <w:r w:rsidR="0016172B" w:rsidRPr="0092230E">
        <w:rPr>
          <w:rFonts w:ascii="Arial" w:hAnsi="Arial" w:cs="Arial"/>
          <w:sz w:val="20"/>
        </w:rPr>
        <w:t xml:space="preserve"> </w:t>
      </w:r>
      <w:r w:rsidR="0042192F"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undertaking the activity.</w:t>
      </w:r>
    </w:p>
    <w:p w14:paraId="11486010" w14:textId="77777777" w:rsidR="0016172B" w:rsidRPr="0092230E" w:rsidRDefault="0016172B" w:rsidP="00651F7E">
      <w:pPr>
        <w:pStyle w:val="ABABulletLevel1"/>
        <w:spacing w:after="120"/>
        <w:rPr>
          <w:rFonts w:ascii="Arial" w:hAnsi="Arial" w:cs="Arial"/>
          <w:b/>
          <w:sz w:val="20"/>
        </w:rPr>
      </w:pPr>
    </w:p>
    <w:p w14:paraId="209A062E" w14:textId="77777777" w:rsidR="00651F7E" w:rsidRPr="0092230E" w:rsidRDefault="00651F7E" w:rsidP="00651F7E">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26 </w:t>
      </w:r>
      <w:r w:rsidRPr="0092230E">
        <w:rPr>
          <w:rFonts w:ascii="Arial" w:hAnsi="Arial" w:cs="Arial"/>
          <w:b/>
          <w:sz w:val="20"/>
        </w:rPr>
        <w:t>– Deductions – content services</w:t>
      </w:r>
    </w:p>
    <w:p w14:paraId="4FEBC74F" w14:textId="77777777" w:rsidR="004C1DCC" w:rsidRPr="0092230E" w:rsidRDefault="00651F7E" w:rsidP="0062200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26 </w:t>
      </w:r>
      <w:r w:rsidRPr="0092230E">
        <w:rPr>
          <w:rFonts w:ascii="Arial" w:hAnsi="Arial" w:cs="Arial"/>
          <w:sz w:val="20"/>
        </w:rPr>
        <w:t xml:space="preserve">provides for a deduction in relation to revenue earned from </w:t>
      </w:r>
      <w:r w:rsidR="004C1DCC" w:rsidRPr="0092230E">
        <w:rPr>
          <w:rFonts w:ascii="Arial" w:hAnsi="Arial" w:cs="Arial"/>
          <w:sz w:val="20"/>
        </w:rPr>
        <w:t xml:space="preserve">the content of </w:t>
      </w:r>
      <w:r w:rsidRPr="0092230E">
        <w:rPr>
          <w:rFonts w:ascii="Arial" w:hAnsi="Arial" w:cs="Arial"/>
          <w:sz w:val="20"/>
        </w:rPr>
        <w:t>content services. Revenue from content is not intended to be subject to the industry levy</w:t>
      </w:r>
      <w:r w:rsidR="005A7FB5" w:rsidRPr="0092230E">
        <w:rPr>
          <w:rFonts w:ascii="Arial" w:hAnsi="Arial" w:cs="Arial"/>
          <w:sz w:val="20"/>
        </w:rPr>
        <w:t xml:space="preserve">, given the focus of the levy scheme </w:t>
      </w:r>
      <w:r w:rsidR="004C1DCC" w:rsidRPr="0092230E">
        <w:rPr>
          <w:rFonts w:ascii="Arial" w:hAnsi="Arial" w:cs="Arial"/>
          <w:sz w:val="20"/>
        </w:rPr>
        <w:t xml:space="preserve">is </w:t>
      </w:r>
      <w:r w:rsidR="005A7FB5" w:rsidRPr="0092230E">
        <w:rPr>
          <w:rFonts w:ascii="Arial" w:hAnsi="Arial" w:cs="Arial"/>
          <w:sz w:val="20"/>
        </w:rPr>
        <w:t xml:space="preserve">on </w:t>
      </w:r>
      <w:r w:rsidR="004C1DCC" w:rsidRPr="0092230E">
        <w:rPr>
          <w:rFonts w:ascii="Arial" w:hAnsi="Arial" w:cs="Arial"/>
          <w:sz w:val="20"/>
        </w:rPr>
        <w:t xml:space="preserve">provision of </w:t>
      </w:r>
      <w:r w:rsidR="005A7FB5" w:rsidRPr="0092230E">
        <w:rPr>
          <w:rFonts w:ascii="Arial" w:hAnsi="Arial" w:cs="Arial"/>
          <w:sz w:val="20"/>
        </w:rPr>
        <w:t>carriage services</w:t>
      </w:r>
      <w:r w:rsidRPr="0092230E">
        <w:rPr>
          <w:rFonts w:ascii="Arial" w:hAnsi="Arial" w:cs="Arial"/>
          <w:sz w:val="20"/>
        </w:rPr>
        <w:t xml:space="preserve">. In earning revenue from </w:t>
      </w:r>
      <w:r w:rsidR="004C1DCC" w:rsidRPr="0092230E">
        <w:rPr>
          <w:rFonts w:ascii="Arial" w:hAnsi="Arial" w:cs="Arial"/>
          <w:sz w:val="20"/>
        </w:rPr>
        <w:t xml:space="preserve">the content of </w:t>
      </w:r>
      <w:r w:rsidRPr="0092230E">
        <w:rPr>
          <w:rFonts w:ascii="Arial" w:hAnsi="Arial" w:cs="Arial"/>
          <w:sz w:val="20"/>
        </w:rPr>
        <w:t>content services, participating persons may also compete with a range of entities that are not participating persons and therefore are not subject to the industry levy.</w:t>
      </w:r>
      <w:r w:rsidR="005A7FB5" w:rsidRPr="0092230E">
        <w:rPr>
          <w:rFonts w:ascii="Arial" w:hAnsi="Arial" w:cs="Arial"/>
          <w:sz w:val="20"/>
        </w:rPr>
        <w:t xml:space="preserve"> Subsection </w:t>
      </w:r>
      <w:r w:rsidR="00AA56D6" w:rsidRPr="0092230E">
        <w:rPr>
          <w:rFonts w:ascii="Arial" w:hAnsi="Arial" w:cs="Arial"/>
          <w:sz w:val="20"/>
        </w:rPr>
        <w:t>26</w:t>
      </w:r>
      <w:r w:rsidR="005A7FB5" w:rsidRPr="0092230E">
        <w:rPr>
          <w:rFonts w:ascii="Arial" w:hAnsi="Arial" w:cs="Arial"/>
          <w:sz w:val="20"/>
        </w:rPr>
        <w:t xml:space="preserve">(3) clarifies that the section cannot be used to deduct an amount earned from </w:t>
      </w:r>
      <w:r w:rsidR="005A7FB5" w:rsidRPr="0092230E">
        <w:rPr>
          <w:rFonts w:ascii="Arial" w:hAnsi="Arial" w:cs="Arial"/>
          <w:i/>
          <w:sz w:val="20"/>
        </w:rPr>
        <w:t xml:space="preserve">carrying </w:t>
      </w:r>
      <w:r w:rsidR="005A7FB5" w:rsidRPr="0092230E">
        <w:rPr>
          <w:rFonts w:ascii="Arial" w:hAnsi="Arial" w:cs="Arial"/>
          <w:sz w:val="20"/>
        </w:rPr>
        <w:t xml:space="preserve">a content service. For example, revenue earned from </w:t>
      </w:r>
      <w:r w:rsidR="004C1DCC" w:rsidRPr="0092230E">
        <w:rPr>
          <w:rFonts w:ascii="Arial" w:hAnsi="Arial" w:cs="Arial"/>
          <w:sz w:val="20"/>
        </w:rPr>
        <w:t>fees charged</w:t>
      </w:r>
      <w:r w:rsidR="005A7FB5" w:rsidRPr="0092230E">
        <w:rPr>
          <w:rFonts w:ascii="Arial" w:hAnsi="Arial" w:cs="Arial"/>
          <w:sz w:val="20"/>
        </w:rPr>
        <w:t xml:space="preserve"> for access to </w:t>
      </w:r>
      <w:r w:rsidR="004C1DCC" w:rsidRPr="0092230E">
        <w:rPr>
          <w:rFonts w:ascii="Arial" w:hAnsi="Arial" w:cs="Arial"/>
          <w:sz w:val="20"/>
        </w:rPr>
        <w:t xml:space="preserve">content on subscription </w:t>
      </w:r>
      <w:r w:rsidR="005A7FB5" w:rsidRPr="0092230E">
        <w:rPr>
          <w:rFonts w:ascii="Arial" w:hAnsi="Arial" w:cs="Arial"/>
          <w:sz w:val="20"/>
        </w:rPr>
        <w:t>Internet</w:t>
      </w:r>
      <w:r w:rsidR="004C1DCC" w:rsidRPr="0092230E">
        <w:rPr>
          <w:rFonts w:ascii="Arial" w:hAnsi="Arial" w:cs="Arial"/>
          <w:sz w:val="20"/>
        </w:rPr>
        <w:t xml:space="preserve"> services</w:t>
      </w:r>
      <w:r w:rsidR="005A7FB5" w:rsidRPr="0092230E">
        <w:rPr>
          <w:rFonts w:ascii="Arial" w:hAnsi="Arial" w:cs="Arial"/>
          <w:sz w:val="20"/>
        </w:rPr>
        <w:t xml:space="preserve"> is not </w:t>
      </w:r>
      <w:r w:rsidR="004C1DCC" w:rsidRPr="0092230E">
        <w:rPr>
          <w:rFonts w:ascii="Arial" w:hAnsi="Arial" w:cs="Arial"/>
          <w:sz w:val="20"/>
        </w:rPr>
        <w:t xml:space="preserve">usually deductible. </w:t>
      </w:r>
    </w:p>
    <w:p w14:paraId="234A0F2C" w14:textId="77777777" w:rsidR="004C1DCC" w:rsidRPr="0092230E" w:rsidRDefault="005A7FB5" w:rsidP="0062200F">
      <w:pPr>
        <w:pStyle w:val="ABABulletLevel1"/>
        <w:spacing w:after="120"/>
        <w:rPr>
          <w:rFonts w:ascii="Arial" w:hAnsi="Arial" w:cs="Arial"/>
          <w:sz w:val="20"/>
        </w:rPr>
      </w:pPr>
      <w:r w:rsidRPr="0092230E">
        <w:rPr>
          <w:rFonts w:ascii="Arial" w:hAnsi="Arial" w:cs="Arial"/>
          <w:sz w:val="20"/>
        </w:rPr>
        <w:t xml:space="preserve">Unbundling provisions in section </w:t>
      </w:r>
      <w:r w:rsidR="00AA56D6" w:rsidRPr="0092230E">
        <w:rPr>
          <w:rFonts w:ascii="Arial" w:hAnsi="Arial" w:cs="Arial"/>
          <w:sz w:val="20"/>
        </w:rPr>
        <w:t xml:space="preserve">13 </w:t>
      </w:r>
      <w:r w:rsidRPr="0092230E">
        <w:rPr>
          <w:rFonts w:ascii="Arial" w:hAnsi="Arial" w:cs="Arial"/>
          <w:sz w:val="20"/>
        </w:rPr>
        <w:t xml:space="preserve">will enable content revenue bundled with other telecommunications sales revenue to be dealt with </w:t>
      </w:r>
      <w:r w:rsidR="004C1DCC" w:rsidRPr="0092230E">
        <w:rPr>
          <w:rFonts w:ascii="Arial" w:hAnsi="Arial" w:cs="Arial"/>
          <w:sz w:val="20"/>
        </w:rPr>
        <w:t xml:space="preserve">separately </w:t>
      </w:r>
      <w:r w:rsidRPr="0092230E">
        <w:rPr>
          <w:rFonts w:ascii="Arial" w:hAnsi="Arial" w:cs="Arial"/>
          <w:sz w:val="20"/>
        </w:rPr>
        <w:t xml:space="preserve">without significantly adding to the regulatory burden of participating persons. For example, revenue earned from the </w:t>
      </w:r>
      <w:r w:rsidRPr="0092230E">
        <w:rPr>
          <w:rFonts w:ascii="Arial" w:hAnsi="Arial" w:cs="Arial"/>
          <w:i/>
          <w:sz w:val="20"/>
        </w:rPr>
        <w:t xml:space="preserve">content </w:t>
      </w:r>
      <w:r w:rsidRPr="0092230E">
        <w:rPr>
          <w:rFonts w:ascii="Arial" w:hAnsi="Arial" w:cs="Arial"/>
          <w:sz w:val="20"/>
        </w:rPr>
        <w:t xml:space="preserve">of a pay TV service may be deductible, whereas revenue earned from the </w:t>
      </w:r>
      <w:r w:rsidRPr="0092230E">
        <w:rPr>
          <w:rFonts w:ascii="Arial" w:hAnsi="Arial" w:cs="Arial"/>
          <w:i/>
          <w:sz w:val="20"/>
        </w:rPr>
        <w:t xml:space="preserve">carriage </w:t>
      </w:r>
      <w:r w:rsidRPr="0092230E">
        <w:rPr>
          <w:rFonts w:ascii="Arial" w:hAnsi="Arial" w:cs="Arial"/>
          <w:sz w:val="20"/>
        </w:rPr>
        <w:t xml:space="preserve">of the pay TV service would not be deductible under section </w:t>
      </w:r>
      <w:r w:rsidR="00AA56D6" w:rsidRPr="0092230E">
        <w:rPr>
          <w:rFonts w:ascii="Arial" w:hAnsi="Arial" w:cs="Arial"/>
          <w:sz w:val="20"/>
        </w:rPr>
        <w:t>26</w:t>
      </w:r>
      <w:r w:rsidRPr="0092230E">
        <w:rPr>
          <w:rFonts w:ascii="Arial" w:hAnsi="Arial" w:cs="Arial"/>
          <w:sz w:val="20"/>
        </w:rPr>
        <w:t xml:space="preserve">. If the revenue from these two items are bundled together, they will have to be unbundled </w:t>
      </w:r>
      <w:r w:rsidR="00F24D18" w:rsidRPr="0092230E">
        <w:rPr>
          <w:rFonts w:ascii="Arial" w:hAnsi="Arial" w:cs="Arial"/>
          <w:sz w:val="20"/>
        </w:rPr>
        <w:t xml:space="preserve">under </w:t>
      </w:r>
      <w:r w:rsidR="004C1DCC" w:rsidRPr="0092230E">
        <w:rPr>
          <w:rFonts w:ascii="Arial" w:hAnsi="Arial" w:cs="Arial"/>
          <w:sz w:val="20"/>
        </w:rPr>
        <w:t xml:space="preserve">section </w:t>
      </w:r>
      <w:r w:rsidR="00AA56D6" w:rsidRPr="0092230E">
        <w:rPr>
          <w:rFonts w:ascii="Arial" w:hAnsi="Arial" w:cs="Arial"/>
          <w:sz w:val="20"/>
        </w:rPr>
        <w:t>13</w:t>
      </w:r>
      <w:r w:rsidR="004C1DCC" w:rsidRPr="0092230E">
        <w:rPr>
          <w:rFonts w:ascii="Arial" w:hAnsi="Arial" w:cs="Arial"/>
          <w:sz w:val="20"/>
        </w:rPr>
        <w:t xml:space="preserve"> </w:t>
      </w:r>
      <w:r w:rsidRPr="0092230E">
        <w:rPr>
          <w:rFonts w:ascii="Arial" w:hAnsi="Arial" w:cs="Arial"/>
          <w:sz w:val="20"/>
        </w:rPr>
        <w:t xml:space="preserve">to identify the deductible and non-deductible amounts. </w:t>
      </w:r>
    </w:p>
    <w:p w14:paraId="6B34CCEB" w14:textId="77777777" w:rsidR="0062200F" w:rsidRPr="0092230E" w:rsidRDefault="0062200F" w:rsidP="0062200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26 </w:t>
      </w:r>
      <w:r w:rsidRPr="0092230E">
        <w:rPr>
          <w:rFonts w:ascii="Arial" w:hAnsi="Arial" w:cs="Arial"/>
          <w:sz w:val="20"/>
        </w:rPr>
        <w:t xml:space="preserve">allows deductions of revenue earned by participating persons and consolidated related parties and the deduction of a proportion of revenue earned by declared related parties where the </w:t>
      </w:r>
      <w:r w:rsidRPr="0092230E">
        <w:rPr>
          <w:rFonts w:ascii="Arial" w:hAnsi="Arial" w:cs="Arial"/>
          <w:sz w:val="20"/>
        </w:rPr>
        <w:lastRenderedPageBreak/>
        <w:t>amount of revenue claimed for an entity as a deduction was earned by the same entity in providing the content service.</w:t>
      </w:r>
    </w:p>
    <w:p w14:paraId="63A64D94" w14:textId="77777777" w:rsidR="008617A1" w:rsidRPr="0092230E" w:rsidRDefault="008617A1" w:rsidP="00651F7E">
      <w:pPr>
        <w:pStyle w:val="ABABulletLevel1"/>
        <w:spacing w:after="120"/>
        <w:rPr>
          <w:rFonts w:ascii="Arial" w:hAnsi="Arial" w:cs="Arial"/>
          <w:sz w:val="20"/>
        </w:rPr>
      </w:pPr>
    </w:p>
    <w:p w14:paraId="7DFB0A7E" w14:textId="77777777" w:rsidR="00A01B65" w:rsidRPr="0092230E" w:rsidRDefault="00A01B65" w:rsidP="004C43F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27 </w:t>
      </w:r>
      <w:r w:rsidRPr="0092230E">
        <w:rPr>
          <w:rFonts w:ascii="Arial" w:hAnsi="Arial" w:cs="Arial"/>
          <w:b/>
          <w:sz w:val="20"/>
        </w:rPr>
        <w:t>– Deductions – exempt base station</w:t>
      </w:r>
    </w:p>
    <w:p w14:paraId="22CE7AE9" w14:textId="77777777" w:rsidR="00F61058" w:rsidRPr="0092230E" w:rsidRDefault="00A01B65" w:rsidP="00A01B65">
      <w:pPr>
        <w:pStyle w:val="ABABulletLevel1"/>
        <w:spacing w:after="120"/>
        <w:rPr>
          <w:rFonts w:ascii="Arial" w:hAnsi="Arial" w:cs="Arial"/>
          <w:sz w:val="20"/>
        </w:rPr>
      </w:pPr>
      <w:r w:rsidRPr="0092230E">
        <w:rPr>
          <w:rFonts w:ascii="Arial" w:hAnsi="Arial" w:cs="Arial"/>
          <w:sz w:val="20"/>
        </w:rPr>
        <w:t>Section 2</w:t>
      </w:r>
      <w:r w:rsidR="00AA56D6" w:rsidRPr="0092230E">
        <w:rPr>
          <w:rFonts w:ascii="Arial" w:hAnsi="Arial" w:cs="Arial"/>
          <w:sz w:val="20"/>
        </w:rPr>
        <w:t>7</w:t>
      </w:r>
      <w:r w:rsidRPr="0092230E">
        <w:rPr>
          <w:rFonts w:ascii="Arial" w:hAnsi="Arial" w:cs="Arial"/>
          <w:sz w:val="20"/>
        </w:rPr>
        <w:t xml:space="preserve"> provides for a deduction of revenue earned from the use of an exempt base station as defined in subsection 34(2) of the </w:t>
      </w:r>
      <w:r w:rsidRPr="0092230E">
        <w:rPr>
          <w:rFonts w:ascii="Arial" w:hAnsi="Arial" w:cs="Arial"/>
          <w:i/>
          <w:sz w:val="20"/>
        </w:rPr>
        <w:t>Telecommunications Act 1997</w:t>
      </w:r>
      <w:r w:rsidRPr="0092230E">
        <w:rPr>
          <w:rFonts w:ascii="Arial" w:hAnsi="Arial" w:cs="Arial"/>
          <w:sz w:val="20"/>
        </w:rPr>
        <w:t xml:space="preserve">. This exemption is intended to prevent revenue earned by any participating person or related party from the distribution of subscription or other broadcasting by microwave or other radiocommunications means being </w:t>
      </w:r>
      <w:r w:rsidR="00F61058" w:rsidRPr="0092230E">
        <w:rPr>
          <w:rFonts w:ascii="Arial" w:hAnsi="Arial" w:cs="Arial"/>
          <w:sz w:val="20"/>
        </w:rPr>
        <w:t xml:space="preserve">included as part of the participating person’s </w:t>
      </w:r>
      <w:r w:rsidRPr="0092230E">
        <w:rPr>
          <w:rFonts w:ascii="Arial" w:hAnsi="Arial" w:cs="Arial"/>
          <w:sz w:val="20"/>
        </w:rPr>
        <w:t xml:space="preserve">eligible revenue. Such an outcome could </w:t>
      </w:r>
      <w:r w:rsidR="00F61058" w:rsidRPr="0092230E">
        <w:rPr>
          <w:rFonts w:ascii="Arial" w:hAnsi="Arial" w:cs="Arial"/>
          <w:sz w:val="20"/>
        </w:rPr>
        <w:t xml:space="preserve">arise </w:t>
      </w:r>
      <w:r w:rsidRPr="0092230E">
        <w:rPr>
          <w:rFonts w:ascii="Arial" w:hAnsi="Arial" w:cs="Arial"/>
          <w:sz w:val="20"/>
        </w:rPr>
        <w:t xml:space="preserve">because such an activity falls within the definition of the telecommunications industry under section 7 of the </w:t>
      </w:r>
      <w:r w:rsidRPr="0092230E">
        <w:rPr>
          <w:rFonts w:ascii="Arial" w:hAnsi="Arial" w:cs="Arial"/>
          <w:i/>
          <w:sz w:val="20"/>
        </w:rPr>
        <w:t>Telecommunications Act 1997</w:t>
      </w:r>
      <w:r w:rsidRPr="0092230E">
        <w:rPr>
          <w:rFonts w:ascii="Arial" w:hAnsi="Arial" w:cs="Arial"/>
          <w:sz w:val="20"/>
        </w:rPr>
        <w:t>. The regulatory scheme of that Act, however, generally aims to exclude such terrestrial radiocommunications broadcasting activities from regulation; activity occurring under broadcasting licences is regulated under other legislation.</w:t>
      </w:r>
      <w:r w:rsidR="00CC1591" w:rsidRPr="0092230E">
        <w:rPr>
          <w:rFonts w:ascii="Arial" w:hAnsi="Arial" w:cs="Arial"/>
          <w:sz w:val="20"/>
        </w:rPr>
        <w:t xml:space="preserve"> </w:t>
      </w:r>
    </w:p>
    <w:p w14:paraId="664E0F4A" w14:textId="77777777" w:rsidR="00A01B65" w:rsidRPr="0092230E" w:rsidRDefault="00A01B65" w:rsidP="00A01B65">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27 </w:t>
      </w:r>
      <w:r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use of an exempt base station.</w:t>
      </w:r>
    </w:p>
    <w:p w14:paraId="5BAD7122" w14:textId="77777777" w:rsidR="00E50DE7" w:rsidRPr="0092230E" w:rsidRDefault="00E50DE7" w:rsidP="003214EE">
      <w:pPr>
        <w:pStyle w:val="ABABulletLevel1"/>
        <w:spacing w:after="120"/>
        <w:rPr>
          <w:rFonts w:ascii="Arial" w:hAnsi="Arial" w:cs="Arial"/>
          <w:b/>
          <w:sz w:val="20"/>
        </w:rPr>
      </w:pPr>
    </w:p>
    <w:p w14:paraId="27DA0ABB" w14:textId="77777777" w:rsidR="003214EE" w:rsidRPr="0092230E" w:rsidRDefault="003214EE" w:rsidP="003214EE">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28 </w:t>
      </w:r>
      <w:r w:rsidRPr="0092230E">
        <w:rPr>
          <w:rFonts w:ascii="Arial" w:hAnsi="Arial" w:cs="Arial"/>
          <w:b/>
          <w:sz w:val="20"/>
        </w:rPr>
        <w:t>– Deductions – infrastructure revenue</w:t>
      </w:r>
    </w:p>
    <w:p w14:paraId="72DA788E" w14:textId="77777777" w:rsidR="00F61058" w:rsidRPr="0092230E" w:rsidRDefault="003214EE" w:rsidP="003214EE">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28 </w:t>
      </w:r>
      <w:r w:rsidRPr="0092230E">
        <w:rPr>
          <w:rFonts w:ascii="Arial" w:hAnsi="Arial" w:cs="Arial"/>
          <w:sz w:val="20"/>
        </w:rPr>
        <w:t xml:space="preserve">provides </w:t>
      </w:r>
      <w:r w:rsidR="00A53AEF" w:rsidRPr="0092230E">
        <w:rPr>
          <w:rFonts w:ascii="Arial" w:hAnsi="Arial" w:cs="Arial"/>
          <w:sz w:val="20"/>
        </w:rPr>
        <w:t>a</w:t>
      </w:r>
      <w:r w:rsidRPr="0092230E">
        <w:rPr>
          <w:rFonts w:ascii="Arial" w:hAnsi="Arial" w:cs="Arial"/>
          <w:sz w:val="20"/>
        </w:rPr>
        <w:t xml:space="preserve"> deduction for revenue earned </w:t>
      </w:r>
      <w:r w:rsidR="0010762B" w:rsidRPr="0092230E">
        <w:rPr>
          <w:rFonts w:ascii="Arial" w:hAnsi="Arial" w:cs="Arial"/>
          <w:sz w:val="20"/>
        </w:rPr>
        <w:t>in the</w:t>
      </w:r>
      <w:r w:rsidRPr="0092230E">
        <w:rPr>
          <w:rFonts w:ascii="Arial" w:hAnsi="Arial" w:cs="Arial"/>
          <w:sz w:val="20"/>
        </w:rPr>
        <w:t xml:space="preserve"> construction</w:t>
      </w:r>
      <w:r w:rsidR="0010762B" w:rsidRPr="0092230E">
        <w:rPr>
          <w:rFonts w:ascii="Arial" w:hAnsi="Arial" w:cs="Arial"/>
          <w:sz w:val="20"/>
        </w:rPr>
        <w:t>,</w:t>
      </w:r>
      <w:r w:rsidRPr="0092230E">
        <w:rPr>
          <w:rFonts w:ascii="Arial" w:hAnsi="Arial" w:cs="Arial"/>
          <w:sz w:val="20"/>
        </w:rPr>
        <w:t xml:space="preserve"> installation or maintenance </w:t>
      </w:r>
      <w:r w:rsidR="00F61058" w:rsidRPr="0092230E">
        <w:rPr>
          <w:rFonts w:ascii="Arial" w:hAnsi="Arial" w:cs="Arial"/>
          <w:sz w:val="20"/>
        </w:rPr>
        <w:t xml:space="preserve">(or from management of the construction, installation or maintenance) </w:t>
      </w:r>
      <w:r w:rsidRPr="0092230E">
        <w:rPr>
          <w:rFonts w:ascii="Arial" w:hAnsi="Arial" w:cs="Arial"/>
          <w:sz w:val="20"/>
        </w:rPr>
        <w:t xml:space="preserve">of the infrastructure of a telecommunications network on the network side of the boundary of the telecommunications network. </w:t>
      </w:r>
      <w:r w:rsidR="0010762B" w:rsidRPr="0092230E">
        <w:rPr>
          <w:rFonts w:ascii="Arial" w:hAnsi="Arial" w:cs="Arial"/>
          <w:sz w:val="20"/>
        </w:rPr>
        <w:t>It is not considered appropriate t</w:t>
      </w:r>
      <w:r w:rsidR="00170DA5" w:rsidRPr="0092230E">
        <w:rPr>
          <w:rFonts w:ascii="Arial" w:hAnsi="Arial" w:cs="Arial"/>
          <w:sz w:val="20"/>
        </w:rPr>
        <w:t>hat</w:t>
      </w:r>
      <w:r w:rsidR="0010762B" w:rsidRPr="0092230E">
        <w:rPr>
          <w:rFonts w:ascii="Arial" w:hAnsi="Arial" w:cs="Arial"/>
          <w:sz w:val="20"/>
        </w:rPr>
        <w:t xml:space="preserve"> revenue from a market segment that is so widely contested by persons other than participating persons</w:t>
      </w:r>
      <w:r w:rsidR="00170DA5" w:rsidRPr="0092230E">
        <w:rPr>
          <w:rFonts w:ascii="Arial" w:hAnsi="Arial" w:cs="Arial"/>
          <w:sz w:val="20"/>
        </w:rPr>
        <w:t xml:space="preserve"> should form part of a participating person’s eligible revenue and therefore be subject to levy</w:t>
      </w:r>
      <w:r w:rsidR="0010762B" w:rsidRPr="0092230E">
        <w:rPr>
          <w:rFonts w:ascii="Arial" w:hAnsi="Arial" w:cs="Arial"/>
          <w:sz w:val="20"/>
        </w:rPr>
        <w:t xml:space="preserve">. </w:t>
      </w:r>
    </w:p>
    <w:p w14:paraId="424FCA82" w14:textId="77777777" w:rsidR="003214EE" w:rsidRPr="0092230E" w:rsidRDefault="0010762B" w:rsidP="003214EE">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28 </w:t>
      </w:r>
      <w:r w:rsidRPr="0092230E">
        <w:rPr>
          <w:rFonts w:ascii="Arial" w:hAnsi="Arial" w:cs="Arial"/>
          <w:sz w:val="20"/>
        </w:rPr>
        <w:t>allows deductions of revenue earned by participating persons and consolidated related parties and the deduction of a proportion of revenue earned by declared related parties where the amount of revenue claimed for an entity as a deduction was earned by the same entity in undertaking the activity.</w:t>
      </w:r>
    </w:p>
    <w:p w14:paraId="0A18BEDD" w14:textId="77777777" w:rsidR="00A25946" w:rsidRPr="0092230E" w:rsidRDefault="0010762B" w:rsidP="00A25946">
      <w:pPr>
        <w:pStyle w:val="ABABulletLevel1"/>
        <w:spacing w:after="120"/>
        <w:rPr>
          <w:rFonts w:ascii="Arial" w:hAnsi="Arial" w:cs="Arial"/>
          <w:sz w:val="20"/>
        </w:rPr>
      </w:pPr>
      <w:r w:rsidRPr="0092230E">
        <w:rPr>
          <w:rFonts w:ascii="Arial" w:hAnsi="Arial" w:cs="Arial"/>
          <w:sz w:val="20"/>
        </w:rPr>
        <w:t>Other revenue earned through telecommunications infrastructure, such as revenue from the supply of services using infrastructure or leasing of infrastructure is not deductible under this section.</w:t>
      </w:r>
      <w:r w:rsidR="009208BE" w:rsidRPr="0092230E">
        <w:rPr>
          <w:rFonts w:ascii="Arial" w:hAnsi="Arial" w:cs="Arial"/>
          <w:sz w:val="20"/>
        </w:rPr>
        <w:t xml:space="preserve"> Further, section 2</w:t>
      </w:r>
      <w:r w:rsidR="00AA56D6" w:rsidRPr="0092230E">
        <w:rPr>
          <w:rFonts w:ascii="Arial" w:hAnsi="Arial" w:cs="Arial"/>
          <w:sz w:val="20"/>
        </w:rPr>
        <w:t>8</w:t>
      </w:r>
      <w:r w:rsidR="009208BE" w:rsidRPr="0092230E">
        <w:rPr>
          <w:rFonts w:ascii="Arial" w:hAnsi="Arial" w:cs="Arial"/>
          <w:sz w:val="20"/>
        </w:rPr>
        <w:t xml:space="preserve"> does not allow for the deduction of revenue earned from the leasing of infrastructure, or from the supply of a service using infrastructure.</w:t>
      </w:r>
    </w:p>
    <w:p w14:paraId="725ECB65" w14:textId="77777777" w:rsidR="003F25BC" w:rsidRPr="0092230E" w:rsidRDefault="003F25BC" w:rsidP="0051705D">
      <w:pPr>
        <w:pStyle w:val="ABABulletLevel1"/>
        <w:spacing w:after="120"/>
        <w:rPr>
          <w:rFonts w:ascii="Arial" w:hAnsi="Arial" w:cs="Arial"/>
          <w:b/>
          <w:sz w:val="20"/>
        </w:rPr>
      </w:pPr>
    </w:p>
    <w:p w14:paraId="39ADDADA" w14:textId="77777777" w:rsidR="0051705D" w:rsidRPr="0092230E" w:rsidRDefault="0051705D" w:rsidP="0051705D">
      <w:pPr>
        <w:pStyle w:val="ABABulletLevel1"/>
        <w:spacing w:after="120"/>
        <w:rPr>
          <w:rFonts w:ascii="Arial" w:hAnsi="Arial" w:cs="Arial"/>
          <w:b/>
          <w:sz w:val="20"/>
        </w:rPr>
      </w:pPr>
      <w:r w:rsidRPr="0092230E">
        <w:rPr>
          <w:rFonts w:ascii="Arial" w:hAnsi="Arial" w:cs="Arial"/>
          <w:b/>
          <w:sz w:val="20"/>
        </w:rPr>
        <w:t>Section</w:t>
      </w:r>
      <w:r w:rsidR="006814BF" w:rsidRPr="0092230E">
        <w:rPr>
          <w:rFonts w:ascii="Arial" w:hAnsi="Arial" w:cs="Arial"/>
          <w:b/>
          <w:sz w:val="20"/>
        </w:rPr>
        <w:t xml:space="preserve"> </w:t>
      </w:r>
      <w:r w:rsidR="00067542" w:rsidRPr="0092230E">
        <w:rPr>
          <w:rFonts w:ascii="Arial" w:hAnsi="Arial" w:cs="Arial"/>
          <w:b/>
          <w:sz w:val="20"/>
        </w:rPr>
        <w:t xml:space="preserve">29 </w:t>
      </w:r>
      <w:r w:rsidRPr="0092230E">
        <w:rPr>
          <w:rFonts w:ascii="Arial" w:hAnsi="Arial" w:cs="Arial"/>
          <w:b/>
          <w:sz w:val="20"/>
        </w:rPr>
        <w:t xml:space="preserve">– Deductions – </w:t>
      </w:r>
      <w:r w:rsidR="00A53AEF" w:rsidRPr="0092230E">
        <w:rPr>
          <w:rFonts w:ascii="Arial" w:hAnsi="Arial" w:cs="Arial"/>
          <w:b/>
          <w:sz w:val="20"/>
        </w:rPr>
        <w:t>inter-person input payments</w:t>
      </w:r>
    </w:p>
    <w:p w14:paraId="5DB1AC18" w14:textId="135D2172" w:rsidR="007B48CA" w:rsidRPr="0092230E" w:rsidRDefault="00A53AEF" w:rsidP="00A53AE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29 </w:t>
      </w:r>
      <w:r w:rsidRPr="0092230E">
        <w:rPr>
          <w:rFonts w:ascii="Arial" w:hAnsi="Arial" w:cs="Arial"/>
          <w:sz w:val="20"/>
        </w:rPr>
        <w:t xml:space="preserve">provides for the deduction of inter-person input payments. These have been defined in section </w:t>
      </w:r>
      <w:r w:rsidR="003F25BC" w:rsidRPr="0092230E">
        <w:rPr>
          <w:rFonts w:ascii="Arial" w:hAnsi="Arial" w:cs="Arial"/>
          <w:sz w:val="20"/>
        </w:rPr>
        <w:t xml:space="preserve">10 </w:t>
      </w:r>
      <w:r w:rsidR="007B48CA" w:rsidRPr="0092230E">
        <w:rPr>
          <w:rFonts w:ascii="Arial" w:hAnsi="Arial" w:cs="Arial"/>
          <w:sz w:val="20"/>
        </w:rPr>
        <w:t xml:space="preserve">and relate to payments made by </w:t>
      </w:r>
      <w:r w:rsidR="006747D9" w:rsidRPr="0092230E">
        <w:rPr>
          <w:rFonts w:ascii="Arial" w:hAnsi="Arial" w:cs="Arial"/>
          <w:sz w:val="20"/>
        </w:rPr>
        <w:t xml:space="preserve">a </w:t>
      </w:r>
      <w:r w:rsidR="007B48CA" w:rsidRPr="0092230E">
        <w:rPr>
          <w:rFonts w:ascii="Arial" w:hAnsi="Arial" w:cs="Arial"/>
          <w:sz w:val="20"/>
        </w:rPr>
        <w:t>participating person or the first person’s consolidated or declared related parties</w:t>
      </w:r>
      <w:r w:rsidR="005B73EB" w:rsidRPr="0092230E">
        <w:rPr>
          <w:rFonts w:ascii="Arial" w:hAnsi="Arial" w:cs="Arial"/>
          <w:sz w:val="20"/>
        </w:rPr>
        <w:t xml:space="preserve"> (</w:t>
      </w:r>
      <w:r w:rsidR="005B73EB" w:rsidRPr="0092230E">
        <w:rPr>
          <w:rFonts w:ascii="Arial" w:hAnsi="Arial" w:cs="Arial"/>
          <w:b/>
          <w:sz w:val="20"/>
        </w:rPr>
        <w:t>the</w:t>
      </w:r>
      <w:r w:rsidR="005B73EB" w:rsidRPr="0092230E">
        <w:rPr>
          <w:rFonts w:ascii="Arial" w:hAnsi="Arial" w:cs="Arial"/>
          <w:b/>
          <w:i/>
          <w:sz w:val="20"/>
        </w:rPr>
        <w:t xml:space="preserve"> </w:t>
      </w:r>
      <w:r w:rsidR="005B73EB" w:rsidRPr="0092230E">
        <w:rPr>
          <w:rFonts w:ascii="Arial" w:hAnsi="Arial" w:cs="Arial"/>
          <w:b/>
          <w:sz w:val="20"/>
        </w:rPr>
        <w:t>first participating person</w:t>
      </w:r>
      <w:r w:rsidR="005B73EB" w:rsidRPr="0092230E">
        <w:rPr>
          <w:rFonts w:ascii="Arial" w:hAnsi="Arial" w:cs="Arial"/>
          <w:b/>
          <w:i/>
          <w:sz w:val="20"/>
        </w:rPr>
        <w:t>)</w:t>
      </w:r>
      <w:r w:rsidR="007B48CA" w:rsidRPr="0092230E">
        <w:rPr>
          <w:rFonts w:ascii="Arial" w:hAnsi="Arial" w:cs="Arial"/>
          <w:sz w:val="20"/>
        </w:rPr>
        <w:t xml:space="preserve">, to another participating person or non-participating person </w:t>
      </w:r>
      <w:r w:rsidR="005B73EB" w:rsidRPr="0092230E">
        <w:rPr>
          <w:rFonts w:ascii="Arial" w:hAnsi="Arial" w:cs="Arial"/>
          <w:sz w:val="20"/>
        </w:rPr>
        <w:t>(</w:t>
      </w:r>
      <w:r w:rsidR="005B73EB" w:rsidRPr="0092230E">
        <w:rPr>
          <w:rFonts w:ascii="Arial" w:hAnsi="Arial" w:cs="Arial"/>
          <w:b/>
          <w:sz w:val="20"/>
        </w:rPr>
        <w:t>the</w:t>
      </w:r>
      <w:r w:rsidR="005B73EB" w:rsidRPr="0092230E">
        <w:rPr>
          <w:rFonts w:ascii="Arial" w:hAnsi="Arial" w:cs="Arial"/>
          <w:b/>
          <w:i/>
          <w:sz w:val="20"/>
        </w:rPr>
        <w:t xml:space="preserve"> </w:t>
      </w:r>
      <w:r w:rsidR="005B73EB" w:rsidRPr="0092230E">
        <w:rPr>
          <w:rFonts w:ascii="Arial" w:hAnsi="Arial" w:cs="Arial"/>
          <w:b/>
          <w:sz w:val="20"/>
        </w:rPr>
        <w:t>second participating person)</w:t>
      </w:r>
      <w:r w:rsidR="007B48CA" w:rsidRPr="0092230E">
        <w:rPr>
          <w:rFonts w:ascii="Arial" w:hAnsi="Arial" w:cs="Arial"/>
          <w:sz w:val="20"/>
        </w:rPr>
        <w:t xml:space="preserve">, or the second </w:t>
      </w:r>
      <w:r w:rsidR="00BC7480" w:rsidRPr="0092230E">
        <w:rPr>
          <w:rFonts w:ascii="Arial" w:hAnsi="Arial" w:cs="Arial"/>
          <w:sz w:val="20"/>
        </w:rPr>
        <w:t xml:space="preserve">participating </w:t>
      </w:r>
      <w:r w:rsidR="007B48CA" w:rsidRPr="0092230E">
        <w:rPr>
          <w:rFonts w:ascii="Arial" w:hAnsi="Arial" w:cs="Arial"/>
          <w:sz w:val="20"/>
        </w:rPr>
        <w:t>person’s consolidated or declared related parties</w:t>
      </w:r>
      <w:r w:rsidRPr="0092230E">
        <w:rPr>
          <w:rFonts w:ascii="Arial" w:hAnsi="Arial" w:cs="Arial"/>
          <w:sz w:val="20"/>
        </w:rPr>
        <w:t xml:space="preserve">. </w:t>
      </w:r>
      <w:r w:rsidR="003D5817" w:rsidRPr="0092230E">
        <w:rPr>
          <w:rFonts w:ascii="Arial" w:hAnsi="Arial" w:cs="Arial"/>
          <w:sz w:val="20"/>
        </w:rPr>
        <w:t xml:space="preserve">As defined in section </w:t>
      </w:r>
      <w:r w:rsidR="003F25BC" w:rsidRPr="0092230E">
        <w:rPr>
          <w:rFonts w:ascii="Arial" w:hAnsi="Arial" w:cs="Arial"/>
          <w:sz w:val="20"/>
        </w:rPr>
        <w:t>10</w:t>
      </w:r>
      <w:r w:rsidR="003D5817" w:rsidRPr="0092230E">
        <w:rPr>
          <w:rFonts w:ascii="Arial" w:hAnsi="Arial" w:cs="Arial"/>
          <w:sz w:val="20"/>
        </w:rPr>
        <w:t xml:space="preserve">, an amount is an inter-person input payment only if the person receiving the payment includes the amount (or would be required to do so if they were a participating person) as part of their gross telecommunications sales revenue and does not claim the amount as a deduction under the Determination. </w:t>
      </w:r>
    </w:p>
    <w:p w14:paraId="0423F8D4" w14:textId="79375EF1" w:rsidR="00F61058" w:rsidRPr="0092230E" w:rsidRDefault="00A53AEF" w:rsidP="00A53AE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29 </w:t>
      </w:r>
      <w:r w:rsidRPr="0092230E">
        <w:rPr>
          <w:rFonts w:ascii="Arial" w:hAnsi="Arial" w:cs="Arial"/>
          <w:sz w:val="20"/>
        </w:rPr>
        <w:t xml:space="preserve">clarifies that </w:t>
      </w:r>
      <w:r w:rsidR="00F61058" w:rsidRPr="0092230E">
        <w:rPr>
          <w:rFonts w:ascii="Arial" w:hAnsi="Arial" w:cs="Arial"/>
          <w:sz w:val="20"/>
        </w:rPr>
        <w:t xml:space="preserve">such payments </w:t>
      </w:r>
      <w:r w:rsidRPr="0092230E">
        <w:rPr>
          <w:rFonts w:ascii="Arial" w:hAnsi="Arial" w:cs="Arial"/>
          <w:sz w:val="20"/>
        </w:rPr>
        <w:t xml:space="preserve">are only deductible if the </w:t>
      </w:r>
      <w:r w:rsidR="007B48CA" w:rsidRPr="0092230E">
        <w:rPr>
          <w:rFonts w:ascii="Arial" w:hAnsi="Arial" w:cs="Arial"/>
          <w:sz w:val="20"/>
        </w:rPr>
        <w:t xml:space="preserve">payment is made while the first </w:t>
      </w:r>
      <w:r w:rsidR="00BC7480" w:rsidRPr="0092230E">
        <w:rPr>
          <w:rFonts w:ascii="Arial" w:hAnsi="Arial" w:cs="Arial"/>
          <w:sz w:val="20"/>
        </w:rPr>
        <w:t xml:space="preserve">participating </w:t>
      </w:r>
      <w:r w:rsidR="007B48CA" w:rsidRPr="0092230E">
        <w:rPr>
          <w:rFonts w:ascii="Arial" w:hAnsi="Arial" w:cs="Arial"/>
          <w:sz w:val="20"/>
        </w:rPr>
        <w:t xml:space="preserve">person and the second </w:t>
      </w:r>
      <w:r w:rsidR="00BC7480" w:rsidRPr="0092230E">
        <w:rPr>
          <w:rFonts w:ascii="Arial" w:hAnsi="Arial" w:cs="Arial"/>
          <w:sz w:val="20"/>
        </w:rPr>
        <w:t xml:space="preserve">participating </w:t>
      </w:r>
      <w:r w:rsidR="007B48CA" w:rsidRPr="0092230E">
        <w:rPr>
          <w:rFonts w:ascii="Arial" w:hAnsi="Arial" w:cs="Arial"/>
          <w:sz w:val="20"/>
        </w:rPr>
        <w:t>person</w:t>
      </w:r>
      <w:r w:rsidR="004065B1" w:rsidRPr="0092230E">
        <w:rPr>
          <w:rFonts w:ascii="Arial" w:hAnsi="Arial" w:cs="Arial"/>
          <w:sz w:val="20"/>
        </w:rPr>
        <w:t xml:space="preserve"> </w:t>
      </w:r>
      <w:r w:rsidR="007403E0" w:rsidRPr="0092230E">
        <w:rPr>
          <w:rFonts w:ascii="Arial" w:hAnsi="Arial" w:cs="Arial"/>
          <w:sz w:val="20"/>
        </w:rPr>
        <w:t>a</w:t>
      </w:r>
      <w:r w:rsidR="007B48CA" w:rsidRPr="0092230E">
        <w:rPr>
          <w:rFonts w:ascii="Arial" w:hAnsi="Arial" w:cs="Arial"/>
          <w:sz w:val="20"/>
        </w:rPr>
        <w:t xml:space="preserve">re each either the holder of a </w:t>
      </w:r>
      <w:r w:rsidRPr="0092230E">
        <w:rPr>
          <w:rFonts w:ascii="Arial" w:hAnsi="Arial" w:cs="Arial"/>
          <w:sz w:val="20"/>
        </w:rPr>
        <w:t>carrier</w:t>
      </w:r>
      <w:r w:rsidR="007B48CA" w:rsidRPr="0092230E">
        <w:rPr>
          <w:rFonts w:ascii="Arial" w:hAnsi="Arial" w:cs="Arial"/>
          <w:sz w:val="20"/>
        </w:rPr>
        <w:t xml:space="preserve"> licence</w:t>
      </w:r>
      <w:r w:rsidRPr="0092230E">
        <w:rPr>
          <w:rFonts w:ascii="Arial" w:hAnsi="Arial" w:cs="Arial"/>
          <w:sz w:val="20"/>
        </w:rPr>
        <w:t xml:space="preserve">, or </w:t>
      </w:r>
      <w:r w:rsidR="007B48CA" w:rsidRPr="0092230E">
        <w:rPr>
          <w:rFonts w:ascii="Arial" w:hAnsi="Arial" w:cs="Arial"/>
          <w:sz w:val="20"/>
        </w:rPr>
        <w:t xml:space="preserve">are a </w:t>
      </w:r>
      <w:r w:rsidR="004A3E33" w:rsidRPr="0092230E">
        <w:rPr>
          <w:rFonts w:ascii="Arial" w:hAnsi="Arial" w:cs="Arial"/>
          <w:sz w:val="20"/>
        </w:rPr>
        <w:t xml:space="preserve">participating </w:t>
      </w:r>
      <w:r w:rsidRPr="0092230E">
        <w:rPr>
          <w:rFonts w:ascii="Arial" w:hAnsi="Arial" w:cs="Arial"/>
          <w:sz w:val="20"/>
        </w:rPr>
        <w:t xml:space="preserve">carriage service provider. </w:t>
      </w:r>
    </w:p>
    <w:p w14:paraId="730D83E7" w14:textId="77777777" w:rsidR="00A53AEF" w:rsidRPr="0092230E" w:rsidRDefault="00A53AEF" w:rsidP="00A53AEF">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29 </w:t>
      </w:r>
      <w:r w:rsidRPr="0092230E">
        <w:rPr>
          <w:rFonts w:ascii="Arial" w:hAnsi="Arial" w:cs="Arial"/>
          <w:sz w:val="20"/>
        </w:rPr>
        <w:t xml:space="preserve">allows deductions of </w:t>
      </w:r>
      <w:r w:rsidR="00542109" w:rsidRPr="0092230E">
        <w:rPr>
          <w:rFonts w:ascii="Arial" w:hAnsi="Arial" w:cs="Arial"/>
          <w:sz w:val="20"/>
        </w:rPr>
        <w:t>payments made</w:t>
      </w:r>
      <w:r w:rsidRPr="0092230E">
        <w:rPr>
          <w:rFonts w:ascii="Arial" w:hAnsi="Arial" w:cs="Arial"/>
          <w:sz w:val="20"/>
        </w:rPr>
        <w:t xml:space="preserve"> by participating persons and consolidated related parties and the deduction of a proportion of </w:t>
      </w:r>
      <w:r w:rsidR="008D7353" w:rsidRPr="0092230E">
        <w:rPr>
          <w:rFonts w:ascii="Arial" w:hAnsi="Arial" w:cs="Arial"/>
          <w:sz w:val="20"/>
        </w:rPr>
        <w:t>any</w:t>
      </w:r>
      <w:r w:rsidR="00542109" w:rsidRPr="0092230E">
        <w:rPr>
          <w:rFonts w:ascii="Arial" w:hAnsi="Arial" w:cs="Arial"/>
          <w:sz w:val="20"/>
        </w:rPr>
        <w:t xml:space="preserve"> payments made</w:t>
      </w:r>
      <w:r w:rsidRPr="0092230E">
        <w:rPr>
          <w:rFonts w:ascii="Arial" w:hAnsi="Arial" w:cs="Arial"/>
          <w:sz w:val="20"/>
        </w:rPr>
        <w:t xml:space="preserve"> by declared related parties where the payment amount claimed for an entity as a deduction was </w:t>
      </w:r>
      <w:r w:rsidR="00542109" w:rsidRPr="0092230E">
        <w:rPr>
          <w:rFonts w:ascii="Arial" w:hAnsi="Arial" w:cs="Arial"/>
          <w:sz w:val="20"/>
        </w:rPr>
        <w:t>incurred</w:t>
      </w:r>
      <w:r w:rsidRPr="0092230E">
        <w:rPr>
          <w:rFonts w:ascii="Arial" w:hAnsi="Arial" w:cs="Arial"/>
          <w:sz w:val="20"/>
        </w:rPr>
        <w:t xml:space="preserve"> by the same entity </w:t>
      </w:r>
      <w:r w:rsidR="00542109" w:rsidRPr="0092230E">
        <w:rPr>
          <w:rFonts w:ascii="Arial" w:hAnsi="Arial" w:cs="Arial"/>
          <w:sz w:val="20"/>
        </w:rPr>
        <w:t>to provide a listed carriage service</w:t>
      </w:r>
      <w:r w:rsidRPr="0092230E">
        <w:rPr>
          <w:rFonts w:ascii="Arial" w:hAnsi="Arial" w:cs="Arial"/>
          <w:sz w:val="20"/>
        </w:rPr>
        <w:t>.</w:t>
      </w:r>
    </w:p>
    <w:p w14:paraId="688A192B" w14:textId="77777777" w:rsidR="00D02A4C" w:rsidRPr="0092230E" w:rsidRDefault="00D02A4C" w:rsidP="004E66E8">
      <w:pPr>
        <w:pStyle w:val="ABABulletLevel1"/>
        <w:spacing w:after="120"/>
        <w:rPr>
          <w:rFonts w:ascii="Arial" w:hAnsi="Arial" w:cs="Arial"/>
          <w:b/>
          <w:sz w:val="20"/>
        </w:rPr>
      </w:pPr>
    </w:p>
    <w:p w14:paraId="14F48853" w14:textId="77777777" w:rsidR="00A25946" w:rsidRPr="0092230E" w:rsidRDefault="004E66E8" w:rsidP="00A25946">
      <w:pPr>
        <w:pStyle w:val="ABABulletLevel1"/>
        <w:keepNext/>
        <w:spacing w:after="120"/>
        <w:rPr>
          <w:rFonts w:ascii="Arial" w:hAnsi="Arial" w:cs="Arial"/>
          <w:b/>
          <w:sz w:val="20"/>
        </w:rPr>
      </w:pPr>
      <w:r w:rsidRPr="0092230E">
        <w:rPr>
          <w:rFonts w:ascii="Arial" w:hAnsi="Arial" w:cs="Arial"/>
          <w:b/>
          <w:sz w:val="20"/>
        </w:rPr>
        <w:lastRenderedPageBreak/>
        <w:t xml:space="preserve">Section </w:t>
      </w:r>
      <w:r w:rsidR="00067542" w:rsidRPr="0092230E">
        <w:rPr>
          <w:rFonts w:ascii="Arial" w:hAnsi="Arial" w:cs="Arial"/>
          <w:b/>
          <w:sz w:val="20"/>
        </w:rPr>
        <w:t xml:space="preserve">30 </w:t>
      </w:r>
      <w:r w:rsidRPr="0092230E">
        <w:rPr>
          <w:rFonts w:ascii="Arial" w:hAnsi="Arial" w:cs="Arial"/>
          <w:b/>
          <w:sz w:val="20"/>
        </w:rPr>
        <w:t xml:space="preserve">– </w:t>
      </w:r>
      <w:r w:rsidR="003D5817" w:rsidRPr="0092230E">
        <w:rPr>
          <w:rFonts w:ascii="Arial" w:hAnsi="Arial" w:cs="Arial"/>
          <w:b/>
          <w:sz w:val="20"/>
        </w:rPr>
        <w:t>O</w:t>
      </w:r>
      <w:r w:rsidRPr="0092230E">
        <w:rPr>
          <w:rFonts w:ascii="Arial" w:hAnsi="Arial" w:cs="Arial"/>
          <w:b/>
          <w:sz w:val="20"/>
        </w:rPr>
        <w:t>ther input amounts</w:t>
      </w:r>
    </w:p>
    <w:p w14:paraId="041E9BBE" w14:textId="77777777" w:rsidR="004E66E8" w:rsidRPr="0092230E" w:rsidRDefault="004E66E8" w:rsidP="004E66E8">
      <w:pPr>
        <w:pStyle w:val="ABABulletLevel1"/>
        <w:spacing w:after="120"/>
        <w:rPr>
          <w:rFonts w:ascii="Arial" w:hAnsi="Arial" w:cs="Arial"/>
          <w:sz w:val="20"/>
        </w:rPr>
      </w:pPr>
      <w:r w:rsidRPr="0092230E">
        <w:rPr>
          <w:rFonts w:ascii="Arial" w:hAnsi="Arial" w:cs="Arial"/>
          <w:sz w:val="20"/>
        </w:rPr>
        <w:t xml:space="preserve">Section </w:t>
      </w:r>
      <w:r w:rsidR="00AA56D6" w:rsidRPr="0092230E">
        <w:rPr>
          <w:rFonts w:ascii="Arial" w:hAnsi="Arial" w:cs="Arial"/>
          <w:sz w:val="20"/>
        </w:rPr>
        <w:t xml:space="preserve">30 </w:t>
      </w:r>
      <w:r w:rsidRPr="0092230E">
        <w:rPr>
          <w:rFonts w:ascii="Arial" w:hAnsi="Arial" w:cs="Arial"/>
          <w:sz w:val="20"/>
        </w:rPr>
        <w:t xml:space="preserve">provides that the ACMA may declare that a specified </w:t>
      </w:r>
      <w:r w:rsidR="003D5817" w:rsidRPr="0092230E">
        <w:rPr>
          <w:rFonts w:ascii="Arial" w:hAnsi="Arial" w:cs="Arial"/>
          <w:sz w:val="20"/>
        </w:rPr>
        <w:t xml:space="preserve">input </w:t>
      </w:r>
      <w:r w:rsidRPr="0092230E">
        <w:rPr>
          <w:rFonts w:ascii="Arial" w:hAnsi="Arial" w:cs="Arial"/>
          <w:sz w:val="20"/>
        </w:rPr>
        <w:t xml:space="preserve">cost or amount other than </w:t>
      </w:r>
      <w:r w:rsidR="003D5817" w:rsidRPr="0092230E">
        <w:rPr>
          <w:rFonts w:ascii="Arial" w:hAnsi="Arial" w:cs="Arial"/>
          <w:sz w:val="20"/>
        </w:rPr>
        <w:t xml:space="preserve">input amounts dealt with in the Determination (such as inter-person input payments) </w:t>
      </w:r>
      <w:r w:rsidRPr="0092230E">
        <w:rPr>
          <w:rFonts w:ascii="Arial" w:hAnsi="Arial" w:cs="Arial"/>
          <w:sz w:val="20"/>
        </w:rPr>
        <w:t>is a</w:t>
      </w:r>
      <w:r w:rsidR="003D5817" w:rsidRPr="0092230E">
        <w:rPr>
          <w:rFonts w:ascii="Arial" w:hAnsi="Arial" w:cs="Arial"/>
          <w:sz w:val="20"/>
        </w:rPr>
        <w:t>n</w:t>
      </w:r>
      <w:r w:rsidRPr="0092230E">
        <w:rPr>
          <w:rFonts w:ascii="Arial" w:hAnsi="Arial" w:cs="Arial"/>
          <w:sz w:val="20"/>
        </w:rPr>
        <w:t xml:space="preserve"> input amount. Section </w:t>
      </w:r>
      <w:r w:rsidR="00AA56D6" w:rsidRPr="0092230E">
        <w:rPr>
          <w:rFonts w:ascii="Arial" w:hAnsi="Arial" w:cs="Arial"/>
          <w:sz w:val="20"/>
        </w:rPr>
        <w:t xml:space="preserve">30 </w:t>
      </w:r>
      <w:r w:rsidRPr="0092230E">
        <w:rPr>
          <w:rFonts w:ascii="Arial" w:hAnsi="Arial" w:cs="Arial"/>
          <w:sz w:val="20"/>
        </w:rPr>
        <w:t>provides that a participating person may deduct an amount from its gross telecommunications sales revenue if it is an input amount declared by the ACMA.</w:t>
      </w:r>
      <w:r w:rsidR="00AE28E6" w:rsidRPr="0092230E">
        <w:rPr>
          <w:rFonts w:ascii="Arial" w:hAnsi="Arial" w:cs="Arial"/>
          <w:sz w:val="20"/>
        </w:rPr>
        <w:t xml:space="preserve"> Subsection </w:t>
      </w:r>
      <w:r w:rsidR="00AA56D6" w:rsidRPr="0092230E">
        <w:rPr>
          <w:rFonts w:ascii="Arial" w:hAnsi="Arial" w:cs="Arial"/>
          <w:sz w:val="20"/>
        </w:rPr>
        <w:t>30</w:t>
      </w:r>
      <w:r w:rsidR="00AE28E6" w:rsidRPr="0092230E">
        <w:rPr>
          <w:rFonts w:ascii="Arial" w:hAnsi="Arial" w:cs="Arial"/>
          <w:sz w:val="20"/>
        </w:rPr>
        <w:t xml:space="preserve">(2) provides that the declaration may relate to one or more specified participating persons, but not all participating persons. </w:t>
      </w:r>
    </w:p>
    <w:p w14:paraId="2549755B" w14:textId="77777777" w:rsidR="004E66E8" w:rsidRPr="0092230E" w:rsidRDefault="004E66E8" w:rsidP="004E66E8">
      <w:pPr>
        <w:pStyle w:val="ABABulletLevel1"/>
        <w:spacing w:after="120"/>
        <w:rPr>
          <w:rFonts w:ascii="Arial" w:hAnsi="Arial" w:cs="Arial"/>
          <w:sz w:val="20"/>
        </w:rPr>
      </w:pPr>
      <w:r w:rsidRPr="0092230E">
        <w:rPr>
          <w:rFonts w:ascii="Arial" w:hAnsi="Arial" w:cs="Arial"/>
          <w:sz w:val="20"/>
        </w:rPr>
        <w:t>This section provides scope for the ACMA to extend the provisions to enable participating persons, in calculating their eligible revenue, to deduct various declared input costs or amounts</w:t>
      </w:r>
      <w:r w:rsidR="00AE28E6" w:rsidRPr="0092230E">
        <w:rPr>
          <w:rFonts w:ascii="Arial" w:hAnsi="Arial" w:cs="Arial"/>
          <w:sz w:val="20"/>
        </w:rPr>
        <w:t xml:space="preserve"> which are not otherwise deductible under the Determination</w:t>
      </w:r>
      <w:r w:rsidRPr="0092230E">
        <w:rPr>
          <w:rFonts w:ascii="Arial" w:hAnsi="Arial" w:cs="Arial"/>
          <w:sz w:val="20"/>
        </w:rPr>
        <w:t>, and thus make the definition of eligible revenue better approximate a value-added based levy.</w:t>
      </w:r>
    </w:p>
    <w:p w14:paraId="0E27F9C8" w14:textId="77777777" w:rsidR="00D02A4C" w:rsidRPr="0092230E" w:rsidRDefault="00D02A4C" w:rsidP="00003029">
      <w:pPr>
        <w:pStyle w:val="ABABulletLevel1"/>
        <w:spacing w:after="120"/>
        <w:rPr>
          <w:rFonts w:ascii="Arial" w:hAnsi="Arial" w:cs="Arial"/>
          <w:b/>
          <w:sz w:val="20"/>
        </w:rPr>
      </w:pPr>
    </w:p>
    <w:p w14:paraId="2EA61957" w14:textId="77777777" w:rsidR="00003029" w:rsidRPr="0092230E" w:rsidRDefault="00003029" w:rsidP="00003029">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31 </w:t>
      </w:r>
      <w:r w:rsidRPr="0092230E">
        <w:rPr>
          <w:rFonts w:ascii="Arial" w:hAnsi="Arial" w:cs="Arial"/>
          <w:b/>
          <w:sz w:val="20"/>
        </w:rPr>
        <w:t>– Limit on deductions</w:t>
      </w:r>
    </w:p>
    <w:p w14:paraId="3526F479" w14:textId="77777777" w:rsidR="00F33942" w:rsidRPr="0092230E" w:rsidRDefault="00003029" w:rsidP="00003029">
      <w:pPr>
        <w:pStyle w:val="ABABulletLevel1"/>
        <w:spacing w:after="120"/>
        <w:rPr>
          <w:rFonts w:ascii="Arial" w:hAnsi="Arial" w:cs="Arial"/>
          <w:sz w:val="20"/>
        </w:rPr>
      </w:pPr>
      <w:r w:rsidRPr="0092230E">
        <w:rPr>
          <w:rFonts w:ascii="Arial" w:hAnsi="Arial" w:cs="Arial"/>
          <w:sz w:val="20"/>
        </w:rPr>
        <w:t>S</w:t>
      </w:r>
      <w:r w:rsidR="00F91906" w:rsidRPr="0092230E">
        <w:rPr>
          <w:rFonts w:ascii="Arial" w:hAnsi="Arial" w:cs="Arial"/>
          <w:sz w:val="20"/>
        </w:rPr>
        <w:t>ubs</w:t>
      </w:r>
      <w:r w:rsidRPr="0092230E">
        <w:rPr>
          <w:rFonts w:ascii="Arial" w:hAnsi="Arial" w:cs="Arial"/>
          <w:sz w:val="20"/>
        </w:rPr>
        <w:t xml:space="preserve">ection </w:t>
      </w:r>
      <w:r w:rsidR="00AA56D6" w:rsidRPr="0092230E">
        <w:rPr>
          <w:rFonts w:ascii="Arial" w:hAnsi="Arial" w:cs="Arial"/>
          <w:sz w:val="20"/>
        </w:rPr>
        <w:t>31</w:t>
      </w:r>
      <w:r w:rsidR="00F91906" w:rsidRPr="0092230E">
        <w:rPr>
          <w:rFonts w:ascii="Arial" w:hAnsi="Arial" w:cs="Arial"/>
          <w:sz w:val="20"/>
        </w:rPr>
        <w:t xml:space="preserve">(1) </w:t>
      </w:r>
      <w:r w:rsidRPr="0092230E">
        <w:rPr>
          <w:rFonts w:ascii="Arial" w:hAnsi="Arial" w:cs="Arial"/>
          <w:sz w:val="20"/>
        </w:rPr>
        <w:t xml:space="preserve">clarifies that an amount to be deducted under sections </w:t>
      </w:r>
      <w:r w:rsidR="00AA56D6" w:rsidRPr="0092230E">
        <w:rPr>
          <w:rFonts w:ascii="Arial" w:hAnsi="Arial" w:cs="Arial"/>
          <w:sz w:val="20"/>
        </w:rPr>
        <w:t xml:space="preserve">23 </w:t>
      </w:r>
      <w:r w:rsidRPr="0092230E">
        <w:rPr>
          <w:rFonts w:ascii="Arial" w:hAnsi="Arial" w:cs="Arial"/>
          <w:sz w:val="20"/>
        </w:rPr>
        <w:t xml:space="preserve">to </w:t>
      </w:r>
      <w:r w:rsidR="00AA56D6" w:rsidRPr="0092230E">
        <w:rPr>
          <w:rFonts w:ascii="Arial" w:hAnsi="Arial" w:cs="Arial"/>
          <w:sz w:val="20"/>
        </w:rPr>
        <w:t xml:space="preserve">28 </w:t>
      </w:r>
      <w:r w:rsidRPr="0092230E">
        <w:rPr>
          <w:rFonts w:ascii="Arial" w:hAnsi="Arial" w:cs="Arial"/>
          <w:sz w:val="20"/>
        </w:rPr>
        <w:t>must not exceed the total amount received by the participating person</w:t>
      </w:r>
      <w:r w:rsidR="00DA1A76" w:rsidRPr="0092230E">
        <w:rPr>
          <w:rFonts w:ascii="Arial" w:hAnsi="Arial" w:cs="Arial"/>
          <w:sz w:val="20"/>
        </w:rPr>
        <w:t xml:space="preserve"> or its related party</w:t>
      </w:r>
      <w:r w:rsidRPr="0092230E">
        <w:rPr>
          <w:rFonts w:ascii="Arial" w:hAnsi="Arial" w:cs="Arial"/>
          <w:sz w:val="20"/>
        </w:rPr>
        <w:t xml:space="preserve"> in connection with the activity that created the deductible amount</w:t>
      </w:r>
      <w:r w:rsidR="004065B1" w:rsidRPr="0092230E">
        <w:rPr>
          <w:rFonts w:ascii="Arial" w:hAnsi="Arial" w:cs="Arial"/>
          <w:sz w:val="20"/>
        </w:rPr>
        <w:t>, in relation to the relevant eligible revenue period</w:t>
      </w:r>
      <w:r w:rsidRPr="0092230E">
        <w:rPr>
          <w:rFonts w:ascii="Arial" w:hAnsi="Arial" w:cs="Arial"/>
          <w:sz w:val="20"/>
        </w:rPr>
        <w:t xml:space="preserve">. </w:t>
      </w:r>
    </w:p>
    <w:p w14:paraId="327DA5F1" w14:textId="77777777" w:rsidR="00003029" w:rsidRPr="0092230E" w:rsidRDefault="00003029" w:rsidP="00003029">
      <w:pPr>
        <w:pStyle w:val="ABABulletLevel1"/>
        <w:spacing w:after="120"/>
        <w:rPr>
          <w:rFonts w:ascii="Arial" w:hAnsi="Arial" w:cs="Arial"/>
          <w:sz w:val="20"/>
        </w:rPr>
      </w:pPr>
      <w:r w:rsidRPr="0092230E">
        <w:rPr>
          <w:rFonts w:ascii="Arial" w:hAnsi="Arial" w:cs="Arial"/>
          <w:sz w:val="20"/>
        </w:rPr>
        <w:t>Similarly,</w:t>
      </w:r>
      <w:r w:rsidR="00F33942" w:rsidRPr="0092230E">
        <w:rPr>
          <w:rFonts w:ascii="Arial" w:hAnsi="Arial" w:cs="Arial"/>
          <w:sz w:val="20"/>
        </w:rPr>
        <w:t xml:space="preserve"> subsection </w:t>
      </w:r>
      <w:r w:rsidR="00AA56D6" w:rsidRPr="0092230E">
        <w:rPr>
          <w:rFonts w:ascii="Arial" w:hAnsi="Arial" w:cs="Arial"/>
          <w:sz w:val="20"/>
        </w:rPr>
        <w:t>31</w:t>
      </w:r>
      <w:r w:rsidR="00F33942" w:rsidRPr="0092230E">
        <w:rPr>
          <w:rFonts w:ascii="Arial" w:hAnsi="Arial" w:cs="Arial"/>
          <w:sz w:val="20"/>
        </w:rPr>
        <w:t>(2) provides that</w:t>
      </w:r>
      <w:r w:rsidRPr="0092230E">
        <w:rPr>
          <w:rFonts w:ascii="Arial" w:hAnsi="Arial" w:cs="Arial"/>
          <w:sz w:val="20"/>
        </w:rPr>
        <w:t xml:space="preserve"> inter-person input payment amounts</w:t>
      </w:r>
      <w:r w:rsidR="004065B1" w:rsidRPr="0092230E">
        <w:rPr>
          <w:rFonts w:ascii="Arial" w:hAnsi="Arial" w:cs="Arial"/>
          <w:sz w:val="20"/>
        </w:rPr>
        <w:t xml:space="preserve"> </w:t>
      </w:r>
      <w:r w:rsidRPr="0092230E">
        <w:rPr>
          <w:rFonts w:ascii="Arial" w:hAnsi="Arial" w:cs="Arial"/>
          <w:sz w:val="20"/>
        </w:rPr>
        <w:t xml:space="preserve">to be deducted must not be greater than the total amount paid </w:t>
      </w:r>
      <w:r w:rsidR="004065B1" w:rsidRPr="0092230E">
        <w:rPr>
          <w:rFonts w:ascii="Arial" w:hAnsi="Arial" w:cs="Arial"/>
          <w:sz w:val="20"/>
        </w:rPr>
        <w:t xml:space="preserve">(or received) </w:t>
      </w:r>
      <w:r w:rsidRPr="0092230E">
        <w:rPr>
          <w:rFonts w:ascii="Arial" w:hAnsi="Arial" w:cs="Arial"/>
          <w:sz w:val="20"/>
        </w:rPr>
        <w:t>by or on behalf of the participating person in connection with the activity that led to the payment</w:t>
      </w:r>
      <w:r w:rsidR="004065B1" w:rsidRPr="0092230E">
        <w:rPr>
          <w:rFonts w:ascii="Arial" w:hAnsi="Arial" w:cs="Arial"/>
          <w:sz w:val="20"/>
        </w:rPr>
        <w:t>, in relation to the relevant eligible revenue period</w:t>
      </w:r>
      <w:r w:rsidRPr="0092230E">
        <w:rPr>
          <w:rFonts w:ascii="Arial" w:hAnsi="Arial" w:cs="Arial"/>
          <w:sz w:val="20"/>
        </w:rPr>
        <w:t>.</w:t>
      </w:r>
    </w:p>
    <w:p w14:paraId="1953DC2E" w14:textId="35224353" w:rsidR="00A53AEF" w:rsidRPr="0092230E" w:rsidRDefault="00DA1A76" w:rsidP="00A53AEF">
      <w:pPr>
        <w:pStyle w:val="ABABulletLevel1"/>
        <w:spacing w:after="120"/>
        <w:rPr>
          <w:rFonts w:ascii="Arial" w:hAnsi="Arial" w:cs="Arial"/>
          <w:sz w:val="20"/>
        </w:rPr>
      </w:pPr>
      <w:r w:rsidRPr="0092230E">
        <w:rPr>
          <w:rFonts w:ascii="Arial" w:hAnsi="Arial" w:cs="Arial"/>
          <w:sz w:val="20"/>
        </w:rPr>
        <w:t xml:space="preserve">The amount of the deduction must also not be more than the proportion of the declared related party factor </w:t>
      </w:r>
      <w:r w:rsidR="00097543" w:rsidRPr="0092230E">
        <w:rPr>
          <w:rFonts w:ascii="Arial" w:hAnsi="Arial" w:cs="Arial"/>
          <w:sz w:val="20"/>
        </w:rPr>
        <w:t xml:space="preserve">(worked out under section </w:t>
      </w:r>
      <w:r w:rsidR="005827AD" w:rsidRPr="0092230E">
        <w:rPr>
          <w:rFonts w:ascii="Arial" w:hAnsi="Arial" w:cs="Arial"/>
          <w:sz w:val="20"/>
        </w:rPr>
        <w:t>8</w:t>
      </w:r>
      <w:r w:rsidRPr="0092230E">
        <w:rPr>
          <w:rFonts w:ascii="Arial" w:hAnsi="Arial" w:cs="Arial"/>
          <w:sz w:val="20"/>
        </w:rPr>
        <w:t>) for any declared related party of the participating person</w:t>
      </w:r>
      <w:r w:rsidR="004065B1" w:rsidRPr="0092230E">
        <w:rPr>
          <w:rFonts w:ascii="Arial" w:hAnsi="Arial" w:cs="Arial"/>
          <w:sz w:val="20"/>
        </w:rPr>
        <w:t>, in relation to the relevant eligible revenue period</w:t>
      </w:r>
      <w:r w:rsidRPr="0092230E">
        <w:rPr>
          <w:rFonts w:ascii="Arial" w:hAnsi="Arial" w:cs="Arial"/>
          <w:sz w:val="20"/>
        </w:rPr>
        <w:t>.</w:t>
      </w:r>
    </w:p>
    <w:p w14:paraId="4B0E6B36" w14:textId="77777777" w:rsidR="00F973F3" w:rsidRPr="0092230E" w:rsidRDefault="00F973F3" w:rsidP="00BE13CB">
      <w:pPr>
        <w:pStyle w:val="ABABulletLevel1"/>
        <w:spacing w:after="120"/>
        <w:rPr>
          <w:rFonts w:ascii="Arial" w:hAnsi="Arial" w:cs="Arial"/>
          <w:b/>
          <w:sz w:val="20"/>
        </w:rPr>
      </w:pPr>
    </w:p>
    <w:p w14:paraId="0333D482" w14:textId="77777777" w:rsidR="00BE13CB" w:rsidRPr="0092230E" w:rsidRDefault="00BE13CB" w:rsidP="00BE13CB">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32 </w:t>
      </w:r>
      <w:r w:rsidRPr="0092230E">
        <w:rPr>
          <w:rFonts w:ascii="Arial" w:hAnsi="Arial" w:cs="Arial"/>
          <w:b/>
          <w:sz w:val="20"/>
        </w:rPr>
        <w:t>– Suspension of deduction entitlements</w:t>
      </w:r>
    </w:p>
    <w:p w14:paraId="766C2330" w14:textId="77777777" w:rsidR="002A2005" w:rsidRPr="0092230E" w:rsidRDefault="00BE13CB" w:rsidP="00BE13CB">
      <w:pPr>
        <w:pStyle w:val="ABABulletLevel1"/>
        <w:spacing w:after="120"/>
        <w:rPr>
          <w:rFonts w:ascii="Arial" w:hAnsi="Arial" w:cs="Arial"/>
          <w:sz w:val="20"/>
        </w:rPr>
      </w:pPr>
      <w:r w:rsidRPr="0092230E">
        <w:rPr>
          <w:rFonts w:ascii="Arial" w:hAnsi="Arial" w:cs="Arial"/>
          <w:sz w:val="20"/>
        </w:rPr>
        <w:t xml:space="preserve">Section </w:t>
      </w:r>
      <w:r w:rsidR="00B34935" w:rsidRPr="0092230E">
        <w:rPr>
          <w:rFonts w:ascii="Arial" w:hAnsi="Arial" w:cs="Arial"/>
          <w:sz w:val="20"/>
        </w:rPr>
        <w:t xml:space="preserve">32 </w:t>
      </w:r>
      <w:r w:rsidRPr="0092230E">
        <w:rPr>
          <w:rFonts w:ascii="Arial" w:hAnsi="Arial" w:cs="Arial"/>
          <w:sz w:val="20"/>
        </w:rPr>
        <w:t xml:space="preserve">provides that the ACMA may declare that one or more specified participating persons </w:t>
      </w:r>
      <w:r w:rsidR="00AE28E6" w:rsidRPr="0092230E">
        <w:rPr>
          <w:rFonts w:ascii="Arial" w:hAnsi="Arial" w:cs="Arial"/>
          <w:sz w:val="20"/>
        </w:rPr>
        <w:t xml:space="preserve">(but not all participating persons) </w:t>
      </w:r>
      <w:r w:rsidRPr="0092230E">
        <w:rPr>
          <w:rFonts w:ascii="Arial" w:hAnsi="Arial" w:cs="Arial"/>
          <w:sz w:val="20"/>
        </w:rPr>
        <w:t>are not entitled to deduct a specified amount or payment</w:t>
      </w:r>
      <w:r w:rsidR="00AE28E6" w:rsidRPr="0092230E">
        <w:rPr>
          <w:rFonts w:ascii="Arial" w:hAnsi="Arial" w:cs="Arial"/>
          <w:sz w:val="20"/>
        </w:rPr>
        <w:t xml:space="preserve"> under the Determination in a specified eligible revenue period, or while the declaration is in force</w:t>
      </w:r>
      <w:r w:rsidRPr="0092230E">
        <w:rPr>
          <w:rFonts w:ascii="Arial" w:hAnsi="Arial" w:cs="Arial"/>
          <w:sz w:val="20"/>
        </w:rPr>
        <w:t>. The ACMA’s ability to make such declarations is intended to enable the ACMA to restrict access to deductions where experience with the regime shows they are inappropriate or are being abused.</w:t>
      </w:r>
    </w:p>
    <w:p w14:paraId="4FBD5997" w14:textId="77777777" w:rsidR="00C749E3" w:rsidRPr="0092230E" w:rsidRDefault="00C749E3" w:rsidP="00C749E3">
      <w:pPr>
        <w:spacing w:after="120" w:line="240" w:lineRule="auto"/>
        <w:rPr>
          <w:rFonts w:ascii="Arial" w:hAnsi="Arial" w:cs="Arial"/>
          <w:szCs w:val="20"/>
        </w:rPr>
      </w:pPr>
    </w:p>
    <w:p w14:paraId="5F93B7D6" w14:textId="53F09628" w:rsidR="004C601C" w:rsidRPr="0092230E" w:rsidRDefault="004C601C" w:rsidP="00C749E3">
      <w:pPr>
        <w:spacing w:after="200" w:line="276" w:lineRule="auto"/>
        <w:rPr>
          <w:rFonts w:ascii="Arial" w:hAnsi="Arial" w:cs="Arial"/>
          <w:szCs w:val="20"/>
          <w:lang w:eastAsia="en-US"/>
        </w:rPr>
      </w:pPr>
      <w:r w:rsidRPr="0092230E">
        <w:rPr>
          <w:rFonts w:ascii="Arial" w:hAnsi="Arial" w:cs="Arial"/>
          <w:b/>
          <w:szCs w:val="20"/>
        </w:rPr>
        <w:t xml:space="preserve">Section </w:t>
      </w:r>
      <w:r w:rsidR="00067542" w:rsidRPr="0092230E">
        <w:rPr>
          <w:rFonts w:ascii="Arial" w:hAnsi="Arial" w:cs="Arial"/>
          <w:b/>
          <w:szCs w:val="20"/>
        </w:rPr>
        <w:t xml:space="preserve">33 </w:t>
      </w:r>
      <w:r w:rsidRPr="0092230E">
        <w:rPr>
          <w:rFonts w:ascii="Arial" w:hAnsi="Arial" w:cs="Arial"/>
          <w:b/>
          <w:szCs w:val="20"/>
        </w:rPr>
        <w:t>– Declarations about deductible revenue</w:t>
      </w:r>
    </w:p>
    <w:p w14:paraId="41007771" w14:textId="77777777" w:rsidR="004C601C" w:rsidRPr="0092230E" w:rsidRDefault="004C601C" w:rsidP="004C601C">
      <w:pPr>
        <w:pStyle w:val="ABABulletLevel1"/>
        <w:spacing w:after="120"/>
        <w:rPr>
          <w:rFonts w:ascii="Arial" w:hAnsi="Arial" w:cs="Arial"/>
          <w:sz w:val="20"/>
        </w:rPr>
      </w:pPr>
      <w:r w:rsidRPr="0092230E">
        <w:rPr>
          <w:rFonts w:ascii="Arial" w:hAnsi="Arial" w:cs="Arial"/>
          <w:sz w:val="20"/>
        </w:rPr>
        <w:t xml:space="preserve">Section </w:t>
      </w:r>
      <w:r w:rsidR="00FA1D09" w:rsidRPr="0092230E">
        <w:rPr>
          <w:rFonts w:ascii="Arial" w:hAnsi="Arial" w:cs="Arial"/>
          <w:sz w:val="20"/>
        </w:rPr>
        <w:t xml:space="preserve">33 </w:t>
      </w:r>
      <w:r w:rsidRPr="0092230E">
        <w:rPr>
          <w:rFonts w:ascii="Arial" w:hAnsi="Arial" w:cs="Arial"/>
          <w:sz w:val="20"/>
        </w:rPr>
        <w:t xml:space="preserve">provides that the ACMA may declare that a specified amount of gross telecommunications sales revenue </w:t>
      </w:r>
      <w:r w:rsidR="00AE28E6" w:rsidRPr="0092230E">
        <w:rPr>
          <w:rFonts w:ascii="Arial" w:hAnsi="Arial" w:cs="Arial"/>
          <w:sz w:val="20"/>
        </w:rPr>
        <w:t>of</w:t>
      </w:r>
      <w:r w:rsidRPr="0092230E">
        <w:rPr>
          <w:rFonts w:ascii="Arial" w:hAnsi="Arial" w:cs="Arial"/>
          <w:sz w:val="20"/>
        </w:rPr>
        <w:t xml:space="preserve"> one or more specified participating persons</w:t>
      </w:r>
      <w:r w:rsidR="00AE28E6" w:rsidRPr="0092230E">
        <w:rPr>
          <w:rFonts w:ascii="Arial" w:hAnsi="Arial" w:cs="Arial"/>
          <w:sz w:val="20"/>
        </w:rPr>
        <w:t xml:space="preserve"> (but not all participating persons) may be deducted</w:t>
      </w:r>
      <w:r w:rsidRPr="0092230E">
        <w:rPr>
          <w:rFonts w:ascii="Arial" w:hAnsi="Arial" w:cs="Arial"/>
          <w:sz w:val="20"/>
        </w:rPr>
        <w:t xml:space="preserve">. These declarations serve two purposes </w:t>
      </w:r>
      <w:r w:rsidR="00AE28E6" w:rsidRPr="0092230E">
        <w:rPr>
          <w:rFonts w:ascii="Arial" w:hAnsi="Arial" w:cs="Arial"/>
          <w:sz w:val="20"/>
        </w:rPr>
        <w:t xml:space="preserve">- </w:t>
      </w:r>
      <w:r w:rsidRPr="0092230E">
        <w:rPr>
          <w:rFonts w:ascii="Arial" w:hAnsi="Arial" w:cs="Arial"/>
          <w:sz w:val="20"/>
        </w:rPr>
        <w:t>to clarify what can be deducted, and extend the scope of allowable deductions</w:t>
      </w:r>
      <w:r w:rsidR="00AE28E6" w:rsidRPr="0092230E">
        <w:rPr>
          <w:rFonts w:ascii="Arial" w:hAnsi="Arial" w:cs="Arial"/>
          <w:sz w:val="20"/>
        </w:rPr>
        <w:t xml:space="preserve"> where appropriate</w:t>
      </w:r>
      <w:r w:rsidRPr="0092230E">
        <w:rPr>
          <w:rFonts w:ascii="Arial" w:hAnsi="Arial" w:cs="Arial"/>
          <w:sz w:val="20"/>
        </w:rPr>
        <w:t>.</w:t>
      </w:r>
    </w:p>
    <w:p w14:paraId="49F2F6B4" w14:textId="77777777" w:rsidR="001706CD" w:rsidRPr="0092230E" w:rsidRDefault="001706CD" w:rsidP="00A71F12">
      <w:pPr>
        <w:pStyle w:val="ABABulletLevel1"/>
        <w:spacing w:after="120"/>
        <w:rPr>
          <w:rFonts w:ascii="Arial" w:hAnsi="Arial" w:cs="Arial"/>
          <w:b/>
          <w:sz w:val="20"/>
        </w:rPr>
      </w:pPr>
    </w:p>
    <w:p w14:paraId="08EF2A44" w14:textId="77777777" w:rsidR="00A25946" w:rsidRPr="0092230E" w:rsidRDefault="00A71F12" w:rsidP="00A25946">
      <w:pPr>
        <w:pStyle w:val="ABABulletLevel1"/>
        <w:keepNext/>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 xml:space="preserve">34 </w:t>
      </w:r>
      <w:r w:rsidRPr="0092230E">
        <w:rPr>
          <w:rFonts w:ascii="Arial" w:hAnsi="Arial" w:cs="Arial"/>
          <w:b/>
          <w:sz w:val="20"/>
        </w:rPr>
        <w:t>– Net telecommunications sales revenue</w:t>
      </w:r>
    </w:p>
    <w:p w14:paraId="5A352222" w14:textId="77777777" w:rsidR="00A71F12" w:rsidRPr="0092230E" w:rsidRDefault="00A71F12" w:rsidP="00A71F12">
      <w:pPr>
        <w:pStyle w:val="ABABulletLevel1"/>
        <w:spacing w:after="120"/>
        <w:rPr>
          <w:rFonts w:ascii="Arial" w:hAnsi="Arial" w:cs="Arial"/>
          <w:sz w:val="20"/>
        </w:rPr>
      </w:pPr>
      <w:r w:rsidRPr="0092230E">
        <w:rPr>
          <w:rFonts w:ascii="Arial" w:hAnsi="Arial" w:cs="Arial"/>
          <w:sz w:val="20"/>
        </w:rPr>
        <w:t xml:space="preserve">Section </w:t>
      </w:r>
      <w:r w:rsidR="00181A9E" w:rsidRPr="0092230E">
        <w:rPr>
          <w:rFonts w:ascii="Arial" w:hAnsi="Arial" w:cs="Arial"/>
          <w:sz w:val="20"/>
        </w:rPr>
        <w:t>3</w:t>
      </w:r>
      <w:r w:rsidR="00FA1D09" w:rsidRPr="0092230E">
        <w:rPr>
          <w:rFonts w:ascii="Arial" w:hAnsi="Arial" w:cs="Arial"/>
          <w:sz w:val="20"/>
        </w:rPr>
        <w:t>4</w:t>
      </w:r>
      <w:r w:rsidR="00181A9E" w:rsidRPr="0092230E">
        <w:rPr>
          <w:rFonts w:ascii="Arial" w:hAnsi="Arial" w:cs="Arial"/>
          <w:sz w:val="20"/>
        </w:rPr>
        <w:t xml:space="preserve"> provides th</w:t>
      </w:r>
      <w:r w:rsidR="00AE28E6" w:rsidRPr="0092230E">
        <w:rPr>
          <w:rFonts w:ascii="Arial" w:hAnsi="Arial" w:cs="Arial"/>
          <w:sz w:val="20"/>
        </w:rPr>
        <w:t xml:space="preserve">at the result of deducting amounts identified under sections </w:t>
      </w:r>
      <w:r w:rsidR="00FA1D09" w:rsidRPr="0092230E">
        <w:rPr>
          <w:rFonts w:ascii="Arial" w:hAnsi="Arial" w:cs="Arial"/>
          <w:sz w:val="20"/>
        </w:rPr>
        <w:t xml:space="preserve">23 </w:t>
      </w:r>
      <w:r w:rsidR="00AE28E6" w:rsidRPr="0092230E">
        <w:rPr>
          <w:rFonts w:ascii="Arial" w:hAnsi="Arial" w:cs="Arial"/>
          <w:sz w:val="20"/>
        </w:rPr>
        <w:t xml:space="preserve">to </w:t>
      </w:r>
      <w:r w:rsidR="00FA1D09" w:rsidRPr="0092230E">
        <w:rPr>
          <w:rFonts w:ascii="Arial" w:hAnsi="Arial" w:cs="Arial"/>
          <w:sz w:val="20"/>
        </w:rPr>
        <w:t xml:space="preserve">30 </w:t>
      </w:r>
      <w:r w:rsidR="00AE28E6" w:rsidRPr="0092230E">
        <w:rPr>
          <w:rFonts w:ascii="Arial" w:hAnsi="Arial" w:cs="Arial"/>
          <w:sz w:val="20"/>
        </w:rPr>
        <w:t xml:space="preserve">and </w:t>
      </w:r>
      <w:r w:rsidR="00FA1D09" w:rsidRPr="0092230E">
        <w:rPr>
          <w:rFonts w:ascii="Arial" w:hAnsi="Arial" w:cs="Arial"/>
          <w:sz w:val="20"/>
        </w:rPr>
        <w:t xml:space="preserve">33 </w:t>
      </w:r>
      <w:r w:rsidR="00AE28E6" w:rsidRPr="0092230E">
        <w:rPr>
          <w:rFonts w:ascii="Arial" w:hAnsi="Arial" w:cs="Arial"/>
          <w:sz w:val="20"/>
        </w:rPr>
        <w:t xml:space="preserve">(as applicable) from a participating person’s gross telecommunications sales revenue for an eligible revenue period is that person’s </w:t>
      </w:r>
      <w:r w:rsidR="00181A9E" w:rsidRPr="0092230E">
        <w:rPr>
          <w:rFonts w:ascii="Arial" w:hAnsi="Arial" w:cs="Arial"/>
          <w:sz w:val="20"/>
        </w:rPr>
        <w:t>net telecommunications sales revenue</w:t>
      </w:r>
      <w:r w:rsidR="00AE28E6" w:rsidRPr="0092230E">
        <w:rPr>
          <w:rFonts w:ascii="Arial" w:hAnsi="Arial" w:cs="Arial"/>
          <w:sz w:val="20"/>
        </w:rPr>
        <w:t xml:space="preserve"> for that period</w:t>
      </w:r>
      <w:r w:rsidRPr="0092230E">
        <w:rPr>
          <w:rFonts w:ascii="Arial" w:hAnsi="Arial" w:cs="Arial"/>
          <w:sz w:val="20"/>
        </w:rPr>
        <w:t>.</w:t>
      </w:r>
      <w:r w:rsidR="00AE28E6" w:rsidRPr="0092230E">
        <w:rPr>
          <w:rFonts w:ascii="Arial" w:hAnsi="Arial" w:cs="Arial"/>
          <w:sz w:val="20"/>
        </w:rPr>
        <w:t xml:space="preserve"> A person is not required to deduct an amount from their gross telecommunications sales revenue. Hence, a person’s gross and net</w:t>
      </w:r>
      <w:r w:rsidR="00DF40AB" w:rsidRPr="0092230E">
        <w:rPr>
          <w:rFonts w:ascii="Arial" w:hAnsi="Arial" w:cs="Arial"/>
          <w:sz w:val="20"/>
        </w:rPr>
        <w:t xml:space="preserve"> telecommunications sales</w:t>
      </w:r>
      <w:r w:rsidR="00AE28E6" w:rsidRPr="0092230E">
        <w:rPr>
          <w:rFonts w:ascii="Arial" w:hAnsi="Arial" w:cs="Arial"/>
          <w:sz w:val="20"/>
        </w:rPr>
        <w:t xml:space="preserve"> revenue may be the same. </w:t>
      </w:r>
    </w:p>
    <w:p w14:paraId="436B4B5E" w14:textId="77777777" w:rsidR="00AE28E6" w:rsidRPr="0092230E" w:rsidRDefault="00AE28E6" w:rsidP="00A71F12">
      <w:pPr>
        <w:pStyle w:val="ABABulletLevel1"/>
        <w:spacing w:after="120"/>
        <w:rPr>
          <w:rFonts w:ascii="Arial" w:hAnsi="Arial" w:cs="Arial"/>
          <w:sz w:val="20"/>
        </w:rPr>
      </w:pPr>
    </w:p>
    <w:p w14:paraId="063726E6" w14:textId="77777777" w:rsidR="00AE28E6" w:rsidRPr="0092230E" w:rsidRDefault="00AE28E6" w:rsidP="00A71F12">
      <w:pPr>
        <w:pStyle w:val="ABABulletLevel1"/>
        <w:spacing w:after="120"/>
        <w:rPr>
          <w:rFonts w:ascii="Arial" w:hAnsi="Arial" w:cs="Arial"/>
          <w:b/>
          <w:sz w:val="20"/>
        </w:rPr>
      </w:pPr>
      <w:r w:rsidRPr="0092230E">
        <w:rPr>
          <w:rFonts w:ascii="Arial" w:hAnsi="Arial" w:cs="Arial"/>
          <w:b/>
          <w:sz w:val="20"/>
        </w:rPr>
        <w:t>Part 5 – Eligible revenue</w:t>
      </w:r>
    </w:p>
    <w:p w14:paraId="0CDBFF8D" w14:textId="77777777" w:rsidR="002A7A1A" w:rsidRPr="0092230E" w:rsidRDefault="002A7A1A" w:rsidP="002A7A1A">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103660" w:rsidRPr="0092230E">
        <w:rPr>
          <w:rFonts w:ascii="Arial" w:hAnsi="Arial" w:cs="Arial"/>
          <w:b/>
          <w:sz w:val="20"/>
        </w:rPr>
        <w:t>5</w:t>
      </w:r>
      <w:r w:rsidR="00067542" w:rsidRPr="0092230E">
        <w:rPr>
          <w:rFonts w:ascii="Arial" w:hAnsi="Arial" w:cs="Arial"/>
          <w:b/>
          <w:sz w:val="20"/>
        </w:rPr>
        <w:t xml:space="preserve"> </w:t>
      </w:r>
      <w:r w:rsidRPr="0092230E">
        <w:rPr>
          <w:rFonts w:ascii="Arial" w:hAnsi="Arial" w:cs="Arial"/>
          <w:b/>
          <w:sz w:val="20"/>
        </w:rPr>
        <w:t xml:space="preserve">– Purpose of Part </w:t>
      </w:r>
    </w:p>
    <w:p w14:paraId="6EE78E53" w14:textId="77777777" w:rsidR="002A7A1A" w:rsidRPr="0092230E" w:rsidRDefault="002A7A1A" w:rsidP="002A7A1A">
      <w:pPr>
        <w:pStyle w:val="ABABulletLevel1"/>
        <w:spacing w:after="120"/>
        <w:rPr>
          <w:rFonts w:ascii="Arial" w:hAnsi="Arial" w:cs="Arial"/>
          <w:sz w:val="20"/>
        </w:rPr>
      </w:pPr>
      <w:r w:rsidRPr="0092230E">
        <w:rPr>
          <w:rFonts w:ascii="Arial" w:hAnsi="Arial" w:cs="Arial"/>
          <w:sz w:val="20"/>
        </w:rPr>
        <w:t xml:space="preserve">Section </w:t>
      </w:r>
      <w:r w:rsidR="00103660" w:rsidRPr="0092230E">
        <w:rPr>
          <w:rFonts w:ascii="Arial" w:hAnsi="Arial" w:cs="Arial"/>
          <w:sz w:val="20"/>
        </w:rPr>
        <w:t xml:space="preserve">35 </w:t>
      </w:r>
      <w:r w:rsidR="00845A66" w:rsidRPr="0092230E">
        <w:rPr>
          <w:rFonts w:ascii="Arial" w:hAnsi="Arial" w:cs="Arial"/>
          <w:sz w:val="20"/>
        </w:rPr>
        <w:t xml:space="preserve">provides that the purpose of Part 5 is to set out how a participating person works out their eligible revenue following calculation of their </w:t>
      </w:r>
      <w:r w:rsidRPr="0092230E">
        <w:rPr>
          <w:rFonts w:ascii="Arial" w:hAnsi="Arial" w:cs="Arial"/>
          <w:sz w:val="20"/>
        </w:rPr>
        <w:t>net telecommunications sales revenue</w:t>
      </w:r>
      <w:r w:rsidR="00845A66" w:rsidRPr="0092230E">
        <w:rPr>
          <w:rFonts w:ascii="Arial" w:hAnsi="Arial" w:cs="Arial"/>
          <w:sz w:val="20"/>
        </w:rPr>
        <w:t xml:space="preserve"> under Part 4. </w:t>
      </w:r>
    </w:p>
    <w:p w14:paraId="444BF8A5" w14:textId="77777777" w:rsidR="00845A66" w:rsidRPr="0092230E" w:rsidRDefault="00845A66" w:rsidP="002A7A1A">
      <w:pPr>
        <w:pStyle w:val="ABABulletLevel1"/>
        <w:spacing w:after="120"/>
        <w:rPr>
          <w:rFonts w:ascii="Arial" w:hAnsi="Arial" w:cs="Arial"/>
          <w:sz w:val="20"/>
        </w:rPr>
      </w:pPr>
    </w:p>
    <w:p w14:paraId="4D06B52D" w14:textId="77777777" w:rsidR="007262D6" w:rsidRDefault="007262D6">
      <w:pPr>
        <w:spacing w:after="200" w:line="276" w:lineRule="auto"/>
        <w:rPr>
          <w:rFonts w:ascii="Arial" w:hAnsi="Arial" w:cs="Arial"/>
          <w:b/>
          <w:szCs w:val="20"/>
          <w:lang w:eastAsia="en-US"/>
        </w:rPr>
      </w:pPr>
      <w:r>
        <w:rPr>
          <w:rFonts w:ascii="Arial" w:hAnsi="Arial" w:cs="Arial"/>
          <w:b/>
        </w:rPr>
        <w:br w:type="page"/>
      </w:r>
    </w:p>
    <w:p w14:paraId="318E9A66" w14:textId="3A2C3554" w:rsidR="005121EC" w:rsidRPr="0092230E" w:rsidRDefault="005121EC" w:rsidP="005121EC">
      <w:pPr>
        <w:pStyle w:val="ABABulletLevel1"/>
        <w:spacing w:after="120"/>
        <w:rPr>
          <w:rFonts w:ascii="Arial" w:hAnsi="Arial" w:cs="Arial"/>
          <w:b/>
          <w:sz w:val="20"/>
        </w:rPr>
      </w:pPr>
      <w:r w:rsidRPr="0092230E">
        <w:rPr>
          <w:rFonts w:ascii="Arial" w:hAnsi="Arial" w:cs="Arial"/>
          <w:b/>
          <w:sz w:val="20"/>
        </w:rPr>
        <w:lastRenderedPageBreak/>
        <w:t xml:space="preserve">Section </w:t>
      </w:r>
      <w:r w:rsidR="00067542" w:rsidRPr="0092230E">
        <w:rPr>
          <w:rFonts w:ascii="Arial" w:hAnsi="Arial" w:cs="Arial"/>
          <w:b/>
          <w:sz w:val="20"/>
        </w:rPr>
        <w:t>3</w:t>
      </w:r>
      <w:r w:rsidR="007B5B61" w:rsidRPr="0092230E">
        <w:rPr>
          <w:rFonts w:ascii="Arial" w:hAnsi="Arial" w:cs="Arial"/>
          <w:b/>
          <w:sz w:val="20"/>
        </w:rPr>
        <w:t>6</w:t>
      </w:r>
      <w:r w:rsidR="00067542" w:rsidRPr="0092230E">
        <w:rPr>
          <w:rFonts w:ascii="Arial" w:hAnsi="Arial" w:cs="Arial"/>
          <w:b/>
          <w:sz w:val="20"/>
        </w:rPr>
        <w:t xml:space="preserve"> </w:t>
      </w:r>
      <w:r w:rsidRPr="0092230E">
        <w:rPr>
          <w:rFonts w:ascii="Arial" w:hAnsi="Arial" w:cs="Arial"/>
          <w:b/>
          <w:sz w:val="20"/>
        </w:rPr>
        <w:t>– Revenue accounted for on a group basis</w:t>
      </w:r>
    </w:p>
    <w:p w14:paraId="46C60755" w14:textId="77777777" w:rsidR="00D75DB0" w:rsidRPr="0092230E" w:rsidRDefault="005121EC" w:rsidP="005A531D">
      <w:pPr>
        <w:pStyle w:val="ABABulletLevel1"/>
        <w:spacing w:after="120"/>
        <w:rPr>
          <w:rFonts w:ascii="Arial" w:hAnsi="Arial" w:cs="Arial"/>
          <w:sz w:val="20"/>
        </w:rPr>
      </w:pPr>
      <w:r w:rsidRPr="0092230E">
        <w:rPr>
          <w:rFonts w:ascii="Arial" w:hAnsi="Arial" w:cs="Arial"/>
          <w:sz w:val="20"/>
        </w:rPr>
        <w:t xml:space="preserve">Section </w:t>
      </w:r>
      <w:r w:rsidR="007B5B61" w:rsidRPr="0092230E">
        <w:rPr>
          <w:rFonts w:ascii="Arial" w:hAnsi="Arial" w:cs="Arial"/>
          <w:sz w:val="20"/>
        </w:rPr>
        <w:t xml:space="preserve">36 </w:t>
      </w:r>
      <w:r w:rsidRPr="0092230E">
        <w:rPr>
          <w:rFonts w:ascii="Arial" w:hAnsi="Arial" w:cs="Arial"/>
          <w:sz w:val="20"/>
        </w:rPr>
        <w:t xml:space="preserve">provides that if the </w:t>
      </w:r>
      <w:r w:rsidR="00D75DB0" w:rsidRPr="0092230E">
        <w:rPr>
          <w:rFonts w:ascii="Arial" w:hAnsi="Arial" w:cs="Arial"/>
          <w:sz w:val="20"/>
        </w:rPr>
        <w:t xml:space="preserve">net telecommunications sales </w:t>
      </w:r>
      <w:r w:rsidRPr="0092230E">
        <w:rPr>
          <w:rFonts w:ascii="Arial" w:hAnsi="Arial" w:cs="Arial"/>
          <w:sz w:val="20"/>
        </w:rPr>
        <w:t xml:space="preserve">revenue </w:t>
      </w:r>
      <w:r w:rsidR="00D75DB0" w:rsidRPr="0092230E">
        <w:rPr>
          <w:rFonts w:ascii="Arial" w:hAnsi="Arial" w:cs="Arial"/>
          <w:sz w:val="20"/>
        </w:rPr>
        <w:t xml:space="preserve">of two or more participating persons </w:t>
      </w:r>
      <w:r w:rsidRPr="0092230E">
        <w:rPr>
          <w:rFonts w:ascii="Arial" w:hAnsi="Arial" w:cs="Arial"/>
          <w:sz w:val="20"/>
        </w:rPr>
        <w:t xml:space="preserve">has been accounted </w:t>
      </w:r>
      <w:r w:rsidR="00D75DB0" w:rsidRPr="0092230E">
        <w:rPr>
          <w:rFonts w:ascii="Arial" w:hAnsi="Arial" w:cs="Arial"/>
          <w:sz w:val="20"/>
        </w:rPr>
        <w:t xml:space="preserve">for on a group basis </w:t>
      </w:r>
      <w:r w:rsidRPr="0092230E">
        <w:rPr>
          <w:rFonts w:ascii="Arial" w:hAnsi="Arial" w:cs="Arial"/>
          <w:sz w:val="20"/>
        </w:rPr>
        <w:t xml:space="preserve">(that is, </w:t>
      </w:r>
      <w:r w:rsidR="00D75DB0" w:rsidRPr="0092230E">
        <w:rPr>
          <w:rFonts w:ascii="Arial" w:hAnsi="Arial" w:cs="Arial"/>
          <w:sz w:val="20"/>
        </w:rPr>
        <w:t xml:space="preserve">revenue and deductions </w:t>
      </w:r>
      <w:r w:rsidRPr="0092230E">
        <w:rPr>
          <w:rFonts w:ascii="Arial" w:hAnsi="Arial" w:cs="Arial"/>
          <w:sz w:val="20"/>
        </w:rPr>
        <w:t xml:space="preserve">are </w:t>
      </w:r>
      <w:r w:rsidR="00D75DB0" w:rsidRPr="0092230E">
        <w:rPr>
          <w:rFonts w:ascii="Arial" w:hAnsi="Arial" w:cs="Arial"/>
          <w:sz w:val="20"/>
        </w:rPr>
        <w:t xml:space="preserve">accounted for and </w:t>
      </w:r>
      <w:r w:rsidRPr="0092230E">
        <w:rPr>
          <w:rFonts w:ascii="Arial" w:hAnsi="Arial" w:cs="Arial"/>
          <w:sz w:val="20"/>
        </w:rPr>
        <w:t xml:space="preserve">made on a </w:t>
      </w:r>
      <w:r w:rsidR="00D75DB0" w:rsidRPr="0092230E">
        <w:rPr>
          <w:rFonts w:ascii="Arial" w:hAnsi="Arial" w:cs="Arial"/>
          <w:sz w:val="20"/>
        </w:rPr>
        <w:t xml:space="preserve">group </w:t>
      </w:r>
      <w:r w:rsidRPr="0092230E">
        <w:rPr>
          <w:rFonts w:ascii="Arial" w:hAnsi="Arial" w:cs="Arial"/>
          <w:sz w:val="20"/>
        </w:rPr>
        <w:t>basis</w:t>
      </w:r>
      <w:r w:rsidR="00D75DB0" w:rsidRPr="0092230E">
        <w:rPr>
          <w:rFonts w:ascii="Arial" w:hAnsi="Arial" w:cs="Arial"/>
          <w:sz w:val="20"/>
        </w:rPr>
        <w:t xml:space="preserve">, </w:t>
      </w:r>
      <w:r w:rsidRPr="0092230E">
        <w:rPr>
          <w:rFonts w:ascii="Arial" w:hAnsi="Arial" w:cs="Arial"/>
          <w:sz w:val="20"/>
        </w:rPr>
        <w:t xml:space="preserve">under subsection </w:t>
      </w:r>
      <w:r w:rsidR="007B5B61" w:rsidRPr="0092230E">
        <w:rPr>
          <w:rFonts w:ascii="Arial" w:hAnsi="Arial" w:cs="Arial"/>
          <w:sz w:val="20"/>
        </w:rPr>
        <w:t>11</w:t>
      </w:r>
      <w:r w:rsidRPr="0092230E">
        <w:rPr>
          <w:rFonts w:ascii="Arial" w:hAnsi="Arial" w:cs="Arial"/>
          <w:sz w:val="20"/>
        </w:rPr>
        <w:t>(3)), then the amount of net telecommunications sales re</w:t>
      </w:r>
      <w:r w:rsidR="005A531D" w:rsidRPr="0092230E">
        <w:rPr>
          <w:rFonts w:ascii="Arial" w:hAnsi="Arial" w:cs="Arial"/>
          <w:sz w:val="20"/>
        </w:rPr>
        <w:t xml:space="preserve">venue relating to each participating person </w:t>
      </w:r>
      <w:r w:rsidR="00D75DB0" w:rsidRPr="0092230E">
        <w:rPr>
          <w:rFonts w:ascii="Arial" w:hAnsi="Arial" w:cs="Arial"/>
          <w:sz w:val="20"/>
        </w:rPr>
        <w:t xml:space="preserve">in the group </w:t>
      </w:r>
      <w:r w:rsidR="005A531D" w:rsidRPr="0092230E">
        <w:rPr>
          <w:rFonts w:ascii="Arial" w:hAnsi="Arial" w:cs="Arial"/>
          <w:sz w:val="20"/>
        </w:rPr>
        <w:t>must now be separately identified</w:t>
      </w:r>
      <w:r w:rsidRPr="0092230E">
        <w:rPr>
          <w:rFonts w:ascii="Arial" w:hAnsi="Arial" w:cs="Arial"/>
          <w:sz w:val="20"/>
        </w:rPr>
        <w:t>.</w:t>
      </w:r>
      <w:r w:rsidR="005A531D" w:rsidRPr="0092230E">
        <w:rPr>
          <w:rFonts w:ascii="Arial" w:hAnsi="Arial" w:cs="Arial"/>
          <w:sz w:val="20"/>
        </w:rPr>
        <w:t xml:space="preserve"> </w:t>
      </w:r>
    </w:p>
    <w:p w14:paraId="36141E46" w14:textId="77777777" w:rsidR="00D75DB0" w:rsidRPr="0092230E" w:rsidRDefault="005A531D" w:rsidP="005A531D">
      <w:pPr>
        <w:pStyle w:val="ABABulletLevel1"/>
        <w:spacing w:after="120"/>
        <w:rPr>
          <w:rFonts w:ascii="Arial" w:hAnsi="Arial" w:cs="Arial"/>
          <w:sz w:val="20"/>
        </w:rPr>
      </w:pPr>
      <w:r w:rsidRPr="0092230E">
        <w:rPr>
          <w:rFonts w:ascii="Arial" w:hAnsi="Arial" w:cs="Arial"/>
          <w:sz w:val="20"/>
        </w:rPr>
        <w:t xml:space="preserve">After working out </w:t>
      </w:r>
      <w:r w:rsidR="00D75DB0" w:rsidRPr="0092230E">
        <w:rPr>
          <w:rFonts w:ascii="Arial" w:hAnsi="Arial" w:cs="Arial"/>
          <w:sz w:val="20"/>
        </w:rPr>
        <w:t xml:space="preserve">their net telecommunications sales revenue </w:t>
      </w:r>
      <w:r w:rsidRPr="0092230E">
        <w:rPr>
          <w:rFonts w:ascii="Arial" w:hAnsi="Arial" w:cs="Arial"/>
          <w:sz w:val="20"/>
        </w:rPr>
        <w:t xml:space="preserve">on a group basis, each participating person </w:t>
      </w:r>
      <w:r w:rsidR="00D75DB0" w:rsidRPr="0092230E">
        <w:rPr>
          <w:rFonts w:ascii="Arial" w:hAnsi="Arial" w:cs="Arial"/>
          <w:sz w:val="20"/>
        </w:rPr>
        <w:t xml:space="preserve">in the group </w:t>
      </w:r>
      <w:r w:rsidRPr="0092230E">
        <w:rPr>
          <w:rFonts w:ascii="Arial" w:hAnsi="Arial" w:cs="Arial"/>
          <w:sz w:val="20"/>
        </w:rPr>
        <w:t xml:space="preserve">must </w:t>
      </w:r>
      <w:r w:rsidR="00D75DB0" w:rsidRPr="0092230E">
        <w:rPr>
          <w:rFonts w:ascii="Arial" w:hAnsi="Arial" w:cs="Arial"/>
          <w:sz w:val="20"/>
        </w:rPr>
        <w:t xml:space="preserve">identify, from the accounts prepared on a group basis, </w:t>
      </w:r>
      <w:r w:rsidRPr="0092230E">
        <w:rPr>
          <w:rFonts w:ascii="Arial" w:hAnsi="Arial" w:cs="Arial"/>
          <w:sz w:val="20"/>
        </w:rPr>
        <w:t xml:space="preserve">how much of the </w:t>
      </w:r>
      <w:r w:rsidR="00D75DB0" w:rsidRPr="0092230E">
        <w:rPr>
          <w:rFonts w:ascii="Arial" w:hAnsi="Arial" w:cs="Arial"/>
          <w:sz w:val="20"/>
        </w:rPr>
        <w:t>net telecommunications sales revenue of the group is their net telecommunications sales revenue, and how much is the net telecommunications sales revenue of other participating persons or persons in the group</w:t>
      </w:r>
      <w:r w:rsidRPr="0092230E">
        <w:rPr>
          <w:rFonts w:ascii="Arial" w:hAnsi="Arial" w:cs="Arial"/>
          <w:sz w:val="20"/>
        </w:rPr>
        <w:t xml:space="preserve">. </w:t>
      </w:r>
    </w:p>
    <w:p w14:paraId="3CDA2777" w14:textId="77777777" w:rsidR="00D75DB0" w:rsidRPr="0092230E" w:rsidRDefault="00D75DB0" w:rsidP="005A531D">
      <w:pPr>
        <w:pStyle w:val="ABABulletLevel1"/>
        <w:spacing w:after="120"/>
        <w:rPr>
          <w:rFonts w:ascii="Arial" w:hAnsi="Arial" w:cs="Arial"/>
          <w:sz w:val="20"/>
        </w:rPr>
      </w:pPr>
      <w:r w:rsidRPr="0092230E">
        <w:rPr>
          <w:rFonts w:ascii="Arial" w:hAnsi="Arial" w:cs="Arial"/>
          <w:sz w:val="20"/>
        </w:rPr>
        <w:t xml:space="preserve">Eligible revenue is calculated on an individual, not group basis, hence it is necessary to determine the net telecommunications sales revenue of each individual participating person in a group. </w:t>
      </w:r>
    </w:p>
    <w:p w14:paraId="1828D760" w14:textId="77777777" w:rsidR="00782277" w:rsidRPr="0092230E" w:rsidRDefault="00A6675A" w:rsidP="003214EE">
      <w:pPr>
        <w:pStyle w:val="ABABulletLevel1"/>
        <w:spacing w:after="120"/>
        <w:rPr>
          <w:rFonts w:ascii="Arial" w:hAnsi="Arial" w:cs="Arial"/>
          <w:sz w:val="20"/>
        </w:rPr>
      </w:pPr>
      <w:r w:rsidRPr="0092230E">
        <w:rPr>
          <w:rFonts w:ascii="Arial" w:hAnsi="Arial" w:cs="Arial"/>
          <w:sz w:val="20"/>
        </w:rPr>
        <w:t xml:space="preserve">Subsection </w:t>
      </w:r>
      <w:r w:rsidR="007B5B61" w:rsidRPr="0092230E">
        <w:rPr>
          <w:rFonts w:ascii="Arial" w:hAnsi="Arial" w:cs="Arial"/>
          <w:sz w:val="20"/>
        </w:rPr>
        <w:t>36</w:t>
      </w:r>
      <w:r w:rsidRPr="0092230E">
        <w:rPr>
          <w:rFonts w:ascii="Arial" w:hAnsi="Arial" w:cs="Arial"/>
          <w:sz w:val="20"/>
        </w:rPr>
        <w:t xml:space="preserve">(3) provides that the ACMA may declare that the eligible revenue of a </w:t>
      </w:r>
      <w:r w:rsidR="00B63CA4" w:rsidRPr="0092230E">
        <w:rPr>
          <w:rFonts w:ascii="Arial" w:hAnsi="Arial" w:cs="Arial"/>
          <w:sz w:val="20"/>
        </w:rPr>
        <w:t xml:space="preserve">specified </w:t>
      </w:r>
      <w:r w:rsidRPr="0092230E">
        <w:rPr>
          <w:rFonts w:ascii="Arial" w:hAnsi="Arial" w:cs="Arial"/>
          <w:sz w:val="20"/>
        </w:rPr>
        <w:t xml:space="preserve">participating person is to be attributed in a </w:t>
      </w:r>
      <w:r w:rsidR="00B63CA4" w:rsidRPr="0092230E">
        <w:rPr>
          <w:rFonts w:ascii="Arial" w:hAnsi="Arial" w:cs="Arial"/>
          <w:sz w:val="20"/>
        </w:rPr>
        <w:t xml:space="preserve">specified </w:t>
      </w:r>
      <w:r w:rsidRPr="0092230E">
        <w:rPr>
          <w:rFonts w:ascii="Arial" w:hAnsi="Arial" w:cs="Arial"/>
          <w:sz w:val="20"/>
        </w:rPr>
        <w:t xml:space="preserve">way when it is being worked out by the person as a member of a group. This power is intended to enable the ACMA to deal with circumstances where it considers the way revenue is being attributed is inappropriate, for example, because it favours a particular participating person in a group to the disadvantage of others </w:t>
      </w:r>
      <w:r w:rsidR="00B63CA4" w:rsidRPr="0092230E">
        <w:rPr>
          <w:rFonts w:ascii="Arial" w:hAnsi="Arial" w:cs="Arial"/>
          <w:sz w:val="20"/>
        </w:rPr>
        <w:t xml:space="preserve">in </w:t>
      </w:r>
      <w:r w:rsidRPr="0092230E">
        <w:rPr>
          <w:rFonts w:ascii="Arial" w:hAnsi="Arial" w:cs="Arial"/>
          <w:sz w:val="20"/>
        </w:rPr>
        <w:t>the group.</w:t>
      </w:r>
    </w:p>
    <w:p w14:paraId="4142A9C1" w14:textId="77777777" w:rsidR="00C749E3" w:rsidRPr="0092230E" w:rsidRDefault="00C749E3" w:rsidP="00C749E3">
      <w:pPr>
        <w:spacing w:after="200" w:line="240" w:lineRule="auto"/>
        <w:rPr>
          <w:rFonts w:ascii="Arial" w:hAnsi="Arial" w:cs="Arial"/>
          <w:szCs w:val="20"/>
        </w:rPr>
      </w:pPr>
    </w:p>
    <w:p w14:paraId="026E2AF2" w14:textId="00330B3C" w:rsidR="00DB1DA9" w:rsidRPr="0092230E" w:rsidRDefault="00866A73" w:rsidP="00C749E3">
      <w:pPr>
        <w:spacing w:after="200" w:line="276" w:lineRule="auto"/>
        <w:rPr>
          <w:rFonts w:ascii="Arial" w:hAnsi="Arial" w:cs="Arial"/>
          <w:szCs w:val="20"/>
          <w:lang w:eastAsia="en-US"/>
        </w:rPr>
      </w:pPr>
      <w:r w:rsidRPr="0092230E">
        <w:rPr>
          <w:rFonts w:ascii="Arial" w:hAnsi="Arial" w:cs="Arial"/>
          <w:b/>
          <w:szCs w:val="20"/>
        </w:rPr>
        <w:t>Section 3</w:t>
      </w:r>
      <w:r w:rsidR="007B5B61" w:rsidRPr="0092230E">
        <w:rPr>
          <w:rFonts w:ascii="Arial" w:hAnsi="Arial" w:cs="Arial"/>
          <w:b/>
          <w:szCs w:val="20"/>
        </w:rPr>
        <w:t>7</w:t>
      </w:r>
      <w:r w:rsidRPr="0092230E">
        <w:rPr>
          <w:rFonts w:ascii="Arial" w:hAnsi="Arial" w:cs="Arial"/>
          <w:b/>
          <w:szCs w:val="20"/>
        </w:rPr>
        <w:t xml:space="preserve"> – Eligible revenue</w:t>
      </w:r>
    </w:p>
    <w:p w14:paraId="577246BA" w14:textId="77777777" w:rsidR="00B63CA4" w:rsidRPr="0092230E" w:rsidRDefault="00DB1DA9" w:rsidP="00DB1DA9">
      <w:pPr>
        <w:pStyle w:val="ABABulletLevel1"/>
        <w:spacing w:after="120"/>
        <w:rPr>
          <w:rFonts w:ascii="Arial" w:hAnsi="Arial" w:cs="Arial"/>
          <w:sz w:val="20"/>
        </w:rPr>
      </w:pPr>
      <w:r w:rsidRPr="0092230E">
        <w:rPr>
          <w:rFonts w:ascii="Arial" w:hAnsi="Arial" w:cs="Arial"/>
          <w:sz w:val="20"/>
        </w:rPr>
        <w:t xml:space="preserve">Section </w:t>
      </w:r>
      <w:r w:rsidR="007B5B61" w:rsidRPr="0092230E">
        <w:rPr>
          <w:rFonts w:ascii="Arial" w:hAnsi="Arial" w:cs="Arial"/>
          <w:sz w:val="20"/>
        </w:rPr>
        <w:t xml:space="preserve">37 </w:t>
      </w:r>
      <w:r w:rsidRPr="0092230E">
        <w:rPr>
          <w:rFonts w:ascii="Arial" w:hAnsi="Arial" w:cs="Arial"/>
          <w:sz w:val="20"/>
        </w:rPr>
        <w:t>provides</w:t>
      </w:r>
      <w:r w:rsidR="00B63CA4" w:rsidRPr="0092230E">
        <w:rPr>
          <w:rFonts w:ascii="Arial" w:hAnsi="Arial" w:cs="Arial"/>
          <w:sz w:val="20"/>
        </w:rPr>
        <w:t xml:space="preserve"> that a participating person’s eligible revenue for an eligible revenue period is equal to the participating person’s net telecommunications sales revenue for that period</w:t>
      </w:r>
      <w:r w:rsidR="005827AD" w:rsidRPr="0092230E">
        <w:rPr>
          <w:rFonts w:ascii="Arial" w:hAnsi="Arial" w:cs="Arial"/>
          <w:sz w:val="20"/>
        </w:rPr>
        <w:t>, if their net telecommunications sales revenue is zero or more</w:t>
      </w:r>
      <w:r w:rsidR="00B63CA4" w:rsidRPr="0092230E">
        <w:rPr>
          <w:rFonts w:ascii="Arial" w:hAnsi="Arial" w:cs="Arial"/>
          <w:sz w:val="20"/>
        </w:rPr>
        <w:t xml:space="preserve">. If a participating person’s net telecommunications sales revenue is less than zero, then their eligible revenue is taken to be zero. </w:t>
      </w:r>
      <w:r w:rsidR="005827AD" w:rsidRPr="0092230E">
        <w:rPr>
          <w:rFonts w:ascii="Arial" w:hAnsi="Arial" w:cs="Arial"/>
          <w:sz w:val="20"/>
        </w:rPr>
        <w:t>If section 3</w:t>
      </w:r>
      <w:r w:rsidR="007B5B61" w:rsidRPr="0092230E">
        <w:rPr>
          <w:rFonts w:ascii="Arial" w:hAnsi="Arial" w:cs="Arial"/>
          <w:sz w:val="20"/>
        </w:rPr>
        <w:t>6</w:t>
      </w:r>
      <w:r w:rsidR="005827AD" w:rsidRPr="0092230E">
        <w:rPr>
          <w:rFonts w:ascii="Arial" w:hAnsi="Arial" w:cs="Arial"/>
          <w:sz w:val="20"/>
        </w:rPr>
        <w:t xml:space="preserve"> applies, the net telecommunications sales revenue </w:t>
      </w:r>
      <w:r w:rsidR="00146E4F" w:rsidRPr="0092230E">
        <w:rPr>
          <w:rFonts w:ascii="Arial" w:hAnsi="Arial" w:cs="Arial"/>
          <w:sz w:val="20"/>
        </w:rPr>
        <w:t xml:space="preserve">of the participating person </w:t>
      </w:r>
      <w:r w:rsidR="005827AD" w:rsidRPr="0092230E">
        <w:rPr>
          <w:rFonts w:ascii="Arial" w:hAnsi="Arial" w:cs="Arial"/>
          <w:sz w:val="20"/>
        </w:rPr>
        <w:t xml:space="preserve">is ascertained in accordance with that section. </w:t>
      </w:r>
    </w:p>
    <w:p w14:paraId="56102BFB" w14:textId="250034AA" w:rsidR="001C5B4A" w:rsidRPr="0092230E" w:rsidRDefault="004859D9">
      <w:pPr>
        <w:pStyle w:val="ABABulletLevel1"/>
        <w:spacing w:after="120"/>
        <w:rPr>
          <w:rFonts w:ascii="Arial" w:hAnsi="Arial" w:cs="Arial"/>
          <w:sz w:val="20"/>
        </w:rPr>
      </w:pPr>
      <w:r w:rsidRPr="0092230E">
        <w:rPr>
          <w:rFonts w:ascii="Arial" w:hAnsi="Arial" w:cs="Arial"/>
          <w:sz w:val="20"/>
        </w:rPr>
        <w:t>It should also be noted that s</w:t>
      </w:r>
      <w:r w:rsidR="00B63CA4" w:rsidRPr="0092230E">
        <w:rPr>
          <w:rFonts w:ascii="Arial" w:hAnsi="Arial" w:cs="Arial"/>
          <w:sz w:val="20"/>
        </w:rPr>
        <w:t xml:space="preserve">ubsection </w:t>
      </w:r>
      <w:r w:rsidR="00BC7480" w:rsidRPr="0092230E">
        <w:rPr>
          <w:rFonts w:ascii="Arial" w:hAnsi="Arial" w:cs="Arial"/>
          <w:sz w:val="20"/>
        </w:rPr>
        <w:t>45</w:t>
      </w:r>
      <w:r w:rsidR="00B63CA4" w:rsidRPr="0092230E">
        <w:rPr>
          <w:rFonts w:ascii="Arial" w:hAnsi="Arial" w:cs="Arial"/>
          <w:sz w:val="20"/>
        </w:rPr>
        <w:t xml:space="preserve">(3) of the </w:t>
      </w:r>
      <w:r w:rsidR="00BC7480" w:rsidRPr="0092230E">
        <w:rPr>
          <w:rFonts w:ascii="Arial" w:hAnsi="Arial" w:cs="Arial"/>
          <w:sz w:val="20"/>
        </w:rPr>
        <w:t>TCPSS</w:t>
      </w:r>
      <w:r w:rsidR="00B63CA4" w:rsidRPr="0092230E">
        <w:rPr>
          <w:rFonts w:ascii="Arial" w:hAnsi="Arial" w:cs="Arial"/>
          <w:sz w:val="20"/>
        </w:rPr>
        <w:t xml:space="preserve"> Act gives the Minister the discretion to set a ‘threshold amount’. If a determination under subsection </w:t>
      </w:r>
      <w:r w:rsidR="00BC7480" w:rsidRPr="0092230E">
        <w:rPr>
          <w:rFonts w:ascii="Arial" w:hAnsi="Arial" w:cs="Arial"/>
          <w:sz w:val="20"/>
        </w:rPr>
        <w:t>45</w:t>
      </w:r>
      <w:r w:rsidR="00B63CA4" w:rsidRPr="0092230E">
        <w:rPr>
          <w:rFonts w:ascii="Arial" w:hAnsi="Arial" w:cs="Arial"/>
          <w:sz w:val="20"/>
        </w:rPr>
        <w:t>(3) is in force setting a threshold amount, a participating person’s eligible revenue for an eligible revenue period:</w:t>
      </w:r>
    </w:p>
    <w:p w14:paraId="457427EE" w14:textId="77777777" w:rsidR="00A25946" w:rsidRPr="0092230E" w:rsidRDefault="00476373" w:rsidP="00A25946">
      <w:pPr>
        <w:pStyle w:val="notetext"/>
        <w:numPr>
          <w:ilvl w:val="0"/>
          <w:numId w:val="21"/>
        </w:numPr>
        <w:spacing w:line="240" w:lineRule="auto"/>
        <w:ind w:hanging="644"/>
        <w:rPr>
          <w:rFonts w:ascii="Arial" w:hAnsi="Arial" w:cs="Arial"/>
          <w:sz w:val="20"/>
        </w:rPr>
      </w:pPr>
      <w:r w:rsidRPr="0092230E">
        <w:rPr>
          <w:rFonts w:ascii="Arial" w:hAnsi="Arial" w:cs="Arial"/>
          <w:sz w:val="20"/>
        </w:rPr>
        <w:t>is taken to be zero if the person’s eligible revenue is less than the</w:t>
      </w:r>
      <w:r w:rsidRPr="0092230E">
        <w:rPr>
          <w:rFonts w:ascii="Arial" w:hAnsi="Arial" w:cs="Arial"/>
          <w:b/>
          <w:bCs/>
          <w:i/>
          <w:iCs/>
          <w:sz w:val="20"/>
        </w:rPr>
        <w:t xml:space="preserve"> </w:t>
      </w:r>
      <w:r w:rsidRPr="0092230E">
        <w:rPr>
          <w:rFonts w:ascii="Arial" w:hAnsi="Arial" w:cs="Arial"/>
          <w:bCs/>
          <w:iCs/>
          <w:sz w:val="20"/>
        </w:rPr>
        <w:t>threshold amount</w:t>
      </w:r>
      <w:r w:rsidR="00483F25" w:rsidRPr="0092230E">
        <w:rPr>
          <w:rFonts w:ascii="Arial" w:hAnsi="Arial" w:cs="Arial"/>
          <w:sz w:val="20"/>
        </w:rPr>
        <w:t xml:space="preserve"> </w:t>
      </w:r>
      <w:r w:rsidRPr="0092230E">
        <w:rPr>
          <w:rFonts w:ascii="Arial" w:hAnsi="Arial" w:cs="Arial"/>
          <w:sz w:val="20"/>
        </w:rPr>
        <w:t>specified in the determination; or</w:t>
      </w:r>
    </w:p>
    <w:p w14:paraId="142CB6F2" w14:textId="77777777" w:rsidR="00A25946" w:rsidRPr="0092230E" w:rsidRDefault="00476373" w:rsidP="00A25946">
      <w:pPr>
        <w:pStyle w:val="notetext"/>
        <w:numPr>
          <w:ilvl w:val="0"/>
          <w:numId w:val="21"/>
        </w:numPr>
        <w:spacing w:line="240" w:lineRule="auto"/>
        <w:ind w:hanging="644"/>
        <w:rPr>
          <w:rFonts w:ascii="Arial" w:hAnsi="Arial" w:cs="Arial"/>
          <w:sz w:val="20"/>
        </w:rPr>
      </w:pPr>
      <w:r w:rsidRPr="0092230E">
        <w:rPr>
          <w:rFonts w:ascii="Arial" w:hAnsi="Arial" w:cs="Arial"/>
          <w:sz w:val="20"/>
        </w:rPr>
        <w:t>in any other case—must be reduced by the threshold amount</w:t>
      </w:r>
      <w:r w:rsidR="00483F25" w:rsidRPr="0092230E">
        <w:rPr>
          <w:rFonts w:ascii="Arial" w:hAnsi="Arial" w:cs="Arial"/>
          <w:sz w:val="20"/>
        </w:rPr>
        <w:t>.</w:t>
      </w:r>
    </w:p>
    <w:p w14:paraId="12732175" w14:textId="5791994A" w:rsidR="00A25946" w:rsidRPr="0092230E" w:rsidRDefault="00A25946" w:rsidP="00A25946">
      <w:pPr>
        <w:pStyle w:val="ABABulletLevel1"/>
        <w:spacing w:before="120" w:after="120"/>
        <w:rPr>
          <w:rFonts w:ascii="Arial" w:hAnsi="Arial" w:cs="Arial"/>
          <w:sz w:val="20"/>
        </w:rPr>
      </w:pPr>
      <w:r w:rsidRPr="0092230E">
        <w:rPr>
          <w:rFonts w:ascii="Arial" w:hAnsi="Arial" w:cs="Arial"/>
          <w:sz w:val="20"/>
        </w:rPr>
        <w:t xml:space="preserve">As at the date of making the Determination, the Minister had not made a determination under </w:t>
      </w:r>
      <w:r w:rsidR="004859D9" w:rsidRPr="0092230E">
        <w:rPr>
          <w:rFonts w:ascii="Arial" w:hAnsi="Arial" w:cs="Arial"/>
          <w:sz w:val="20"/>
        </w:rPr>
        <w:t xml:space="preserve">subsection </w:t>
      </w:r>
      <w:r w:rsidR="00BC7480" w:rsidRPr="0092230E">
        <w:rPr>
          <w:rFonts w:ascii="Arial" w:hAnsi="Arial" w:cs="Arial"/>
          <w:sz w:val="20"/>
        </w:rPr>
        <w:t>45</w:t>
      </w:r>
      <w:r w:rsidR="004859D9" w:rsidRPr="0092230E">
        <w:rPr>
          <w:rFonts w:ascii="Arial" w:hAnsi="Arial" w:cs="Arial"/>
          <w:sz w:val="20"/>
        </w:rPr>
        <w:t xml:space="preserve">(3) of the </w:t>
      </w:r>
      <w:r w:rsidR="00BC7480" w:rsidRPr="0092230E">
        <w:rPr>
          <w:rFonts w:ascii="Arial" w:hAnsi="Arial" w:cs="Arial"/>
          <w:sz w:val="20"/>
        </w:rPr>
        <w:t>TCPSS</w:t>
      </w:r>
      <w:r w:rsidR="004859D9" w:rsidRPr="0092230E">
        <w:rPr>
          <w:rFonts w:ascii="Arial" w:hAnsi="Arial" w:cs="Arial"/>
          <w:sz w:val="20"/>
        </w:rPr>
        <w:t xml:space="preserve"> Act setting a threshold amount</w:t>
      </w:r>
      <w:r w:rsidR="00BC7480" w:rsidRPr="0092230E">
        <w:rPr>
          <w:rFonts w:ascii="Arial" w:hAnsi="Arial" w:cs="Arial"/>
          <w:sz w:val="20"/>
        </w:rPr>
        <w:t xml:space="preserve"> or under its predecessor provision </w:t>
      </w:r>
      <w:r w:rsidR="00F827A4">
        <w:rPr>
          <w:rFonts w:ascii="Arial" w:hAnsi="Arial" w:cs="Arial"/>
          <w:sz w:val="20"/>
        </w:rPr>
        <w:t>which was</w:t>
      </w:r>
      <w:r w:rsidR="00F827A4" w:rsidRPr="0092230E">
        <w:rPr>
          <w:rFonts w:ascii="Arial" w:hAnsi="Arial" w:cs="Arial"/>
          <w:sz w:val="20"/>
        </w:rPr>
        <w:t xml:space="preserve"> </w:t>
      </w:r>
      <w:r w:rsidR="00BC7480" w:rsidRPr="0092230E">
        <w:rPr>
          <w:rFonts w:ascii="Arial" w:hAnsi="Arial" w:cs="Arial"/>
          <w:sz w:val="20"/>
        </w:rPr>
        <w:t>subsection 93(3) of the TUSMA Act</w:t>
      </w:r>
      <w:r w:rsidR="004859D9" w:rsidRPr="0092230E">
        <w:rPr>
          <w:rFonts w:ascii="Arial" w:hAnsi="Arial" w:cs="Arial"/>
          <w:sz w:val="20"/>
        </w:rPr>
        <w:t>.</w:t>
      </w:r>
    </w:p>
    <w:p w14:paraId="65D73A2D" w14:textId="77777777" w:rsidR="004859D9" w:rsidRPr="0092230E" w:rsidRDefault="004859D9" w:rsidP="00DB1DA9">
      <w:pPr>
        <w:pStyle w:val="ABABulletLevel1"/>
        <w:spacing w:after="120"/>
        <w:rPr>
          <w:rFonts w:ascii="Arial" w:hAnsi="Arial" w:cs="Arial"/>
          <w:sz w:val="20"/>
        </w:rPr>
      </w:pPr>
    </w:p>
    <w:p w14:paraId="0CDFC4CA" w14:textId="77777777" w:rsidR="002630B0" w:rsidRPr="0092230E" w:rsidRDefault="002630B0" w:rsidP="002630B0">
      <w:pPr>
        <w:pStyle w:val="ABABulletLevel1"/>
        <w:spacing w:after="120"/>
        <w:rPr>
          <w:rFonts w:ascii="Arial" w:hAnsi="Arial" w:cs="Arial"/>
          <w:b/>
          <w:sz w:val="20"/>
        </w:rPr>
      </w:pPr>
      <w:r w:rsidRPr="0092230E">
        <w:rPr>
          <w:rFonts w:ascii="Arial" w:hAnsi="Arial" w:cs="Arial"/>
          <w:b/>
          <w:sz w:val="20"/>
        </w:rPr>
        <w:t xml:space="preserve">Part 6 – Miscellaneous </w:t>
      </w:r>
    </w:p>
    <w:p w14:paraId="7F8D3732" w14:textId="77777777" w:rsidR="002630B0" w:rsidRPr="0092230E" w:rsidRDefault="002630B0" w:rsidP="002630B0">
      <w:pPr>
        <w:pStyle w:val="ABABulletLevel1"/>
        <w:spacing w:after="120"/>
        <w:rPr>
          <w:rFonts w:ascii="Arial" w:hAnsi="Arial" w:cs="Arial"/>
          <w:b/>
          <w:sz w:val="20"/>
        </w:rPr>
      </w:pPr>
      <w:r w:rsidRPr="0092230E">
        <w:rPr>
          <w:rFonts w:ascii="Arial" w:hAnsi="Arial" w:cs="Arial"/>
          <w:b/>
          <w:sz w:val="20"/>
        </w:rPr>
        <w:t xml:space="preserve">Section </w:t>
      </w:r>
      <w:r w:rsidR="00067542" w:rsidRPr="0092230E">
        <w:rPr>
          <w:rFonts w:ascii="Arial" w:hAnsi="Arial" w:cs="Arial"/>
          <w:b/>
          <w:sz w:val="20"/>
        </w:rPr>
        <w:t>3</w:t>
      </w:r>
      <w:r w:rsidR="002A508C" w:rsidRPr="0092230E">
        <w:rPr>
          <w:rFonts w:ascii="Arial" w:hAnsi="Arial" w:cs="Arial"/>
          <w:b/>
          <w:sz w:val="20"/>
        </w:rPr>
        <w:t>8</w:t>
      </w:r>
      <w:r w:rsidR="00067542" w:rsidRPr="0092230E">
        <w:rPr>
          <w:rFonts w:ascii="Arial" w:hAnsi="Arial" w:cs="Arial"/>
          <w:b/>
          <w:sz w:val="20"/>
        </w:rPr>
        <w:t xml:space="preserve"> </w:t>
      </w:r>
      <w:r w:rsidRPr="0092230E">
        <w:rPr>
          <w:rFonts w:ascii="Arial" w:hAnsi="Arial" w:cs="Arial"/>
          <w:b/>
          <w:sz w:val="20"/>
        </w:rPr>
        <w:t>– Engaging with affected participating persons before making declarations</w:t>
      </w:r>
    </w:p>
    <w:p w14:paraId="678B73BF" w14:textId="77777777" w:rsidR="00483F25" w:rsidRPr="0092230E" w:rsidRDefault="002630B0" w:rsidP="002630B0">
      <w:pPr>
        <w:pStyle w:val="ABABulletLevel1"/>
        <w:spacing w:after="120"/>
        <w:rPr>
          <w:rFonts w:ascii="Arial" w:hAnsi="Arial" w:cs="Arial"/>
          <w:sz w:val="20"/>
        </w:rPr>
      </w:pPr>
      <w:r w:rsidRPr="0092230E">
        <w:rPr>
          <w:rFonts w:ascii="Arial" w:hAnsi="Arial" w:cs="Arial"/>
          <w:sz w:val="20"/>
        </w:rPr>
        <w:t xml:space="preserve">Section </w:t>
      </w:r>
      <w:r w:rsidR="002A508C" w:rsidRPr="0092230E">
        <w:rPr>
          <w:rFonts w:ascii="Arial" w:hAnsi="Arial" w:cs="Arial"/>
          <w:sz w:val="20"/>
        </w:rPr>
        <w:t xml:space="preserve">38 </w:t>
      </w:r>
      <w:r w:rsidRPr="0092230E">
        <w:rPr>
          <w:rFonts w:ascii="Arial" w:hAnsi="Arial" w:cs="Arial"/>
          <w:sz w:val="20"/>
        </w:rPr>
        <w:t xml:space="preserve">provides that </w:t>
      </w:r>
      <w:r w:rsidR="00483F25" w:rsidRPr="0092230E">
        <w:rPr>
          <w:rFonts w:ascii="Arial" w:hAnsi="Arial" w:cs="Arial"/>
          <w:sz w:val="20"/>
        </w:rPr>
        <w:t>before</w:t>
      </w:r>
      <w:r w:rsidRPr="0092230E">
        <w:rPr>
          <w:rFonts w:ascii="Arial" w:hAnsi="Arial" w:cs="Arial"/>
          <w:sz w:val="20"/>
        </w:rPr>
        <w:t xml:space="preserve"> making a declaration under the Determination, the ACMA must satisfy a number of requirements. </w:t>
      </w:r>
      <w:r w:rsidR="009D2DB6" w:rsidRPr="0092230E">
        <w:rPr>
          <w:rFonts w:ascii="Arial" w:hAnsi="Arial" w:cs="Arial"/>
          <w:sz w:val="20"/>
        </w:rPr>
        <w:t xml:space="preserve">Subsection </w:t>
      </w:r>
      <w:r w:rsidR="002A508C" w:rsidRPr="0092230E">
        <w:rPr>
          <w:rFonts w:ascii="Arial" w:hAnsi="Arial" w:cs="Arial"/>
          <w:sz w:val="20"/>
        </w:rPr>
        <w:t>38</w:t>
      </w:r>
      <w:r w:rsidR="009D2DB6" w:rsidRPr="0092230E">
        <w:rPr>
          <w:rFonts w:ascii="Arial" w:hAnsi="Arial" w:cs="Arial"/>
          <w:sz w:val="20"/>
        </w:rPr>
        <w:t>(2) requires t</w:t>
      </w:r>
      <w:r w:rsidRPr="0092230E">
        <w:rPr>
          <w:rFonts w:ascii="Arial" w:hAnsi="Arial" w:cs="Arial"/>
          <w:sz w:val="20"/>
        </w:rPr>
        <w:t xml:space="preserve">he ACMA </w:t>
      </w:r>
      <w:r w:rsidR="009D2DB6" w:rsidRPr="0092230E">
        <w:rPr>
          <w:rFonts w:ascii="Arial" w:hAnsi="Arial" w:cs="Arial"/>
          <w:sz w:val="20"/>
        </w:rPr>
        <w:t xml:space="preserve">to </w:t>
      </w:r>
      <w:r w:rsidRPr="0092230E">
        <w:rPr>
          <w:rFonts w:ascii="Arial" w:hAnsi="Arial" w:cs="Arial"/>
          <w:sz w:val="20"/>
        </w:rPr>
        <w:t xml:space="preserve">notify each participating person to whom the declaration is to apply that it proposes to make the declaration and give each such participating person </w:t>
      </w:r>
      <w:r w:rsidR="00483F25" w:rsidRPr="0092230E">
        <w:rPr>
          <w:rFonts w:ascii="Arial" w:hAnsi="Arial" w:cs="Arial"/>
          <w:sz w:val="20"/>
        </w:rPr>
        <w:t xml:space="preserve">at least </w:t>
      </w:r>
      <w:r w:rsidRPr="0092230E">
        <w:rPr>
          <w:rFonts w:ascii="Arial" w:hAnsi="Arial" w:cs="Arial"/>
          <w:sz w:val="20"/>
        </w:rPr>
        <w:t>14 days to comment and make submissions on the proposed declaration before the declaration is made. The ACMA also has the discretion to consult other persons</w:t>
      </w:r>
      <w:r w:rsidR="00B52057" w:rsidRPr="0092230E">
        <w:rPr>
          <w:rFonts w:ascii="Arial" w:hAnsi="Arial" w:cs="Arial"/>
          <w:sz w:val="20"/>
        </w:rPr>
        <w:t xml:space="preserve"> </w:t>
      </w:r>
      <w:r w:rsidR="006747D9" w:rsidRPr="0092230E">
        <w:rPr>
          <w:rFonts w:ascii="Arial" w:hAnsi="Arial" w:cs="Arial"/>
          <w:sz w:val="20"/>
        </w:rPr>
        <w:t xml:space="preserve">in relation to </w:t>
      </w:r>
      <w:r w:rsidRPr="0092230E">
        <w:rPr>
          <w:rFonts w:ascii="Arial" w:hAnsi="Arial" w:cs="Arial"/>
          <w:sz w:val="20"/>
        </w:rPr>
        <w:t xml:space="preserve">the proposed declaration. </w:t>
      </w:r>
    </w:p>
    <w:p w14:paraId="6BE44684" w14:textId="77777777" w:rsidR="00257430" w:rsidRPr="0092230E" w:rsidRDefault="002630B0" w:rsidP="009D2DB6">
      <w:pPr>
        <w:pStyle w:val="ABABulletLevel1"/>
        <w:spacing w:after="120"/>
        <w:rPr>
          <w:rFonts w:ascii="Arial" w:hAnsi="Arial" w:cs="Arial"/>
          <w:sz w:val="20"/>
        </w:rPr>
      </w:pPr>
      <w:r w:rsidRPr="0092230E">
        <w:rPr>
          <w:rFonts w:ascii="Arial" w:hAnsi="Arial" w:cs="Arial"/>
          <w:sz w:val="20"/>
        </w:rPr>
        <w:t>If</w:t>
      </w:r>
      <w:r w:rsidR="00483F25" w:rsidRPr="0092230E">
        <w:rPr>
          <w:rFonts w:ascii="Arial" w:hAnsi="Arial" w:cs="Arial"/>
          <w:sz w:val="20"/>
        </w:rPr>
        <w:t xml:space="preserve">, after consultation, </w:t>
      </w:r>
      <w:r w:rsidRPr="0092230E">
        <w:rPr>
          <w:rFonts w:ascii="Arial" w:hAnsi="Arial" w:cs="Arial"/>
          <w:sz w:val="20"/>
        </w:rPr>
        <w:t xml:space="preserve">the ACMA makes a declaration it must notify all participating persons to whom the declaration applies </w:t>
      </w:r>
      <w:r w:rsidR="005827AD" w:rsidRPr="0092230E">
        <w:rPr>
          <w:rFonts w:ascii="Arial" w:hAnsi="Arial" w:cs="Arial"/>
          <w:sz w:val="20"/>
        </w:rPr>
        <w:t xml:space="preserve">of its decision and give the persons a copy of the declaration. </w:t>
      </w:r>
      <w:r w:rsidR="009D2DB6" w:rsidRPr="0092230E">
        <w:rPr>
          <w:rFonts w:ascii="Arial" w:hAnsi="Arial" w:cs="Arial"/>
          <w:sz w:val="20"/>
        </w:rPr>
        <w:t xml:space="preserve"> If the ACMA decides not to make a declaration it must notify all participating persons whom it had notified in accordance with subsection </w:t>
      </w:r>
      <w:r w:rsidR="002A508C" w:rsidRPr="0092230E">
        <w:rPr>
          <w:rFonts w:ascii="Arial" w:hAnsi="Arial" w:cs="Arial"/>
          <w:sz w:val="20"/>
        </w:rPr>
        <w:t>38</w:t>
      </w:r>
      <w:r w:rsidR="009D2DB6" w:rsidRPr="0092230E">
        <w:rPr>
          <w:rFonts w:ascii="Arial" w:hAnsi="Arial" w:cs="Arial"/>
          <w:sz w:val="20"/>
        </w:rPr>
        <w:t xml:space="preserve">(2) that it has decided not to </w:t>
      </w:r>
      <w:r w:rsidR="006747D9" w:rsidRPr="0092230E">
        <w:rPr>
          <w:rFonts w:ascii="Arial" w:hAnsi="Arial" w:cs="Arial"/>
          <w:sz w:val="20"/>
        </w:rPr>
        <w:t>proceed with the proposed</w:t>
      </w:r>
      <w:r w:rsidR="009D2DB6" w:rsidRPr="0092230E">
        <w:rPr>
          <w:rFonts w:ascii="Arial" w:hAnsi="Arial" w:cs="Arial"/>
          <w:sz w:val="20"/>
        </w:rPr>
        <w:t xml:space="preserve"> declaration.</w:t>
      </w:r>
    </w:p>
    <w:p w14:paraId="2F7237E1" w14:textId="77777777" w:rsidR="009D2DB6" w:rsidRPr="0092230E" w:rsidRDefault="00257430" w:rsidP="009D2DB6">
      <w:pPr>
        <w:pStyle w:val="ABABulletLevel1"/>
        <w:spacing w:after="120"/>
        <w:rPr>
          <w:rFonts w:ascii="Arial" w:hAnsi="Arial" w:cs="Arial"/>
          <w:sz w:val="20"/>
        </w:rPr>
      </w:pPr>
      <w:r w:rsidRPr="0092230E">
        <w:rPr>
          <w:rFonts w:ascii="Arial" w:hAnsi="Arial" w:cs="Arial"/>
          <w:sz w:val="20"/>
        </w:rPr>
        <w:t xml:space="preserve">Subsection </w:t>
      </w:r>
      <w:r w:rsidR="002A508C" w:rsidRPr="0092230E">
        <w:rPr>
          <w:rFonts w:ascii="Arial" w:hAnsi="Arial" w:cs="Arial"/>
          <w:sz w:val="20"/>
        </w:rPr>
        <w:t>38</w:t>
      </w:r>
      <w:r w:rsidRPr="0092230E">
        <w:rPr>
          <w:rFonts w:ascii="Arial" w:hAnsi="Arial" w:cs="Arial"/>
          <w:sz w:val="20"/>
        </w:rPr>
        <w:t xml:space="preserve">(6) provides that a declaration that is made without complying with section </w:t>
      </w:r>
      <w:r w:rsidR="002A508C" w:rsidRPr="0092230E">
        <w:rPr>
          <w:rFonts w:ascii="Arial" w:hAnsi="Arial" w:cs="Arial"/>
          <w:sz w:val="20"/>
        </w:rPr>
        <w:t xml:space="preserve">38 </w:t>
      </w:r>
      <w:r w:rsidRPr="0092230E">
        <w:rPr>
          <w:rFonts w:ascii="Arial" w:hAnsi="Arial" w:cs="Arial"/>
          <w:sz w:val="20"/>
        </w:rPr>
        <w:t>has no effect.</w:t>
      </w:r>
      <w:r w:rsidR="00DC3936" w:rsidRPr="0092230E">
        <w:rPr>
          <w:rFonts w:ascii="Arial" w:hAnsi="Arial" w:cs="Arial"/>
          <w:sz w:val="20"/>
        </w:rPr>
        <w:t xml:space="preserve"> This provision recognises that a declaration could potentially have significant implications for a participating person and therefore emphasises the importance of following specified procedures when making a declaration</w:t>
      </w:r>
      <w:r w:rsidR="00B71701" w:rsidRPr="0092230E">
        <w:rPr>
          <w:rFonts w:ascii="Arial" w:hAnsi="Arial" w:cs="Arial"/>
          <w:sz w:val="20"/>
        </w:rPr>
        <w:t>.</w:t>
      </w:r>
    </w:p>
    <w:p w14:paraId="4BD68B61" w14:textId="77777777" w:rsidR="002A508C" w:rsidRPr="0092230E" w:rsidRDefault="002A508C" w:rsidP="00B67477">
      <w:pPr>
        <w:pStyle w:val="ABABulletLevel1"/>
        <w:spacing w:after="120"/>
        <w:rPr>
          <w:rFonts w:ascii="Arial" w:hAnsi="Arial" w:cs="Arial"/>
          <w:b/>
          <w:sz w:val="20"/>
        </w:rPr>
      </w:pPr>
    </w:p>
    <w:p w14:paraId="00ADDD83" w14:textId="77777777" w:rsidR="00B67477" w:rsidRPr="0092230E" w:rsidRDefault="00B67477" w:rsidP="00B67477">
      <w:pPr>
        <w:pStyle w:val="ABABulletLevel1"/>
        <w:spacing w:after="120"/>
        <w:rPr>
          <w:rFonts w:ascii="Arial" w:hAnsi="Arial" w:cs="Arial"/>
          <w:b/>
          <w:sz w:val="20"/>
        </w:rPr>
      </w:pPr>
      <w:r w:rsidRPr="0092230E">
        <w:rPr>
          <w:rFonts w:ascii="Arial" w:hAnsi="Arial" w:cs="Arial"/>
          <w:b/>
          <w:sz w:val="20"/>
        </w:rPr>
        <w:t xml:space="preserve">Section </w:t>
      </w:r>
      <w:r w:rsidR="002A508C" w:rsidRPr="0092230E">
        <w:rPr>
          <w:rFonts w:ascii="Arial" w:hAnsi="Arial" w:cs="Arial"/>
          <w:b/>
          <w:sz w:val="20"/>
        </w:rPr>
        <w:t>39</w:t>
      </w:r>
      <w:r w:rsidR="00067542" w:rsidRPr="0092230E">
        <w:rPr>
          <w:rFonts w:ascii="Arial" w:hAnsi="Arial" w:cs="Arial"/>
          <w:b/>
          <w:sz w:val="20"/>
        </w:rPr>
        <w:t xml:space="preserve"> </w:t>
      </w:r>
      <w:r w:rsidRPr="0092230E">
        <w:rPr>
          <w:rFonts w:ascii="Arial" w:hAnsi="Arial" w:cs="Arial"/>
          <w:b/>
          <w:sz w:val="20"/>
        </w:rPr>
        <w:t>– Review of decisions</w:t>
      </w:r>
    </w:p>
    <w:p w14:paraId="291792D4" w14:textId="77777777" w:rsidR="00782277" w:rsidRPr="0092230E" w:rsidRDefault="00B67477" w:rsidP="00B67477">
      <w:pPr>
        <w:pStyle w:val="ABABulletLevel1"/>
        <w:spacing w:after="120"/>
        <w:rPr>
          <w:rFonts w:ascii="Arial" w:hAnsi="Arial" w:cs="Arial"/>
          <w:sz w:val="20"/>
        </w:rPr>
      </w:pPr>
      <w:r w:rsidRPr="0092230E">
        <w:rPr>
          <w:rFonts w:ascii="Arial" w:hAnsi="Arial" w:cs="Arial"/>
          <w:sz w:val="20"/>
        </w:rPr>
        <w:t xml:space="preserve">Section </w:t>
      </w:r>
      <w:r w:rsidR="002A508C" w:rsidRPr="0092230E">
        <w:rPr>
          <w:rFonts w:ascii="Arial" w:hAnsi="Arial" w:cs="Arial"/>
          <w:sz w:val="20"/>
        </w:rPr>
        <w:t xml:space="preserve">39 </w:t>
      </w:r>
      <w:r w:rsidRPr="0092230E">
        <w:rPr>
          <w:rFonts w:ascii="Arial" w:hAnsi="Arial" w:cs="Arial"/>
          <w:sz w:val="20"/>
        </w:rPr>
        <w:t xml:space="preserve">provides that </w:t>
      </w:r>
      <w:r w:rsidR="00483F25" w:rsidRPr="0092230E">
        <w:rPr>
          <w:rFonts w:ascii="Arial" w:hAnsi="Arial" w:cs="Arial"/>
          <w:sz w:val="20"/>
        </w:rPr>
        <w:t>a person who is adversely affected by a decision of the ACMA to make a declaration under the Determination may make an application</w:t>
      </w:r>
      <w:r w:rsidRPr="0092230E">
        <w:rPr>
          <w:rFonts w:ascii="Arial" w:hAnsi="Arial" w:cs="Arial"/>
          <w:sz w:val="20"/>
        </w:rPr>
        <w:t xml:space="preserve"> to the </w:t>
      </w:r>
      <w:r w:rsidR="0064496F" w:rsidRPr="0092230E">
        <w:rPr>
          <w:rFonts w:ascii="Arial" w:hAnsi="Arial" w:cs="Arial"/>
          <w:sz w:val="20"/>
        </w:rPr>
        <w:t>AAT</w:t>
      </w:r>
      <w:r w:rsidR="00A31EE8" w:rsidRPr="0092230E">
        <w:rPr>
          <w:rFonts w:ascii="Arial" w:hAnsi="Arial" w:cs="Arial"/>
          <w:sz w:val="20"/>
        </w:rPr>
        <w:t xml:space="preserve"> </w:t>
      </w:r>
      <w:r w:rsidRPr="0092230E">
        <w:rPr>
          <w:rFonts w:ascii="Arial" w:hAnsi="Arial" w:cs="Arial"/>
          <w:sz w:val="20"/>
        </w:rPr>
        <w:t xml:space="preserve">for review of </w:t>
      </w:r>
      <w:r w:rsidR="00483F25" w:rsidRPr="0092230E">
        <w:rPr>
          <w:rFonts w:ascii="Arial" w:hAnsi="Arial" w:cs="Arial"/>
          <w:sz w:val="20"/>
        </w:rPr>
        <w:t>the</w:t>
      </w:r>
      <w:r w:rsidRPr="0092230E">
        <w:rPr>
          <w:rFonts w:ascii="Arial" w:hAnsi="Arial" w:cs="Arial"/>
          <w:sz w:val="20"/>
        </w:rPr>
        <w:t xml:space="preserve"> decision.</w:t>
      </w:r>
      <w:r w:rsidR="00A31EE8" w:rsidRPr="0092230E">
        <w:rPr>
          <w:rFonts w:ascii="Arial" w:hAnsi="Arial" w:cs="Arial"/>
          <w:sz w:val="20"/>
        </w:rPr>
        <w:t xml:space="preserve"> This provision recognises that a</w:t>
      </w:r>
      <w:r w:rsidR="002A508C" w:rsidRPr="0092230E">
        <w:rPr>
          <w:rFonts w:ascii="Arial" w:hAnsi="Arial" w:cs="Arial"/>
          <w:sz w:val="20"/>
        </w:rPr>
        <w:t>s a</w:t>
      </w:r>
      <w:r w:rsidR="00A31EE8" w:rsidRPr="0092230E">
        <w:rPr>
          <w:rFonts w:ascii="Arial" w:hAnsi="Arial" w:cs="Arial"/>
          <w:sz w:val="20"/>
        </w:rPr>
        <w:t xml:space="preserve"> declaration could potentially have significant implications for a participating person it is appropriate that a decision to make a declaration should be subject to merits review in the AAT.</w:t>
      </w:r>
    </w:p>
    <w:p w14:paraId="3A1E2C7B" w14:textId="77777777" w:rsidR="00C749E3" w:rsidRPr="0092230E" w:rsidRDefault="00C749E3" w:rsidP="00B67477">
      <w:pPr>
        <w:pStyle w:val="ABABulletLevel1"/>
        <w:spacing w:after="120"/>
        <w:rPr>
          <w:rFonts w:ascii="Arial" w:hAnsi="Arial" w:cs="Arial"/>
          <w:sz w:val="20"/>
        </w:rPr>
      </w:pPr>
    </w:p>
    <w:p w14:paraId="2F7F3520" w14:textId="71826FA9" w:rsidR="007B649D" w:rsidRPr="0092230E" w:rsidRDefault="007B649D" w:rsidP="00C749E3">
      <w:pPr>
        <w:spacing w:after="200" w:line="276" w:lineRule="auto"/>
        <w:rPr>
          <w:rFonts w:ascii="Arial" w:hAnsi="Arial" w:cs="Arial"/>
          <w:szCs w:val="20"/>
          <w:lang w:eastAsia="en-US"/>
        </w:rPr>
      </w:pPr>
      <w:r w:rsidRPr="0092230E">
        <w:rPr>
          <w:rFonts w:ascii="Arial" w:hAnsi="Arial" w:cs="Arial"/>
          <w:b/>
          <w:szCs w:val="20"/>
        </w:rPr>
        <w:t xml:space="preserve">Section </w:t>
      </w:r>
      <w:r w:rsidR="00067542" w:rsidRPr="0092230E">
        <w:rPr>
          <w:rFonts w:ascii="Arial" w:hAnsi="Arial" w:cs="Arial"/>
          <w:b/>
          <w:szCs w:val="20"/>
        </w:rPr>
        <w:t>4</w:t>
      </w:r>
      <w:r w:rsidR="00CE060B" w:rsidRPr="0092230E">
        <w:rPr>
          <w:rFonts w:ascii="Arial" w:hAnsi="Arial" w:cs="Arial"/>
          <w:b/>
          <w:szCs w:val="20"/>
        </w:rPr>
        <w:t>0</w:t>
      </w:r>
      <w:r w:rsidR="00067542" w:rsidRPr="0092230E">
        <w:rPr>
          <w:rFonts w:ascii="Arial" w:hAnsi="Arial" w:cs="Arial"/>
          <w:b/>
          <w:szCs w:val="20"/>
        </w:rPr>
        <w:t xml:space="preserve"> </w:t>
      </w:r>
      <w:r w:rsidRPr="0092230E">
        <w:rPr>
          <w:rFonts w:ascii="Arial" w:hAnsi="Arial" w:cs="Arial"/>
          <w:b/>
          <w:szCs w:val="20"/>
        </w:rPr>
        <w:t>– Period for lodging return of eligible revenue</w:t>
      </w:r>
    </w:p>
    <w:p w14:paraId="3E25D7AB" w14:textId="6C4865B5" w:rsidR="003214EE" w:rsidRPr="0092230E" w:rsidRDefault="007B649D" w:rsidP="007B2E7B">
      <w:pPr>
        <w:pStyle w:val="ABABulletLevel1"/>
        <w:spacing w:after="120"/>
        <w:rPr>
          <w:rFonts w:ascii="Arial" w:hAnsi="Arial" w:cs="Arial"/>
          <w:sz w:val="20"/>
        </w:rPr>
      </w:pPr>
      <w:r w:rsidRPr="0092230E">
        <w:rPr>
          <w:rFonts w:ascii="Arial" w:hAnsi="Arial" w:cs="Arial"/>
          <w:sz w:val="20"/>
        </w:rPr>
        <w:t xml:space="preserve">Section </w:t>
      </w:r>
      <w:r w:rsidR="00CE060B" w:rsidRPr="0092230E">
        <w:rPr>
          <w:rFonts w:ascii="Arial" w:hAnsi="Arial" w:cs="Arial"/>
          <w:sz w:val="20"/>
        </w:rPr>
        <w:t xml:space="preserve">40 </w:t>
      </w:r>
      <w:r w:rsidR="00483F25" w:rsidRPr="0092230E">
        <w:rPr>
          <w:rFonts w:ascii="Arial" w:hAnsi="Arial" w:cs="Arial"/>
          <w:sz w:val="20"/>
        </w:rPr>
        <w:t xml:space="preserve">provides </w:t>
      </w:r>
      <w:r w:rsidRPr="0092230E">
        <w:rPr>
          <w:rFonts w:ascii="Arial" w:hAnsi="Arial" w:cs="Arial"/>
          <w:sz w:val="20"/>
        </w:rPr>
        <w:t>the period within which a participating person is required to lodge a return of eligible revenue with the ACMA</w:t>
      </w:r>
      <w:r w:rsidR="00483F25" w:rsidRPr="0092230E">
        <w:rPr>
          <w:rFonts w:ascii="Arial" w:hAnsi="Arial" w:cs="Arial"/>
          <w:sz w:val="20"/>
        </w:rPr>
        <w:t>,</w:t>
      </w:r>
      <w:r w:rsidRPr="0092230E">
        <w:rPr>
          <w:rFonts w:ascii="Arial" w:hAnsi="Arial" w:cs="Arial"/>
          <w:sz w:val="20"/>
        </w:rPr>
        <w:t xml:space="preserve"> in accordance with paragraph </w:t>
      </w:r>
      <w:r w:rsidR="00BC7480" w:rsidRPr="0092230E">
        <w:rPr>
          <w:rFonts w:ascii="Arial" w:hAnsi="Arial" w:cs="Arial"/>
          <w:sz w:val="20"/>
        </w:rPr>
        <w:t>43</w:t>
      </w:r>
      <w:r w:rsidRPr="0092230E">
        <w:rPr>
          <w:rFonts w:ascii="Arial" w:hAnsi="Arial" w:cs="Arial"/>
          <w:sz w:val="20"/>
        </w:rPr>
        <w:t xml:space="preserve">(1)(b) of the </w:t>
      </w:r>
      <w:r w:rsidR="00BC7480" w:rsidRPr="0092230E">
        <w:rPr>
          <w:rFonts w:ascii="Arial" w:hAnsi="Arial" w:cs="Arial"/>
          <w:sz w:val="20"/>
        </w:rPr>
        <w:t>TCPSS</w:t>
      </w:r>
      <w:r w:rsidRPr="0092230E">
        <w:rPr>
          <w:rFonts w:ascii="Arial" w:hAnsi="Arial" w:cs="Arial"/>
          <w:sz w:val="20"/>
        </w:rPr>
        <w:t xml:space="preserve"> Act.  </w:t>
      </w:r>
      <w:r w:rsidR="00483F25" w:rsidRPr="0092230E">
        <w:rPr>
          <w:rFonts w:ascii="Arial" w:hAnsi="Arial" w:cs="Arial"/>
          <w:sz w:val="20"/>
        </w:rPr>
        <w:t xml:space="preserve">The period specified is 4 months after the eligible revenue period ends. For example, </w:t>
      </w:r>
      <w:r w:rsidR="00D4160A" w:rsidRPr="0092230E">
        <w:rPr>
          <w:rFonts w:ascii="Arial" w:hAnsi="Arial" w:cs="Arial"/>
          <w:sz w:val="20"/>
        </w:rPr>
        <w:t>if the eligible revenue period ends on 30 June 201</w:t>
      </w:r>
      <w:r w:rsidR="00BC7480" w:rsidRPr="0092230E">
        <w:rPr>
          <w:rFonts w:ascii="Arial" w:hAnsi="Arial" w:cs="Arial"/>
          <w:sz w:val="20"/>
        </w:rPr>
        <w:t>6</w:t>
      </w:r>
      <w:r w:rsidR="00D4160A" w:rsidRPr="0092230E">
        <w:rPr>
          <w:rFonts w:ascii="Arial" w:hAnsi="Arial" w:cs="Arial"/>
          <w:sz w:val="20"/>
        </w:rPr>
        <w:t>, a participating person must give the ACMA a return of eligible revenue before 1 November 201</w:t>
      </w:r>
      <w:r w:rsidR="00BC7480" w:rsidRPr="0092230E">
        <w:rPr>
          <w:rFonts w:ascii="Arial" w:hAnsi="Arial" w:cs="Arial"/>
          <w:sz w:val="20"/>
        </w:rPr>
        <w:t>6</w:t>
      </w:r>
      <w:r w:rsidR="00D4160A" w:rsidRPr="0092230E">
        <w:rPr>
          <w:rFonts w:ascii="Arial" w:hAnsi="Arial" w:cs="Arial"/>
          <w:sz w:val="20"/>
        </w:rPr>
        <w:t xml:space="preserve">. </w:t>
      </w:r>
    </w:p>
    <w:sectPr w:rsidR="003214EE" w:rsidRPr="0092230E" w:rsidSect="008E6C9B">
      <w:footerReference w:type="even" r:id="rId14"/>
      <w:footerReference w:type="default" r:id="rId15"/>
      <w:headerReference w:type="first" r:id="rId16"/>
      <w:footerReference w:type="first" r:id="rId17"/>
      <w:pgSz w:w="11906" w:h="16838" w:code="9"/>
      <w:pgMar w:top="1843" w:right="1797" w:bottom="868" w:left="1134" w:header="709" w:footer="3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6019" w14:textId="77777777" w:rsidR="00794393" w:rsidRDefault="00794393" w:rsidP="00291094">
      <w:pPr>
        <w:spacing w:line="240" w:lineRule="auto"/>
      </w:pPr>
      <w:r>
        <w:separator/>
      </w:r>
    </w:p>
  </w:endnote>
  <w:endnote w:type="continuationSeparator" w:id="0">
    <w:p w14:paraId="5B6C40A0" w14:textId="77777777" w:rsidR="00794393" w:rsidRDefault="00794393" w:rsidP="0029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Franklin Gothic Dem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EBA4" w14:textId="77777777" w:rsidR="002A2005" w:rsidRDefault="002F7599">
    <w:pPr>
      <w:pStyle w:val="Footer"/>
      <w:jc w:val="right"/>
    </w:pPr>
    <w:r>
      <w:fldChar w:fldCharType="begin"/>
    </w:r>
    <w:r>
      <w:instrText xml:space="preserve"> PAGE   \* MERGEFORMAT </w:instrText>
    </w:r>
    <w:r>
      <w:fldChar w:fldCharType="separate"/>
    </w:r>
    <w:r w:rsidR="002A2005">
      <w:rPr>
        <w:noProof/>
      </w:rPr>
      <w:t>2</w:t>
    </w:r>
    <w:r>
      <w:rPr>
        <w:noProof/>
      </w:rPr>
      <w:fldChar w:fldCharType="end"/>
    </w:r>
  </w:p>
  <w:p w14:paraId="7044AF58" w14:textId="77777777" w:rsidR="002A2005" w:rsidRDefault="006B2D35" w:rsidP="000E5EB6">
    <w:pPr>
      <w:pStyle w:val="PageNumber"/>
    </w:pPr>
    <w:r>
      <w:rPr>
        <w:noProof/>
      </w:rPr>
      <mc:AlternateContent>
        <mc:Choice Requires="wpg">
          <w:drawing>
            <wp:anchor distT="0" distB="0" distL="114300" distR="114300" simplePos="0" relativeHeight="251658240" behindDoc="1" locked="1" layoutInCell="1" allowOverlap="1" wp14:anchorId="37E122FB" wp14:editId="5307C15D">
              <wp:simplePos x="0" y="0"/>
              <wp:positionH relativeFrom="page">
                <wp:posOffset>5563870</wp:posOffset>
              </wp:positionH>
              <wp:positionV relativeFrom="page">
                <wp:posOffset>10191750</wp:posOffset>
              </wp:positionV>
              <wp:extent cx="828675" cy="163830"/>
              <wp:effectExtent l="10795" t="9525" r="825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163830"/>
                        <a:chOff x="1133" y="16276"/>
                        <a:chExt cx="1305" cy="258"/>
                      </a:xfrm>
                    </wpg:grpSpPr>
                    <wps:wsp>
                      <wps:cNvPr id="2" name="Logo_acma_ftr"/>
                      <wps:cNvSpPr>
                        <a:spLocks noChangeAspect="1" noEditPoints="1"/>
                      </wps:cNvSpPr>
                      <wps:spPr bwMode="auto">
                        <a:xfrm>
                          <a:off x="1540" y="16386"/>
                          <a:ext cx="492" cy="113"/>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1133" y="16276"/>
                          <a:ext cx="130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393" y="16373"/>
                          <a:ext cx="0" cy="161"/>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5013F" id="Group 1" o:spid="_x0000_s1026" style="position:absolute;margin-left:438.1pt;margin-top:802.5pt;width:65.25pt;height:12.9pt;z-index:-251658240;mso-position-horizontal-relative:page;mso-position-vertical-relative:page" coordorigin="1133,16276" coordsize="130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">
              <v:shape id="Logo_acma_ftr" o:spid="_x0000_s1027" style="position:absolute;left:1540;top:16386;width:492;height:113;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EHMUA&#10;AADaAAAADwAAAGRycy9kb3ducmV2LnhtbESPQWvCQBSE70L/w/IKXqRuzEEkdQ2hpaDioWqLPT6y&#10;r8nS7NuQ3cT477uFgsdhZr5h1vloGzFQ541jBYt5AoK4dNpwpeDj/Pa0AuEDssbGMSm4kYd88zBZ&#10;Y6bdlY80nEIlIoR9hgrqENpMSl/WZNHPXUscvW/XWQxRdpXUHV4j3DYyTZKltGg4LtTY0ktN5c+p&#10;twq++stqfxle3wuj+91sOBSzT1MoNX0ci2cQgcZwD/+3t1pBCn9X4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kQcxQAAANoAAAAPAAAAAAAAAAAAAAAAAJgCAABkcnMv&#10;ZG93bnJldi54bWxQSwUGAAAAAAQABAD1AAAAigM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70,55;35,75;4,36;54,0;104,83;73,110;36,113;62,44;54,23;4,36;162,27;161,86;214,68;105,58;213,42;217,3;250,18;281,0;345,0;382,110;347,47;317,58;282,110;269,29;251,110;217,3;455,56;419,76;389,36;439,0;488,83;457,110;420,113;446,44;438,23;389,36" o:connectangles="0,0,0,0,0,0,0,0,0,0,0,0,0,0,0,0,0,0,0,0,0,0,0,0,0,0,0,0,0,0,0,0,0,0,0,0"/>
                <o:lock v:ext="edit" aspectratio="t" verticies="t"/>
              </v:shape>
              <v:line id="Line 3" o:spid="_x0000_s1028" style="position:absolute;visibility:visible;mso-wrap-style:square" from="1133,16276" to="2438,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dMEAAADaAAAADwAAAGRycy9kb3ducmV2LnhtbESPQWsCMRSE7wX/Q3hCbzVrC0tZjVIE&#10;i3gpbsXzY/PMLt28LEk0a399UxA8DjPzDbNcj7YXV/Khc6xgPitAEDdOd2wUHL+3L+8gQkTW2Dsm&#10;BTcKsF5NnpZYaZf4QNc6GpEhHCpU0MY4VFKGpiWLYeYG4uydnbcYs/RGao8pw20vX4uilBY7zgst&#10;DrRpqfmpL1bBlx8v+41JZX24/Z5K/ZlcZ5JSz9PxYwEi0hgf4Xt7pxW8wf+Vf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21l0wQAAANoAAAAPAAAAAAAAAAAAAAAA&#10;AKECAABkcnMvZG93bnJldi54bWxQSwUGAAAAAAQABAD5AAAAjwMAAAAA&#10;" strokeweight=".4pt"/>
              <v:line id="Line 4" o:spid="_x0000_s1029" style="position:absolute;visibility:visible;mso-wrap-style:square" from="1393,16373" to="1393,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BAMEAAADaAAAADwAAAGRycy9kb3ducmV2LnhtbESPQWsCMRSE7wX/Q3hCbzVrKUtZjVIE&#10;i3gpbsXzY/PMLt28LEk0a399UxA8DjPzDbNcj7YXV/Khc6xgPitAEDdOd2wUHL+3L+8gQkTW2Dsm&#10;BTcKsF5NnpZYaZf4QNc6GpEhHCpU0MY4VFKGpiWLYeYG4uydnbcYs/RGao8pw20vX4uilBY7zgst&#10;DrRpqfmpL1bBlx8v+41JZX24/Z5K/ZlcZ5JSz9PxYwEi0hgf4Xt7pxW8wf+Vf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sEAwQAAANoAAAAPAAAAAAAAAAAAAAAA&#10;AKECAABkcnMvZG93bnJldi54bWxQSwUGAAAAAAQABAD5AAAAjwMAAAAA&#10;" strokeweight=".4pt"/>
              <w10:wrap anchorx="page" anchory="pag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4846"/>
      <w:docPartObj>
        <w:docPartGallery w:val="Page Numbers (Bottom of Page)"/>
        <w:docPartUnique/>
      </w:docPartObj>
    </w:sdtPr>
    <w:sdtEndPr/>
    <w:sdtContent>
      <w:p w14:paraId="3EE08E75" w14:textId="77777777" w:rsidR="002A2005" w:rsidRDefault="002F7599">
        <w:pPr>
          <w:pStyle w:val="Footer"/>
          <w:jc w:val="right"/>
        </w:pPr>
        <w:r>
          <w:fldChar w:fldCharType="begin"/>
        </w:r>
        <w:r>
          <w:instrText xml:space="preserve"> PAGE   \* MERGEFORMAT </w:instrText>
        </w:r>
        <w:r>
          <w:fldChar w:fldCharType="separate"/>
        </w:r>
        <w:r w:rsidR="00F7203B">
          <w:rPr>
            <w:noProof/>
          </w:rPr>
          <w:t>17</w:t>
        </w:r>
        <w:r>
          <w:rPr>
            <w:noProof/>
          </w:rPr>
          <w:fldChar w:fldCharType="end"/>
        </w:r>
      </w:p>
    </w:sdtContent>
  </w:sdt>
  <w:p w14:paraId="47C602C2" w14:textId="77777777" w:rsidR="002A2005" w:rsidRDefault="002A2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4849"/>
      <w:docPartObj>
        <w:docPartGallery w:val="Page Numbers (Bottom of Page)"/>
        <w:docPartUnique/>
      </w:docPartObj>
    </w:sdtPr>
    <w:sdtEndPr/>
    <w:sdtContent>
      <w:p w14:paraId="2559D279" w14:textId="77777777" w:rsidR="002A2005" w:rsidRDefault="002F7599">
        <w:pPr>
          <w:pStyle w:val="Footer"/>
          <w:jc w:val="right"/>
        </w:pPr>
        <w:r>
          <w:fldChar w:fldCharType="begin"/>
        </w:r>
        <w:r>
          <w:instrText xml:space="preserve"> PAGE   \* MERGEFORMAT </w:instrText>
        </w:r>
        <w:r>
          <w:fldChar w:fldCharType="separate"/>
        </w:r>
        <w:r w:rsidR="00F7203B">
          <w:rPr>
            <w:noProof/>
          </w:rPr>
          <w:t>1</w:t>
        </w:r>
        <w:r>
          <w:rPr>
            <w:noProof/>
          </w:rPr>
          <w:fldChar w:fldCharType="end"/>
        </w:r>
      </w:p>
    </w:sdtContent>
  </w:sdt>
  <w:p w14:paraId="01EC3551" w14:textId="77777777" w:rsidR="002A2005" w:rsidRDefault="002A2005" w:rsidP="00487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89F1" w14:textId="77777777" w:rsidR="00794393" w:rsidRDefault="00794393" w:rsidP="00291094">
      <w:pPr>
        <w:spacing w:line="240" w:lineRule="auto"/>
      </w:pPr>
      <w:r>
        <w:separator/>
      </w:r>
    </w:p>
  </w:footnote>
  <w:footnote w:type="continuationSeparator" w:id="0">
    <w:p w14:paraId="12354778" w14:textId="77777777" w:rsidR="00794393" w:rsidRDefault="00794393" w:rsidP="002910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00C5" w14:textId="77777777" w:rsidR="002A2005" w:rsidRDefault="002A2005">
    <w:pPr>
      <w:pStyle w:val="Header"/>
    </w:pPr>
  </w:p>
  <w:p w14:paraId="02076182" w14:textId="77777777" w:rsidR="002A2005" w:rsidRDefault="002A2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6E3694"/>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nsid w:val="09194331"/>
    <w:multiLevelType w:val="hybridMultilevel"/>
    <w:tmpl w:val="DF1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697282"/>
    <w:multiLevelType w:val="hybridMultilevel"/>
    <w:tmpl w:val="60DA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3F6106"/>
    <w:multiLevelType w:val="hybridMultilevel"/>
    <w:tmpl w:val="B9489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BF2AC1"/>
    <w:multiLevelType w:val="hybridMultilevel"/>
    <w:tmpl w:val="F6B65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71B96"/>
    <w:multiLevelType w:val="hybridMultilevel"/>
    <w:tmpl w:val="E13A1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CE236B"/>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397981"/>
    <w:multiLevelType w:val="hybridMultilevel"/>
    <w:tmpl w:val="34A63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71422"/>
    <w:multiLevelType w:val="hybridMultilevel"/>
    <w:tmpl w:val="1ED0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432EAD"/>
    <w:multiLevelType w:val="hybridMultilevel"/>
    <w:tmpl w:val="B2C25D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EEF36A2"/>
    <w:multiLevelType w:val="hybridMultilevel"/>
    <w:tmpl w:val="2A463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85543A"/>
    <w:multiLevelType w:val="hybridMultilevel"/>
    <w:tmpl w:val="5BB6D0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2B4621"/>
    <w:multiLevelType w:val="hybridMultilevel"/>
    <w:tmpl w:val="8D7C67FA"/>
    <w:lvl w:ilvl="0" w:tplc="27CC0948">
      <w:start w:val="1"/>
      <w:numFmt w:val="lowerRoman"/>
      <w:lvlText w:val="(%1)"/>
      <w:lvlJc w:val="left"/>
      <w:pPr>
        <w:ind w:left="1616" w:hanging="720"/>
      </w:pPr>
      <w:rPr>
        <w:rFonts w:hint="default"/>
      </w:rPr>
    </w:lvl>
    <w:lvl w:ilvl="1" w:tplc="0C090019" w:tentative="1">
      <w:start w:val="1"/>
      <w:numFmt w:val="lowerLetter"/>
      <w:lvlText w:val="%2."/>
      <w:lvlJc w:val="left"/>
      <w:pPr>
        <w:ind w:left="1976" w:hanging="360"/>
      </w:pPr>
    </w:lvl>
    <w:lvl w:ilvl="2" w:tplc="0C09001B" w:tentative="1">
      <w:start w:val="1"/>
      <w:numFmt w:val="lowerRoman"/>
      <w:lvlText w:val="%3."/>
      <w:lvlJc w:val="right"/>
      <w:pPr>
        <w:ind w:left="2696" w:hanging="180"/>
      </w:pPr>
    </w:lvl>
    <w:lvl w:ilvl="3" w:tplc="0C09000F" w:tentative="1">
      <w:start w:val="1"/>
      <w:numFmt w:val="decimal"/>
      <w:lvlText w:val="%4."/>
      <w:lvlJc w:val="left"/>
      <w:pPr>
        <w:ind w:left="3416" w:hanging="360"/>
      </w:pPr>
    </w:lvl>
    <w:lvl w:ilvl="4" w:tplc="0C090019" w:tentative="1">
      <w:start w:val="1"/>
      <w:numFmt w:val="lowerLetter"/>
      <w:lvlText w:val="%5."/>
      <w:lvlJc w:val="left"/>
      <w:pPr>
        <w:ind w:left="4136" w:hanging="360"/>
      </w:pPr>
    </w:lvl>
    <w:lvl w:ilvl="5" w:tplc="0C09001B" w:tentative="1">
      <w:start w:val="1"/>
      <w:numFmt w:val="lowerRoman"/>
      <w:lvlText w:val="%6."/>
      <w:lvlJc w:val="right"/>
      <w:pPr>
        <w:ind w:left="4856" w:hanging="180"/>
      </w:pPr>
    </w:lvl>
    <w:lvl w:ilvl="6" w:tplc="0C09000F" w:tentative="1">
      <w:start w:val="1"/>
      <w:numFmt w:val="decimal"/>
      <w:lvlText w:val="%7."/>
      <w:lvlJc w:val="left"/>
      <w:pPr>
        <w:ind w:left="5576" w:hanging="360"/>
      </w:pPr>
    </w:lvl>
    <w:lvl w:ilvl="7" w:tplc="0C090019" w:tentative="1">
      <w:start w:val="1"/>
      <w:numFmt w:val="lowerLetter"/>
      <w:lvlText w:val="%8."/>
      <w:lvlJc w:val="left"/>
      <w:pPr>
        <w:ind w:left="6296" w:hanging="360"/>
      </w:pPr>
    </w:lvl>
    <w:lvl w:ilvl="8" w:tplc="0C09001B" w:tentative="1">
      <w:start w:val="1"/>
      <w:numFmt w:val="lowerRoman"/>
      <w:lvlText w:val="%9."/>
      <w:lvlJc w:val="right"/>
      <w:pPr>
        <w:ind w:left="7016" w:hanging="180"/>
      </w:pPr>
    </w:lvl>
  </w:abstractNum>
  <w:abstractNum w:abstractNumId="14">
    <w:nsid w:val="3C0E31D3"/>
    <w:multiLevelType w:val="hybridMultilevel"/>
    <w:tmpl w:val="60FE524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3D9A6ECF"/>
    <w:multiLevelType w:val="hybridMultilevel"/>
    <w:tmpl w:val="A43E8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DC250B"/>
    <w:multiLevelType w:val="hybridMultilevel"/>
    <w:tmpl w:val="978A2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AC0118"/>
    <w:multiLevelType w:val="hybridMultilevel"/>
    <w:tmpl w:val="638415BE"/>
    <w:lvl w:ilvl="0" w:tplc="914A5AE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8F556F"/>
    <w:multiLevelType w:val="hybridMultilevel"/>
    <w:tmpl w:val="4B0A5202"/>
    <w:lvl w:ilvl="0" w:tplc="FDD0BCB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nsid w:val="4B537E55"/>
    <w:multiLevelType w:val="hybridMultilevel"/>
    <w:tmpl w:val="149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3A1725"/>
    <w:multiLevelType w:val="hybridMultilevel"/>
    <w:tmpl w:val="284EC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7F2AED"/>
    <w:multiLevelType w:val="hybridMultilevel"/>
    <w:tmpl w:val="F5DEC86C"/>
    <w:lvl w:ilvl="0" w:tplc="D04814A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B3A0DB4"/>
    <w:multiLevelType w:val="hybridMultilevel"/>
    <w:tmpl w:val="DF12450E"/>
    <w:lvl w:ilvl="0" w:tplc="EDDCA6BC">
      <w:start w:val="1"/>
      <w:numFmt w:val="bullet"/>
      <w:lvlText w:val=""/>
      <w:lvlJc w:val="left"/>
      <w:pPr>
        <w:tabs>
          <w:tab w:val="num" w:pos="540"/>
        </w:tabs>
        <w:ind w:left="54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6FD802F8"/>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017780"/>
    <w:multiLevelType w:val="hybridMultilevel"/>
    <w:tmpl w:val="9D1A5FAE"/>
    <w:lvl w:ilvl="0" w:tplc="D04814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5"/>
  </w:num>
  <w:num w:numId="5">
    <w:abstractNumId w:val="0"/>
  </w:num>
  <w:num w:numId="6">
    <w:abstractNumId w:val="11"/>
  </w:num>
  <w:num w:numId="7">
    <w:abstractNumId w:val="17"/>
  </w:num>
  <w:num w:numId="8">
    <w:abstractNumId w:val="13"/>
  </w:num>
  <w:num w:numId="9">
    <w:abstractNumId w:val="19"/>
  </w:num>
  <w:num w:numId="10">
    <w:abstractNumId w:val="16"/>
  </w:num>
  <w:num w:numId="11">
    <w:abstractNumId w:val="8"/>
  </w:num>
  <w:num w:numId="12">
    <w:abstractNumId w:val="15"/>
  </w:num>
  <w:num w:numId="13">
    <w:abstractNumId w:val="6"/>
  </w:num>
  <w:num w:numId="14">
    <w:abstractNumId w:val="23"/>
  </w:num>
  <w:num w:numId="15">
    <w:abstractNumId w:val="24"/>
  </w:num>
  <w:num w:numId="16">
    <w:abstractNumId w:val="20"/>
  </w:num>
  <w:num w:numId="17">
    <w:abstractNumId w:val="7"/>
  </w:num>
  <w:num w:numId="18">
    <w:abstractNumId w:val="2"/>
  </w:num>
  <w:num w:numId="19">
    <w:abstractNumId w:val="14"/>
  </w:num>
  <w:num w:numId="20">
    <w:abstractNumId w:val="3"/>
  </w:num>
  <w:num w:numId="21">
    <w:abstractNumId w:val="18"/>
  </w:num>
  <w:num w:numId="22">
    <w:abstractNumId w:val="4"/>
  </w:num>
  <w:num w:numId="23">
    <w:abstractNumId w:val="22"/>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94"/>
    <w:rsid w:val="00003029"/>
    <w:rsid w:val="0000373F"/>
    <w:rsid w:val="00005AE5"/>
    <w:rsid w:val="0000717E"/>
    <w:rsid w:val="00010DCF"/>
    <w:rsid w:val="00013CA1"/>
    <w:rsid w:val="000209D2"/>
    <w:rsid w:val="00022FE6"/>
    <w:rsid w:val="0002593D"/>
    <w:rsid w:val="00026017"/>
    <w:rsid w:val="00031EF3"/>
    <w:rsid w:val="000344FC"/>
    <w:rsid w:val="000432D3"/>
    <w:rsid w:val="000526B4"/>
    <w:rsid w:val="00052890"/>
    <w:rsid w:val="00054D58"/>
    <w:rsid w:val="00063697"/>
    <w:rsid w:val="00065510"/>
    <w:rsid w:val="00067542"/>
    <w:rsid w:val="000716EB"/>
    <w:rsid w:val="00073EC3"/>
    <w:rsid w:val="00084265"/>
    <w:rsid w:val="000873C6"/>
    <w:rsid w:val="00097543"/>
    <w:rsid w:val="000A54A5"/>
    <w:rsid w:val="000A5EBC"/>
    <w:rsid w:val="000A6E8D"/>
    <w:rsid w:val="000B02F2"/>
    <w:rsid w:val="000B1B51"/>
    <w:rsid w:val="000C0DAF"/>
    <w:rsid w:val="000C2F1E"/>
    <w:rsid w:val="000C323B"/>
    <w:rsid w:val="000D2458"/>
    <w:rsid w:val="000D3CE4"/>
    <w:rsid w:val="000D6B21"/>
    <w:rsid w:val="000E24CD"/>
    <w:rsid w:val="000E580E"/>
    <w:rsid w:val="000E5EB6"/>
    <w:rsid w:val="000F01EA"/>
    <w:rsid w:val="000F47D2"/>
    <w:rsid w:val="000F6BBB"/>
    <w:rsid w:val="000F7CFE"/>
    <w:rsid w:val="000F7D49"/>
    <w:rsid w:val="001024B1"/>
    <w:rsid w:val="00102F60"/>
    <w:rsid w:val="00103660"/>
    <w:rsid w:val="0010558B"/>
    <w:rsid w:val="0010762B"/>
    <w:rsid w:val="00111676"/>
    <w:rsid w:val="00111A89"/>
    <w:rsid w:val="00125D96"/>
    <w:rsid w:val="0012692F"/>
    <w:rsid w:val="00127742"/>
    <w:rsid w:val="00136012"/>
    <w:rsid w:val="00140AB0"/>
    <w:rsid w:val="0014317C"/>
    <w:rsid w:val="001468E0"/>
    <w:rsid w:val="00146E4F"/>
    <w:rsid w:val="00146E77"/>
    <w:rsid w:val="00150D12"/>
    <w:rsid w:val="00151649"/>
    <w:rsid w:val="00152B8D"/>
    <w:rsid w:val="001531D0"/>
    <w:rsid w:val="0016119D"/>
    <w:rsid w:val="0016172B"/>
    <w:rsid w:val="00166F8A"/>
    <w:rsid w:val="00167535"/>
    <w:rsid w:val="001706CD"/>
    <w:rsid w:val="00170DA5"/>
    <w:rsid w:val="00181A9E"/>
    <w:rsid w:val="00182013"/>
    <w:rsid w:val="00183A3B"/>
    <w:rsid w:val="00192B36"/>
    <w:rsid w:val="001938DE"/>
    <w:rsid w:val="001A02D1"/>
    <w:rsid w:val="001A0656"/>
    <w:rsid w:val="001A46BD"/>
    <w:rsid w:val="001A6DE2"/>
    <w:rsid w:val="001A7604"/>
    <w:rsid w:val="001B2735"/>
    <w:rsid w:val="001B413A"/>
    <w:rsid w:val="001B491E"/>
    <w:rsid w:val="001C5B4A"/>
    <w:rsid w:val="001C6282"/>
    <w:rsid w:val="001C7391"/>
    <w:rsid w:val="001C7A5A"/>
    <w:rsid w:val="001E0A77"/>
    <w:rsid w:val="001E22BB"/>
    <w:rsid w:val="001E6777"/>
    <w:rsid w:val="002013AE"/>
    <w:rsid w:val="00202FB7"/>
    <w:rsid w:val="002033FC"/>
    <w:rsid w:val="0020472A"/>
    <w:rsid w:val="002137DB"/>
    <w:rsid w:val="0021497D"/>
    <w:rsid w:val="002153F7"/>
    <w:rsid w:val="002154A4"/>
    <w:rsid w:val="00216460"/>
    <w:rsid w:val="0021795F"/>
    <w:rsid w:val="00220F3E"/>
    <w:rsid w:val="0022144E"/>
    <w:rsid w:val="00221F29"/>
    <w:rsid w:val="002249B9"/>
    <w:rsid w:val="00226B54"/>
    <w:rsid w:val="002272A6"/>
    <w:rsid w:val="00231293"/>
    <w:rsid w:val="00233144"/>
    <w:rsid w:val="00235A94"/>
    <w:rsid w:val="00236164"/>
    <w:rsid w:val="0024041C"/>
    <w:rsid w:val="00240513"/>
    <w:rsid w:val="00240BFE"/>
    <w:rsid w:val="00241296"/>
    <w:rsid w:val="00245D4A"/>
    <w:rsid w:val="002462C7"/>
    <w:rsid w:val="00247125"/>
    <w:rsid w:val="00247C3A"/>
    <w:rsid w:val="00252DE6"/>
    <w:rsid w:val="00254C7B"/>
    <w:rsid w:val="00257430"/>
    <w:rsid w:val="002630B0"/>
    <w:rsid w:val="002642D5"/>
    <w:rsid w:val="002655D7"/>
    <w:rsid w:val="00270D4B"/>
    <w:rsid w:val="0027369A"/>
    <w:rsid w:val="00277B3B"/>
    <w:rsid w:val="00281DF2"/>
    <w:rsid w:val="00283855"/>
    <w:rsid w:val="00291094"/>
    <w:rsid w:val="0029235C"/>
    <w:rsid w:val="002928CE"/>
    <w:rsid w:val="00296FA1"/>
    <w:rsid w:val="002A164D"/>
    <w:rsid w:val="002A2005"/>
    <w:rsid w:val="002A36E1"/>
    <w:rsid w:val="002A3D23"/>
    <w:rsid w:val="002A508C"/>
    <w:rsid w:val="002A7A1A"/>
    <w:rsid w:val="002B3768"/>
    <w:rsid w:val="002B6308"/>
    <w:rsid w:val="002B75A7"/>
    <w:rsid w:val="002B7C05"/>
    <w:rsid w:val="002C7731"/>
    <w:rsid w:val="002D19FF"/>
    <w:rsid w:val="002D20AE"/>
    <w:rsid w:val="002D5556"/>
    <w:rsid w:val="002D5B9B"/>
    <w:rsid w:val="002D724D"/>
    <w:rsid w:val="002E3247"/>
    <w:rsid w:val="002E6C50"/>
    <w:rsid w:val="002F05B6"/>
    <w:rsid w:val="002F118C"/>
    <w:rsid w:val="002F21BF"/>
    <w:rsid w:val="002F2D62"/>
    <w:rsid w:val="002F2F75"/>
    <w:rsid w:val="002F416B"/>
    <w:rsid w:val="002F4B32"/>
    <w:rsid w:val="002F7599"/>
    <w:rsid w:val="00302E49"/>
    <w:rsid w:val="003057C4"/>
    <w:rsid w:val="0030610C"/>
    <w:rsid w:val="003079F0"/>
    <w:rsid w:val="003109C0"/>
    <w:rsid w:val="003149B4"/>
    <w:rsid w:val="00316EFF"/>
    <w:rsid w:val="003177FA"/>
    <w:rsid w:val="003203D5"/>
    <w:rsid w:val="003214EE"/>
    <w:rsid w:val="00323D5A"/>
    <w:rsid w:val="00324B13"/>
    <w:rsid w:val="00333C5C"/>
    <w:rsid w:val="00334849"/>
    <w:rsid w:val="00341124"/>
    <w:rsid w:val="00344B06"/>
    <w:rsid w:val="00345DD0"/>
    <w:rsid w:val="00362DE0"/>
    <w:rsid w:val="003632AA"/>
    <w:rsid w:val="003642D3"/>
    <w:rsid w:val="00364ED2"/>
    <w:rsid w:val="00367D28"/>
    <w:rsid w:val="003714F2"/>
    <w:rsid w:val="00372366"/>
    <w:rsid w:val="0037274A"/>
    <w:rsid w:val="00372F09"/>
    <w:rsid w:val="00381640"/>
    <w:rsid w:val="00381A77"/>
    <w:rsid w:val="0038313E"/>
    <w:rsid w:val="00383986"/>
    <w:rsid w:val="003839B4"/>
    <w:rsid w:val="0038475C"/>
    <w:rsid w:val="00384AF6"/>
    <w:rsid w:val="00385BE9"/>
    <w:rsid w:val="003865BB"/>
    <w:rsid w:val="0039204E"/>
    <w:rsid w:val="003A52FF"/>
    <w:rsid w:val="003A6561"/>
    <w:rsid w:val="003A7023"/>
    <w:rsid w:val="003B2429"/>
    <w:rsid w:val="003B3335"/>
    <w:rsid w:val="003B5721"/>
    <w:rsid w:val="003C213D"/>
    <w:rsid w:val="003C4F7A"/>
    <w:rsid w:val="003D15AC"/>
    <w:rsid w:val="003D31D4"/>
    <w:rsid w:val="003D3741"/>
    <w:rsid w:val="003D5817"/>
    <w:rsid w:val="003E1636"/>
    <w:rsid w:val="003F108E"/>
    <w:rsid w:val="003F25BC"/>
    <w:rsid w:val="003F324D"/>
    <w:rsid w:val="003F71FE"/>
    <w:rsid w:val="003F7EE5"/>
    <w:rsid w:val="00400F4B"/>
    <w:rsid w:val="00402192"/>
    <w:rsid w:val="00402EDD"/>
    <w:rsid w:val="00403400"/>
    <w:rsid w:val="004065B1"/>
    <w:rsid w:val="00407BAA"/>
    <w:rsid w:val="00410CAF"/>
    <w:rsid w:val="00411B8B"/>
    <w:rsid w:val="00412302"/>
    <w:rsid w:val="00412693"/>
    <w:rsid w:val="00414037"/>
    <w:rsid w:val="00420BD5"/>
    <w:rsid w:val="004218A1"/>
    <w:rsid w:val="0042192F"/>
    <w:rsid w:val="0042365E"/>
    <w:rsid w:val="004242F5"/>
    <w:rsid w:val="00426622"/>
    <w:rsid w:val="00434A67"/>
    <w:rsid w:val="0044215D"/>
    <w:rsid w:val="00445504"/>
    <w:rsid w:val="00447C42"/>
    <w:rsid w:val="00451F05"/>
    <w:rsid w:val="00456497"/>
    <w:rsid w:val="00460C2B"/>
    <w:rsid w:val="0046188E"/>
    <w:rsid w:val="00463B56"/>
    <w:rsid w:val="00466D4C"/>
    <w:rsid w:val="00470775"/>
    <w:rsid w:val="004712D8"/>
    <w:rsid w:val="0047304F"/>
    <w:rsid w:val="00476373"/>
    <w:rsid w:val="00482527"/>
    <w:rsid w:val="00482C46"/>
    <w:rsid w:val="00483F25"/>
    <w:rsid w:val="004859D9"/>
    <w:rsid w:val="00485C44"/>
    <w:rsid w:val="00486E2C"/>
    <w:rsid w:val="00487F6A"/>
    <w:rsid w:val="00490460"/>
    <w:rsid w:val="00495337"/>
    <w:rsid w:val="00497A0B"/>
    <w:rsid w:val="004A2D1A"/>
    <w:rsid w:val="004A38C7"/>
    <w:rsid w:val="004A3E33"/>
    <w:rsid w:val="004A51AD"/>
    <w:rsid w:val="004A6591"/>
    <w:rsid w:val="004A6A13"/>
    <w:rsid w:val="004A7310"/>
    <w:rsid w:val="004A79AA"/>
    <w:rsid w:val="004B0D91"/>
    <w:rsid w:val="004C1DCC"/>
    <w:rsid w:val="004C2C02"/>
    <w:rsid w:val="004C43F6"/>
    <w:rsid w:val="004C601C"/>
    <w:rsid w:val="004D4F56"/>
    <w:rsid w:val="004D787E"/>
    <w:rsid w:val="004E4886"/>
    <w:rsid w:val="004E66E8"/>
    <w:rsid w:val="004E6FC6"/>
    <w:rsid w:val="004F1ADA"/>
    <w:rsid w:val="004F7983"/>
    <w:rsid w:val="005022E7"/>
    <w:rsid w:val="005121EC"/>
    <w:rsid w:val="0051705D"/>
    <w:rsid w:val="00520BFC"/>
    <w:rsid w:val="00525030"/>
    <w:rsid w:val="00532A1A"/>
    <w:rsid w:val="00534CDA"/>
    <w:rsid w:val="00534F20"/>
    <w:rsid w:val="005357CA"/>
    <w:rsid w:val="00542109"/>
    <w:rsid w:val="005444C5"/>
    <w:rsid w:val="00555384"/>
    <w:rsid w:val="00555B46"/>
    <w:rsid w:val="0056104F"/>
    <w:rsid w:val="00570518"/>
    <w:rsid w:val="00571162"/>
    <w:rsid w:val="00576697"/>
    <w:rsid w:val="005827AD"/>
    <w:rsid w:val="005834DE"/>
    <w:rsid w:val="0058708A"/>
    <w:rsid w:val="005874F4"/>
    <w:rsid w:val="00587EA5"/>
    <w:rsid w:val="00591C4B"/>
    <w:rsid w:val="00592D80"/>
    <w:rsid w:val="00593EEB"/>
    <w:rsid w:val="0059456D"/>
    <w:rsid w:val="005A4DB4"/>
    <w:rsid w:val="005A531D"/>
    <w:rsid w:val="005A5982"/>
    <w:rsid w:val="005A6B64"/>
    <w:rsid w:val="005A7FB5"/>
    <w:rsid w:val="005B06C7"/>
    <w:rsid w:val="005B0EAC"/>
    <w:rsid w:val="005B14B4"/>
    <w:rsid w:val="005B23B2"/>
    <w:rsid w:val="005B3246"/>
    <w:rsid w:val="005B4267"/>
    <w:rsid w:val="005B5011"/>
    <w:rsid w:val="005B5169"/>
    <w:rsid w:val="005B70B2"/>
    <w:rsid w:val="005B73EB"/>
    <w:rsid w:val="005C02A6"/>
    <w:rsid w:val="005C104F"/>
    <w:rsid w:val="005C4983"/>
    <w:rsid w:val="005C67A2"/>
    <w:rsid w:val="005D4721"/>
    <w:rsid w:val="005D792C"/>
    <w:rsid w:val="005E0630"/>
    <w:rsid w:val="005E1897"/>
    <w:rsid w:val="005E4C0C"/>
    <w:rsid w:val="005E4C43"/>
    <w:rsid w:val="005E77AD"/>
    <w:rsid w:val="005F5A79"/>
    <w:rsid w:val="005F6B8D"/>
    <w:rsid w:val="006067B0"/>
    <w:rsid w:val="00610E13"/>
    <w:rsid w:val="00616930"/>
    <w:rsid w:val="00617C84"/>
    <w:rsid w:val="00617D29"/>
    <w:rsid w:val="00621800"/>
    <w:rsid w:val="00621E3F"/>
    <w:rsid w:val="0062200F"/>
    <w:rsid w:val="006232E7"/>
    <w:rsid w:val="006242D6"/>
    <w:rsid w:val="0062653E"/>
    <w:rsid w:val="00631E34"/>
    <w:rsid w:val="00632512"/>
    <w:rsid w:val="00635054"/>
    <w:rsid w:val="00636EE4"/>
    <w:rsid w:val="0063780D"/>
    <w:rsid w:val="00637FD1"/>
    <w:rsid w:val="006440F6"/>
    <w:rsid w:val="0064496F"/>
    <w:rsid w:val="00645584"/>
    <w:rsid w:val="00650225"/>
    <w:rsid w:val="00651F7E"/>
    <w:rsid w:val="00653C79"/>
    <w:rsid w:val="00654BD6"/>
    <w:rsid w:val="00655624"/>
    <w:rsid w:val="0065701F"/>
    <w:rsid w:val="00657C38"/>
    <w:rsid w:val="00660909"/>
    <w:rsid w:val="006747D9"/>
    <w:rsid w:val="00675E68"/>
    <w:rsid w:val="006814BF"/>
    <w:rsid w:val="00686ABB"/>
    <w:rsid w:val="00686AD0"/>
    <w:rsid w:val="006873F2"/>
    <w:rsid w:val="0069343B"/>
    <w:rsid w:val="006938BD"/>
    <w:rsid w:val="006A084F"/>
    <w:rsid w:val="006A1B6E"/>
    <w:rsid w:val="006A5EB1"/>
    <w:rsid w:val="006A6A51"/>
    <w:rsid w:val="006B0C50"/>
    <w:rsid w:val="006B1D87"/>
    <w:rsid w:val="006B1F2A"/>
    <w:rsid w:val="006B2D35"/>
    <w:rsid w:val="006B64D0"/>
    <w:rsid w:val="006C0AF9"/>
    <w:rsid w:val="006C54DA"/>
    <w:rsid w:val="006C5A28"/>
    <w:rsid w:val="006D02B7"/>
    <w:rsid w:val="006D07AF"/>
    <w:rsid w:val="006D5C6D"/>
    <w:rsid w:val="006D7AEE"/>
    <w:rsid w:val="006E20FC"/>
    <w:rsid w:val="006E7433"/>
    <w:rsid w:val="006F18CB"/>
    <w:rsid w:val="006F1C8F"/>
    <w:rsid w:val="006F608C"/>
    <w:rsid w:val="00700588"/>
    <w:rsid w:val="007015AC"/>
    <w:rsid w:val="00701C07"/>
    <w:rsid w:val="00702C3D"/>
    <w:rsid w:val="00702E4B"/>
    <w:rsid w:val="0071572C"/>
    <w:rsid w:val="007262D6"/>
    <w:rsid w:val="007333F2"/>
    <w:rsid w:val="007403E0"/>
    <w:rsid w:val="00741EC0"/>
    <w:rsid w:val="00742C69"/>
    <w:rsid w:val="007530AA"/>
    <w:rsid w:val="007530E9"/>
    <w:rsid w:val="00754227"/>
    <w:rsid w:val="007556AF"/>
    <w:rsid w:val="0075670B"/>
    <w:rsid w:val="007573B6"/>
    <w:rsid w:val="00757989"/>
    <w:rsid w:val="00763090"/>
    <w:rsid w:val="007633FE"/>
    <w:rsid w:val="007653D4"/>
    <w:rsid w:val="0076706B"/>
    <w:rsid w:val="00767D6B"/>
    <w:rsid w:val="007766AF"/>
    <w:rsid w:val="00782277"/>
    <w:rsid w:val="00785F11"/>
    <w:rsid w:val="0078705F"/>
    <w:rsid w:val="00787D46"/>
    <w:rsid w:val="00787ECE"/>
    <w:rsid w:val="00787EE4"/>
    <w:rsid w:val="00791786"/>
    <w:rsid w:val="00794393"/>
    <w:rsid w:val="00795DAE"/>
    <w:rsid w:val="0079773A"/>
    <w:rsid w:val="007A6888"/>
    <w:rsid w:val="007B2E7B"/>
    <w:rsid w:val="007B34A6"/>
    <w:rsid w:val="007B48CA"/>
    <w:rsid w:val="007B5B61"/>
    <w:rsid w:val="007B649D"/>
    <w:rsid w:val="007B6B13"/>
    <w:rsid w:val="007C3FEF"/>
    <w:rsid w:val="007E5F1C"/>
    <w:rsid w:val="007F0C84"/>
    <w:rsid w:val="007F1172"/>
    <w:rsid w:val="007F1628"/>
    <w:rsid w:val="007F22DF"/>
    <w:rsid w:val="007F355D"/>
    <w:rsid w:val="007F3C95"/>
    <w:rsid w:val="007F4839"/>
    <w:rsid w:val="007F56F8"/>
    <w:rsid w:val="00803A92"/>
    <w:rsid w:val="00805DAC"/>
    <w:rsid w:val="00807BC7"/>
    <w:rsid w:val="00810315"/>
    <w:rsid w:val="00810C66"/>
    <w:rsid w:val="00812FDA"/>
    <w:rsid w:val="00814805"/>
    <w:rsid w:val="00815BAC"/>
    <w:rsid w:val="0081717D"/>
    <w:rsid w:val="0082105E"/>
    <w:rsid w:val="008242BF"/>
    <w:rsid w:val="00824F5F"/>
    <w:rsid w:val="00826C55"/>
    <w:rsid w:val="00834C7C"/>
    <w:rsid w:val="008353D7"/>
    <w:rsid w:val="00835C74"/>
    <w:rsid w:val="00837B4F"/>
    <w:rsid w:val="00840B6D"/>
    <w:rsid w:val="00841D05"/>
    <w:rsid w:val="00842984"/>
    <w:rsid w:val="00844388"/>
    <w:rsid w:val="00845489"/>
    <w:rsid w:val="00845A66"/>
    <w:rsid w:val="00846B57"/>
    <w:rsid w:val="00846C8B"/>
    <w:rsid w:val="00847254"/>
    <w:rsid w:val="00847504"/>
    <w:rsid w:val="00854CB9"/>
    <w:rsid w:val="008617A1"/>
    <w:rsid w:val="00862DAB"/>
    <w:rsid w:val="008633BE"/>
    <w:rsid w:val="00863FE8"/>
    <w:rsid w:val="00864F91"/>
    <w:rsid w:val="00866A73"/>
    <w:rsid w:val="00871792"/>
    <w:rsid w:val="00871B7E"/>
    <w:rsid w:val="008757CC"/>
    <w:rsid w:val="0087747B"/>
    <w:rsid w:val="00880865"/>
    <w:rsid w:val="00882D5E"/>
    <w:rsid w:val="00883520"/>
    <w:rsid w:val="00883686"/>
    <w:rsid w:val="008877E6"/>
    <w:rsid w:val="00887CD2"/>
    <w:rsid w:val="008918A1"/>
    <w:rsid w:val="008950F7"/>
    <w:rsid w:val="00897B0D"/>
    <w:rsid w:val="008A2028"/>
    <w:rsid w:val="008A25C9"/>
    <w:rsid w:val="008B0398"/>
    <w:rsid w:val="008B3008"/>
    <w:rsid w:val="008B311B"/>
    <w:rsid w:val="008B61CE"/>
    <w:rsid w:val="008C09D4"/>
    <w:rsid w:val="008C31EB"/>
    <w:rsid w:val="008C6BEA"/>
    <w:rsid w:val="008D0794"/>
    <w:rsid w:val="008D20E0"/>
    <w:rsid w:val="008D4061"/>
    <w:rsid w:val="008D5443"/>
    <w:rsid w:val="008D734F"/>
    <w:rsid w:val="008D7353"/>
    <w:rsid w:val="008E2E5E"/>
    <w:rsid w:val="008E6C9B"/>
    <w:rsid w:val="008F29F3"/>
    <w:rsid w:val="00900A62"/>
    <w:rsid w:val="00903BE2"/>
    <w:rsid w:val="00906830"/>
    <w:rsid w:val="00910EDD"/>
    <w:rsid w:val="0091167A"/>
    <w:rsid w:val="00913ABE"/>
    <w:rsid w:val="009164FD"/>
    <w:rsid w:val="009208BE"/>
    <w:rsid w:val="0092230E"/>
    <w:rsid w:val="00924732"/>
    <w:rsid w:val="00930103"/>
    <w:rsid w:val="00930259"/>
    <w:rsid w:val="00937DF5"/>
    <w:rsid w:val="00943301"/>
    <w:rsid w:val="00943CB8"/>
    <w:rsid w:val="009440EB"/>
    <w:rsid w:val="00944137"/>
    <w:rsid w:val="00944A86"/>
    <w:rsid w:val="00952C85"/>
    <w:rsid w:val="0096169F"/>
    <w:rsid w:val="00961890"/>
    <w:rsid w:val="00961AD7"/>
    <w:rsid w:val="00961E07"/>
    <w:rsid w:val="00964E02"/>
    <w:rsid w:val="00965206"/>
    <w:rsid w:val="00970532"/>
    <w:rsid w:val="0097089F"/>
    <w:rsid w:val="00970F12"/>
    <w:rsid w:val="00971930"/>
    <w:rsid w:val="009742DB"/>
    <w:rsid w:val="009817C3"/>
    <w:rsid w:val="00983279"/>
    <w:rsid w:val="00986EEE"/>
    <w:rsid w:val="0098778E"/>
    <w:rsid w:val="00990B9F"/>
    <w:rsid w:val="00991402"/>
    <w:rsid w:val="009A4385"/>
    <w:rsid w:val="009A7715"/>
    <w:rsid w:val="009B2A80"/>
    <w:rsid w:val="009B4514"/>
    <w:rsid w:val="009B600F"/>
    <w:rsid w:val="009C6E72"/>
    <w:rsid w:val="009D0867"/>
    <w:rsid w:val="009D2029"/>
    <w:rsid w:val="009D2DB6"/>
    <w:rsid w:val="009E210C"/>
    <w:rsid w:val="009E5719"/>
    <w:rsid w:val="009F0718"/>
    <w:rsid w:val="009F62A9"/>
    <w:rsid w:val="009F6AC5"/>
    <w:rsid w:val="009F7395"/>
    <w:rsid w:val="00A01A61"/>
    <w:rsid w:val="00A01B65"/>
    <w:rsid w:val="00A10F0A"/>
    <w:rsid w:val="00A13D30"/>
    <w:rsid w:val="00A17ED8"/>
    <w:rsid w:val="00A21555"/>
    <w:rsid w:val="00A25946"/>
    <w:rsid w:val="00A3094C"/>
    <w:rsid w:val="00A31EE8"/>
    <w:rsid w:val="00A31FCA"/>
    <w:rsid w:val="00A41A66"/>
    <w:rsid w:val="00A4438C"/>
    <w:rsid w:val="00A53AEF"/>
    <w:rsid w:val="00A56E96"/>
    <w:rsid w:val="00A6002B"/>
    <w:rsid w:val="00A61519"/>
    <w:rsid w:val="00A61CD8"/>
    <w:rsid w:val="00A6675A"/>
    <w:rsid w:val="00A66C70"/>
    <w:rsid w:val="00A67353"/>
    <w:rsid w:val="00A71F12"/>
    <w:rsid w:val="00A74646"/>
    <w:rsid w:val="00A76213"/>
    <w:rsid w:val="00A82DFC"/>
    <w:rsid w:val="00A95EBE"/>
    <w:rsid w:val="00AA349F"/>
    <w:rsid w:val="00AA56D6"/>
    <w:rsid w:val="00AA7A50"/>
    <w:rsid w:val="00AB2626"/>
    <w:rsid w:val="00AB6BC0"/>
    <w:rsid w:val="00AC17B3"/>
    <w:rsid w:val="00AC3C1F"/>
    <w:rsid w:val="00AC6234"/>
    <w:rsid w:val="00AD4582"/>
    <w:rsid w:val="00AE115D"/>
    <w:rsid w:val="00AE21FB"/>
    <w:rsid w:val="00AE28E6"/>
    <w:rsid w:val="00AE6742"/>
    <w:rsid w:val="00AF2A38"/>
    <w:rsid w:val="00B00772"/>
    <w:rsid w:val="00B0423B"/>
    <w:rsid w:val="00B04AB7"/>
    <w:rsid w:val="00B07754"/>
    <w:rsid w:val="00B1518E"/>
    <w:rsid w:val="00B20B28"/>
    <w:rsid w:val="00B211CE"/>
    <w:rsid w:val="00B26C96"/>
    <w:rsid w:val="00B270DC"/>
    <w:rsid w:val="00B3119A"/>
    <w:rsid w:val="00B3189A"/>
    <w:rsid w:val="00B33CA5"/>
    <w:rsid w:val="00B34935"/>
    <w:rsid w:val="00B42943"/>
    <w:rsid w:val="00B46701"/>
    <w:rsid w:val="00B52057"/>
    <w:rsid w:val="00B53264"/>
    <w:rsid w:val="00B60216"/>
    <w:rsid w:val="00B63CA4"/>
    <w:rsid w:val="00B63D71"/>
    <w:rsid w:val="00B6516E"/>
    <w:rsid w:val="00B653D4"/>
    <w:rsid w:val="00B66018"/>
    <w:rsid w:val="00B66AF3"/>
    <w:rsid w:val="00B67477"/>
    <w:rsid w:val="00B71222"/>
    <w:rsid w:val="00B71701"/>
    <w:rsid w:val="00B71D4C"/>
    <w:rsid w:val="00B76A7C"/>
    <w:rsid w:val="00B81F52"/>
    <w:rsid w:val="00B84589"/>
    <w:rsid w:val="00B84B53"/>
    <w:rsid w:val="00B850D4"/>
    <w:rsid w:val="00B94D4A"/>
    <w:rsid w:val="00B95427"/>
    <w:rsid w:val="00BA0CA6"/>
    <w:rsid w:val="00BA3CBC"/>
    <w:rsid w:val="00BA7BDD"/>
    <w:rsid w:val="00BB227A"/>
    <w:rsid w:val="00BB454A"/>
    <w:rsid w:val="00BB50F1"/>
    <w:rsid w:val="00BC24CA"/>
    <w:rsid w:val="00BC3C78"/>
    <w:rsid w:val="00BC6227"/>
    <w:rsid w:val="00BC7480"/>
    <w:rsid w:val="00BC7682"/>
    <w:rsid w:val="00BD115B"/>
    <w:rsid w:val="00BE0C98"/>
    <w:rsid w:val="00BE13CB"/>
    <w:rsid w:val="00BE4E7B"/>
    <w:rsid w:val="00BE5706"/>
    <w:rsid w:val="00BE7DB7"/>
    <w:rsid w:val="00BF0B96"/>
    <w:rsid w:val="00BF1FAB"/>
    <w:rsid w:val="00BF3803"/>
    <w:rsid w:val="00C13025"/>
    <w:rsid w:val="00C13E30"/>
    <w:rsid w:val="00C145D2"/>
    <w:rsid w:val="00C1489A"/>
    <w:rsid w:val="00C14D1C"/>
    <w:rsid w:val="00C21A58"/>
    <w:rsid w:val="00C21B14"/>
    <w:rsid w:val="00C21C5E"/>
    <w:rsid w:val="00C223C1"/>
    <w:rsid w:val="00C228EB"/>
    <w:rsid w:val="00C24AF8"/>
    <w:rsid w:val="00C262A9"/>
    <w:rsid w:val="00C27AD9"/>
    <w:rsid w:val="00C34A6C"/>
    <w:rsid w:val="00C41250"/>
    <w:rsid w:val="00C43ABC"/>
    <w:rsid w:val="00C447E1"/>
    <w:rsid w:val="00C50394"/>
    <w:rsid w:val="00C505CE"/>
    <w:rsid w:val="00C56B20"/>
    <w:rsid w:val="00C605FD"/>
    <w:rsid w:val="00C61F00"/>
    <w:rsid w:val="00C63319"/>
    <w:rsid w:val="00C6389A"/>
    <w:rsid w:val="00C749E3"/>
    <w:rsid w:val="00C757B8"/>
    <w:rsid w:val="00C80487"/>
    <w:rsid w:val="00C80776"/>
    <w:rsid w:val="00C82C71"/>
    <w:rsid w:val="00C8565E"/>
    <w:rsid w:val="00C85E41"/>
    <w:rsid w:val="00C90C61"/>
    <w:rsid w:val="00C91835"/>
    <w:rsid w:val="00C95E63"/>
    <w:rsid w:val="00CA40C6"/>
    <w:rsid w:val="00CA4AB4"/>
    <w:rsid w:val="00CB39E4"/>
    <w:rsid w:val="00CC1591"/>
    <w:rsid w:val="00CC17A1"/>
    <w:rsid w:val="00CC19B0"/>
    <w:rsid w:val="00CC444F"/>
    <w:rsid w:val="00CD039F"/>
    <w:rsid w:val="00CD2CFE"/>
    <w:rsid w:val="00CD6932"/>
    <w:rsid w:val="00CE060B"/>
    <w:rsid w:val="00CE4CC6"/>
    <w:rsid w:val="00CF2564"/>
    <w:rsid w:val="00CF4EC7"/>
    <w:rsid w:val="00CF6CB1"/>
    <w:rsid w:val="00D017C7"/>
    <w:rsid w:val="00D02A4C"/>
    <w:rsid w:val="00D06BC3"/>
    <w:rsid w:val="00D10797"/>
    <w:rsid w:val="00D13191"/>
    <w:rsid w:val="00D16A17"/>
    <w:rsid w:val="00D20C61"/>
    <w:rsid w:val="00D30BE7"/>
    <w:rsid w:val="00D33EC1"/>
    <w:rsid w:val="00D355EE"/>
    <w:rsid w:val="00D4113A"/>
    <w:rsid w:val="00D4160A"/>
    <w:rsid w:val="00D54FA7"/>
    <w:rsid w:val="00D5515D"/>
    <w:rsid w:val="00D62864"/>
    <w:rsid w:val="00D62900"/>
    <w:rsid w:val="00D67095"/>
    <w:rsid w:val="00D7245B"/>
    <w:rsid w:val="00D73FBC"/>
    <w:rsid w:val="00D75263"/>
    <w:rsid w:val="00D75763"/>
    <w:rsid w:val="00D75DB0"/>
    <w:rsid w:val="00D76052"/>
    <w:rsid w:val="00D81A5A"/>
    <w:rsid w:val="00D91029"/>
    <w:rsid w:val="00D92783"/>
    <w:rsid w:val="00D93D7D"/>
    <w:rsid w:val="00D95160"/>
    <w:rsid w:val="00DA1A76"/>
    <w:rsid w:val="00DA1DC5"/>
    <w:rsid w:val="00DA3571"/>
    <w:rsid w:val="00DA4BE9"/>
    <w:rsid w:val="00DA5F68"/>
    <w:rsid w:val="00DA5FCA"/>
    <w:rsid w:val="00DA78F2"/>
    <w:rsid w:val="00DB1211"/>
    <w:rsid w:val="00DB1DA9"/>
    <w:rsid w:val="00DB1DC6"/>
    <w:rsid w:val="00DB1FAB"/>
    <w:rsid w:val="00DB2DAB"/>
    <w:rsid w:val="00DB6975"/>
    <w:rsid w:val="00DB7C47"/>
    <w:rsid w:val="00DC073E"/>
    <w:rsid w:val="00DC3936"/>
    <w:rsid w:val="00DC4F15"/>
    <w:rsid w:val="00DD482F"/>
    <w:rsid w:val="00DD59D9"/>
    <w:rsid w:val="00DE534E"/>
    <w:rsid w:val="00DE65F9"/>
    <w:rsid w:val="00DE6FC9"/>
    <w:rsid w:val="00DF1781"/>
    <w:rsid w:val="00DF40AB"/>
    <w:rsid w:val="00E02F2E"/>
    <w:rsid w:val="00E03B27"/>
    <w:rsid w:val="00E03B3D"/>
    <w:rsid w:val="00E0596D"/>
    <w:rsid w:val="00E05B56"/>
    <w:rsid w:val="00E10886"/>
    <w:rsid w:val="00E1275F"/>
    <w:rsid w:val="00E13D3A"/>
    <w:rsid w:val="00E1485A"/>
    <w:rsid w:val="00E16B2B"/>
    <w:rsid w:val="00E31A85"/>
    <w:rsid w:val="00E3581B"/>
    <w:rsid w:val="00E41DD1"/>
    <w:rsid w:val="00E46003"/>
    <w:rsid w:val="00E478CB"/>
    <w:rsid w:val="00E50DE7"/>
    <w:rsid w:val="00E568DD"/>
    <w:rsid w:val="00E61CBA"/>
    <w:rsid w:val="00E6443B"/>
    <w:rsid w:val="00E66071"/>
    <w:rsid w:val="00E755D3"/>
    <w:rsid w:val="00E85D9C"/>
    <w:rsid w:val="00E90D82"/>
    <w:rsid w:val="00E930FA"/>
    <w:rsid w:val="00E94506"/>
    <w:rsid w:val="00E9539F"/>
    <w:rsid w:val="00E96838"/>
    <w:rsid w:val="00EA3705"/>
    <w:rsid w:val="00EA520C"/>
    <w:rsid w:val="00EA5EA5"/>
    <w:rsid w:val="00EB31CD"/>
    <w:rsid w:val="00EB5EE6"/>
    <w:rsid w:val="00EB7F8B"/>
    <w:rsid w:val="00EC1895"/>
    <w:rsid w:val="00EC5DC7"/>
    <w:rsid w:val="00ED1E7A"/>
    <w:rsid w:val="00ED362F"/>
    <w:rsid w:val="00ED3D26"/>
    <w:rsid w:val="00ED4FDB"/>
    <w:rsid w:val="00ED6B03"/>
    <w:rsid w:val="00EE14DD"/>
    <w:rsid w:val="00EE35B1"/>
    <w:rsid w:val="00EE49A7"/>
    <w:rsid w:val="00EE64C9"/>
    <w:rsid w:val="00EE72BB"/>
    <w:rsid w:val="00EF1591"/>
    <w:rsid w:val="00EF56B5"/>
    <w:rsid w:val="00EF60CB"/>
    <w:rsid w:val="00EF76AC"/>
    <w:rsid w:val="00F01D93"/>
    <w:rsid w:val="00F121E7"/>
    <w:rsid w:val="00F14C5A"/>
    <w:rsid w:val="00F17042"/>
    <w:rsid w:val="00F24D18"/>
    <w:rsid w:val="00F25BCE"/>
    <w:rsid w:val="00F307D5"/>
    <w:rsid w:val="00F33942"/>
    <w:rsid w:val="00F353BD"/>
    <w:rsid w:val="00F40C95"/>
    <w:rsid w:val="00F411C9"/>
    <w:rsid w:val="00F422D4"/>
    <w:rsid w:val="00F424C8"/>
    <w:rsid w:val="00F51322"/>
    <w:rsid w:val="00F54234"/>
    <w:rsid w:val="00F61058"/>
    <w:rsid w:val="00F63302"/>
    <w:rsid w:val="00F64B92"/>
    <w:rsid w:val="00F64BA5"/>
    <w:rsid w:val="00F7203B"/>
    <w:rsid w:val="00F7661F"/>
    <w:rsid w:val="00F77F4C"/>
    <w:rsid w:val="00F81E25"/>
    <w:rsid w:val="00F827A4"/>
    <w:rsid w:val="00F83007"/>
    <w:rsid w:val="00F832B8"/>
    <w:rsid w:val="00F83764"/>
    <w:rsid w:val="00F91906"/>
    <w:rsid w:val="00F929CC"/>
    <w:rsid w:val="00F92EE4"/>
    <w:rsid w:val="00F973F3"/>
    <w:rsid w:val="00FA1D09"/>
    <w:rsid w:val="00FA60D5"/>
    <w:rsid w:val="00FA6A82"/>
    <w:rsid w:val="00FB3B7C"/>
    <w:rsid w:val="00FB3C83"/>
    <w:rsid w:val="00FC202D"/>
    <w:rsid w:val="00FC2122"/>
    <w:rsid w:val="00FD1A92"/>
    <w:rsid w:val="00FD515E"/>
    <w:rsid w:val="00FE1FB9"/>
    <w:rsid w:val="00FE3BF9"/>
    <w:rsid w:val="00FE4D29"/>
    <w:rsid w:val="00FE75EC"/>
    <w:rsid w:val="00FF18B9"/>
    <w:rsid w:val="00FF3C80"/>
    <w:rsid w:val="00FF3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E1ED"/>
  <w15:docId w15:val="{2A4B8104-8D29-40FF-8409-53C9BB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94"/>
    <w:pPr>
      <w:spacing w:after="0" w:line="240" w:lineRule="atLeast"/>
    </w:pPr>
    <w:rPr>
      <w:rFonts w:ascii="HelveticaNeueLT Std Lt" w:eastAsia="Times New Roman" w:hAnsi="HelveticaNeueLT Std Lt"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1094"/>
    <w:pPr>
      <w:tabs>
        <w:tab w:val="center" w:pos="4153"/>
        <w:tab w:val="right" w:pos="8306"/>
      </w:tabs>
      <w:spacing w:line="240" w:lineRule="auto"/>
    </w:pPr>
    <w:rPr>
      <w:sz w:val="16"/>
    </w:rPr>
  </w:style>
  <w:style w:type="character" w:customStyle="1" w:styleId="HeaderChar">
    <w:name w:val="Header Char"/>
    <w:basedOn w:val="DefaultParagraphFont"/>
    <w:link w:val="Header"/>
    <w:rsid w:val="00291094"/>
    <w:rPr>
      <w:rFonts w:ascii="HelveticaNeueLT Std Lt" w:eastAsia="Times New Roman" w:hAnsi="HelveticaNeueLT Std Lt" w:cs="Times New Roman"/>
      <w:sz w:val="16"/>
      <w:szCs w:val="24"/>
      <w:lang w:eastAsia="en-AU"/>
    </w:rPr>
  </w:style>
  <w:style w:type="paragraph" w:styleId="Footer">
    <w:name w:val="footer"/>
    <w:basedOn w:val="Normal"/>
    <w:link w:val="FooterChar"/>
    <w:uiPriority w:val="99"/>
    <w:rsid w:val="00291094"/>
    <w:pPr>
      <w:tabs>
        <w:tab w:val="center" w:pos="4153"/>
        <w:tab w:val="right" w:pos="8306"/>
      </w:tabs>
      <w:spacing w:line="240" w:lineRule="auto"/>
    </w:pPr>
    <w:rPr>
      <w:sz w:val="16"/>
    </w:rPr>
  </w:style>
  <w:style w:type="character" w:customStyle="1" w:styleId="FooterChar">
    <w:name w:val="Footer Char"/>
    <w:basedOn w:val="DefaultParagraphFont"/>
    <w:link w:val="Footer"/>
    <w:uiPriority w:val="99"/>
    <w:rsid w:val="00291094"/>
    <w:rPr>
      <w:rFonts w:ascii="HelveticaNeueLT Std Lt" w:eastAsia="Times New Roman" w:hAnsi="HelveticaNeueLT Std Lt" w:cs="Times New Roman"/>
      <w:sz w:val="16"/>
      <w:szCs w:val="24"/>
      <w:lang w:eastAsia="en-AU"/>
    </w:rPr>
  </w:style>
  <w:style w:type="paragraph" w:customStyle="1" w:styleId="PageNumber">
    <w:name w:val="PageNumber"/>
    <w:basedOn w:val="Normal"/>
    <w:rsid w:val="00291094"/>
    <w:pPr>
      <w:spacing w:line="240" w:lineRule="auto"/>
    </w:pPr>
    <w:rPr>
      <w:sz w:val="16"/>
    </w:rPr>
  </w:style>
  <w:style w:type="character" w:styleId="Hyperlink">
    <w:name w:val="Hyperlink"/>
    <w:basedOn w:val="DefaultParagraphFont"/>
    <w:rsid w:val="00291094"/>
    <w:rPr>
      <w:color w:val="0000FF"/>
      <w:u w:val="single"/>
    </w:rPr>
  </w:style>
  <w:style w:type="paragraph" w:customStyle="1" w:styleId="ACMABodyText">
    <w:name w:val="ACMA Body Text"/>
    <w:link w:val="ACMABodyTextChar"/>
    <w:rsid w:val="00291094"/>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P1">
    <w:name w:val="P1"/>
    <w:aliases w:val="(a)"/>
    <w:basedOn w:val="Normal"/>
    <w:rsid w:val="00291094"/>
    <w:pPr>
      <w:tabs>
        <w:tab w:val="right" w:pos="1191"/>
      </w:tabs>
      <w:spacing w:before="60" w:line="260" w:lineRule="exact"/>
      <w:ind w:left="1418" w:hanging="1418"/>
      <w:jc w:val="both"/>
    </w:pPr>
    <w:rPr>
      <w:rFonts w:ascii="Times New Roman" w:hAnsi="Times New Roman"/>
      <w:sz w:val="24"/>
    </w:rPr>
  </w:style>
  <w:style w:type="character" w:customStyle="1" w:styleId="ACMABodyTextChar">
    <w:name w:val="ACMA Body Text Char"/>
    <w:basedOn w:val="DefaultParagraphFont"/>
    <w:link w:val="ACMABodyText"/>
    <w:rsid w:val="00291094"/>
    <w:rPr>
      <w:rFonts w:ascii="Times New Roman" w:eastAsia="Times New Roman" w:hAnsi="Times New Roman" w:cs="Times New Roman"/>
      <w:snapToGrid w:val="0"/>
      <w:sz w:val="24"/>
      <w:szCs w:val="20"/>
    </w:rPr>
  </w:style>
  <w:style w:type="paragraph" w:customStyle="1" w:styleId="ACMAHeading2">
    <w:name w:val="ACMA Heading 2"/>
    <w:next w:val="ACMABodyText"/>
    <w:rsid w:val="00291094"/>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4">
    <w:name w:val="ACMA Heading 4"/>
    <w:next w:val="ACMABodyText"/>
    <w:rsid w:val="00291094"/>
    <w:pPr>
      <w:keepNext/>
      <w:suppressAutoHyphens/>
      <w:spacing w:before="80" w:after="0" w:line="240" w:lineRule="auto"/>
      <w:outlineLvl w:val="4"/>
    </w:pPr>
    <w:rPr>
      <w:rFonts w:ascii="Arial" w:eastAsia="Times New Roman" w:hAnsi="Arial" w:cs="Times New Roman"/>
      <w:b/>
      <w:i/>
      <w:sz w:val="20"/>
      <w:szCs w:val="20"/>
    </w:rPr>
  </w:style>
  <w:style w:type="paragraph" w:customStyle="1" w:styleId="ABABulletLevel1">
    <w:name w:val="ABA Bullet Level 1"/>
    <w:rsid w:val="00291094"/>
    <w:pPr>
      <w:spacing w:after="0" w:line="240" w:lineRule="auto"/>
    </w:pPr>
    <w:rPr>
      <w:rFonts w:ascii="Times New Roman" w:eastAsia="Times New Roman" w:hAnsi="Times New Roman" w:cs="Times New Roman"/>
      <w:sz w:val="24"/>
      <w:szCs w:val="20"/>
    </w:rPr>
  </w:style>
  <w:style w:type="paragraph" w:customStyle="1" w:styleId="ACMANumberedList">
    <w:name w:val="ACMA Numbered List"/>
    <w:rsid w:val="00291094"/>
    <w:pPr>
      <w:numPr>
        <w:numId w:val="1"/>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rsid w:val="00291094"/>
    <w:rPr>
      <w:rFonts w:ascii="Arial" w:hAnsi="Arial"/>
      <w:vertAlign w:val="superscript"/>
    </w:rPr>
  </w:style>
  <w:style w:type="paragraph" w:styleId="FootnoteText">
    <w:name w:val="footnote text"/>
    <w:aliases w:val="ACMA Footnote Text"/>
    <w:basedOn w:val="Normal"/>
    <w:link w:val="FootnoteTextChar"/>
    <w:rsid w:val="00291094"/>
    <w:rPr>
      <w:sz w:val="16"/>
      <w:szCs w:val="16"/>
    </w:rPr>
  </w:style>
  <w:style w:type="character" w:customStyle="1" w:styleId="FootnoteTextChar">
    <w:name w:val="Footnote Text Char"/>
    <w:aliases w:val="ACMA Footnote Text Char"/>
    <w:basedOn w:val="DefaultParagraphFont"/>
    <w:link w:val="FootnoteText"/>
    <w:rsid w:val="00291094"/>
    <w:rPr>
      <w:rFonts w:ascii="HelveticaNeueLT Std Lt" w:eastAsia="Times New Roman" w:hAnsi="HelveticaNeueLT Std Lt" w:cs="Times New Roman"/>
      <w:sz w:val="16"/>
      <w:szCs w:val="16"/>
      <w:lang w:eastAsia="en-AU"/>
    </w:rPr>
  </w:style>
  <w:style w:type="paragraph" w:customStyle="1" w:styleId="ACMAHeading1">
    <w:name w:val="ACMA Heading 1"/>
    <w:next w:val="ACMABodyText"/>
    <w:uiPriority w:val="99"/>
    <w:rsid w:val="00291094"/>
    <w:pPr>
      <w:keepNext/>
      <w:suppressAutoHyphens/>
      <w:spacing w:before="320" w:after="0" w:line="240" w:lineRule="auto"/>
      <w:outlineLvl w:val="1"/>
    </w:pPr>
    <w:rPr>
      <w:rFonts w:ascii="Arial" w:eastAsia="Times New Roman" w:hAnsi="Arial" w:cs="Times New Roman"/>
      <w:b/>
      <w:sz w:val="32"/>
      <w:szCs w:val="32"/>
      <w:lang w:val="en-US"/>
    </w:rPr>
  </w:style>
  <w:style w:type="paragraph" w:styleId="Caption">
    <w:name w:val="caption"/>
    <w:basedOn w:val="Normal"/>
    <w:next w:val="Normal"/>
    <w:qFormat/>
    <w:rsid w:val="00D62864"/>
    <w:rPr>
      <w:rFonts w:ascii="HelveticaNeueLT Std" w:hAnsi="HelveticaNeueLT Std"/>
      <w:b/>
      <w:bCs/>
      <w:color w:val="808285"/>
      <w:szCs w:val="20"/>
    </w:rPr>
  </w:style>
  <w:style w:type="paragraph" w:styleId="ListBullet2">
    <w:name w:val="List Bullet 2"/>
    <w:basedOn w:val="Normal"/>
    <w:rsid w:val="00D62864"/>
    <w:pPr>
      <w:numPr>
        <w:numId w:val="5"/>
      </w:numPr>
    </w:pPr>
  </w:style>
  <w:style w:type="paragraph" w:styleId="BalloonText">
    <w:name w:val="Balloon Text"/>
    <w:basedOn w:val="Normal"/>
    <w:link w:val="BalloonTextChar"/>
    <w:uiPriority w:val="99"/>
    <w:semiHidden/>
    <w:unhideWhenUsed/>
    <w:rsid w:val="00CD0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9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938DE"/>
    <w:rPr>
      <w:sz w:val="16"/>
      <w:szCs w:val="16"/>
    </w:rPr>
  </w:style>
  <w:style w:type="paragraph" w:styleId="CommentText">
    <w:name w:val="annotation text"/>
    <w:basedOn w:val="Normal"/>
    <w:link w:val="CommentTextChar"/>
    <w:uiPriority w:val="99"/>
    <w:unhideWhenUsed/>
    <w:rsid w:val="001938DE"/>
    <w:pPr>
      <w:spacing w:line="240" w:lineRule="auto"/>
    </w:pPr>
    <w:rPr>
      <w:szCs w:val="20"/>
    </w:rPr>
  </w:style>
  <w:style w:type="character" w:customStyle="1" w:styleId="CommentTextChar">
    <w:name w:val="Comment Text Char"/>
    <w:basedOn w:val="DefaultParagraphFont"/>
    <w:link w:val="CommentText"/>
    <w:uiPriority w:val="99"/>
    <w:rsid w:val="001938DE"/>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8DE"/>
    <w:rPr>
      <w:b/>
      <w:bCs/>
    </w:rPr>
  </w:style>
  <w:style w:type="character" w:customStyle="1" w:styleId="CommentSubjectChar">
    <w:name w:val="Comment Subject Char"/>
    <w:basedOn w:val="CommentTextChar"/>
    <w:link w:val="CommentSubject"/>
    <w:uiPriority w:val="99"/>
    <w:semiHidden/>
    <w:rsid w:val="001938DE"/>
    <w:rPr>
      <w:rFonts w:ascii="HelveticaNeueLT Std Lt" w:eastAsia="Times New Roman" w:hAnsi="HelveticaNeueLT Std Lt" w:cs="Times New Roman"/>
      <w:b/>
      <w:bCs/>
      <w:sz w:val="20"/>
      <w:szCs w:val="20"/>
      <w:lang w:eastAsia="en-AU"/>
    </w:rPr>
  </w:style>
  <w:style w:type="paragraph" w:styleId="Revision">
    <w:name w:val="Revision"/>
    <w:hidden/>
    <w:uiPriority w:val="99"/>
    <w:semiHidden/>
    <w:rsid w:val="00C6389A"/>
    <w:pPr>
      <w:spacing w:after="0" w:line="240" w:lineRule="auto"/>
    </w:pPr>
    <w:rPr>
      <w:rFonts w:ascii="HelveticaNeueLT Std Lt" w:eastAsia="Times New Roman" w:hAnsi="HelveticaNeueLT Std Lt" w:cs="Times New Roman"/>
      <w:sz w:val="20"/>
      <w:szCs w:val="24"/>
      <w:lang w:eastAsia="en-AU"/>
    </w:rPr>
  </w:style>
  <w:style w:type="paragraph" w:styleId="ListParagraph">
    <w:name w:val="List Paragraph"/>
    <w:basedOn w:val="Normal"/>
    <w:uiPriority w:val="34"/>
    <w:qFormat/>
    <w:rsid w:val="0021795F"/>
    <w:pPr>
      <w:ind w:left="720"/>
      <w:contextualSpacing/>
    </w:pPr>
  </w:style>
  <w:style w:type="paragraph" w:customStyle="1" w:styleId="subsection">
    <w:name w:val="subsection"/>
    <w:aliases w:val="ss"/>
    <w:basedOn w:val="Normal"/>
    <w:rsid w:val="00B63CA4"/>
    <w:pPr>
      <w:tabs>
        <w:tab w:val="right" w:pos="1021"/>
      </w:tabs>
      <w:spacing w:before="180" w:line="240" w:lineRule="auto"/>
      <w:ind w:left="1134" w:hanging="1134"/>
    </w:pPr>
    <w:rPr>
      <w:rFonts w:ascii="Times New Roman" w:hAnsi="Times New Roman"/>
      <w:sz w:val="22"/>
      <w:szCs w:val="20"/>
    </w:rPr>
  </w:style>
  <w:style w:type="paragraph" w:customStyle="1" w:styleId="notetext">
    <w:name w:val="note(text)"/>
    <w:aliases w:val="n"/>
    <w:basedOn w:val="Normal"/>
    <w:rsid w:val="00B63CA4"/>
    <w:pPr>
      <w:spacing w:before="122" w:line="198" w:lineRule="exact"/>
      <w:ind w:left="1985" w:hanging="851"/>
    </w:pPr>
    <w:rPr>
      <w:rFonts w:ascii="Times New Roman" w:hAnsi="Times New Roman"/>
      <w:sz w:val="18"/>
      <w:szCs w:val="20"/>
    </w:rPr>
  </w:style>
  <w:style w:type="paragraph" w:customStyle="1" w:styleId="notepara">
    <w:name w:val="note(para)"/>
    <w:aliases w:val="na"/>
    <w:basedOn w:val="Normal"/>
    <w:rsid w:val="00F64B92"/>
    <w:pPr>
      <w:spacing w:before="40" w:line="198" w:lineRule="exact"/>
      <w:ind w:left="2354" w:hanging="369"/>
    </w:pPr>
    <w:rPr>
      <w:rFonts w:ascii="Times New Roman" w:hAnsi="Times New Roman"/>
      <w:sz w:val="18"/>
      <w:szCs w:val="20"/>
    </w:rPr>
  </w:style>
  <w:style w:type="paragraph" w:styleId="Quote">
    <w:name w:val="Quote"/>
    <w:basedOn w:val="Normal"/>
    <w:next w:val="Normal"/>
    <w:link w:val="QuoteChar"/>
    <w:uiPriority w:val="29"/>
    <w:qFormat/>
    <w:rsid w:val="00E61CBA"/>
    <w:rPr>
      <w:i/>
      <w:iCs/>
      <w:color w:val="000000" w:themeColor="text1"/>
    </w:rPr>
  </w:style>
  <w:style w:type="character" w:customStyle="1" w:styleId="QuoteChar">
    <w:name w:val="Quote Char"/>
    <w:basedOn w:val="DefaultParagraphFont"/>
    <w:link w:val="Quote"/>
    <w:uiPriority w:val="29"/>
    <w:rsid w:val="00E61CBA"/>
    <w:rPr>
      <w:rFonts w:ascii="HelveticaNeueLT Std Lt" w:eastAsia="Times New Roman" w:hAnsi="HelveticaNeueLT Std Lt" w:cs="Times New Roman"/>
      <w:i/>
      <w:iCs/>
      <w:color w:val="000000" w:themeColor="text1"/>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4165">
      <w:bodyDiv w:val="1"/>
      <w:marLeft w:val="0"/>
      <w:marRight w:val="0"/>
      <w:marTop w:val="0"/>
      <w:marBottom w:val="0"/>
      <w:divBdr>
        <w:top w:val="none" w:sz="0" w:space="0" w:color="auto"/>
        <w:left w:val="none" w:sz="0" w:space="0" w:color="auto"/>
        <w:bottom w:val="none" w:sz="0" w:space="0" w:color="auto"/>
        <w:right w:val="none" w:sz="0" w:space="0" w:color="auto"/>
      </w:divBdr>
    </w:div>
    <w:div w:id="13171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m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KNAH4PPFC442-3114-563</_dlc_DocId>
    <_dlc_DocIdUrl xmlns="6db8f3c6-01a1-4322-b043-a3b2a190f7a8">
      <Url>http://collaboration/organisation/Auth/Chair/Auth/_layouts/DocIdRedir.aspx?ID=KNAH4PPFC442-3114-563</Url>
      <Description>KNAH4PPFC442-3114-563</Description>
    </_dlc_DocIdUrl>
    <Record_x0020_Number xmlns="83630db1-6fc2-4dfd-b3fe-d61d34e1440c">ER2015/132453</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C0DA-3242-41CF-BA8C-3A5A67B55559}">
  <ds:schemaRefs>
    <ds:schemaRef ds:uri="Microsoft.SharePoint.Taxonomy.ContentTypeSync"/>
  </ds:schemaRefs>
</ds:datastoreItem>
</file>

<file path=customXml/itemProps2.xml><?xml version="1.0" encoding="utf-8"?>
<ds:datastoreItem xmlns:ds="http://schemas.openxmlformats.org/officeDocument/2006/customXml" ds:itemID="{BC709953-75AE-45FD-B3FF-B9E5FAEB378B}">
  <ds:schemaRefs>
    <ds:schemaRef ds:uri="http://schemas.microsoft.com/sharepoint/events"/>
  </ds:schemaRefs>
</ds:datastoreItem>
</file>

<file path=customXml/itemProps3.xml><?xml version="1.0" encoding="utf-8"?>
<ds:datastoreItem xmlns:ds="http://schemas.openxmlformats.org/officeDocument/2006/customXml" ds:itemID="{162F8B7F-B01C-4236-960D-9A83545A9A38}">
  <ds:schemaRefs>
    <ds:schemaRef ds:uri="http://schemas.microsoft.com/sharepoint/v3/contenttype/forms"/>
  </ds:schemaRefs>
</ds:datastoreItem>
</file>

<file path=customXml/itemProps4.xml><?xml version="1.0" encoding="utf-8"?>
<ds:datastoreItem xmlns:ds="http://schemas.openxmlformats.org/officeDocument/2006/customXml" ds:itemID="{6587E64F-3E48-4529-9906-D16BFFC4B75F}">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6DD3CF68-484B-490C-8C5C-B9372560F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7352A4-FE5C-4344-A128-88F45E75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8968</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amalik</dc:creator>
  <cp:lastModifiedBy>Paul Miszalski</cp:lastModifiedBy>
  <cp:revision>5</cp:revision>
  <cp:lastPrinted>2015-06-03T00:05:00Z</cp:lastPrinted>
  <dcterms:created xsi:type="dcterms:W3CDTF">2015-06-03T03:12:00Z</dcterms:created>
  <dcterms:modified xsi:type="dcterms:W3CDTF">2015-06-03T03:12:00Z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e5be41d6-4dc0-408c-8dbd-19d33cf18de7</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{e5be41d6-4dc0-408c-8dbd-19d33cf18de7}</vt:lpwstr>
  </property>
  <property fmtid="{D5CDD505-2E9C-101B-9397-08002B2CF9AE}" pid="9" name="RecordPoint_SubmissionCompleted">
    <vt:lpwstr>2015-05-27T17:31:36.9198099+10:00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