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251" w:rsidRPr="00414613" w:rsidRDefault="00C56251" w:rsidP="00C56251">
      <w:pPr>
        <w:pStyle w:val="Heading1"/>
        <w:ind w:left="284"/>
        <w:rPr>
          <w:szCs w:val="24"/>
        </w:rPr>
      </w:pPr>
      <w:r w:rsidRPr="00414613">
        <w:rPr>
          <w:szCs w:val="24"/>
        </w:rPr>
        <w:t xml:space="preserve">EXPLANATORY </w:t>
      </w:r>
      <w:r w:rsidR="0080144C">
        <w:rPr>
          <w:szCs w:val="24"/>
        </w:rPr>
        <w:t>STATEMENT</w:t>
      </w:r>
    </w:p>
    <w:p w:rsidR="002A39F4" w:rsidRDefault="002A39F4" w:rsidP="00D05CAA">
      <w:pPr>
        <w:ind w:left="284"/>
        <w:jc w:val="center"/>
        <w:rPr>
          <w:szCs w:val="24"/>
        </w:rPr>
      </w:pPr>
    </w:p>
    <w:p w:rsidR="00AB5F4D" w:rsidRPr="00414613" w:rsidRDefault="00AB5F4D" w:rsidP="00D05CAA">
      <w:pPr>
        <w:ind w:left="284"/>
        <w:jc w:val="center"/>
        <w:rPr>
          <w:szCs w:val="24"/>
        </w:rPr>
      </w:pPr>
    </w:p>
    <w:p w:rsidR="00C56251" w:rsidRDefault="0080144C" w:rsidP="00D05CAA">
      <w:pPr>
        <w:jc w:val="center"/>
        <w:rPr>
          <w:szCs w:val="24"/>
          <w:u w:val="single"/>
        </w:rPr>
      </w:pPr>
      <w:r>
        <w:rPr>
          <w:szCs w:val="24"/>
          <w:u w:val="single"/>
        </w:rPr>
        <w:t>Se</w:t>
      </w:r>
      <w:r w:rsidR="006F0641">
        <w:rPr>
          <w:szCs w:val="24"/>
          <w:u w:val="single"/>
        </w:rPr>
        <w:t xml:space="preserve">lect Legislative Instrument </w:t>
      </w:r>
      <w:r>
        <w:rPr>
          <w:szCs w:val="24"/>
          <w:u w:val="single"/>
        </w:rPr>
        <w:t>No.</w:t>
      </w:r>
      <w:r w:rsidR="00AF77EA">
        <w:rPr>
          <w:szCs w:val="24"/>
          <w:u w:val="single"/>
        </w:rPr>
        <w:t xml:space="preserve"> 84, 2015</w:t>
      </w:r>
      <w:bookmarkStart w:id="0" w:name="_GoBack"/>
      <w:bookmarkEnd w:id="0"/>
    </w:p>
    <w:p w:rsidR="0080144C" w:rsidRPr="00D05CAA" w:rsidRDefault="0080144C" w:rsidP="00D05CAA">
      <w:pPr>
        <w:jc w:val="center"/>
        <w:rPr>
          <w:szCs w:val="24"/>
          <w:u w:val="single"/>
        </w:rPr>
      </w:pPr>
    </w:p>
    <w:p w:rsidR="00C56251" w:rsidRDefault="00C56251" w:rsidP="00AB5F4D">
      <w:pPr>
        <w:widowControl w:val="0"/>
        <w:tabs>
          <w:tab w:val="left" w:pos="1418"/>
        </w:tabs>
        <w:jc w:val="center"/>
        <w:rPr>
          <w:i/>
          <w:szCs w:val="24"/>
        </w:rPr>
      </w:pPr>
      <w:r w:rsidRPr="00414613">
        <w:rPr>
          <w:i/>
          <w:szCs w:val="24"/>
        </w:rPr>
        <w:t>Health Insurance Act 1973</w:t>
      </w:r>
    </w:p>
    <w:p w:rsidR="00AB5F4D" w:rsidRPr="00414613" w:rsidRDefault="00AB5F4D" w:rsidP="00AB5F4D">
      <w:pPr>
        <w:widowControl w:val="0"/>
        <w:tabs>
          <w:tab w:val="left" w:pos="1418"/>
        </w:tabs>
        <w:jc w:val="center"/>
        <w:rPr>
          <w:i/>
          <w:szCs w:val="24"/>
        </w:rPr>
      </w:pPr>
    </w:p>
    <w:p w:rsidR="00C56251" w:rsidRPr="00414613" w:rsidRDefault="00C56251" w:rsidP="00D05CAA">
      <w:pPr>
        <w:tabs>
          <w:tab w:val="left" w:pos="1418"/>
        </w:tabs>
        <w:ind w:left="851"/>
        <w:jc w:val="center"/>
        <w:rPr>
          <w:i/>
          <w:szCs w:val="24"/>
        </w:rPr>
      </w:pPr>
      <w:r w:rsidRPr="00414613">
        <w:rPr>
          <w:i/>
          <w:szCs w:val="24"/>
        </w:rPr>
        <w:t>H</w:t>
      </w:r>
      <w:r w:rsidR="00777055">
        <w:rPr>
          <w:i/>
          <w:szCs w:val="24"/>
        </w:rPr>
        <w:t>ealth Insuran</w:t>
      </w:r>
      <w:r w:rsidR="008F6CD4">
        <w:rPr>
          <w:i/>
          <w:szCs w:val="24"/>
        </w:rPr>
        <w:t>ce (General Medical</w:t>
      </w:r>
      <w:r w:rsidRPr="00414613">
        <w:rPr>
          <w:i/>
          <w:szCs w:val="24"/>
        </w:rPr>
        <w:t xml:space="preserve"> Services Table) Regulation 201</w:t>
      </w:r>
      <w:r w:rsidR="00777055">
        <w:rPr>
          <w:i/>
          <w:szCs w:val="24"/>
        </w:rPr>
        <w:t>5</w:t>
      </w:r>
    </w:p>
    <w:p w:rsidR="00052900" w:rsidRPr="00A96CFE" w:rsidRDefault="00052900" w:rsidP="005F04DC">
      <w:pPr>
        <w:rPr>
          <w:szCs w:val="24"/>
          <w:u w:val="single"/>
        </w:rPr>
      </w:pPr>
    </w:p>
    <w:p w:rsidR="005F04DC" w:rsidRPr="00A96CFE" w:rsidRDefault="005F04DC" w:rsidP="005F04DC">
      <w:pPr>
        <w:rPr>
          <w:szCs w:val="24"/>
        </w:rPr>
      </w:pPr>
      <w:r w:rsidRPr="00A96CFE">
        <w:rPr>
          <w:szCs w:val="24"/>
        </w:rPr>
        <w:t xml:space="preserve">Subsection 133(1) of the </w:t>
      </w:r>
      <w:r w:rsidRPr="00A96CFE">
        <w:rPr>
          <w:i/>
          <w:szCs w:val="24"/>
        </w:rPr>
        <w:t xml:space="preserve">Health Insurance Act 1973 </w:t>
      </w:r>
      <w:r w:rsidRPr="00A96CFE">
        <w:rPr>
          <w:szCs w:val="24"/>
        </w:rPr>
        <w:t xml:space="preserve">(the Act) provides that the </w:t>
      </w:r>
    </w:p>
    <w:p w:rsidR="005F04DC" w:rsidRPr="00A96CFE" w:rsidRDefault="005F04DC" w:rsidP="005F04DC">
      <w:pPr>
        <w:rPr>
          <w:szCs w:val="24"/>
        </w:rPr>
      </w:pPr>
      <w:r w:rsidRPr="00A96CFE">
        <w:rPr>
          <w:szCs w:val="24"/>
        </w:rPr>
        <w:t xml:space="preserve">Governor-General may make regulations, not inconsistent with the Act, prescribing all matters required or permitted by the Act to be prescribed, or necessary or convenient to be prescribed for carrying out or giving effect to the Act.  </w:t>
      </w:r>
    </w:p>
    <w:p w:rsidR="005F04DC" w:rsidRPr="00A96CFE" w:rsidRDefault="005F04DC" w:rsidP="005F04DC">
      <w:pPr>
        <w:rPr>
          <w:sz w:val="16"/>
          <w:szCs w:val="16"/>
        </w:rPr>
      </w:pPr>
    </w:p>
    <w:p w:rsidR="005F04DC" w:rsidRPr="00A96CFE" w:rsidRDefault="005F04DC" w:rsidP="005F04DC">
      <w:pPr>
        <w:rPr>
          <w:szCs w:val="24"/>
        </w:rPr>
      </w:pPr>
      <w:r w:rsidRPr="00A96CFE">
        <w:rPr>
          <w:szCs w:val="24"/>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rsidR="005F04DC" w:rsidRPr="00A96CFE" w:rsidRDefault="005F04DC" w:rsidP="005F04DC">
      <w:pPr>
        <w:rPr>
          <w:sz w:val="16"/>
          <w:szCs w:val="16"/>
        </w:rPr>
      </w:pPr>
    </w:p>
    <w:p w:rsidR="005F04DC" w:rsidRPr="00A96CFE" w:rsidRDefault="005F04DC" w:rsidP="005F04DC">
      <w:pPr>
        <w:rPr>
          <w:szCs w:val="24"/>
        </w:rPr>
      </w:pPr>
      <w:r w:rsidRPr="00A96CFE">
        <w:rPr>
          <w:szCs w:val="24"/>
        </w:rPr>
        <w:t xml:space="preserve">Subsection 4(1) of the Act provides that the regulations </w:t>
      </w:r>
      <w:r w:rsidR="00041E67">
        <w:rPr>
          <w:szCs w:val="24"/>
        </w:rPr>
        <w:t>ma</w:t>
      </w:r>
      <w:r w:rsidR="003C2696">
        <w:rPr>
          <w:szCs w:val="24"/>
        </w:rPr>
        <w:t>y</w:t>
      </w:r>
      <w:r w:rsidR="00D93539">
        <w:rPr>
          <w:szCs w:val="24"/>
        </w:rPr>
        <w:t xml:space="preserve"> prescribe a table of general medical </w:t>
      </w:r>
      <w:r w:rsidRPr="00A96CFE">
        <w:rPr>
          <w:szCs w:val="24"/>
        </w:rPr>
        <w:t xml:space="preserve">services </w:t>
      </w:r>
      <w:r w:rsidR="00AB70BF">
        <w:rPr>
          <w:szCs w:val="24"/>
        </w:rPr>
        <w:t xml:space="preserve">which sets out </w:t>
      </w:r>
      <w:r w:rsidR="00D93539">
        <w:rPr>
          <w:szCs w:val="24"/>
        </w:rPr>
        <w:t>items of medical</w:t>
      </w:r>
      <w:r w:rsidRPr="00A96CFE">
        <w:rPr>
          <w:szCs w:val="24"/>
        </w:rPr>
        <w:t xml:space="preserve"> services, the fees applicable for each item, and rules for interpreting the table.  The </w:t>
      </w:r>
      <w:r w:rsidRPr="00A96CFE">
        <w:rPr>
          <w:i/>
          <w:szCs w:val="24"/>
        </w:rPr>
        <w:t>Health Insurance (</w:t>
      </w:r>
      <w:r w:rsidR="00D93539">
        <w:rPr>
          <w:i/>
          <w:szCs w:val="24"/>
        </w:rPr>
        <w:t>General Medical</w:t>
      </w:r>
      <w:r w:rsidR="00AB70BF">
        <w:rPr>
          <w:i/>
          <w:szCs w:val="24"/>
        </w:rPr>
        <w:t xml:space="preserve"> </w:t>
      </w:r>
      <w:r w:rsidR="000074CB">
        <w:rPr>
          <w:i/>
          <w:szCs w:val="24"/>
        </w:rPr>
        <w:t>Services Table) Regulation</w:t>
      </w:r>
      <w:r w:rsidRPr="00A96CFE">
        <w:rPr>
          <w:i/>
          <w:szCs w:val="24"/>
        </w:rPr>
        <w:t xml:space="preserve"> 201</w:t>
      </w:r>
      <w:r w:rsidR="00AB70BF">
        <w:rPr>
          <w:i/>
          <w:szCs w:val="24"/>
        </w:rPr>
        <w:t>4</w:t>
      </w:r>
      <w:r w:rsidR="00385BF3">
        <w:rPr>
          <w:szCs w:val="24"/>
        </w:rPr>
        <w:t xml:space="preserve"> (</w:t>
      </w:r>
      <w:r w:rsidR="00D93539">
        <w:rPr>
          <w:szCs w:val="24"/>
        </w:rPr>
        <w:t>GMST</w:t>
      </w:r>
      <w:r w:rsidRPr="00A96CFE">
        <w:rPr>
          <w:szCs w:val="24"/>
        </w:rPr>
        <w:t>) currently prescribe</w:t>
      </w:r>
      <w:r w:rsidR="00185238">
        <w:rPr>
          <w:szCs w:val="24"/>
        </w:rPr>
        <w:t>s</w:t>
      </w:r>
      <w:r w:rsidRPr="00A96CFE">
        <w:rPr>
          <w:szCs w:val="24"/>
        </w:rPr>
        <w:t xml:space="preserve"> such a table.</w:t>
      </w:r>
    </w:p>
    <w:p w:rsidR="005F04DC" w:rsidRPr="00A96CFE" w:rsidRDefault="005F04DC" w:rsidP="005F04DC">
      <w:pPr>
        <w:rPr>
          <w:sz w:val="16"/>
          <w:szCs w:val="16"/>
        </w:rPr>
      </w:pPr>
    </w:p>
    <w:p w:rsidR="00FB1780" w:rsidRDefault="00D93539" w:rsidP="005F04DC">
      <w:pPr>
        <w:rPr>
          <w:szCs w:val="24"/>
        </w:rPr>
      </w:pPr>
      <w:r>
        <w:rPr>
          <w:szCs w:val="24"/>
        </w:rPr>
        <w:t>Subsection 4</w:t>
      </w:r>
      <w:r w:rsidR="005F04DC" w:rsidRPr="00A96CFE">
        <w:rPr>
          <w:szCs w:val="24"/>
        </w:rPr>
        <w:t>(2) of the Act provides t</w:t>
      </w:r>
      <w:r w:rsidR="005F04DC">
        <w:rPr>
          <w:szCs w:val="24"/>
        </w:rPr>
        <w:t>hat unless repealed earlier, thi</w:t>
      </w:r>
      <w:r w:rsidR="005F04DC" w:rsidRPr="00A96CFE">
        <w:rPr>
          <w:szCs w:val="24"/>
        </w:rPr>
        <w:t xml:space="preserve">s </w:t>
      </w:r>
      <w:r w:rsidR="005F04DC">
        <w:rPr>
          <w:szCs w:val="24"/>
        </w:rPr>
        <w:t>regulation</w:t>
      </w:r>
      <w:r w:rsidR="005F04DC" w:rsidRPr="00A96CFE">
        <w:rPr>
          <w:szCs w:val="24"/>
        </w:rPr>
        <w:t xml:space="preserve"> will cease to be in force and will be taken to have been repealed on the day following the 15</w:t>
      </w:r>
      <w:r w:rsidR="005F04DC" w:rsidRPr="00A96CFE">
        <w:rPr>
          <w:szCs w:val="24"/>
          <w:vertAlign w:val="superscript"/>
        </w:rPr>
        <w:t>th</w:t>
      </w:r>
      <w:r w:rsidR="005F04DC" w:rsidRPr="00A96CFE">
        <w:rPr>
          <w:szCs w:val="24"/>
        </w:rPr>
        <w:t xml:space="preserve"> sitting day of the House of Representatives after the end of a 12 month period which begins on the day </w:t>
      </w:r>
      <w:r w:rsidR="005F04DC" w:rsidRPr="00A03E9E">
        <w:rPr>
          <w:szCs w:val="24"/>
        </w:rPr>
        <w:t>when the regulation</w:t>
      </w:r>
      <w:r w:rsidR="005F04DC">
        <w:rPr>
          <w:szCs w:val="24"/>
        </w:rPr>
        <w:t xml:space="preserve"> is</w:t>
      </w:r>
      <w:r w:rsidR="005F04DC" w:rsidRPr="00A03E9E">
        <w:rPr>
          <w:szCs w:val="24"/>
        </w:rPr>
        <w:t xml:space="preserve"> registered on the Federal Register of Legislative Instruments</w:t>
      </w:r>
      <w:r w:rsidR="00185238">
        <w:rPr>
          <w:szCs w:val="24"/>
        </w:rPr>
        <w:t xml:space="preserve"> (FRLI)</w:t>
      </w:r>
      <w:r w:rsidR="005F04DC" w:rsidRPr="00A03E9E">
        <w:rPr>
          <w:szCs w:val="24"/>
        </w:rPr>
        <w:t xml:space="preserve">.  </w:t>
      </w:r>
      <w:r>
        <w:rPr>
          <w:szCs w:val="24"/>
        </w:rPr>
        <w:t>The GMST</w:t>
      </w:r>
      <w:r w:rsidR="00FB1780">
        <w:rPr>
          <w:szCs w:val="24"/>
        </w:rPr>
        <w:t xml:space="preserve"> </w:t>
      </w:r>
      <w:r w:rsidR="00185238">
        <w:rPr>
          <w:szCs w:val="24"/>
        </w:rPr>
        <w:t xml:space="preserve">was registered on the FRLI </w:t>
      </w:r>
      <w:r w:rsidR="00FB1780" w:rsidRPr="00A03E9E">
        <w:rPr>
          <w:szCs w:val="24"/>
        </w:rPr>
        <w:t>on</w:t>
      </w:r>
      <w:r w:rsidR="00FB1780">
        <w:rPr>
          <w:szCs w:val="24"/>
        </w:rPr>
        <w:t xml:space="preserve"> </w:t>
      </w:r>
      <w:r>
        <w:rPr>
          <w:szCs w:val="24"/>
        </w:rPr>
        <w:t>13 June</w:t>
      </w:r>
      <w:r w:rsidR="004D7821">
        <w:rPr>
          <w:szCs w:val="24"/>
        </w:rPr>
        <w:t> </w:t>
      </w:r>
      <w:r w:rsidR="000074CB">
        <w:rPr>
          <w:szCs w:val="24"/>
        </w:rPr>
        <w:t>2014</w:t>
      </w:r>
      <w:r w:rsidR="00EE60C4">
        <w:rPr>
          <w:szCs w:val="24"/>
        </w:rPr>
        <w:t xml:space="preserve">. </w:t>
      </w:r>
      <w:r w:rsidR="00037A1D">
        <w:rPr>
          <w:szCs w:val="24"/>
        </w:rPr>
        <w:t xml:space="preserve"> </w:t>
      </w:r>
    </w:p>
    <w:p w:rsidR="005F04DC" w:rsidRPr="00A96CFE" w:rsidRDefault="005F04DC" w:rsidP="005F04DC">
      <w:pPr>
        <w:rPr>
          <w:sz w:val="16"/>
          <w:szCs w:val="16"/>
        </w:rPr>
      </w:pPr>
    </w:p>
    <w:p w:rsidR="003C2696" w:rsidRDefault="005F04DC" w:rsidP="00020D83">
      <w:pPr>
        <w:rPr>
          <w:szCs w:val="24"/>
        </w:rPr>
      </w:pPr>
      <w:r w:rsidRPr="00A96CFE">
        <w:rPr>
          <w:szCs w:val="24"/>
        </w:rPr>
        <w:t xml:space="preserve">The purpose of the </w:t>
      </w:r>
      <w:r>
        <w:rPr>
          <w:szCs w:val="24"/>
        </w:rPr>
        <w:t>regulation</w:t>
      </w:r>
      <w:r w:rsidRPr="00A96CFE">
        <w:rPr>
          <w:szCs w:val="24"/>
        </w:rPr>
        <w:t xml:space="preserve"> is to </w:t>
      </w:r>
      <w:r w:rsidR="00D93539">
        <w:rPr>
          <w:snapToGrid w:val="0"/>
          <w:szCs w:val="24"/>
          <w:lang w:eastAsia="en-US"/>
        </w:rPr>
        <w:t>repeal the GMST</w:t>
      </w:r>
      <w:r w:rsidRPr="00A96CFE">
        <w:rPr>
          <w:snapToGrid w:val="0"/>
          <w:szCs w:val="24"/>
          <w:lang w:eastAsia="en-US"/>
        </w:rPr>
        <w:t xml:space="preserve"> and </w:t>
      </w:r>
      <w:r w:rsidRPr="00A96CFE">
        <w:rPr>
          <w:szCs w:val="24"/>
        </w:rPr>
        <w:t xml:space="preserve">prescribe a new table of </w:t>
      </w:r>
      <w:r w:rsidR="00D93539">
        <w:rPr>
          <w:szCs w:val="24"/>
        </w:rPr>
        <w:t xml:space="preserve">general medical </w:t>
      </w:r>
      <w:r w:rsidRPr="00A96CFE">
        <w:rPr>
          <w:szCs w:val="24"/>
        </w:rPr>
        <w:t xml:space="preserve">services for the 12 month period </w:t>
      </w:r>
      <w:r w:rsidR="00020D83">
        <w:rPr>
          <w:szCs w:val="24"/>
        </w:rPr>
        <w:t>beginning on 1 July 2015</w:t>
      </w:r>
      <w:r w:rsidR="00B95DF6">
        <w:rPr>
          <w:szCs w:val="24"/>
        </w:rPr>
        <w:t>, to ensure that</w:t>
      </w:r>
      <w:r w:rsidR="001A7796">
        <w:rPr>
          <w:szCs w:val="24"/>
        </w:rPr>
        <w:t xml:space="preserve"> Medicare benefits continue to be payable</w:t>
      </w:r>
      <w:r w:rsidR="00A87FDE">
        <w:rPr>
          <w:szCs w:val="24"/>
        </w:rPr>
        <w:t xml:space="preserve"> for services listed in the GMST</w:t>
      </w:r>
      <w:r>
        <w:rPr>
          <w:szCs w:val="24"/>
        </w:rPr>
        <w:t>.</w:t>
      </w:r>
      <w:r w:rsidR="00EE60C4">
        <w:rPr>
          <w:szCs w:val="24"/>
        </w:rPr>
        <w:t xml:space="preserve"> </w:t>
      </w:r>
      <w:r w:rsidR="006F0641">
        <w:rPr>
          <w:szCs w:val="24"/>
        </w:rPr>
        <w:t xml:space="preserve">Additionally, </w:t>
      </w:r>
      <w:r w:rsidR="00AB5F4D">
        <w:rPr>
          <w:szCs w:val="24"/>
        </w:rPr>
        <w:t xml:space="preserve">this regulation </w:t>
      </w:r>
      <w:r w:rsidR="00037A1D">
        <w:rPr>
          <w:szCs w:val="24"/>
        </w:rPr>
        <w:t>makes</w:t>
      </w:r>
      <w:r w:rsidR="00EE60C4">
        <w:rPr>
          <w:szCs w:val="24"/>
        </w:rPr>
        <w:t xml:space="preserve"> machinery</w:t>
      </w:r>
      <w:r w:rsidR="00FF6F60">
        <w:rPr>
          <w:szCs w:val="24"/>
        </w:rPr>
        <w:t xml:space="preserve"> </w:t>
      </w:r>
      <w:r w:rsidR="00AB5F4D">
        <w:rPr>
          <w:szCs w:val="24"/>
        </w:rPr>
        <w:t>ame</w:t>
      </w:r>
      <w:r w:rsidR="00DC2120">
        <w:rPr>
          <w:szCs w:val="24"/>
        </w:rPr>
        <w:t>n</w:t>
      </w:r>
      <w:r w:rsidR="00FF6F60">
        <w:rPr>
          <w:szCs w:val="24"/>
        </w:rPr>
        <w:t>dments to</w:t>
      </w:r>
      <w:r w:rsidR="00055F64">
        <w:rPr>
          <w:szCs w:val="24"/>
        </w:rPr>
        <w:t xml:space="preserve"> the GMST</w:t>
      </w:r>
      <w:r w:rsidR="008E52C3">
        <w:rPr>
          <w:szCs w:val="24"/>
        </w:rPr>
        <w:t xml:space="preserve"> by</w:t>
      </w:r>
      <w:r w:rsidR="003C2696">
        <w:rPr>
          <w:szCs w:val="24"/>
        </w:rPr>
        <w:t>:</w:t>
      </w:r>
    </w:p>
    <w:p w:rsidR="00402E54" w:rsidRPr="00AD5B8D" w:rsidRDefault="00402E54" w:rsidP="00AD5B8D">
      <w:pPr>
        <w:rPr>
          <w:szCs w:val="24"/>
        </w:rPr>
      </w:pPr>
    </w:p>
    <w:p w:rsidR="00055F64" w:rsidRDefault="001A7796" w:rsidP="003C2696">
      <w:pPr>
        <w:pStyle w:val="ListParagraph"/>
        <w:numPr>
          <w:ilvl w:val="0"/>
          <w:numId w:val="23"/>
        </w:numPr>
        <w:rPr>
          <w:szCs w:val="24"/>
        </w:rPr>
      </w:pPr>
      <w:r>
        <w:rPr>
          <w:szCs w:val="24"/>
        </w:rPr>
        <w:t>Removing reference to</w:t>
      </w:r>
      <w:r w:rsidR="00D26608">
        <w:rPr>
          <w:szCs w:val="24"/>
        </w:rPr>
        <w:t xml:space="preserve"> </w:t>
      </w:r>
      <w:r w:rsidR="00055F64">
        <w:rPr>
          <w:szCs w:val="24"/>
        </w:rPr>
        <w:t>items 18356 and 18358 from the</w:t>
      </w:r>
      <w:r w:rsidR="004D7632">
        <w:rPr>
          <w:szCs w:val="24"/>
        </w:rPr>
        <w:t xml:space="preserve"> it</w:t>
      </w:r>
      <w:r w:rsidR="000E6128">
        <w:rPr>
          <w:szCs w:val="24"/>
        </w:rPr>
        <w:t xml:space="preserve">em descriptor for item 18292. </w:t>
      </w:r>
      <w:r w:rsidR="00A87FDE">
        <w:rPr>
          <w:szCs w:val="24"/>
        </w:rPr>
        <w:t>R</w:t>
      </w:r>
      <w:r w:rsidR="000E6128">
        <w:rPr>
          <w:szCs w:val="24"/>
        </w:rPr>
        <w:t xml:space="preserve">eference to </w:t>
      </w:r>
      <w:r w:rsidR="004D7632">
        <w:rPr>
          <w:szCs w:val="24"/>
        </w:rPr>
        <w:t xml:space="preserve">items </w:t>
      </w:r>
      <w:r w:rsidR="000E6128">
        <w:rPr>
          <w:szCs w:val="24"/>
        </w:rPr>
        <w:t xml:space="preserve">18356 and 18358 </w:t>
      </w:r>
      <w:r w:rsidR="004D7632">
        <w:rPr>
          <w:szCs w:val="24"/>
        </w:rPr>
        <w:t>serv</w:t>
      </w:r>
      <w:r>
        <w:rPr>
          <w:szCs w:val="24"/>
        </w:rPr>
        <w:t xml:space="preserve">es </w:t>
      </w:r>
      <w:r w:rsidR="004D7632">
        <w:rPr>
          <w:szCs w:val="24"/>
        </w:rPr>
        <w:t xml:space="preserve">no purpose </w:t>
      </w:r>
      <w:r w:rsidR="000E6128">
        <w:rPr>
          <w:szCs w:val="24"/>
        </w:rPr>
        <w:t>as these items</w:t>
      </w:r>
      <w:r w:rsidR="00B267BB">
        <w:rPr>
          <w:szCs w:val="24"/>
        </w:rPr>
        <w:t xml:space="preserve"> were deleted from the GMST on </w:t>
      </w:r>
      <w:r w:rsidR="0026231C">
        <w:rPr>
          <w:szCs w:val="24"/>
        </w:rPr>
        <w:t xml:space="preserve">1 November 2014, </w:t>
      </w:r>
    </w:p>
    <w:p w:rsidR="00B267BB" w:rsidRDefault="00B267BB" w:rsidP="00B267BB">
      <w:pPr>
        <w:pStyle w:val="ListParagraph"/>
        <w:rPr>
          <w:szCs w:val="24"/>
        </w:rPr>
      </w:pPr>
    </w:p>
    <w:p w:rsidR="00FB3AD8" w:rsidRDefault="00FA1940" w:rsidP="00D6525B">
      <w:pPr>
        <w:pStyle w:val="ListParagraph"/>
        <w:numPr>
          <w:ilvl w:val="0"/>
          <w:numId w:val="23"/>
        </w:numPr>
        <w:rPr>
          <w:szCs w:val="24"/>
        </w:rPr>
      </w:pPr>
      <w:r>
        <w:rPr>
          <w:szCs w:val="24"/>
        </w:rPr>
        <w:t xml:space="preserve">Moving </w:t>
      </w:r>
      <w:r w:rsidR="000E6128">
        <w:rPr>
          <w:szCs w:val="24"/>
        </w:rPr>
        <w:t xml:space="preserve">four </w:t>
      </w:r>
      <w:r>
        <w:rPr>
          <w:szCs w:val="24"/>
        </w:rPr>
        <w:t xml:space="preserve">new items </w:t>
      </w:r>
      <w:r w:rsidR="000E6128">
        <w:rPr>
          <w:szCs w:val="24"/>
        </w:rPr>
        <w:t>(</w:t>
      </w:r>
      <w:r>
        <w:rPr>
          <w:szCs w:val="24"/>
        </w:rPr>
        <w:t>18353, 18365, 18369, and 18374</w:t>
      </w:r>
      <w:r w:rsidR="000E6128">
        <w:rPr>
          <w:szCs w:val="24"/>
        </w:rPr>
        <w:t>)</w:t>
      </w:r>
      <w:r w:rsidR="001B6F82">
        <w:rPr>
          <w:szCs w:val="24"/>
        </w:rPr>
        <w:t xml:space="preserve"> </w:t>
      </w:r>
      <w:r w:rsidR="00270651">
        <w:rPr>
          <w:szCs w:val="24"/>
        </w:rPr>
        <w:t>and</w:t>
      </w:r>
      <w:r w:rsidR="00052900">
        <w:rPr>
          <w:szCs w:val="24"/>
        </w:rPr>
        <w:t xml:space="preserve"> the restrictions applied to the</w:t>
      </w:r>
      <w:r w:rsidR="00270651">
        <w:rPr>
          <w:szCs w:val="24"/>
        </w:rPr>
        <w:t xml:space="preserve">se items </w:t>
      </w:r>
      <w:r w:rsidR="001B6F82">
        <w:rPr>
          <w:szCs w:val="24"/>
        </w:rPr>
        <w:t xml:space="preserve">from the </w:t>
      </w:r>
      <w:r w:rsidR="001B6F82" w:rsidRPr="001A7796">
        <w:rPr>
          <w:i/>
          <w:szCs w:val="24"/>
        </w:rPr>
        <w:t xml:space="preserve">Health Insurance (IncobotulinumtoxinA) Determination 2015 </w:t>
      </w:r>
      <w:r w:rsidR="000E6128">
        <w:rPr>
          <w:szCs w:val="24"/>
        </w:rPr>
        <w:t xml:space="preserve">(the Determination) </w:t>
      </w:r>
      <w:r w:rsidR="001B6F82">
        <w:rPr>
          <w:szCs w:val="24"/>
        </w:rPr>
        <w:t>into t</w:t>
      </w:r>
      <w:r w:rsidR="001A7796">
        <w:rPr>
          <w:szCs w:val="24"/>
        </w:rPr>
        <w:t xml:space="preserve">he GMST. These items were </w:t>
      </w:r>
      <w:r w:rsidR="00686B35">
        <w:rPr>
          <w:szCs w:val="24"/>
        </w:rPr>
        <w:t>listed in the Determination</w:t>
      </w:r>
      <w:r w:rsidR="00052900">
        <w:rPr>
          <w:szCs w:val="24"/>
        </w:rPr>
        <w:t xml:space="preserve"> as an interim arrangement</w:t>
      </w:r>
      <w:r w:rsidR="00686B35">
        <w:rPr>
          <w:szCs w:val="24"/>
        </w:rPr>
        <w:t xml:space="preserve"> </w:t>
      </w:r>
      <w:r w:rsidR="001A7796">
        <w:rPr>
          <w:szCs w:val="24"/>
        </w:rPr>
        <w:t>to accommodate</w:t>
      </w:r>
      <w:r w:rsidR="00686B35">
        <w:rPr>
          <w:szCs w:val="24"/>
        </w:rPr>
        <w:t xml:space="preserve"> for</w:t>
      </w:r>
      <w:r w:rsidR="001A7796">
        <w:rPr>
          <w:szCs w:val="24"/>
        </w:rPr>
        <w:t xml:space="preserve"> the Government’s decision to </w:t>
      </w:r>
      <w:r w:rsidR="00686B35">
        <w:rPr>
          <w:szCs w:val="24"/>
        </w:rPr>
        <w:t>allow</w:t>
      </w:r>
      <w:r w:rsidR="00FB3AD8">
        <w:rPr>
          <w:szCs w:val="24"/>
        </w:rPr>
        <w:t xml:space="preserve"> for the payment of Med</w:t>
      </w:r>
      <w:r w:rsidR="00C1537C">
        <w:rPr>
          <w:szCs w:val="24"/>
        </w:rPr>
        <w:t>icare benefits for the administering</w:t>
      </w:r>
      <w:r w:rsidR="00FB3AD8">
        <w:rPr>
          <w:szCs w:val="24"/>
        </w:rPr>
        <w:t xml:space="preserve"> of Xeomin, which was listed on the Pharmaceutical Benefits Scheme (PBS) on 1 April 2015, to treat the following conditions: </w:t>
      </w:r>
    </w:p>
    <w:p w:rsidR="00D6525B" w:rsidRPr="00D6525B" w:rsidRDefault="00D6525B" w:rsidP="00D6525B">
      <w:pPr>
        <w:rPr>
          <w:szCs w:val="24"/>
        </w:rPr>
      </w:pPr>
    </w:p>
    <w:p w:rsidR="0074775C" w:rsidRDefault="0074775C" w:rsidP="0074775C">
      <w:pPr>
        <w:pStyle w:val="ListParagraph"/>
        <w:numPr>
          <w:ilvl w:val="0"/>
          <w:numId w:val="28"/>
        </w:numPr>
        <w:rPr>
          <w:szCs w:val="24"/>
        </w:rPr>
      </w:pPr>
      <w:r w:rsidRPr="0074775C">
        <w:rPr>
          <w:szCs w:val="24"/>
        </w:rPr>
        <w:t xml:space="preserve">cervical dystonia (a painful condition in which neck muscles contract involuntarily, causing your head to twist or turn to one side), </w:t>
      </w:r>
    </w:p>
    <w:p w:rsidR="0074775C" w:rsidRDefault="0074775C" w:rsidP="0074775C">
      <w:pPr>
        <w:pStyle w:val="ListParagraph"/>
        <w:numPr>
          <w:ilvl w:val="0"/>
          <w:numId w:val="28"/>
        </w:numPr>
        <w:rPr>
          <w:szCs w:val="24"/>
        </w:rPr>
      </w:pPr>
      <w:r w:rsidRPr="0074775C">
        <w:rPr>
          <w:szCs w:val="24"/>
        </w:rPr>
        <w:t>blepharospasm (involuntary twitching, blinking, closure or squeezing of the eyelids) in adults</w:t>
      </w:r>
      <w:r>
        <w:rPr>
          <w:szCs w:val="24"/>
        </w:rPr>
        <w:t>,</w:t>
      </w:r>
      <w:r w:rsidRPr="0074775C">
        <w:rPr>
          <w:szCs w:val="24"/>
        </w:rPr>
        <w:t xml:space="preserve"> and </w:t>
      </w:r>
    </w:p>
    <w:p w:rsidR="00FB3AD8" w:rsidRPr="0074775C" w:rsidRDefault="0074775C" w:rsidP="0074775C">
      <w:pPr>
        <w:pStyle w:val="ListParagraph"/>
        <w:numPr>
          <w:ilvl w:val="0"/>
          <w:numId w:val="28"/>
        </w:numPr>
        <w:rPr>
          <w:szCs w:val="24"/>
        </w:rPr>
      </w:pPr>
      <w:r w:rsidRPr="0074775C">
        <w:rPr>
          <w:szCs w:val="24"/>
        </w:rPr>
        <w:t>post-stroke spasticity of the upper limb</w:t>
      </w:r>
      <w:r>
        <w:rPr>
          <w:szCs w:val="24"/>
        </w:rPr>
        <w:t>.</w:t>
      </w:r>
    </w:p>
    <w:p w:rsidR="00FB3AD8" w:rsidRPr="0074775C" w:rsidRDefault="00FB3AD8" w:rsidP="0074775C">
      <w:pPr>
        <w:rPr>
          <w:szCs w:val="24"/>
        </w:rPr>
      </w:pPr>
    </w:p>
    <w:p w:rsidR="009043C5" w:rsidRPr="00700F69" w:rsidRDefault="009043C5" w:rsidP="009043C5">
      <w:pPr>
        <w:pStyle w:val="ListParagraph"/>
        <w:rPr>
          <w:szCs w:val="24"/>
        </w:rPr>
      </w:pPr>
      <w:r>
        <w:rPr>
          <w:szCs w:val="24"/>
        </w:rPr>
        <w:t>As the Determination will cease on 30 June 2015, the new items are being transferred and continued under the GMST. T</w:t>
      </w:r>
      <w:r w:rsidRPr="00CF3997">
        <w:rPr>
          <w:szCs w:val="24"/>
        </w:rPr>
        <w:t>he items (18352, 18364, 1837</w:t>
      </w:r>
      <w:r>
        <w:rPr>
          <w:szCs w:val="24"/>
        </w:rPr>
        <w:t xml:space="preserve">1, and 18373) which the new items </w:t>
      </w:r>
      <w:r w:rsidRPr="00CF3997">
        <w:rPr>
          <w:szCs w:val="24"/>
        </w:rPr>
        <w:t xml:space="preserve">effectively replace </w:t>
      </w:r>
      <w:r>
        <w:rPr>
          <w:szCs w:val="24"/>
        </w:rPr>
        <w:t>are being deleted from the GMST. The only difference between the four new items and the four existing items being replaced is that Xeomin is being added to the new items as another type of botulinum toxin that can be administered as part of the service.</w:t>
      </w:r>
    </w:p>
    <w:p w:rsidR="00054298" w:rsidRPr="00FB2D24" w:rsidRDefault="00054298" w:rsidP="00C1537C">
      <w:pPr>
        <w:pStyle w:val="ListParagraph"/>
        <w:rPr>
          <w:szCs w:val="24"/>
        </w:rPr>
      </w:pPr>
    </w:p>
    <w:p w:rsidR="00E96038" w:rsidRDefault="00597110" w:rsidP="00976969">
      <w:pPr>
        <w:pStyle w:val="ListParagraph"/>
        <w:numPr>
          <w:ilvl w:val="0"/>
          <w:numId w:val="23"/>
        </w:numPr>
        <w:rPr>
          <w:szCs w:val="24"/>
        </w:rPr>
      </w:pPr>
      <w:r>
        <w:rPr>
          <w:szCs w:val="24"/>
        </w:rPr>
        <w:t>Amending clause 2.42A.1</w:t>
      </w:r>
      <w:r w:rsidR="00C262B0">
        <w:rPr>
          <w:szCs w:val="24"/>
        </w:rPr>
        <w:t>, which relates to t</w:t>
      </w:r>
      <w:r w:rsidR="0059296E">
        <w:rPr>
          <w:szCs w:val="24"/>
        </w:rPr>
        <w:t>he injection of botulinum toxin</w:t>
      </w:r>
      <w:r w:rsidR="00560A5E">
        <w:rPr>
          <w:szCs w:val="24"/>
        </w:rPr>
        <w:t>. The amendments do not change the current requirements. The amendments</w:t>
      </w:r>
      <w:r w:rsidR="00671D20">
        <w:rPr>
          <w:szCs w:val="24"/>
        </w:rPr>
        <w:t xml:space="preserve"> provide clearer drafting to specify under </w:t>
      </w:r>
      <w:r w:rsidR="00560A5E">
        <w:rPr>
          <w:szCs w:val="24"/>
        </w:rPr>
        <w:t xml:space="preserve">which circumstances </w:t>
      </w:r>
      <w:r w:rsidR="00671D20">
        <w:rPr>
          <w:szCs w:val="24"/>
        </w:rPr>
        <w:t>the administering of botulinum toxin can occur. The amendments</w:t>
      </w:r>
      <w:r w:rsidR="00976969">
        <w:rPr>
          <w:szCs w:val="24"/>
        </w:rPr>
        <w:t xml:space="preserve">: </w:t>
      </w:r>
    </w:p>
    <w:p w:rsidR="00E96038" w:rsidRDefault="00E96038" w:rsidP="00E96038">
      <w:pPr>
        <w:pStyle w:val="ListParagraph"/>
        <w:rPr>
          <w:szCs w:val="24"/>
        </w:rPr>
      </w:pPr>
    </w:p>
    <w:p w:rsidR="00844C63" w:rsidRDefault="00671D20" w:rsidP="00E96038">
      <w:pPr>
        <w:pStyle w:val="ListParagraph"/>
        <w:numPr>
          <w:ilvl w:val="0"/>
          <w:numId w:val="25"/>
        </w:numPr>
        <w:rPr>
          <w:szCs w:val="24"/>
        </w:rPr>
      </w:pPr>
      <w:r>
        <w:rPr>
          <w:szCs w:val="24"/>
        </w:rPr>
        <w:t>f</w:t>
      </w:r>
      <w:r w:rsidR="00976969">
        <w:rPr>
          <w:szCs w:val="24"/>
        </w:rPr>
        <w:t>irstly</w:t>
      </w:r>
      <w:r w:rsidR="00680C99">
        <w:rPr>
          <w:szCs w:val="24"/>
        </w:rPr>
        <w:t>,</w:t>
      </w:r>
      <w:r w:rsidR="0059296E">
        <w:rPr>
          <w:szCs w:val="24"/>
        </w:rPr>
        <w:t xml:space="preserve"> </w:t>
      </w:r>
      <w:r w:rsidR="00597110">
        <w:rPr>
          <w:szCs w:val="24"/>
        </w:rPr>
        <w:t xml:space="preserve">clarify </w:t>
      </w:r>
      <w:r w:rsidR="00CF3997">
        <w:rPr>
          <w:szCs w:val="24"/>
        </w:rPr>
        <w:t>at</w:t>
      </w:r>
      <w:r w:rsidR="00DB773F">
        <w:rPr>
          <w:szCs w:val="24"/>
        </w:rPr>
        <w:t xml:space="preserve"> subclause 2.42A.1(1) </w:t>
      </w:r>
      <w:r w:rsidR="00597110">
        <w:rPr>
          <w:szCs w:val="24"/>
        </w:rPr>
        <w:t>that the service</w:t>
      </w:r>
      <w:r w:rsidR="00E96038">
        <w:rPr>
          <w:szCs w:val="24"/>
        </w:rPr>
        <w:t>s</w:t>
      </w:r>
      <w:r w:rsidR="00597110">
        <w:rPr>
          <w:szCs w:val="24"/>
        </w:rPr>
        <w:t xml:space="preserve"> described in items 18350 to 18379 do not include the supply of the botulinum </w:t>
      </w:r>
      <w:r w:rsidR="00E96038">
        <w:rPr>
          <w:szCs w:val="24"/>
        </w:rPr>
        <w:t>toxin</w:t>
      </w:r>
      <w:r w:rsidR="00C262B0">
        <w:rPr>
          <w:szCs w:val="24"/>
        </w:rPr>
        <w:t>. This ensures that</w:t>
      </w:r>
      <w:r w:rsidR="00680C99">
        <w:rPr>
          <w:szCs w:val="24"/>
        </w:rPr>
        <w:t xml:space="preserve"> the Medicare benefit is payable for the medical service of administering the toxin, not the cost of the drug,</w:t>
      </w:r>
      <w:r w:rsidR="00C262B0">
        <w:rPr>
          <w:szCs w:val="24"/>
        </w:rPr>
        <w:t xml:space="preserve"> </w:t>
      </w:r>
      <w:r w:rsidR="00844C63">
        <w:rPr>
          <w:szCs w:val="24"/>
        </w:rPr>
        <w:t xml:space="preserve">and </w:t>
      </w:r>
    </w:p>
    <w:p w:rsidR="00844C63" w:rsidRDefault="00844C63" w:rsidP="00844C63">
      <w:pPr>
        <w:pStyle w:val="ListParagraph"/>
        <w:ind w:left="1440"/>
        <w:rPr>
          <w:szCs w:val="24"/>
        </w:rPr>
      </w:pPr>
    </w:p>
    <w:p w:rsidR="00AD5B8D" w:rsidRPr="00D67ACF" w:rsidRDefault="00671D20" w:rsidP="00D95D46">
      <w:pPr>
        <w:pStyle w:val="ListParagraph"/>
        <w:numPr>
          <w:ilvl w:val="0"/>
          <w:numId w:val="25"/>
        </w:numPr>
        <w:rPr>
          <w:szCs w:val="24"/>
        </w:rPr>
      </w:pPr>
      <w:r>
        <w:rPr>
          <w:szCs w:val="24"/>
        </w:rPr>
        <w:t>s</w:t>
      </w:r>
      <w:r w:rsidR="00222BBC">
        <w:rPr>
          <w:szCs w:val="24"/>
        </w:rPr>
        <w:t>econdly</w:t>
      </w:r>
      <w:r w:rsidR="00680C99">
        <w:rPr>
          <w:szCs w:val="24"/>
        </w:rPr>
        <w:t>,</w:t>
      </w:r>
      <w:r w:rsidR="003A3C51">
        <w:rPr>
          <w:szCs w:val="24"/>
        </w:rPr>
        <w:t xml:space="preserve"> clarify </w:t>
      </w:r>
      <w:r w:rsidR="00CF3997">
        <w:rPr>
          <w:szCs w:val="24"/>
        </w:rPr>
        <w:t>at</w:t>
      </w:r>
      <w:r w:rsidR="00DB773F">
        <w:rPr>
          <w:szCs w:val="24"/>
        </w:rPr>
        <w:t xml:space="preserve"> subclause 2.42A.1(2)</w:t>
      </w:r>
      <w:r w:rsidR="00443375">
        <w:rPr>
          <w:szCs w:val="24"/>
        </w:rPr>
        <w:t>, in the interest of patient safety,</w:t>
      </w:r>
      <w:r w:rsidR="00DB773F">
        <w:rPr>
          <w:szCs w:val="24"/>
        </w:rPr>
        <w:t xml:space="preserve"> </w:t>
      </w:r>
      <w:r w:rsidR="003A3C51">
        <w:rPr>
          <w:szCs w:val="24"/>
        </w:rPr>
        <w:t>that</w:t>
      </w:r>
      <w:r w:rsidR="00976969">
        <w:rPr>
          <w:szCs w:val="24"/>
        </w:rPr>
        <w:t xml:space="preserve"> </w:t>
      </w:r>
      <w:r w:rsidR="00DB773F">
        <w:rPr>
          <w:szCs w:val="24"/>
        </w:rPr>
        <w:t xml:space="preserve">all </w:t>
      </w:r>
      <w:r w:rsidR="009E6E28">
        <w:rPr>
          <w:szCs w:val="24"/>
        </w:rPr>
        <w:t>botulinum toxin</w:t>
      </w:r>
      <w:r w:rsidR="0059296E" w:rsidRPr="00976969">
        <w:rPr>
          <w:szCs w:val="24"/>
        </w:rPr>
        <w:t xml:space="preserve"> items</w:t>
      </w:r>
      <w:r w:rsidR="00DB773F">
        <w:rPr>
          <w:szCs w:val="24"/>
        </w:rPr>
        <w:t xml:space="preserve"> in Group T1</w:t>
      </w:r>
      <w:r w:rsidR="003A3C51">
        <w:rPr>
          <w:szCs w:val="24"/>
        </w:rPr>
        <w:t xml:space="preserve">1, </w:t>
      </w:r>
      <w:r w:rsidR="00DB773F">
        <w:rPr>
          <w:szCs w:val="24"/>
        </w:rPr>
        <w:t>except for</w:t>
      </w:r>
      <w:r w:rsidR="003A3C51">
        <w:rPr>
          <w:szCs w:val="24"/>
        </w:rPr>
        <w:t xml:space="preserve"> four items</w:t>
      </w:r>
      <w:r w:rsidR="00DB773F">
        <w:rPr>
          <w:szCs w:val="24"/>
        </w:rPr>
        <w:t xml:space="preserve"> (</w:t>
      </w:r>
      <w:r w:rsidR="003A3C51">
        <w:rPr>
          <w:szCs w:val="24"/>
        </w:rPr>
        <w:t xml:space="preserve">18360, </w:t>
      </w:r>
      <w:r w:rsidR="003A3C51" w:rsidRPr="00FC7675">
        <w:rPr>
          <w:szCs w:val="24"/>
        </w:rPr>
        <w:t xml:space="preserve">18365, 18366, </w:t>
      </w:r>
      <w:r w:rsidR="003A3C51">
        <w:rPr>
          <w:szCs w:val="24"/>
        </w:rPr>
        <w:t xml:space="preserve">and </w:t>
      </w:r>
      <w:r w:rsidR="003A3C51" w:rsidRPr="00FC7675">
        <w:rPr>
          <w:szCs w:val="24"/>
        </w:rPr>
        <w:t>18368</w:t>
      </w:r>
      <w:r w:rsidR="00DB773F">
        <w:rPr>
          <w:szCs w:val="24"/>
        </w:rPr>
        <w:t>)</w:t>
      </w:r>
      <w:r w:rsidR="003A3C51">
        <w:rPr>
          <w:szCs w:val="24"/>
        </w:rPr>
        <w:t xml:space="preserve">, </w:t>
      </w:r>
      <w:r w:rsidR="00222BBC">
        <w:rPr>
          <w:szCs w:val="24"/>
        </w:rPr>
        <w:t>cannot be claimed unless</w:t>
      </w:r>
      <w:r w:rsidR="00E541F8" w:rsidRPr="00976969">
        <w:rPr>
          <w:szCs w:val="24"/>
        </w:rPr>
        <w:t xml:space="preserve"> </w:t>
      </w:r>
      <w:r w:rsidR="00597110" w:rsidRPr="00976969">
        <w:rPr>
          <w:szCs w:val="24"/>
        </w:rPr>
        <w:t>the botuli</w:t>
      </w:r>
      <w:r w:rsidR="0050242A" w:rsidRPr="00976969">
        <w:rPr>
          <w:szCs w:val="24"/>
        </w:rPr>
        <w:t xml:space="preserve">num toxin </w:t>
      </w:r>
      <w:r w:rsidR="00C95746">
        <w:rPr>
          <w:szCs w:val="24"/>
        </w:rPr>
        <w:t xml:space="preserve">that is injected </w:t>
      </w:r>
      <w:r w:rsidR="0050242A" w:rsidRPr="00976969">
        <w:rPr>
          <w:szCs w:val="24"/>
        </w:rPr>
        <w:t>is supplied through</w:t>
      </w:r>
      <w:r w:rsidR="0059296E" w:rsidRPr="00976969">
        <w:rPr>
          <w:szCs w:val="24"/>
        </w:rPr>
        <w:t xml:space="preserve"> the PBS</w:t>
      </w:r>
      <w:r w:rsidR="0050242A" w:rsidRPr="00976969">
        <w:rPr>
          <w:szCs w:val="24"/>
        </w:rPr>
        <w:t xml:space="preserve"> as set out under the </w:t>
      </w:r>
      <w:r w:rsidR="0050242A" w:rsidRPr="00976969">
        <w:rPr>
          <w:i/>
          <w:szCs w:val="24"/>
        </w:rPr>
        <w:t>National Health Act 1953</w:t>
      </w:r>
      <w:r w:rsidR="00C95746">
        <w:rPr>
          <w:szCs w:val="24"/>
        </w:rPr>
        <w:t>. The current PBS arrangements have practitioner restrictions to ensure that only qualified specialists and consultant physicians can supply botulinum toxin to patients. There are no equivalent PBS arrangements for items 18360, 18365, 18366 and 18368 so the practitioner restrictions have been explicitly stated in subclause 2.42A.1(2)</w:t>
      </w:r>
      <w:r w:rsidR="00443375">
        <w:rPr>
          <w:szCs w:val="24"/>
        </w:rPr>
        <w:t xml:space="preserve"> so that only a specialist or consultant physician can provide items 18360, 18365, 18366 and 18368 if the service is provided in the practice of his or her speciality.</w:t>
      </w:r>
    </w:p>
    <w:p w:rsidR="004818F3" w:rsidRPr="00A03E9E" w:rsidRDefault="004818F3" w:rsidP="005F04DC">
      <w:pPr>
        <w:tabs>
          <w:tab w:val="left" w:pos="567"/>
        </w:tabs>
        <w:rPr>
          <w:sz w:val="16"/>
          <w:szCs w:val="16"/>
        </w:rPr>
      </w:pPr>
    </w:p>
    <w:p w:rsidR="005F04DC" w:rsidRPr="00A96CFE" w:rsidRDefault="005F04DC" w:rsidP="005F04DC">
      <w:pPr>
        <w:rPr>
          <w:szCs w:val="24"/>
        </w:rPr>
      </w:pPr>
      <w:r w:rsidRPr="00A96CFE">
        <w:rPr>
          <w:szCs w:val="24"/>
        </w:rPr>
        <w:t xml:space="preserve">Details of the </w:t>
      </w:r>
      <w:r>
        <w:rPr>
          <w:szCs w:val="24"/>
        </w:rPr>
        <w:t>regulation</w:t>
      </w:r>
      <w:r w:rsidRPr="00A96CFE">
        <w:rPr>
          <w:i/>
          <w:szCs w:val="24"/>
        </w:rPr>
        <w:t xml:space="preserve"> </w:t>
      </w:r>
      <w:r w:rsidRPr="00A96CFE">
        <w:rPr>
          <w:szCs w:val="24"/>
        </w:rPr>
        <w:t xml:space="preserve">are set out in </w:t>
      </w:r>
      <w:r>
        <w:rPr>
          <w:szCs w:val="24"/>
        </w:rPr>
        <w:t xml:space="preserve">the </w:t>
      </w:r>
      <w:r w:rsidRPr="00A96CFE">
        <w:rPr>
          <w:szCs w:val="24"/>
          <w:u w:val="single"/>
        </w:rPr>
        <w:t>Attachment</w:t>
      </w:r>
      <w:r w:rsidRPr="00A96CFE">
        <w:rPr>
          <w:szCs w:val="24"/>
        </w:rPr>
        <w:t>.</w:t>
      </w:r>
    </w:p>
    <w:p w:rsidR="005F04DC" w:rsidRPr="00A96CFE" w:rsidRDefault="005F04DC" w:rsidP="005F04DC">
      <w:pPr>
        <w:rPr>
          <w:sz w:val="16"/>
          <w:szCs w:val="16"/>
        </w:rPr>
      </w:pPr>
    </w:p>
    <w:p w:rsidR="005F04DC" w:rsidRPr="00A96CFE" w:rsidRDefault="005F04DC" w:rsidP="005F04DC">
      <w:pPr>
        <w:rPr>
          <w:szCs w:val="24"/>
        </w:rPr>
      </w:pPr>
      <w:r w:rsidRPr="00A96CFE">
        <w:rPr>
          <w:szCs w:val="24"/>
        </w:rPr>
        <w:t xml:space="preserve">The Act specifies no conditions which need to be met before the power to make the </w:t>
      </w:r>
      <w:r w:rsidR="00F464FE">
        <w:rPr>
          <w:szCs w:val="24"/>
        </w:rPr>
        <w:t>r</w:t>
      </w:r>
      <w:r>
        <w:rPr>
          <w:szCs w:val="24"/>
        </w:rPr>
        <w:t>egulation</w:t>
      </w:r>
      <w:r w:rsidRPr="00A96CFE">
        <w:rPr>
          <w:szCs w:val="24"/>
        </w:rPr>
        <w:t xml:space="preserve"> may be exercised.  </w:t>
      </w:r>
    </w:p>
    <w:p w:rsidR="005F04DC" w:rsidRPr="00A03E9E" w:rsidRDefault="005F04DC" w:rsidP="005F04DC">
      <w:pPr>
        <w:rPr>
          <w:sz w:val="16"/>
          <w:szCs w:val="16"/>
        </w:rPr>
      </w:pPr>
    </w:p>
    <w:p w:rsidR="005F04DC" w:rsidRPr="00A96CFE" w:rsidRDefault="005F04DC" w:rsidP="005F04DC">
      <w:pPr>
        <w:rPr>
          <w:szCs w:val="24"/>
        </w:rPr>
      </w:pPr>
      <w:r w:rsidRPr="00A96CFE">
        <w:rPr>
          <w:szCs w:val="24"/>
        </w:rPr>
        <w:t xml:space="preserve">The </w:t>
      </w:r>
      <w:r w:rsidR="00647590">
        <w:rPr>
          <w:szCs w:val="24"/>
        </w:rPr>
        <w:t>r</w:t>
      </w:r>
      <w:r>
        <w:rPr>
          <w:szCs w:val="24"/>
        </w:rPr>
        <w:t>egulation</w:t>
      </w:r>
      <w:r w:rsidRPr="00A96CFE">
        <w:rPr>
          <w:szCs w:val="24"/>
        </w:rPr>
        <w:t xml:space="preserve"> </w:t>
      </w:r>
      <w:r w:rsidR="00AB35DC">
        <w:rPr>
          <w:szCs w:val="24"/>
        </w:rPr>
        <w:t>is</w:t>
      </w:r>
      <w:r w:rsidRPr="00A96CFE">
        <w:rPr>
          <w:szCs w:val="24"/>
        </w:rPr>
        <w:t xml:space="preserve"> </w:t>
      </w:r>
      <w:r>
        <w:rPr>
          <w:szCs w:val="24"/>
        </w:rPr>
        <w:t xml:space="preserve">a </w:t>
      </w:r>
      <w:r w:rsidRPr="00A96CFE">
        <w:rPr>
          <w:szCs w:val="24"/>
        </w:rPr>
        <w:t xml:space="preserve">legislative instrument for the purposes of the </w:t>
      </w:r>
      <w:r w:rsidRPr="00A96CFE">
        <w:rPr>
          <w:i/>
          <w:szCs w:val="24"/>
        </w:rPr>
        <w:t>Legislative Instruments Act 2003</w:t>
      </w:r>
      <w:r w:rsidRPr="00A96CFE">
        <w:rPr>
          <w:szCs w:val="24"/>
        </w:rPr>
        <w:t xml:space="preserve">.  </w:t>
      </w:r>
    </w:p>
    <w:p w:rsidR="00AB5F4D" w:rsidRPr="00D961FA" w:rsidRDefault="005F04DC" w:rsidP="00D961FA">
      <w:pPr>
        <w:tabs>
          <w:tab w:val="left" w:pos="567"/>
        </w:tabs>
        <w:spacing w:before="240"/>
        <w:rPr>
          <w:szCs w:val="24"/>
        </w:rPr>
      </w:pPr>
      <w:r w:rsidRPr="00A96CFE">
        <w:rPr>
          <w:szCs w:val="24"/>
        </w:rPr>
        <w:t xml:space="preserve">The </w:t>
      </w:r>
      <w:r w:rsidR="00647590">
        <w:rPr>
          <w:szCs w:val="24"/>
        </w:rPr>
        <w:t>r</w:t>
      </w:r>
      <w:r>
        <w:rPr>
          <w:szCs w:val="24"/>
        </w:rPr>
        <w:t>egulation</w:t>
      </w:r>
      <w:r w:rsidRPr="00A96CFE">
        <w:rPr>
          <w:szCs w:val="24"/>
        </w:rPr>
        <w:t xml:space="preserve"> </w:t>
      </w:r>
      <w:r w:rsidR="007F1C81">
        <w:rPr>
          <w:szCs w:val="24"/>
        </w:rPr>
        <w:t>commence</w:t>
      </w:r>
      <w:r w:rsidR="00BE2ECA">
        <w:rPr>
          <w:szCs w:val="24"/>
        </w:rPr>
        <w:t>s</w:t>
      </w:r>
      <w:r w:rsidR="007F1C81">
        <w:rPr>
          <w:szCs w:val="24"/>
        </w:rPr>
        <w:t xml:space="preserve"> on 1 July</w:t>
      </w:r>
      <w:r w:rsidRPr="00A96CFE">
        <w:rPr>
          <w:szCs w:val="24"/>
        </w:rPr>
        <w:t xml:space="preserve"> 201</w:t>
      </w:r>
      <w:r w:rsidR="00020D83">
        <w:rPr>
          <w:szCs w:val="24"/>
        </w:rPr>
        <w:t>5</w:t>
      </w:r>
      <w:r w:rsidRPr="00A96CFE">
        <w:rPr>
          <w:szCs w:val="24"/>
        </w:rPr>
        <w:t>.</w:t>
      </w:r>
    </w:p>
    <w:p w:rsidR="00BE6ADA" w:rsidRDefault="00BE6ADA" w:rsidP="005F04DC">
      <w:pPr>
        <w:rPr>
          <w:sz w:val="16"/>
          <w:szCs w:val="16"/>
        </w:rPr>
      </w:pPr>
    </w:p>
    <w:p w:rsidR="00020D83" w:rsidRDefault="0099448D" w:rsidP="0099448D">
      <w:pPr>
        <w:rPr>
          <w:szCs w:val="24"/>
          <w:u w:val="single"/>
        </w:rPr>
      </w:pPr>
      <w:r>
        <w:rPr>
          <w:szCs w:val="24"/>
          <w:u w:val="single"/>
        </w:rPr>
        <w:t>Consultation</w:t>
      </w:r>
    </w:p>
    <w:p w:rsidR="00AB5F4D" w:rsidRPr="002A39F4" w:rsidRDefault="00AB5F4D" w:rsidP="0099448D">
      <w:pPr>
        <w:rPr>
          <w:szCs w:val="24"/>
          <w:u w:val="single"/>
        </w:rPr>
      </w:pPr>
    </w:p>
    <w:p w:rsidR="00020D83" w:rsidRDefault="00AB5F4D" w:rsidP="0099448D">
      <w:pPr>
        <w:rPr>
          <w:szCs w:val="24"/>
        </w:rPr>
      </w:pPr>
      <w:r>
        <w:rPr>
          <w:szCs w:val="24"/>
        </w:rPr>
        <w:t>C</w:t>
      </w:r>
      <w:r w:rsidR="00185238">
        <w:rPr>
          <w:szCs w:val="24"/>
        </w:rPr>
        <w:t>onsultation was not undertaken</w:t>
      </w:r>
      <w:r>
        <w:rPr>
          <w:szCs w:val="24"/>
        </w:rPr>
        <w:t xml:space="preserve"> for</w:t>
      </w:r>
      <w:r w:rsidR="00185238">
        <w:rPr>
          <w:szCs w:val="24"/>
        </w:rPr>
        <w:t xml:space="preserve"> </w:t>
      </w:r>
      <w:r>
        <w:rPr>
          <w:szCs w:val="24"/>
        </w:rPr>
        <w:t xml:space="preserve">this instrument as it is </w:t>
      </w:r>
      <w:r w:rsidR="00185238">
        <w:rPr>
          <w:szCs w:val="24"/>
        </w:rPr>
        <w:t xml:space="preserve">machinery </w:t>
      </w:r>
      <w:r w:rsidR="00C16774">
        <w:rPr>
          <w:szCs w:val="24"/>
        </w:rPr>
        <w:t xml:space="preserve">in </w:t>
      </w:r>
      <w:r w:rsidR="00185238">
        <w:rPr>
          <w:szCs w:val="24"/>
        </w:rPr>
        <w:t>nature</w:t>
      </w:r>
      <w:r w:rsidR="00D53AC0">
        <w:rPr>
          <w:szCs w:val="24"/>
        </w:rPr>
        <w:t xml:space="preserve"> </w:t>
      </w:r>
      <w:r w:rsidR="00561AE0">
        <w:rPr>
          <w:szCs w:val="24"/>
        </w:rPr>
        <w:t xml:space="preserve">and </w:t>
      </w:r>
      <w:r w:rsidR="00384DEE">
        <w:rPr>
          <w:szCs w:val="24"/>
        </w:rPr>
        <w:t>it</w:t>
      </w:r>
      <w:r w:rsidR="00185238">
        <w:rPr>
          <w:szCs w:val="24"/>
        </w:rPr>
        <w:t xml:space="preserve"> does not alter existing arrangements. </w:t>
      </w:r>
    </w:p>
    <w:p w:rsidR="00D67ACF" w:rsidRDefault="00D67ACF" w:rsidP="0099448D">
      <w:pPr>
        <w:rPr>
          <w:szCs w:val="24"/>
        </w:rPr>
      </w:pPr>
    </w:p>
    <w:p w:rsidR="00D67ACF" w:rsidRDefault="00D67ACF" w:rsidP="0099448D">
      <w:pPr>
        <w:rPr>
          <w:szCs w:val="24"/>
        </w:rPr>
      </w:pPr>
      <w:r>
        <w:rPr>
          <w:szCs w:val="24"/>
        </w:rPr>
        <w:t xml:space="preserve">Consultation was conducted during the process for the initial listing of the four new items to enable Medicare benefits to be paid for the injection of Xeomin under the </w:t>
      </w:r>
      <w:r>
        <w:rPr>
          <w:i/>
          <w:szCs w:val="24"/>
        </w:rPr>
        <w:t>Health Insurance </w:t>
      </w:r>
      <w:r w:rsidRPr="001A7796">
        <w:rPr>
          <w:i/>
          <w:szCs w:val="24"/>
        </w:rPr>
        <w:t>(IncobotulinumtoxinA) Determination 2015</w:t>
      </w:r>
      <w:r>
        <w:rPr>
          <w:i/>
          <w:szCs w:val="24"/>
        </w:rPr>
        <w:t xml:space="preserve">. </w:t>
      </w:r>
      <w:r>
        <w:rPr>
          <w:szCs w:val="24"/>
        </w:rPr>
        <w:t>The four items which are being incorporated into the GMST were introduced in accordance with recommendations of the Medical Services Advisory Committee (MSAC) Executive.</w:t>
      </w:r>
    </w:p>
    <w:p w:rsidR="00D67ACF" w:rsidRDefault="00D67ACF" w:rsidP="0099448D">
      <w:pPr>
        <w:rPr>
          <w:szCs w:val="24"/>
        </w:rPr>
      </w:pPr>
    </w:p>
    <w:p w:rsidR="00D67ACF" w:rsidRDefault="00D67ACF" w:rsidP="0099448D">
      <w:pPr>
        <w:rPr>
          <w:szCs w:val="24"/>
        </w:rPr>
      </w:pPr>
      <w:r>
        <w:rPr>
          <w:szCs w:val="24"/>
        </w:rPr>
        <w:lastRenderedPageBreak/>
        <w:t>In October 2014, the MSAC Executive supported the creation of new items for the listing of professional services to inject Xeomin for the specific indications. The MSAC Executive advised that the eligible population and conditions of use for the items should reflect the corresponding Pharmaceutical Benefits Scheme restrictions.</w:t>
      </w:r>
    </w:p>
    <w:p w:rsidR="00D67ACF" w:rsidRDefault="00D67ACF" w:rsidP="0099448D">
      <w:pPr>
        <w:rPr>
          <w:szCs w:val="24"/>
        </w:rPr>
      </w:pPr>
    </w:p>
    <w:p w:rsidR="00D67ACF" w:rsidRPr="00D67ACF" w:rsidRDefault="00D67ACF" w:rsidP="0099448D">
      <w:pPr>
        <w:rPr>
          <w:szCs w:val="24"/>
        </w:rPr>
      </w:pPr>
      <w:r>
        <w:rPr>
          <w:szCs w:val="24"/>
        </w:rPr>
        <w:t>During the MSAC Executive’s assessment of the application to list items for the injection of Xeomin, the application was made available for public comment. As part of this process, stakeholders and professional groups were given an opportunity to provide feedback on the application. No feedback was received opposing the introduction of the new Xeomin items.</w:t>
      </w:r>
    </w:p>
    <w:p w:rsidR="00185238" w:rsidRPr="00185238" w:rsidRDefault="00185238" w:rsidP="0099448D">
      <w:pPr>
        <w:rPr>
          <w:szCs w:val="24"/>
        </w:rPr>
      </w:pPr>
    </w:p>
    <w:p w:rsidR="005F04DC" w:rsidRPr="00A96CFE" w:rsidRDefault="005F04DC" w:rsidP="005F04DC">
      <w:pPr>
        <w:pStyle w:val="Subtitle"/>
        <w:rPr>
          <w:sz w:val="16"/>
          <w:szCs w:val="16"/>
          <w:u w:val="none"/>
        </w:rPr>
      </w:pPr>
    </w:p>
    <w:p w:rsidR="005F04DC" w:rsidRPr="00A96CFE" w:rsidRDefault="005F04DC" w:rsidP="005F04DC">
      <w:pPr>
        <w:tabs>
          <w:tab w:val="left" w:pos="4536"/>
          <w:tab w:val="left" w:pos="5670"/>
        </w:tabs>
        <w:ind w:left="284"/>
        <w:jc w:val="center"/>
        <w:rPr>
          <w:szCs w:val="24"/>
        </w:rPr>
      </w:pPr>
      <w:r w:rsidRPr="00A96CFE">
        <w:rPr>
          <w:szCs w:val="24"/>
        </w:rPr>
        <w:tab/>
      </w:r>
      <w:r w:rsidRPr="00A96CFE">
        <w:rPr>
          <w:szCs w:val="24"/>
          <w:u w:val="single"/>
        </w:rPr>
        <w:t>Authority</w:t>
      </w:r>
      <w:r w:rsidRPr="00A96CFE">
        <w:rPr>
          <w:szCs w:val="24"/>
        </w:rPr>
        <w:t xml:space="preserve">:     Subsection 133(1) of the </w:t>
      </w:r>
    </w:p>
    <w:p w:rsidR="005F04DC" w:rsidRPr="00A96CFE" w:rsidRDefault="005F04DC" w:rsidP="005F04DC">
      <w:pPr>
        <w:tabs>
          <w:tab w:val="left" w:pos="4536"/>
        </w:tabs>
        <w:ind w:left="284"/>
        <w:jc w:val="center"/>
        <w:rPr>
          <w:szCs w:val="24"/>
        </w:rPr>
      </w:pPr>
      <w:r w:rsidRPr="00A96CFE">
        <w:rPr>
          <w:i/>
          <w:szCs w:val="24"/>
        </w:rPr>
        <w:t xml:space="preserve">                                                                                                Health Insurance Act 1973</w:t>
      </w:r>
      <w:r w:rsidRPr="00A96CFE">
        <w:rPr>
          <w:szCs w:val="24"/>
        </w:rPr>
        <w:t xml:space="preserve">  </w:t>
      </w:r>
    </w:p>
    <w:p w:rsidR="005F04DC" w:rsidRPr="00A96CFE" w:rsidRDefault="005F04DC" w:rsidP="005F04DC">
      <w:pPr>
        <w:pStyle w:val="Subtitle"/>
        <w:ind w:left="284"/>
      </w:pPr>
      <w:r w:rsidRPr="00A96CFE">
        <w:rPr>
          <w:szCs w:val="24"/>
          <w:u w:val="none"/>
        </w:rPr>
        <w:br w:type="page"/>
      </w:r>
    </w:p>
    <w:p w:rsidR="005F04DC" w:rsidRPr="00A96CFE" w:rsidRDefault="005F04DC" w:rsidP="005F04DC">
      <w:pPr>
        <w:ind w:left="284"/>
        <w:jc w:val="right"/>
        <w:rPr>
          <w:b/>
          <w:szCs w:val="24"/>
        </w:rPr>
      </w:pPr>
      <w:r w:rsidRPr="00A96CFE">
        <w:rPr>
          <w:b/>
          <w:szCs w:val="24"/>
        </w:rPr>
        <w:lastRenderedPageBreak/>
        <w:t xml:space="preserve">ATTACHMENT </w:t>
      </w:r>
    </w:p>
    <w:p w:rsidR="005F04DC" w:rsidRPr="00A96CFE" w:rsidRDefault="005F04DC" w:rsidP="005F04DC">
      <w:pPr>
        <w:ind w:left="284"/>
        <w:jc w:val="right"/>
        <w:rPr>
          <w:b/>
          <w:szCs w:val="24"/>
        </w:rPr>
      </w:pPr>
    </w:p>
    <w:p w:rsidR="007F1C81" w:rsidRPr="007F1C81" w:rsidRDefault="007F1C81" w:rsidP="007F1C81">
      <w:pPr>
        <w:pStyle w:val="BodyText"/>
        <w:rPr>
          <w:szCs w:val="24"/>
        </w:rPr>
      </w:pPr>
      <w:r>
        <w:rPr>
          <w:szCs w:val="24"/>
        </w:rPr>
        <w:t>DETAILS OF THE HEALTH INSURANCE (</w:t>
      </w:r>
      <w:r w:rsidR="00F533BB">
        <w:rPr>
          <w:szCs w:val="24"/>
        </w:rPr>
        <w:t>GENERAL MEDICAL</w:t>
      </w:r>
      <w:r w:rsidR="004E13E2">
        <w:rPr>
          <w:szCs w:val="24"/>
        </w:rPr>
        <w:t xml:space="preserve"> SERVICES TABLE) REGULATION 2015</w:t>
      </w:r>
      <w:r>
        <w:rPr>
          <w:szCs w:val="24"/>
        </w:rPr>
        <w:t xml:space="preserve"> </w:t>
      </w:r>
    </w:p>
    <w:p w:rsidR="007F1C81" w:rsidRDefault="007F1C81" w:rsidP="005F04DC">
      <w:pPr>
        <w:pStyle w:val="Heading1"/>
        <w:tabs>
          <w:tab w:val="left" w:pos="284"/>
        </w:tabs>
        <w:jc w:val="left"/>
        <w:rPr>
          <w:b w:val="0"/>
          <w:szCs w:val="24"/>
        </w:rPr>
      </w:pPr>
    </w:p>
    <w:p w:rsidR="005F04DC" w:rsidRPr="00A96CFE" w:rsidRDefault="005F04DC" w:rsidP="005F04DC">
      <w:pPr>
        <w:pStyle w:val="Heading1"/>
        <w:tabs>
          <w:tab w:val="left" w:pos="284"/>
        </w:tabs>
        <w:jc w:val="left"/>
        <w:rPr>
          <w:b w:val="0"/>
          <w:szCs w:val="24"/>
        </w:rPr>
      </w:pPr>
      <w:r>
        <w:rPr>
          <w:b w:val="0"/>
          <w:szCs w:val="24"/>
        </w:rPr>
        <w:t>Section</w:t>
      </w:r>
      <w:r w:rsidRPr="00A96CFE">
        <w:rPr>
          <w:b w:val="0"/>
          <w:szCs w:val="24"/>
        </w:rPr>
        <w:t xml:space="preserve"> 1 – Name of </w:t>
      </w:r>
      <w:r>
        <w:rPr>
          <w:b w:val="0"/>
          <w:szCs w:val="24"/>
        </w:rPr>
        <w:t>regulation</w:t>
      </w:r>
    </w:p>
    <w:p w:rsidR="005F04DC" w:rsidRPr="00A96CFE" w:rsidRDefault="005F04DC" w:rsidP="005F04DC">
      <w:pPr>
        <w:pStyle w:val="Heading1"/>
        <w:jc w:val="left"/>
        <w:rPr>
          <w:b w:val="0"/>
          <w:sz w:val="16"/>
          <w:szCs w:val="16"/>
          <w:u w:val="none"/>
        </w:rPr>
      </w:pPr>
    </w:p>
    <w:p w:rsidR="005F04DC" w:rsidRPr="00A96CFE" w:rsidRDefault="005F04DC" w:rsidP="005F04DC">
      <w:pPr>
        <w:pStyle w:val="Heading1"/>
        <w:jc w:val="left"/>
        <w:rPr>
          <w:b w:val="0"/>
          <w:szCs w:val="24"/>
          <w:u w:val="none"/>
        </w:rPr>
      </w:pPr>
      <w:r w:rsidRPr="00A96CFE">
        <w:rPr>
          <w:b w:val="0"/>
          <w:szCs w:val="24"/>
          <w:u w:val="none"/>
        </w:rPr>
        <w:t xml:space="preserve">This </w:t>
      </w:r>
      <w:r>
        <w:rPr>
          <w:b w:val="0"/>
          <w:szCs w:val="24"/>
          <w:u w:val="none"/>
        </w:rPr>
        <w:t>sec</w:t>
      </w:r>
      <w:r w:rsidRPr="00A96CFE">
        <w:rPr>
          <w:b w:val="0"/>
          <w:szCs w:val="24"/>
          <w:u w:val="none"/>
        </w:rPr>
        <w:t>tion provide</w:t>
      </w:r>
      <w:r w:rsidR="00ED7140">
        <w:rPr>
          <w:b w:val="0"/>
          <w:szCs w:val="24"/>
          <w:u w:val="none"/>
        </w:rPr>
        <w:t>s</w:t>
      </w:r>
      <w:r w:rsidRPr="00A96CFE">
        <w:rPr>
          <w:b w:val="0"/>
          <w:szCs w:val="24"/>
          <w:u w:val="none"/>
        </w:rPr>
        <w:t xml:space="preserve"> for the </w:t>
      </w:r>
      <w:r w:rsidR="00F533BB">
        <w:rPr>
          <w:b w:val="0"/>
          <w:szCs w:val="24"/>
          <w:u w:val="none"/>
        </w:rPr>
        <w:t>instrument</w:t>
      </w:r>
      <w:r w:rsidRPr="00A96CFE">
        <w:rPr>
          <w:b w:val="0"/>
          <w:szCs w:val="24"/>
          <w:u w:val="none"/>
        </w:rPr>
        <w:t xml:space="preserve"> to be referred to as the</w:t>
      </w:r>
      <w:r w:rsidRPr="00A96CFE">
        <w:rPr>
          <w:b w:val="0"/>
          <w:i/>
          <w:szCs w:val="24"/>
          <w:u w:val="none"/>
        </w:rPr>
        <w:t xml:space="preserve"> Health Insurance (</w:t>
      </w:r>
      <w:r w:rsidR="00F533BB">
        <w:rPr>
          <w:b w:val="0"/>
          <w:i/>
          <w:szCs w:val="24"/>
          <w:u w:val="none"/>
        </w:rPr>
        <w:t>General Medical</w:t>
      </w:r>
      <w:r w:rsidR="004E13E2">
        <w:rPr>
          <w:b w:val="0"/>
          <w:i/>
          <w:szCs w:val="24"/>
          <w:u w:val="none"/>
        </w:rPr>
        <w:t xml:space="preserve"> </w:t>
      </w:r>
      <w:r w:rsidRPr="00A96CFE">
        <w:rPr>
          <w:b w:val="0"/>
          <w:i/>
          <w:szCs w:val="24"/>
          <w:u w:val="none"/>
        </w:rPr>
        <w:t>Services Table) Regul</w:t>
      </w:r>
      <w:r>
        <w:rPr>
          <w:b w:val="0"/>
          <w:i/>
          <w:szCs w:val="24"/>
          <w:u w:val="none"/>
        </w:rPr>
        <w:t>ation</w:t>
      </w:r>
      <w:r w:rsidRPr="00A96CFE">
        <w:rPr>
          <w:b w:val="0"/>
          <w:i/>
          <w:szCs w:val="24"/>
          <w:u w:val="none"/>
        </w:rPr>
        <w:t xml:space="preserve"> 201</w:t>
      </w:r>
      <w:r w:rsidR="004E13E2">
        <w:rPr>
          <w:b w:val="0"/>
          <w:i/>
          <w:szCs w:val="24"/>
          <w:u w:val="none"/>
        </w:rPr>
        <w:t>5</w:t>
      </w:r>
      <w:r>
        <w:rPr>
          <w:b w:val="0"/>
          <w:i/>
          <w:szCs w:val="24"/>
          <w:u w:val="none"/>
        </w:rPr>
        <w:t xml:space="preserve"> </w:t>
      </w:r>
      <w:r>
        <w:rPr>
          <w:b w:val="0"/>
          <w:szCs w:val="24"/>
          <w:u w:val="none"/>
        </w:rPr>
        <w:t>(the Regulation)</w:t>
      </w:r>
      <w:r w:rsidRPr="00A96CFE">
        <w:rPr>
          <w:b w:val="0"/>
          <w:szCs w:val="24"/>
          <w:u w:val="none"/>
        </w:rPr>
        <w:t>.</w:t>
      </w:r>
    </w:p>
    <w:p w:rsidR="005F04DC" w:rsidRPr="00A96CFE" w:rsidRDefault="005F04DC" w:rsidP="005F04DC">
      <w:pPr>
        <w:pStyle w:val="BodyText"/>
        <w:rPr>
          <w:b w:val="0"/>
          <w:szCs w:val="24"/>
        </w:rPr>
      </w:pPr>
    </w:p>
    <w:p w:rsidR="005F04DC" w:rsidRPr="00A96CFE" w:rsidRDefault="005F04DC" w:rsidP="005F04DC">
      <w:pPr>
        <w:pStyle w:val="BodyText"/>
        <w:rPr>
          <w:b w:val="0"/>
          <w:szCs w:val="24"/>
          <w:u w:val="single"/>
        </w:rPr>
      </w:pPr>
      <w:r>
        <w:rPr>
          <w:b w:val="0"/>
          <w:szCs w:val="24"/>
          <w:u w:val="single"/>
        </w:rPr>
        <w:t>Sec</w:t>
      </w:r>
      <w:r w:rsidRPr="00A96CFE">
        <w:rPr>
          <w:b w:val="0"/>
          <w:szCs w:val="24"/>
          <w:u w:val="single"/>
        </w:rPr>
        <w:t xml:space="preserve">tion 2 – Commencement </w:t>
      </w:r>
    </w:p>
    <w:p w:rsidR="005F04DC" w:rsidRPr="00A96CFE" w:rsidRDefault="005F04DC" w:rsidP="005F04DC">
      <w:pPr>
        <w:pStyle w:val="BodyText"/>
        <w:rPr>
          <w:b w:val="0"/>
          <w:sz w:val="16"/>
          <w:szCs w:val="16"/>
        </w:rPr>
      </w:pPr>
    </w:p>
    <w:p w:rsidR="005F04DC" w:rsidRPr="00A96CFE" w:rsidRDefault="005F04DC" w:rsidP="005F04DC">
      <w:pPr>
        <w:pStyle w:val="BodyText"/>
        <w:rPr>
          <w:b w:val="0"/>
          <w:szCs w:val="24"/>
        </w:rPr>
      </w:pPr>
      <w:r w:rsidRPr="00A96CFE">
        <w:rPr>
          <w:b w:val="0"/>
          <w:szCs w:val="24"/>
        </w:rPr>
        <w:t xml:space="preserve">This </w:t>
      </w:r>
      <w:r>
        <w:rPr>
          <w:b w:val="0"/>
          <w:szCs w:val="24"/>
        </w:rPr>
        <w:t>sec</w:t>
      </w:r>
      <w:r w:rsidRPr="00A96CFE">
        <w:rPr>
          <w:b w:val="0"/>
          <w:szCs w:val="24"/>
        </w:rPr>
        <w:t>tion provide</w:t>
      </w:r>
      <w:r w:rsidR="00ED7140">
        <w:rPr>
          <w:b w:val="0"/>
          <w:szCs w:val="24"/>
        </w:rPr>
        <w:t>s</w:t>
      </w:r>
      <w:r w:rsidRPr="00A96CFE">
        <w:rPr>
          <w:b w:val="0"/>
          <w:szCs w:val="24"/>
        </w:rPr>
        <w:t xml:space="preserve"> for the </w:t>
      </w:r>
      <w:r w:rsidR="00F533BB">
        <w:rPr>
          <w:b w:val="0"/>
          <w:szCs w:val="24"/>
        </w:rPr>
        <w:t>instrument</w:t>
      </w:r>
      <w:r w:rsidRPr="00A96CFE">
        <w:rPr>
          <w:b w:val="0"/>
          <w:szCs w:val="24"/>
        </w:rPr>
        <w:t xml:space="preserve"> to commenc</w:t>
      </w:r>
      <w:r w:rsidR="0002704E">
        <w:rPr>
          <w:b w:val="0"/>
          <w:szCs w:val="24"/>
        </w:rPr>
        <w:t>e on 1 July</w:t>
      </w:r>
      <w:r w:rsidRPr="00A96CFE">
        <w:rPr>
          <w:b w:val="0"/>
          <w:szCs w:val="24"/>
        </w:rPr>
        <w:t xml:space="preserve"> 201</w:t>
      </w:r>
      <w:r w:rsidR="004E13E2">
        <w:rPr>
          <w:b w:val="0"/>
          <w:szCs w:val="24"/>
        </w:rPr>
        <w:t>5</w:t>
      </w:r>
      <w:r w:rsidRPr="00A96CFE">
        <w:rPr>
          <w:b w:val="0"/>
          <w:szCs w:val="24"/>
        </w:rPr>
        <w:t>.</w:t>
      </w:r>
    </w:p>
    <w:p w:rsidR="005F04DC" w:rsidRPr="00A96CFE" w:rsidRDefault="005F04DC" w:rsidP="005F04DC">
      <w:pPr>
        <w:pStyle w:val="BodyText"/>
        <w:rPr>
          <w:b w:val="0"/>
          <w:szCs w:val="24"/>
        </w:rPr>
      </w:pPr>
    </w:p>
    <w:p w:rsidR="005F04DC" w:rsidRPr="00A96CFE" w:rsidRDefault="005F04DC" w:rsidP="005F04DC">
      <w:pPr>
        <w:pStyle w:val="BodyText"/>
        <w:rPr>
          <w:b w:val="0"/>
          <w:szCs w:val="24"/>
          <w:u w:val="single"/>
        </w:rPr>
      </w:pPr>
      <w:r>
        <w:rPr>
          <w:b w:val="0"/>
          <w:szCs w:val="24"/>
          <w:u w:val="single"/>
        </w:rPr>
        <w:t>Sec</w:t>
      </w:r>
      <w:r w:rsidR="0002704E">
        <w:rPr>
          <w:b w:val="0"/>
          <w:szCs w:val="24"/>
          <w:u w:val="single"/>
        </w:rPr>
        <w:t xml:space="preserve">tion 3 – Authority </w:t>
      </w:r>
      <w:r w:rsidRPr="00A96CFE">
        <w:rPr>
          <w:b w:val="0"/>
          <w:szCs w:val="24"/>
          <w:u w:val="single"/>
        </w:rPr>
        <w:t xml:space="preserve"> </w:t>
      </w:r>
    </w:p>
    <w:p w:rsidR="005F04DC" w:rsidRPr="00A96CFE" w:rsidRDefault="005F04DC" w:rsidP="005F04DC">
      <w:pPr>
        <w:pStyle w:val="BodyText"/>
        <w:rPr>
          <w:b w:val="0"/>
          <w:sz w:val="16"/>
          <w:szCs w:val="16"/>
        </w:rPr>
      </w:pPr>
    </w:p>
    <w:p w:rsidR="0002704E" w:rsidRDefault="00F533BB" w:rsidP="005F04DC">
      <w:pPr>
        <w:pStyle w:val="BodyText"/>
        <w:rPr>
          <w:b w:val="0"/>
          <w:szCs w:val="24"/>
        </w:rPr>
      </w:pPr>
      <w:r>
        <w:rPr>
          <w:b w:val="0"/>
          <w:szCs w:val="24"/>
        </w:rPr>
        <w:t>This instrument</w:t>
      </w:r>
      <w:r w:rsidR="0002704E">
        <w:rPr>
          <w:b w:val="0"/>
          <w:szCs w:val="24"/>
        </w:rPr>
        <w:t xml:space="preserve"> </w:t>
      </w:r>
      <w:r w:rsidR="00ED7140">
        <w:rPr>
          <w:b w:val="0"/>
          <w:szCs w:val="24"/>
        </w:rPr>
        <w:t>is</w:t>
      </w:r>
      <w:r w:rsidR="0002704E">
        <w:rPr>
          <w:b w:val="0"/>
          <w:szCs w:val="24"/>
        </w:rPr>
        <w:t xml:space="preserve"> made under the </w:t>
      </w:r>
      <w:r w:rsidR="0002704E" w:rsidRPr="0002704E">
        <w:rPr>
          <w:b w:val="0"/>
          <w:i/>
          <w:szCs w:val="24"/>
        </w:rPr>
        <w:t>Health Insurance Act 1973</w:t>
      </w:r>
      <w:r w:rsidR="0002704E">
        <w:rPr>
          <w:b w:val="0"/>
          <w:szCs w:val="24"/>
        </w:rPr>
        <w:t xml:space="preserve">.  </w:t>
      </w:r>
    </w:p>
    <w:p w:rsidR="005F04DC" w:rsidRPr="00A96CFE" w:rsidRDefault="005F04DC" w:rsidP="005F04DC">
      <w:pPr>
        <w:pStyle w:val="Header"/>
        <w:tabs>
          <w:tab w:val="clear" w:pos="4153"/>
          <w:tab w:val="clear" w:pos="8306"/>
          <w:tab w:val="num" w:pos="1080"/>
        </w:tabs>
        <w:rPr>
          <w:szCs w:val="24"/>
        </w:rPr>
      </w:pPr>
    </w:p>
    <w:p w:rsidR="005F04DC" w:rsidRDefault="005F04DC" w:rsidP="005F04DC">
      <w:pPr>
        <w:pStyle w:val="Header"/>
        <w:tabs>
          <w:tab w:val="clear" w:pos="4153"/>
          <w:tab w:val="clear" w:pos="8306"/>
          <w:tab w:val="num" w:pos="1080"/>
        </w:tabs>
        <w:rPr>
          <w:szCs w:val="24"/>
          <w:u w:val="single"/>
        </w:rPr>
      </w:pPr>
      <w:r>
        <w:rPr>
          <w:szCs w:val="24"/>
          <w:u w:val="single"/>
        </w:rPr>
        <w:t>Sec</w:t>
      </w:r>
      <w:r w:rsidRPr="00A96CFE">
        <w:rPr>
          <w:szCs w:val="24"/>
          <w:u w:val="single"/>
        </w:rPr>
        <w:t>tion 4</w:t>
      </w:r>
      <w:r w:rsidR="004E7F97">
        <w:rPr>
          <w:szCs w:val="24"/>
          <w:u w:val="single"/>
        </w:rPr>
        <w:t xml:space="preserve"> – Schedule(s)</w:t>
      </w:r>
    </w:p>
    <w:p w:rsidR="0002704E" w:rsidRDefault="0002704E" w:rsidP="005F04DC">
      <w:pPr>
        <w:pStyle w:val="Header"/>
        <w:tabs>
          <w:tab w:val="clear" w:pos="4153"/>
          <w:tab w:val="clear" w:pos="8306"/>
          <w:tab w:val="num" w:pos="1080"/>
        </w:tabs>
        <w:rPr>
          <w:szCs w:val="24"/>
          <w:u w:val="single"/>
        </w:rPr>
      </w:pPr>
    </w:p>
    <w:p w:rsidR="0002704E" w:rsidRDefault="00704A1A" w:rsidP="005F04DC">
      <w:pPr>
        <w:pStyle w:val="Header"/>
        <w:tabs>
          <w:tab w:val="clear" w:pos="4153"/>
          <w:tab w:val="clear" w:pos="8306"/>
          <w:tab w:val="num" w:pos="1080"/>
        </w:tabs>
        <w:rPr>
          <w:szCs w:val="24"/>
        </w:rPr>
      </w:pPr>
      <w:r w:rsidRPr="00A96CFE">
        <w:rPr>
          <w:szCs w:val="24"/>
        </w:rPr>
        <w:t xml:space="preserve">This </w:t>
      </w:r>
      <w:r>
        <w:rPr>
          <w:szCs w:val="24"/>
        </w:rPr>
        <w:t xml:space="preserve">section provides that each instrument specified in a Schedule to the instrument is amended or repealed as set out in the applicable items in the Schedule concerned. </w:t>
      </w:r>
    </w:p>
    <w:p w:rsidR="00704A1A" w:rsidRDefault="00704A1A" w:rsidP="005F04DC">
      <w:pPr>
        <w:pStyle w:val="Header"/>
        <w:tabs>
          <w:tab w:val="clear" w:pos="4153"/>
          <w:tab w:val="clear" w:pos="8306"/>
          <w:tab w:val="num" w:pos="1080"/>
        </w:tabs>
        <w:rPr>
          <w:szCs w:val="24"/>
        </w:rPr>
      </w:pPr>
    </w:p>
    <w:p w:rsidR="0002704E" w:rsidRPr="00A96CFE" w:rsidRDefault="0002704E" w:rsidP="0002704E">
      <w:pPr>
        <w:pStyle w:val="Header"/>
        <w:tabs>
          <w:tab w:val="clear" w:pos="4153"/>
          <w:tab w:val="clear" w:pos="8306"/>
          <w:tab w:val="num" w:pos="1080"/>
        </w:tabs>
        <w:rPr>
          <w:szCs w:val="24"/>
          <w:u w:val="single"/>
        </w:rPr>
      </w:pPr>
      <w:r>
        <w:rPr>
          <w:szCs w:val="24"/>
          <w:u w:val="single"/>
        </w:rPr>
        <w:t>Sec</w:t>
      </w:r>
      <w:r w:rsidR="00F533BB">
        <w:rPr>
          <w:szCs w:val="24"/>
          <w:u w:val="single"/>
        </w:rPr>
        <w:t>tion 5 – General medical</w:t>
      </w:r>
      <w:r w:rsidRPr="00A96CFE">
        <w:rPr>
          <w:szCs w:val="24"/>
          <w:u w:val="single"/>
        </w:rPr>
        <w:t xml:space="preserve"> services table</w:t>
      </w:r>
    </w:p>
    <w:p w:rsidR="0002704E" w:rsidRPr="00A96CFE" w:rsidRDefault="0002704E" w:rsidP="0002704E">
      <w:pPr>
        <w:pStyle w:val="Header"/>
        <w:tabs>
          <w:tab w:val="clear" w:pos="4153"/>
          <w:tab w:val="clear" w:pos="8306"/>
          <w:tab w:val="num" w:pos="1080"/>
        </w:tabs>
        <w:rPr>
          <w:sz w:val="16"/>
          <w:szCs w:val="16"/>
        </w:rPr>
      </w:pPr>
    </w:p>
    <w:p w:rsidR="0002704E" w:rsidRPr="00A96CFE" w:rsidRDefault="0002704E" w:rsidP="0002704E">
      <w:pPr>
        <w:pStyle w:val="Header"/>
        <w:tabs>
          <w:tab w:val="clear" w:pos="4153"/>
          <w:tab w:val="clear" w:pos="8306"/>
          <w:tab w:val="num" w:pos="1080"/>
        </w:tabs>
        <w:rPr>
          <w:szCs w:val="24"/>
        </w:rPr>
      </w:pPr>
      <w:r w:rsidRPr="00A96CFE">
        <w:rPr>
          <w:szCs w:val="24"/>
        </w:rPr>
        <w:t xml:space="preserve">This </w:t>
      </w:r>
      <w:r>
        <w:rPr>
          <w:szCs w:val="24"/>
        </w:rPr>
        <w:t>sec</w:t>
      </w:r>
      <w:r w:rsidRPr="00A96CFE">
        <w:rPr>
          <w:szCs w:val="24"/>
        </w:rPr>
        <w:t>tion provide</w:t>
      </w:r>
      <w:r w:rsidR="00805C3A">
        <w:rPr>
          <w:szCs w:val="24"/>
        </w:rPr>
        <w:t>s</w:t>
      </w:r>
      <w:r w:rsidRPr="00A96CFE">
        <w:rPr>
          <w:szCs w:val="24"/>
        </w:rPr>
        <w:t xml:space="preserve"> that </w:t>
      </w:r>
      <w:r w:rsidR="004E13E2">
        <w:rPr>
          <w:szCs w:val="24"/>
        </w:rPr>
        <w:t>the new table o</w:t>
      </w:r>
      <w:r w:rsidR="00F533BB">
        <w:rPr>
          <w:szCs w:val="24"/>
        </w:rPr>
        <w:t>f general medical</w:t>
      </w:r>
      <w:r w:rsidRPr="00A96CFE">
        <w:rPr>
          <w:szCs w:val="24"/>
        </w:rPr>
        <w:t xml:space="preserve"> services set out in Schedule 1 be prescribed for subsection 4(1) of the Act.</w:t>
      </w:r>
    </w:p>
    <w:p w:rsidR="0002704E" w:rsidRDefault="0002704E" w:rsidP="005F04DC">
      <w:pPr>
        <w:pStyle w:val="Header"/>
        <w:tabs>
          <w:tab w:val="clear" w:pos="4153"/>
          <w:tab w:val="clear" w:pos="8306"/>
          <w:tab w:val="num" w:pos="1080"/>
        </w:tabs>
        <w:rPr>
          <w:szCs w:val="24"/>
        </w:rPr>
      </w:pPr>
    </w:p>
    <w:p w:rsidR="0002704E" w:rsidRPr="0002704E" w:rsidRDefault="0002704E" w:rsidP="005F04DC">
      <w:pPr>
        <w:pStyle w:val="Header"/>
        <w:tabs>
          <w:tab w:val="clear" w:pos="4153"/>
          <w:tab w:val="clear" w:pos="8306"/>
          <w:tab w:val="num" w:pos="1080"/>
        </w:tabs>
        <w:rPr>
          <w:szCs w:val="24"/>
          <w:u w:val="single"/>
        </w:rPr>
      </w:pPr>
      <w:r w:rsidRPr="0002704E">
        <w:rPr>
          <w:szCs w:val="24"/>
          <w:u w:val="single"/>
        </w:rPr>
        <w:t xml:space="preserve">Section 6 – Dictionary </w:t>
      </w:r>
    </w:p>
    <w:p w:rsidR="005F04DC" w:rsidRPr="00A96CFE" w:rsidRDefault="005F04DC" w:rsidP="005F04DC">
      <w:pPr>
        <w:pStyle w:val="Header"/>
        <w:tabs>
          <w:tab w:val="clear" w:pos="4153"/>
          <w:tab w:val="clear" w:pos="8306"/>
          <w:tab w:val="num" w:pos="1080"/>
        </w:tabs>
        <w:rPr>
          <w:szCs w:val="24"/>
          <w:u w:val="single"/>
        </w:rPr>
      </w:pPr>
    </w:p>
    <w:p w:rsidR="005F04DC" w:rsidRPr="00A96CFE" w:rsidRDefault="005F04DC" w:rsidP="005F04DC">
      <w:pPr>
        <w:pStyle w:val="Header"/>
        <w:tabs>
          <w:tab w:val="num" w:pos="1080"/>
        </w:tabs>
        <w:rPr>
          <w:szCs w:val="24"/>
        </w:rPr>
      </w:pPr>
      <w:r w:rsidRPr="00A96CFE">
        <w:rPr>
          <w:szCs w:val="24"/>
        </w:rPr>
        <w:t xml:space="preserve">This </w:t>
      </w:r>
      <w:r>
        <w:rPr>
          <w:szCs w:val="24"/>
        </w:rPr>
        <w:t>sec</w:t>
      </w:r>
      <w:r w:rsidRPr="00A96CFE">
        <w:rPr>
          <w:szCs w:val="24"/>
        </w:rPr>
        <w:t>tion provide</w:t>
      </w:r>
      <w:r w:rsidR="00ED7140">
        <w:rPr>
          <w:szCs w:val="24"/>
        </w:rPr>
        <w:t>s</w:t>
      </w:r>
      <w:r w:rsidRPr="00A96CFE">
        <w:rPr>
          <w:szCs w:val="24"/>
        </w:rPr>
        <w:t xml:space="preserve"> for a Dictionary at the end o</w:t>
      </w:r>
      <w:r w:rsidR="00F533BB">
        <w:rPr>
          <w:szCs w:val="24"/>
        </w:rPr>
        <w:t>f the instrument</w:t>
      </w:r>
      <w:r w:rsidRPr="00A96CFE">
        <w:rPr>
          <w:szCs w:val="24"/>
        </w:rPr>
        <w:t>, which define</w:t>
      </w:r>
      <w:r w:rsidR="00ED7140">
        <w:rPr>
          <w:szCs w:val="24"/>
        </w:rPr>
        <w:t>s</w:t>
      </w:r>
      <w:r w:rsidRPr="00A96CFE">
        <w:rPr>
          <w:szCs w:val="24"/>
        </w:rPr>
        <w:t xml:space="preserve"> certain wor</w:t>
      </w:r>
      <w:r>
        <w:rPr>
          <w:szCs w:val="24"/>
        </w:rPr>
        <w:t>ds and ex</w:t>
      </w:r>
      <w:r w:rsidR="00F533BB">
        <w:rPr>
          <w:szCs w:val="24"/>
        </w:rPr>
        <w:t>pressions used in the instrument</w:t>
      </w:r>
      <w:r w:rsidRPr="00A96CFE">
        <w:rPr>
          <w:szCs w:val="24"/>
        </w:rPr>
        <w:t>, and include</w:t>
      </w:r>
      <w:r w:rsidR="00ED7140">
        <w:rPr>
          <w:szCs w:val="24"/>
        </w:rPr>
        <w:t>s</w:t>
      </w:r>
      <w:r w:rsidRPr="00A96CFE">
        <w:rPr>
          <w:szCs w:val="24"/>
        </w:rPr>
        <w:t xml:space="preserve"> references to certain words and expressions whic</w:t>
      </w:r>
      <w:r>
        <w:rPr>
          <w:szCs w:val="24"/>
        </w:rPr>
        <w:t>h are def</w:t>
      </w:r>
      <w:r w:rsidR="00F533BB">
        <w:rPr>
          <w:szCs w:val="24"/>
        </w:rPr>
        <w:t>ined elsewhere in the instrument</w:t>
      </w:r>
      <w:r w:rsidRPr="00A96CFE">
        <w:rPr>
          <w:szCs w:val="24"/>
        </w:rPr>
        <w:t>.</w:t>
      </w:r>
    </w:p>
    <w:p w:rsidR="005F04DC" w:rsidRPr="00A96CFE" w:rsidRDefault="005F04DC" w:rsidP="005F04DC">
      <w:pPr>
        <w:tabs>
          <w:tab w:val="num" w:pos="2289"/>
        </w:tabs>
        <w:rPr>
          <w:szCs w:val="24"/>
        </w:rPr>
      </w:pPr>
    </w:p>
    <w:p w:rsidR="005F04DC" w:rsidRDefault="005F04DC" w:rsidP="005F04DC">
      <w:pPr>
        <w:tabs>
          <w:tab w:val="num" w:pos="2289"/>
        </w:tabs>
        <w:rPr>
          <w:szCs w:val="24"/>
          <w:u w:val="single"/>
          <w:lang w:val="en-US" w:eastAsia="en-US"/>
        </w:rPr>
      </w:pPr>
      <w:r>
        <w:rPr>
          <w:szCs w:val="24"/>
          <w:u w:val="single"/>
          <w:lang w:val="en-US" w:eastAsia="en-US"/>
        </w:rPr>
        <w:t>Part 2</w:t>
      </w:r>
      <w:r w:rsidR="00F4438A">
        <w:rPr>
          <w:szCs w:val="24"/>
          <w:u w:val="single"/>
          <w:lang w:val="en-US" w:eastAsia="en-US"/>
        </w:rPr>
        <w:t xml:space="preserve"> of Schedule 1 – </w:t>
      </w:r>
      <w:r w:rsidR="00F533BB">
        <w:rPr>
          <w:szCs w:val="24"/>
          <w:u w:val="single"/>
          <w:lang w:val="en-US" w:eastAsia="en-US"/>
        </w:rPr>
        <w:t>General medical</w:t>
      </w:r>
      <w:r>
        <w:rPr>
          <w:szCs w:val="24"/>
          <w:u w:val="single"/>
          <w:lang w:val="en-US" w:eastAsia="en-US"/>
        </w:rPr>
        <w:t xml:space="preserve"> services table</w:t>
      </w:r>
    </w:p>
    <w:p w:rsidR="00704A1A" w:rsidRDefault="00704A1A" w:rsidP="00704A1A"/>
    <w:p w:rsidR="00704A1A" w:rsidRDefault="00704A1A" w:rsidP="00704A1A">
      <w:r>
        <w:t>T</w:t>
      </w:r>
      <w:r w:rsidR="00F533BB">
        <w:t>his part of the instrument</w:t>
      </w:r>
      <w:r w:rsidR="00F4438A">
        <w:t xml:space="preserve"> </w:t>
      </w:r>
      <w:r w:rsidR="00D53AC0">
        <w:t xml:space="preserve">continues </w:t>
      </w:r>
      <w:r w:rsidR="003239D0">
        <w:t>the</w:t>
      </w:r>
      <w:r w:rsidR="00F533BB">
        <w:t xml:space="preserve"> general medical</w:t>
      </w:r>
      <w:r w:rsidR="00675EBF">
        <w:t xml:space="preserve"> services table and makes</w:t>
      </w:r>
      <w:r w:rsidR="005B06EA">
        <w:t xml:space="preserve"> the </w:t>
      </w:r>
      <w:r w:rsidR="006C2B70">
        <w:t xml:space="preserve">following </w:t>
      </w:r>
      <w:r w:rsidR="00D53AC0">
        <w:rPr>
          <w:szCs w:val="24"/>
        </w:rPr>
        <w:t>machinery amendments to the previous table</w:t>
      </w:r>
      <w:r w:rsidR="004E0810">
        <w:rPr>
          <w:szCs w:val="24"/>
        </w:rPr>
        <w:t xml:space="preserve"> by</w:t>
      </w:r>
      <w:r>
        <w:t>:</w:t>
      </w:r>
    </w:p>
    <w:p w:rsidR="006C2B70" w:rsidRDefault="006C2B70" w:rsidP="006C2B70"/>
    <w:p w:rsidR="00A93FE2" w:rsidRPr="004E0810" w:rsidRDefault="00270651" w:rsidP="004E0810">
      <w:pPr>
        <w:pStyle w:val="ListParagraph"/>
        <w:numPr>
          <w:ilvl w:val="0"/>
          <w:numId w:val="14"/>
        </w:numPr>
      </w:pPr>
      <w:r>
        <w:rPr>
          <w:szCs w:val="24"/>
        </w:rPr>
        <w:t>Remov</w:t>
      </w:r>
      <w:r w:rsidR="004E0810">
        <w:rPr>
          <w:szCs w:val="24"/>
        </w:rPr>
        <w:t>ing</w:t>
      </w:r>
      <w:r w:rsidR="00A93FE2">
        <w:rPr>
          <w:szCs w:val="24"/>
        </w:rPr>
        <w:t xml:space="preserve"> reference to items 18356 and 18358 from the </w:t>
      </w:r>
      <w:r w:rsidR="00B638DE">
        <w:rPr>
          <w:szCs w:val="24"/>
        </w:rPr>
        <w:t xml:space="preserve">item descriptor for item 18292 </w:t>
      </w:r>
    </w:p>
    <w:p w:rsidR="004E0810" w:rsidRDefault="004E0810" w:rsidP="004E0810">
      <w:pPr>
        <w:pStyle w:val="ListParagraph"/>
      </w:pPr>
    </w:p>
    <w:p w:rsidR="00D95D46" w:rsidRPr="004E0810" w:rsidRDefault="004E0810" w:rsidP="004E0810">
      <w:pPr>
        <w:pStyle w:val="ListParagraph"/>
        <w:numPr>
          <w:ilvl w:val="0"/>
          <w:numId w:val="14"/>
        </w:numPr>
      </w:pPr>
      <w:r>
        <w:rPr>
          <w:szCs w:val="24"/>
        </w:rPr>
        <w:t>Moving</w:t>
      </w:r>
      <w:r w:rsidR="00D95D46">
        <w:rPr>
          <w:szCs w:val="24"/>
        </w:rPr>
        <w:t xml:space="preserve"> the substance of the </w:t>
      </w:r>
      <w:r w:rsidR="00D95D46" w:rsidRPr="001A7796">
        <w:rPr>
          <w:i/>
          <w:szCs w:val="24"/>
        </w:rPr>
        <w:t>Health Insurance (IncobotulinumtoxinA) Determination 2015</w:t>
      </w:r>
      <w:r w:rsidR="00D95D46">
        <w:rPr>
          <w:i/>
          <w:szCs w:val="24"/>
        </w:rPr>
        <w:t xml:space="preserve"> </w:t>
      </w:r>
      <w:r w:rsidR="00D95D46">
        <w:rPr>
          <w:szCs w:val="24"/>
        </w:rPr>
        <w:t>into the GMST</w:t>
      </w:r>
      <w:r w:rsidR="00270651">
        <w:rPr>
          <w:szCs w:val="24"/>
        </w:rPr>
        <w:t xml:space="preserve"> at clause</w:t>
      </w:r>
      <w:r>
        <w:rPr>
          <w:szCs w:val="24"/>
        </w:rPr>
        <w:t>s</w:t>
      </w:r>
      <w:r w:rsidR="00270651">
        <w:rPr>
          <w:szCs w:val="24"/>
        </w:rPr>
        <w:t xml:space="preserve"> 2.42A.1 and 2.42A.2, </w:t>
      </w:r>
      <w:r w:rsidR="00B95DF6">
        <w:rPr>
          <w:szCs w:val="24"/>
        </w:rPr>
        <w:t xml:space="preserve">and </w:t>
      </w:r>
      <w:r>
        <w:rPr>
          <w:szCs w:val="24"/>
        </w:rPr>
        <w:t>r</w:t>
      </w:r>
      <w:r w:rsidR="00270651" w:rsidRPr="004E0810">
        <w:rPr>
          <w:szCs w:val="24"/>
        </w:rPr>
        <w:t>emov</w:t>
      </w:r>
      <w:r w:rsidRPr="004E0810">
        <w:rPr>
          <w:szCs w:val="24"/>
        </w:rPr>
        <w:t>ing</w:t>
      </w:r>
      <w:r w:rsidR="00D95D46" w:rsidRPr="004E0810">
        <w:rPr>
          <w:szCs w:val="24"/>
        </w:rPr>
        <w:t xml:space="preserve"> items 18352, 18364, 1837</w:t>
      </w:r>
      <w:r w:rsidR="00B638DE">
        <w:rPr>
          <w:szCs w:val="24"/>
        </w:rPr>
        <w:t>1, and 18373 from the GMST</w:t>
      </w:r>
    </w:p>
    <w:p w:rsidR="004E0810" w:rsidRDefault="004E0810" w:rsidP="004E0810"/>
    <w:p w:rsidR="00C77CE4" w:rsidRPr="00443375" w:rsidRDefault="00270651" w:rsidP="00443375">
      <w:pPr>
        <w:pStyle w:val="ListParagraph"/>
        <w:numPr>
          <w:ilvl w:val="0"/>
          <w:numId w:val="14"/>
        </w:numPr>
      </w:pPr>
      <w:r>
        <w:t>Amend</w:t>
      </w:r>
      <w:r w:rsidR="004E0810">
        <w:t>ing</w:t>
      </w:r>
      <w:r w:rsidR="00D95D46">
        <w:t xml:space="preserve"> clause 2.42A.1 to clarify that</w:t>
      </w:r>
      <w:r w:rsidR="00D6525B">
        <w:t xml:space="preserve"> </w:t>
      </w:r>
      <w:r w:rsidR="00CC4E9A">
        <w:t>items 18350 to 18379 do not include the supply of the botulinum toxin to</w:t>
      </w:r>
      <w:r w:rsidR="00117BB0">
        <w:t xml:space="preserve"> which the service relates and that </w:t>
      </w:r>
      <w:r w:rsidR="00CC4E9A">
        <w:t xml:space="preserve">all items in Group T11, except items </w:t>
      </w:r>
      <w:r w:rsidR="00CC4E9A" w:rsidRPr="00117BB0">
        <w:rPr>
          <w:szCs w:val="24"/>
        </w:rPr>
        <w:t>18360, 18365, 18366, and 18368</w:t>
      </w:r>
      <w:r w:rsidR="004E0810" w:rsidRPr="00117BB0">
        <w:rPr>
          <w:szCs w:val="24"/>
        </w:rPr>
        <w:t xml:space="preserve">, do not apply if the </w:t>
      </w:r>
      <w:r w:rsidR="00CC4E9A" w:rsidRPr="00117BB0">
        <w:rPr>
          <w:szCs w:val="24"/>
        </w:rPr>
        <w:t>injection of botulinum toxin</w:t>
      </w:r>
      <w:r w:rsidR="00B95DF6" w:rsidRPr="00117BB0">
        <w:rPr>
          <w:szCs w:val="24"/>
        </w:rPr>
        <w:t xml:space="preserve"> is not supplied through </w:t>
      </w:r>
      <w:r w:rsidR="00117BB0">
        <w:rPr>
          <w:szCs w:val="24"/>
        </w:rPr>
        <w:t xml:space="preserve">the PBS. Subclause 2.42A.1(2), limits the </w:t>
      </w:r>
      <w:r w:rsidR="00117BB0">
        <w:rPr>
          <w:szCs w:val="24"/>
        </w:rPr>
        <w:lastRenderedPageBreak/>
        <w:t>provision of items 18360</w:t>
      </w:r>
      <w:r w:rsidR="00443375">
        <w:rPr>
          <w:szCs w:val="24"/>
        </w:rPr>
        <w:t xml:space="preserve">, 18365, 18366 and 18368 to </w:t>
      </w:r>
      <w:r w:rsidR="00117BB0">
        <w:rPr>
          <w:szCs w:val="24"/>
        </w:rPr>
        <w:t>specialists and consultant</w:t>
      </w:r>
      <w:r w:rsidR="00443375">
        <w:rPr>
          <w:szCs w:val="24"/>
        </w:rPr>
        <w:t xml:space="preserve"> performing the service in the practice of their speciality.</w:t>
      </w:r>
    </w:p>
    <w:p w:rsidR="00F533BB" w:rsidRDefault="00F533BB" w:rsidP="00270651">
      <w:pPr>
        <w:pStyle w:val="ListParagraph"/>
      </w:pPr>
    </w:p>
    <w:p w:rsidR="00384DEE" w:rsidRDefault="00384DEE" w:rsidP="003239D0">
      <w:pPr>
        <w:rPr>
          <w:szCs w:val="24"/>
          <w:u w:val="single"/>
        </w:rPr>
      </w:pPr>
    </w:p>
    <w:p w:rsidR="00704A1A" w:rsidRDefault="004E7F97" w:rsidP="00704A1A">
      <w:pPr>
        <w:pStyle w:val="BodyText"/>
        <w:rPr>
          <w:b w:val="0"/>
          <w:u w:val="single"/>
        </w:rPr>
      </w:pPr>
      <w:r>
        <w:rPr>
          <w:b w:val="0"/>
          <w:u w:val="single"/>
        </w:rPr>
        <w:t>Schedule 2 – Repeal</w:t>
      </w:r>
    </w:p>
    <w:p w:rsidR="00704A1A" w:rsidRPr="00650AFA" w:rsidRDefault="00704A1A" w:rsidP="00704A1A">
      <w:pPr>
        <w:pStyle w:val="BodyText"/>
        <w:rPr>
          <w:b w:val="0"/>
          <w:sz w:val="16"/>
          <w:szCs w:val="16"/>
          <w:u w:val="single"/>
        </w:rPr>
      </w:pPr>
    </w:p>
    <w:p w:rsidR="00445A6D" w:rsidRDefault="00704A1A" w:rsidP="00D52FDC">
      <w:pPr>
        <w:pStyle w:val="BodyText"/>
        <w:rPr>
          <w:b w:val="0"/>
        </w:rPr>
      </w:pPr>
      <w:r>
        <w:rPr>
          <w:b w:val="0"/>
        </w:rPr>
        <w:t>This section repeal</w:t>
      </w:r>
      <w:r w:rsidR="00B316E7">
        <w:rPr>
          <w:b w:val="0"/>
        </w:rPr>
        <w:t>s</w:t>
      </w:r>
      <w:r>
        <w:rPr>
          <w:b w:val="0"/>
        </w:rPr>
        <w:t xml:space="preserve"> the </w:t>
      </w:r>
      <w:r>
        <w:rPr>
          <w:b w:val="0"/>
          <w:i/>
        </w:rPr>
        <w:t>H</w:t>
      </w:r>
      <w:r w:rsidR="00384DEE">
        <w:rPr>
          <w:b w:val="0"/>
          <w:i/>
        </w:rPr>
        <w:t>eal</w:t>
      </w:r>
      <w:r w:rsidR="00CC4E9A">
        <w:rPr>
          <w:b w:val="0"/>
          <w:i/>
        </w:rPr>
        <w:t>th Insurance (General Medical</w:t>
      </w:r>
      <w:r w:rsidR="00C42CA1">
        <w:rPr>
          <w:b w:val="0"/>
          <w:i/>
        </w:rPr>
        <w:t xml:space="preserve"> Services Table) Regulation 2014</w:t>
      </w:r>
      <w:r>
        <w:rPr>
          <w:b w:val="0"/>
        </w:rPr>
        <w:t xml:space="preserve">. </w:t>
      </w:r>
    </w:p>
    <w:p w:rsidR="00117BB0" w:rsidRDefault="00117BB0">
      <w:pPr>
        <w:spacing w:after="200" w:line="276" w:lineRule="auto"/>
      </w:pPr>
      <w:r>
        <w:rPr>
          <w:b/>
        </w:rPr>
        <w:br w:type="page"/>
      </w:r>
    </w:p>
    <w:p w:rsidR="00117BB0" w:rsidRDefault="00117BB0" w:rsidP="00D52FDC">
      <w:pPr>
        <w:pStyle w:val="BodyText"/>
        <w:rPr>
          <w:b w:val="0"/>
        </w:rPr>
      </w:pPr>
    </w:p>
    <w:p w:rsidR="00445A6D" w:rsidRPr="00D664E6" w:rsidRDefault="00445A6D" w:rsidP="00445A6D">
      <w:pPr>
        <w:spacing w:before="360" w:after="120"/>
        <w:jc w:val="center"/>
        <w:rPr>
          <w:b/>
          <w:sz w:val="28"/>
          <w:szCs w:val="28"/>
        </w:rPr>
      </w:pPr>
      <w:r w:rsidRPr="00D664E6">
        <w:rPr>
          <w:b/>
          <w:sz w:val="28"/>
          <w:szCs w:val="28"/>
        </w:rPr>
        <w:t>Statement of Compatibility with Human Rights</w:t>
      </w:r>
    </w:p>
    <w:p w:rsidR="00445A6D" w:rsidRPr="00D664E6" w:rsidRDefault="00445A6D" w:rsidP="00445A6D">
      <w:pPr>
        <w:spacing w:before="120" w:after="120"/>
        <w:jc w:val="center"/>
        <w:rPr>
          <w:szCs w:val="24"/>
        </w:rPr>
      </w:pPr>
      <w:r w:rsidRPr="00D664E6">
        <w:rPr>
          <w:i/>
          <w:szCs w:val="24"/>
        </w:rPr>
        <w:t>Prepared in accordance with Part 3 of the Human Rights (Parliamentary Scrutiny) Act 2011</w:t>
      </w:r>
    </w:p>
    <w:p w:rsidR="00445A6D" w:rsidRPr="00D664E6" w:rsidRDefault="00445A6D" w:rsidP="00445A6D">
      <w:pPr>
        <w:spacing w:before="120" w:after="120"/>
        <w:jc w:val="center"/>
        <w:rPr>
          <w:szCs w:val="24"/>
        </w:rPr>
      </w:pPr>
    </w:p>
    <w:p w:rsidR="00445A6D" w:rsidRDefault="00445A6D" w:rsidP="00445A6D">
      <w:pPr>
        <w:spacing w:before="120" w:after="120"/>
        <w:jc w:val="center"/>
        <w:rPr>
          <w:b/>
          <w:i/>
          <w:szCs w:val="24"/>
        </w:rPr>
      </w:pPr>
      <w:r w:rsidRPr="00893F87">
        <w:rPr>
          <w:b/>
          <w:i/>
          <w:szCs w:val="24"/>
        </w:rPr>
        <w:t>H</w:t>
      </w:r>
      <w:r w:rsidR="00AD7A1A">
        <w:rPr>
          <w:b/>
          <w:i/>
          <w:szCs w:val="24"/>
        </w:rPr>
        <w:t xml:space="preserve">ealth Insurance (General Medical </w:t>
      </w:r>
      <w:r w:rsidRPr="00893F87">
        <w:rPr>
          <w:b/>
          <w:i/>
          <w:szCs w:val="24"/>
        </w:rPr>
        <w:t>S</w:t>
      </w:r>
      <w:r w:rsidR="00384DEE">
        <w:rPr>
          <w:b/>
          <w:i/>
          <w:szCs w:val="24"/>
        </w:rPr>
        <w:t>ervices Table) Regulation 2015</w:t>
      </w:r>
    </w:p>
    <w:p w:rsidR="00445A6D" w:rsidRPr="00D664E6" w:rsidRDefault="00445A6D" w:rsidP="00445A6D">
      <w:pPr>
        <w:spacing w:before="120" w:after="120"/>
        <w:jc w:val="center"/>
        <w:rPr>
          <w:szCs w:val="24"/>
        </w:rPr>
      </w:pPr>
    </w:p>
    <w:p w:rsidR="00445A6D" w:rsidRPr="00D664E6" w:rsidRDefault="00445A6D" w:rsidP="00445A6D">
      <w:pPr>
        <w:spacing w:before="120" w:after="120"/>
        <w:jc w:val="center"/>
        <w:rPr>
          <w:szCs w:val="24"/>
        </w:rPr>
      </w:pPr>
      <w:r>
        <w:rPr>
          <w:szCs w:val="24"/>
        </w:rPr>
        <w:t xml:space="preserve">This </w:t>
      </w:r>
      <w:r w:rsidRPr="00D664E6">
        <w:rPr>
          <w:szCs w:val="24"/>
        </w:rPr>
        <w:t xml:space="preserve">Legislative Instrument is compatible with the human rights and freedoms recognised or declared in the international instruments listed in section 3 of the </w:t>
      </w:r>
      <w:r w:rsidRPr="00D664E6">
        <w:rPr>
          <w:i/>
          <w:szCs w:val="24"/>
        </w:rPr>
        <w:t>Human Rights (Parliamentary Scrutiny) Act 2011</w:t>
      </w:r>
      <w:r w:rsidRPr="00D664E6">
        <w:rPr>
          <w:szCs w:val="24"/>
        </w:rPr>
        <w:t>.</w:t>
      </w:r>
    </w:p>
    <w:p w:rsidR="00445A6D" w:rsidRPr="00D664E6" w:rsidRDefault="00445A6D" w:rsidP="00445A6D">
      <w:pPr>
        <w:spacing w:before="120" w:after="120"/>
        <w:jc w:val="center"/>
        <w:rPr>
          <w:szCs w:val="24"/>
        </w:rPr>
      </w:pPr>
    </w:p>
    <w:p w:rsidR="00445A6D" w:rsidRPr="00673453" w:rsidRDefault="00445A6D" w:rsidP="00445A6D">
      <w:pPr>
        <w:spacing w:before="120" w:after="120"/>
        <w:jc w:val="both"/>
        <w:rPr>
          <w:b/>
          <w:szCs w:val="24"/>
        </w:rPr>
      </w:pPr>
      <w:r>
        <w:rPr>
          <w:b/>
          <w:szCs w:val="24"/>
        </w:rPr>
        <w:t xml:space="preserve">Overview of the </w:t>
      </w:r>
      <w:r w:rsidRPr="00D664E6">
        <w:rPr>
          <w:b/>
          <w:szCs w:val="24"/>
        </w:rPr>
        <w:t>Legislative In</w:t>
      </w:r>
      <w:r>
        <w:rPr>
          <w:b/>
          <w:szCs w:val="24"/>
        </w:rPr>
        <w:t>strument</w:t>
      </w:r>
    </w:p>
    <w:p w:rsidR="00445A6D" w:rsidRPr="00893F87" w:rsidRDefault="00445A6D" w:rsidP="00445A6D">
      <w:pPr>
        <w:spacing w:before="120" w:after="120"/>
      </w:pPr>
      <w:r w:rsidRPr="00893F87">
        <w:rPr>
          <w:szCs w:val="24"/>
        </w:rPr>
        <w:t xml:space="preserve">The </w:t>
      </w:r>
      <w:r w:rsidRPr="00893F87">
        <w:rPr>
          <w:i/>
          <w:szCs w:val="24"/>
        </w:rPr>
        <w:t>Health In</w:t>
      </w:r>
      <w:r w:rsidR="00AD7A1A">
        <w:rPr>
          <w:i/>
          <w:szCs w:val="24"/>
        </w:rPr>
        <w:t>surance (General Medical</w:t>
      </w:r>
      <w:r w:rsidR="007D75A4">
        <w:rPr>
          <w:i/>
          <w:szCs w:val="24"/>
        </w:rPr>
        <w:t xml:space="preserve"> Services Table) Regulation 2015</w:t>
      </w:r>
      <w:r w:rsidRPr="00893F87">
        <w:rPr>
          <w:b/>
          <w:i/>
          <w:szCs w:val="24"/>
        </w:rPr>
        <w:t xml:space="preserve"> </w:t>
      </w:r>
      <w:r w:rsidRPr="00893F87">
        <w:rPr>
          <w:szCs w:val="24"/>
        </w:rPr>
        <w:t>repeals</w:t>
      </w:r>
      <w:r w:rsidRPr="00893F87">
        <w:rPr>
          <w:b/>
          <w:szCs w:val="24"/>
        </w:rPr>
        <w:t xml:space="preserve"> </w:t>
      </w:r>
      <w:r w:rsidRPr="00893F87">
        <w:rPr>
          <w:szCs w:val="24"/>
        </w:rPr>
        <w:t xml:space="preserve">the </w:t>
      </w:r>
      <w:r w:rsidRPr="00893F87">
        <w:rPr>
          <w:i/>
          <w:szCs w:val="24"/>
        </w:rPr>
        <w:t>H</w:t>
      </w:r>
      <w:r w:rsidR="00384DEE">
        <w:rPr>
          <w:i/>
          <w:szCs w:val="24"/>
        </w:rPr>
        <w:t xml:space="preserve">ealth </w:t>
      </w:r>
      <w:r w:rsidR="00AD7A1A">
        <w:rPr>
          <w:i/>
          <w:szCs w:val="24"/>
        </w:rPr>
        <w:t>Insurance (General Medical</w:t>
      </w:r>
      <w:r w:rsidR="007D75A4">
        <w:rPr>
          <w:i/>
          <w:szCs w:val="24"/>
        </w:rPr>
        <w:t xml:space="preserve"> Services Table) Regulation 2014</w:t>
      </w:r>
      <w:r w:rsidRPr="00893F87">
        <w:rPr>
          <w:szCs w:val="24"/>
        </w:rPr>
        <w:t xml:space="preserve"> </w:t>
      </w:r>
      <w:r w:rsidR="00AD7A1A">
        <w:rPr>
          <w:szCs w:val="24"/>
        </w:rPr>
        <w:t xml:space="preserve">(GMST) </w:t>
      </w:r>
      <w:r w:rsidR="002E7E36">
        <w:rPr>
          <w:szCs w:val="24"/>
        </w:rPr>
        <w:t>to ensure that</w:t>
      </w:r>
      <w:r w:rsidR="00D437D4">
        <w:rPr>
          <w:szCs w:val="24"/>
        </w:rPr>
        <w:t xml:space="preserve"> Medicare benefits continue to be payable for services listed in the GMST.</w:t>
      </w:r>
    </w:p>
    <w:p w:rsidR="00445A6D" w:rsidRDefault="00445A6D" w:rsidP="00445A6D">
      <w:r w:rsidRPr="00893F87">
        <w:t>In accordance with s</w:t>
      </w:r>
      <w:r>
        <w:t>ection</w:t>
      </w:r>
      <w:r w:rsidRPr="00893F87">
        <w:t xml:space="preserve"> 4</w:t>
      </w:r>
      <w:r>
        <w:t>(1)</w:t>
      </w:r>
      <w:r w:rsidR="00625964">
        <w:t xml:space="preserve"> of the Act</w:t>
      </w:r>
      <w:r>
        <w:t>, the regulation</w:t>
      </w:r>
      <w:r w:rsidRPr="00893F87">
        <w:t xml:space="preserve"> prescribe</w:t>
      </w:r>
      <w:r w:rsidR="00AD7A1A">
        <w:t xml:space="preserve">s a table of general medical </w:t>
      </w:r>
      <w:r w:rsidRPr="00893F87">
        <w:t xml:space="preserve">services containing: items of services, the amounts of fees applicable for each item, and rules for interpretation. </w:t>
      </w:r>
      <w:r w:rsidR="00EA0C6F">
        <w:t>The a</w:t>
      </w:r>
      <w:r w:rsidRPr="00893F87">
        <w:t>mendm</w:t>
      </w:r>
      <w:r>
        <w:t>ents to the regulation</w:t>
      </w:r>
      <w:r w:rsidR="002E7E36">
        <w:t xml:space="preserve"> involve the</w:t>
      </w:r>
      <w:r w:rsidRPr="00893F87">
        <w:t>:</w:t>
      </w:r>
    </w:p>
    <w:p w:rsidR="00445A6D" w:rsidRDefault="00445A6D" w:rsidP="00445A6D"/>
    <w:p w:rsidR="00AD7A1A" w:rsidRDefault="003C2FA2" w:rsidP="00AD7A1A">
      <w:pPr>
        <w:pStyle w:val="ListParagraph"/>
        <w:numPr>
          <w:ilvl w:val="0"/>
          <w:numId w:val="23"/>
        </w:numPr>
        <w:rPr>
          <w:szCs w:val="24"/>
        </w:rPr>
      </w:pPr>
      <w:r>
        <w:rPr>
          <w:szCs w:val="24"/>
        </w:rPr>
        <w:t>Removal</w:t>
      </w:r>
      <w:r w:rsidR="002E7E36">
        <w:rPr>
          <w:szCs w:val="24"/>
        </w:rPr>
        <w:t xml:space="preserve"> of</w:t>
      </w:r>
      <w:r w:rsidR="00AD7A1A">
        <w:rPr>
          <w:szCs w:val="24"/>
        </w:rPr>
        <w:t xml:space="preserve"> reference to items 18356 and 18358 from the item descriptor for item 18292. </w:t>
      </w:r>
      <w:r w:rsidR="002E7E36">
        <w:rPr>
          <w:szCs w:val="24"/>
        </w:rPr>
        <w:t>R</w:t>
      </w:r>
      <w:r w:rsidR="00AD7A1A">
        <w:rPr>
          <w:szCs w:val="24"/>
        </w:rPr>
        <w:t xml:space="preserve">eference to items 18356 and 18358 serves no purpose as these items were deleted from the GMST on 1 November 2014, </w:t>
      </w:r>
    </w:p>
    <w:p w:rsidR="00AD7A1A" w:rsidRDefault="00AD7A1A" w:rsidP="00AD7A1A">
      <w:pPr>
        <w:pStyle w:val="ListParagraph"/>
        <w:rPr>
          <w:szCs w:val="24"/>
        </w:rPr>
      </w:pPr>
    </w:p>
    <w:p w:rsidR="00AD7A1A" w:rsidRPr="001C09B3" w:rsidRDefault="003C2FA2" w:rsidP="001C09B3">
      <w:pPr>
        <w:pStyle w:val="ListParagraph"/>
        <w:rPr>
          <w:szCs w:val="24"/>
        </w:rPr>
      </w:pPr>
      <w:r>
        <w:rPr>
          <w:szCs w:val="24"/>
        </w:rPr>
        <w:t>Transfer</w:t>
      </w:r>
      <w:r w:rsidR="00CF3997">
        <w:rPr>
          <w:szCs w:val="24"/>
        </w:rPr>
        <w:t xml:space="preserve"> of</w:t>
      </w:r>
      <w:r w:rsidR="00156367">
        <w:rPr>
          <w:szCs w:val="24"/>
        </w:rPr>
        <w:t xml:space="preserve"> four </w:t>
      </w:r>
      <w:r w:rsidR="00AD7A1A" w:rsidRPr="00CF3997">
        <w:rPr>
          <w:szCs w:val="24"/>
        </w:rPr>
        <w:t>items (18353, 18365, 18369, and 18374) and</w:t>
      </w:r>
      <w:r w:rsidR="00CF3997">
        <w:rPr>
          <w:szCs w:val="24"/>
        </w:rPr>
        <w:t xml:space="preserve"> the restrictions applied to the</w:t>
      </w:r>
      <w:r w:rsidR="00AD7A1A" w:rsidRPr="00CF3997">
        <w:rPr>
          <w:szCs w:val="24"/>
        </w:rPr>
        <w:t xml:space="preserve">se items from the </w:t>
      </w:r>
      <w:r w:rsidR="00AD7A1A" w:rsidRPr="00CF3997">
        <w:rPr>
          <w:i/>
          <w:szCs w:val="24"/>
        </w:rPr>
        <w:t xml:space="preserve">Health Insurance (IncobotulinumtoxinA) Determination 2015 </w:t>
      </w:r>
      <w:r w:rsidR="00AD7A1A" w:rsidRPr="00CF3997">
        <w:rPr>
          <w:szCs w:val="24"/>
        </w:rPr>
        <w:t>(the Determination) into the GMST. These items were listed in the Determination as an interim measure to accommodate for the Government’s decision to allow the services described in items 18352, 18364, 18371, and 18373 to also cover the provision of Xeomin, which was listed on the Pharmaceutical Benefits Scheme (PBS) on 1 April 2015. As the Determination will cease on 30</w:t>
      </w:r>
      <w:r w:rsidR="001C09B3">
        <w:rPr>
          <w:szCs w:val="24"/>
        </w:rPr>
        <w:t xml:space="preserve"> June 2015, the </w:t>
      </w:r>
      <w:r w:rsidR="00AD7A1A" w:rsidRPr="00CF3997">
        <w:rPr>
          <w:szCs w:val="24"/>
        </w:rPr>
        <w:t>items</w:t>
      </w:r>
      <w:r w:rsidR="001C09B3">
        <w:rPr>
          <w:szCs w:val="24"/>
        </w:rPr>
        <w:t xml:space="preserve"> in the Determination will </w:t>
      </w:r>
      <w:r w:rsidR="00AD7A1A" w:rsidRPr="00CF3997">
        <w:rPr>
          <w:szCs w:val="24"/>
        </w:rPr>
        <w:t>be transferred to the GMST</w:t>
      </w:r>
      <w:r w:rsidR="001C09B3">
        <w:rPr>
          <w:szCs w:val="24"/>
        </w:rPr>
        <w:t>. T</w:t>
      </w:r>
      <w:r w:rsidR="00AD7A1A" w:rsidRPr="00CF3997">
        <w:rPr>
          <w:szCs w:val="24"/>
        </w:rPr>
        <w:t>he items which the new items effectively replace (18352, 18364, 1837</w:t>
      </w:r>
      <w:r w:rsidR="001C09B3">
        <w:rPr>
          <w:szCs w:val="24"/>
        </w:rPr>
        <w:t>1, and 18373) are be deleted from the GMST. The only difference between the four new items and the four existing items being replaced is that Xeomin is being added as another type of botulinum toxin that can be administered as part of the service.</w:t>
      </w:r>
    </w:p>
    <w:p w:rsidR="00AD7A1A" w:rsidRPr="00FB2D24" w:rsidRDefault="00AD7A1A" w:rsidP="00AD7A1A">
      <w:pPr>
        <w:rPr>
          <w:szCs w:val="24"/>
        </w:rPr>
      </w:pPr>
    </w:p>
    <w:p w:rsidR="00AD7A1A" w:rsidRDefault="003C2FA2" w:rsidP="00AD7A1A">
      <w:pPr>
        <w:pStyle w:val="ListParagraph"/>
        <w:numPr>
          <w:ilvl w:val="0"/>
          <w:numId w:val="23"/>
        </w:numPr>
        <w:rPr>
          <w:szCs w:val="24"/>
        </w:rPr>
      </w:pPr>
      <w:r>
        <w:rPr>
          <w:szCs w:val="24"/>
        </w:rPr>
        <w:t>Amend</w:t>
      </w:r>
      <w:r w:rsidR="0068031F">
        <w:rPr>
          <w:szCs w:val="24"/>
        </w:rPr>
        <w:t>ment to</w:t>
      </w:r>
      <w:r w:rsidR="00AD7A1A">
        <w:rPr>
          <w:szCs w:val="24"/>
        </w:rPr>
        <w:t xml:space="preserve"> clause 2.42A.1, which relates to the injection of botulinum toxin to: </w:t>
      </w:r>
    </w:p>
    <w:p w:rsidR="00AD7A1A" w:rsidRDefault="00AD7A1A" w:rsidP="00AD7A1A">
      <w:pPr>
        <w:pStyle w:val="ListParagraph"/>
        <w:rPr>
          <w:szCs w:val="24"/>
        </w:rPr>
      </w:pPr>
    </w:p>
    <w:p w:rsidR="00091C58" w:rsidRDefault="00B638DE" w:rsidP="00091C58">
      <w:pPr>
        <w:pStyle w:val="ListParagraph"/>
        <w:numPr>
          <w:ilvl w:val="0"/>
          <w:numId w:val="25"/>
        </w:numPr>
        <w:rPr>
          <w:szCs w:val="24"/>
        </w:rPr>
      </w:pPr>
      <w:r>
        <w:rPr>
          <w:szCs w:val="24"/>
        </w:rPr>
        <w:t>f</w:t>
      </w:r>
      <w:r w:rsidR="00091C58">
        <w:rPr>
          <w:szCs w:val="24"/>
        </w:rPr>
        <w:t xml:space="preserve">irstly, clarify at subclause 2.42A.1(1) that the services described in items 18350 to 18379 do not include the supply of the botulinum toxin. This ensures that the Medicare benefit is payable for the medical service of administering the toxin, not the cost of the drug, and </w:t>
      </w:r>
    </w:p>
    <w:p w:rsidR="00091C58" w:rsidRDefault="00091C58" w:rsidP="00091C58">
      <w:pPr>
        <w:pStyle w:val="ListParagraph"/>
        <w:ind w:left="1440"/>
        <w:rPr>
          <w:szCs w:val="24"/>
        </w:rPr>
      </w:pPr>
    </w:p>
    <w:p w:rsidR="00131A41" w:rsidRPr="00270651" w:rsidRDefault="00B638DE" w:rsidP="00131A41">
      <w:pPr>
        <w:pStyle w:val="ListParagraph"/>
        <w:numPr>
          <w:ilvl w:val="0"/>
          <w:numId w:val="25"/>
        </w:numPr>
        <w:rPr>
          <w:szCs w:val="24"/>
        </w:rPr>
      </w:pPr>
      <w:r>
        <w:rPr>
          <w:szCs w:val="24"/>
        </w:rPr>
        <w:t>s</w:t>
      </w:r>
      <w:r w:rsidR="00131A41">
        <w:rPr>
          <w:szCs w:val="24"/>
        </w:rPr>
        <w:t xml:space="preserve">econdly, clarify at subclause 2.42A.1(2) that all </w:t>
      </w:r>
      <w:r w:rsidR="00131A41" w:rsidRPr="00976969">
        <w:rPr>
          <w:szCs w:val="24"/>
        </w:rPr>
        <w:t>botox items</w:t>
      </w:r>
      <w:r w:rsidR="00131A41">
        <w:rPr>
          <w:szCs w:val="24"/>
        </w:rPr>
        <w:t xml:space="preserve"> in Group T11, except for four items (18360, </w:t>
      </w:r>
      <w:r w:rsidR="00131A41" w:rsidRPr="00FC7675">
        <w:rPr>
          <w:szCs w:val="24"/>
        </w:rPr>
        <w:t xml:space="preserve">18365, 18366, </w:t>
      </w:r>
      <w:r w:rsidR="00131A41">
        <w:rPr>
          <w:szCs w:val="24"/>
        </w:rPr>
        <w:t xml:space="preserve">and </w:t>
      </w:r>
      <w:r w:rsidR="00131A41" w:rsidRPr="00FC7675">
        <w:rPr>
          <w:szCs w:val="24"/>
        </w:rPr>
        <w:t>18368</w:t>
      </w:r>
      <w:r w:rsidR="00131A41">
        <w:rPr>
          <w:szCs w:val="24"/>
        </w:rPr>
        <w:t>), cannot be claimed unless</w:t>
      </w:r>
      <w:r w:rsidR="00131A41" w:rsidRPr="00976969">
        <w:rPr>
          <w:szCs w:val="24"/>
        </w:rPr>
        <w:t xml:space="preserve"> the botulinum toxin </w:t>
      </w:r>
      <w:r w:rsidR="00131A41">
        <w:rPr>
          <w:szCs w:val="24"/>
        </w:rPr>
        <w:t xml:space="preserve">that is injected </w:t>
      </w:r>
      <w:r w:rsidR="00131A41" w:rsidRPr="00976969">
        <w:rPr>
          <w:szCs w:val="24"/>
        </w:rPr>
        <w:t xml:space="preserve">is supplied through the PBS as set </w:t>
      </w:r>
      <w:r w:rsidR="00131A41" w:rsidRPr="00976969">
        <w:rPr>
          <w:szCs w:val="24"/>
        </w:rPr>
        <w:lastRenderedPageBreak/>
        <w:t xml:space="preserve">out under the </w:t>
      </w:r>
      <w:r w:rsidR="00131A41" w:rsidRPr="00976969">
        <w:rPr>
          <w:i/>
          <w:szCs w:val="24"/>
        </w:rPr>
        <w:t>National Health Act 1953</w:t>
      </w:r>
      <w:r w:rsidR="00131A41">
        <w:rPr>
          <w:szCs w:val="24"/>
        </w:rPr>
        <w:t xml:space="preserve">. The current PBS arrangements have practitioner restrictions to ensure that only qualified specialists and consultant physicians can supply botulinum toxin to patients. </w:t>
      </w:r>
      <w:r w:rsidR="009A36D6">
        <w:rPr>
          <w:szCs w:val="24"/>
        </w:rPr>
        <w:t>There are no equivalent PBS arrangements for items 18360, 18365, 18366 and 18368 so the practitioner restrictions have been explicitly stated in subclause 2.42A.1(2) so that only a specialist or consultant physician can provide items 18360, 18365, 18366 and 18368 if the service is provided in the practice of his or her speciality.</w:t>
      </w:r>
    </w:p>
    <w:p w:rsidR="00C77CE4" w:rsidRPr="00B638DE" w:rsidRDefault="00C77CE4" w:rsidP="00B638DE">
      <w:pPr>
        <w:rPr>
          <w:szCs w:val="24"/>
        </w:rPr>
      </w:pPr>
    </w:p>
    <w:p w:rsidR="00E311F5" w:rsidRDefault="00E311F5" w:rsidP="00E311F5">
      <w:pPr>
        <w:spacing w:before="120" w:after="120"/>
        <w:rPr>
          <w:b/>
          <w:szCs w:val="24"/>
        </w:rPr>
      </w:pPr>
      <w:r w:rsidRPr="00D664E6">
        <w:rPr>
          <w:b/>
          <w:szCs w:val="24"/>
        </w:rPr>
        <w:t>Human rights implications</w:t>
      </w:r>
    </w:p>
    <w:p w:rsidR="00E311F5" w:rsidRPr="00E872E4" w:rsidRDefault="00E311F5" w:rsidP="00E311F5">
      <w:pPr>
        <w:spacing w:before="120" w:after="120"/>
        <w:rPr>
          <w:szCs w:val="24"/>
        </w:rPr>
      </w:pPr>
      <w:r w:rsidRPr="00893F87">
        <w:rPr>
          <w:szCs w:val="24"/>
        </w:rPr>
        <w:t xml:space="preserve">The regulations engage Articles 2, 9 and 12 of the International Covenant on Economic Social and Cultural Rights (ICESCR), specifically the rights </w:t>
      </w:r>
      <w:r>
        <w:rPr>
          <w:szCs w:val="24"/>
        </w:rPr>
        <w:t xml:space="preserve">to health and social security. </w:t>
      </w:r>
    </w:p>
    <w:p w:rsidR="00E311F5" w:rsidRPr="00893F87" w:rsidRDefault="00E311F5" w:rsidP="00E311F5">
      <w:pPr>
        <w:spacing w:before="120" w:after="120"/>
        <w:rPr>
          <w:i/>
          <w:szCs w:val="24"/>
        </w:rPr>
      </w:pPr>
      <w:r w:rsidRPr="00893F87">
        <w:rPr>
          <w:i/>
          <w:szCs w:val="24"/>
        </w:rPr>
        <w:t>The Right to Health</w:t>
      </w:r>
    </w:p>
    <w:p w:rsidR="00E311F5" w:rsidRPr="00893F87" w:rsidRDefault="00E311F5" w:rsidP="00E311F5">
      <w:pPr>
        <w:spacing w:before="120" w:after="120"/>
        <w:rPr>
          <w:szCs w:val="24"/>
        </w:rPr>
      </w:pPr>
      <w:r w:rsidRPr="00893F87">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rsidR="00E41A21" w:rsidRPr="00893F87" w:rsidRDefault="00E311F5" w:rsidP="00E311F5">
      <w:pPr>
        <w:spacing w:before="120" w:after="120"/>
        <w:rPr>
          <w:szCs w:val="24"/>
        </w:rPr>
      </w:pPr>
      <w:r w:rsidRPr="00893F87">
        <w:rPr>
          <w:szCs w:val="24"/>
        </w:rPr>
        <w:t xml:space="preserve">The Committee reports that the </w:t>
      </w:r>
      <w:r w:rsidRPr="00893F87">
        <w:rPr>
          <w:i/>
          <w:szCs w:val="24"/>
        </w:rPr>
        <w:t>‘highest attainable standard of health’</w:t>
      </w:r>
      <w:r w:rsidRPr="00893F87">
        <w:rPr>
          <w:szCs w:val="24"/>
        </w:rPr>
        <w:t xml:space="preserve"> takes into account the country’s available resources. This right may be understood as a right of access to a variety of public health and health care facilities, goods, services, programs and con</w:t>
      </w:r>
      <w:r>
        <w:rPr>
          <w:szCs w:val="24"/>
        </w:rPr>
        <w:t>ditions necessary for the realis</w:t>
      </w:r>
      <w:r w:rsidRPr="00893F87">
        <w:rPr>
          <w:szCs w:val="24"/>
        </w:rPr>
        <w:t xml:space="preserve">ation of the highest attainable standard of health. </w:t>
      </w:r>
    </w:p>
    <w:p w:rsidR="00E311F5" w:rsidRPr="00893F87" w:rsidRDefault="00E311F5" w:rsidP="00E311F5">
      <w:pPr>
        <w:spacing w:before="120" w:after="120"/>
        <w:rPr>
          <w:i/>
          <w:szCs w:val="24"/>
        </w:rPr>
      </w:pPr>
      <w:r w:rsidRPr="00893F87">
        <w:rPr>
          <w:i/>
          <w:szCs w:val="24"/>
        </w:rPr>
        <w:t xml:space="preserve">The Right to Social Security </w:t>
      </w:r>
    </w:p>
    <w:p w:rsidR="00E311F5" w:rsidRPr="00893F87" w:rsidRDefault="00E311F5" w:rsidP="00E311F5">
      <w:pPr>
        <w:spacing w:before="120" w:after="120"/>
        <w:rPr>
          <w:szCs w:val="24"/>
        </w:rPr>
      </w:pPr>
      <w:r w:rsidRPr="00893F87">
        <w:rPr>
          <w:szCs w:val="24"/>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 </w:t>
      </w:r>
    </w:p>
    <w:p w:rsidR="00E311F5" w:rsidRDefault="00E311F5" w:rsidP="00E311F5">
      <w:pPr>
        <w:spacing w:before="120" w:after="120"/>
        <w:rPr>
          <w:szCs w:val="24"/>
        </w:rPr>
      </w:pPr>
      <w:r w:rsidRPr="00893F87">
        <w:rPr>
          <w:szCs w:val="24"/>
        </w:rPr>
        <w:t xml:space="preserve">The Committee reports that there is a strong presumption that retrogressive measures taken in relation to the right to social security are prohibited under ICESCR. In this context, a retrogressive measure </w:t>
      </w:r>
      <w:r w:rsidR="00B316E7">
        <w:rPr>
          <w:szCs w:val="24"/>
        </w:rPr>
        <w:t>is</w:t>
      </w:r>
      <w:r w:rsidRPr="00893F87">
        <w:rPr>
          <w:szCs w:val="24"/>
        </w:rPr>
        <w:t xml:space="preserv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w:t>
      </w:r>
      <w:r>
        <w:rPr>
          <w:szCs w:val="24"/>
        </w:rPr>
        <w:t>sadvantaged members of society.</w:t>
      </w:r>
    </w:p>
    <w:p w:rsidR="00B909B6" w:rsidRDefault="00B909B6" w:rsidP="00E311F5">
      <w:pPr>
        <w:spacing w:before="120" w:after="120"/>
        <w:rPr>
          <w:szCs w:val="24"/>
          <w:u w:val="single"/>
        </w:rPr>
      </w:pPr>
    </w:p>
    <w:p w:rsidR="00E311F5" w:rsidRPr="00893F87" w:rsidRDefault="00E311F5" w:rsidP="00E311F5">
      <w:pPr>
        <w:spacing w:before="120" w:after="120"/>
        <w:rPr>
          <w:szCs w:val="24"/>
          <w:u w:val="single"/>
        </w:rPr>
      </w:pPr>
      <w:r w:rsidRPr="00893F87">
        <w:rPr>
          <w:szCs w:val="24"/>
          <w:u w:val="single"/>
        </w:rPr>
        <w:t xml:space="preserve">Analysis </w:t>
      </w:r>
    </w:p>
    <w:p w:rsidR="00AD7A1A" w:rsidRDefault="00E311F5" w:rsidP="00B2270A">
      <w:pPr>
        <w:rPr>
          <w:szCs w:val="24"/>
        </w:rPr>
      </w:pPr>
      <w:r>
        <w:rPr>
          <w:szCs w:val="24"/>
        </w:rPr>
        <w:t>T</w:t>
      </w:r>
      <w:r w:rsidRPr="00893F87">
        <w:rPr>
          <w:szCs w:val="24"/>
        </w:rPr>
        <w:t>he amendm</w:t>
      </w:r>
      <w:r>
        <w:rPr>
          <w:szCs w:val="24"/>
        </w:rPr>
        <w:t xml:space="preserve">ents to the regulation </w:t>
      </w:r>
      <w:r w:rsidR="00983395">
        <w:rPr>
          <w:szCs w:val="24"/>
        </w:rPr>
        <w:t>maintain current</w:t>
      </w:r>
      <w:r w:rsidRPr="00893F87">
        <w:rPr>
          <w:szCs w:val="24"/>
        </w:rPr>
        <w:t xml:space="preserve"> rights to health and social security</w:t>
      </w:r>
      <w:r w:rsidR="00983395">
        <w:rPr>
          <w:szCs w:val="24"/>
        </w:rPr>
        <w:t xml:space="preserve"> </w:t>
      </w:r>
      <w:r w:rsidRPr="00893F87">
        <w:rPr>
          <w:szCs w:val="24"/>
        </w:rPr>
        <w:t xml:space="preserve">by </w:t>
      </w:r>
      <w:r w:rsidR="00983395">
        <w:rPr>
          <w:szCs w:val="24"/>
        </w:rPr>
        <w:t>maintaining</w:t>
      </w:r>
      <w:r w:rsidRPr="00893F87">
        <w:rPr>
          <w:szCs w:val="24"/>
        </w:rPr>
        <w:t xml:space="preserve"> access to pub</w:t>
      </w:r>
      <w:r w:rsidR="00F2252B">
        <w:rPr>
          <w:szCs w:val="24"/>
        </w:rPr>
        <w:t>licly subsidised health services</w:t>
      </w:r>
      <w:r w:rsidR="006941DA">
        <w:rPr>
          <w:szCs w:val="24"/>
        </w:rPr>
        <w:t xml:space="preserve">. </w:t>
      </w:r>
      <w:r w:rsidR="00AD7A1A">
        <w:rPr>
          <w:szCs w:val="24"/>
        </w:rPr>
        <w:t>The amendment to the item descriptor for item 18292 ensures th</w:t>
      </w:r>
      <w:r w:rsidR="00B909B6">
        <w:rPr>
          <w:szCs w:val="24"/>
        </w:rPr>
        <w:t xml:space="preserve">at it no longer makes </w:t>
      </w:r>
      <w:r w:rsidR="00AD7A1A">
        <w:rPr>
          <w:szCs w:val="24"/>
        </w:rPr>
        <w:t xml:space="preserve">reference to two redundant items. </w:t>
      </w:r>
    </w:p>
    <w:p w:rsidR="00AD7A1A" w:rsidRDefault="00AD7A1A" w:rsidP="00B2270A">
      <w:pPr>
        <w:rPr>
          <w:szCs w:val="24"/>
        </w:rPr>
      </w:pPr>
    </w:p>
    <w:p w:rsidR="00AD7A1A" w:rsidRDefault="00723CFA" w:rsidP="00723CFA">
      <w:pPr>
        <w:rPr>
          <w:szCs w:val="24"/>
        </w:rPr>
      </w:pPr>
      <w:r>
        <w:rPr>
          <w:szCs w:val="24"/>
        </w:rPr>
        <w:t xml:space="preserve">The Determination </w:t>
      </w:r>
      <w:r w:rsidR="00AD7A1A" w:rsidRPr="00AD7A1A">
        <w:rPr>
          <w:szCs w:val="24"/>
        </w:rPr>
        <w:t>introduce</w:t>
      </w:r>
      <w:r>
        <w:rPr>
          <w:szCs w:val="24"/>
        </w:rPr>
        <w:t>d</w:t>
      </w:r>
      <w:r w:rsidR="00AD7A1A" w:rsidRPr="00AD7A1A">
        <w:rPr>
          <w:szCs w:val="24"/>
        </w:rPr>
        <w:t xml:space="preserve"> four new items to the Medicare Benefits Schedule (MBS) to enable Medicare benefits to be paid for the injection of IncobotulinumtoxinA (Xeomin), for the treatment of cervical dystonia (a painful condition in which neck muscles contract </w:t>
      </w:r>
      <w:r w:rsidR="00AD7A1A" w:rsidRPr="00AD7A1A">
        <w:rPr>
          <w:szCs w:val="24"/>
        </w:rPr>
        <w:lastRenderedPageBreak/>
        <w:t>involuntarily), blepharospasm (involuntary twitching, blinking, closure or squeezing of the eyelids) in adults</w:t>
      </w:r>
      <w:r>
        <w:rPr>
          <w:szCs w:val="24"/>
        </w:rPr>
        <w:t>,</w:t>
      </w:r>
      <w:r w:rsidR="00AD7A1A" w:rsidRPr="00AD7A1A">
        <w:rPr>
          <w:szCs w:val="24"/>
        </w:rPr>
        <w:t xml:space="preserve"> and post-stroke spasticity of the upper limb in adults.</w:t>
      </w:r>
      <w:r>
        <w:rPr>
          <w:szCs w:val="24"/>
        </w:rPr>
        <w:t xml:space="preserve"> The new items were </w:t>
      </w:r>
      <w:r w:rsidR="00AD7A1A" w:rsidRPr="00AD7A1A">
        <w:rPr>
          <w:szCs w:val="24"/>
        </w:rPr>
        <w:t>introduced in accordance with the recommendations of the Pharmaceutical Benefits Advisory Committee (PBAC) and the Medical Services Advisory Committee (MSAC) Executive.</w:t>
      </w:r>
      <w:r w:rsidR="00632A5B">
        <w:rPr>
          <w:szCs w:val="24"/>
        </w:rPr>
        <w:t xml:space="preserve"> As the Determination will cease on 30 June 2015</w:t>
      </w:r>
      <w:r w:rsidR="009F74C2">
        <w:rPr>
          <w:szCs w:val="24"/>
        </w:rPr>
        <w:t>,</w:t>
      </w:r>
      <w:r w:rsidR="00632A5B">
        <w:rPr>
          <w:szCs w:val="24"/>
        </w:rPr>
        <w:t xml:space="preserve"> the substance of this Determination </w:t>
      </w:r>
      <w:r w:rsidR="00B638DE">
        <w:rPr>
          <w:szCs w:val="24"/>
        </w:rPr>
        <w:t xml:space="preserve">will </w:t>
      </w:r>
      <w:r w:rsidR="00632A5B">
        <w:rPr>
          <w:szCs w:val="24"/>
        </w:rPr>
        <w:t>be tr</w:t>
      </w:r>
      <w:r w:rsidR="009F74C2">
        <w:rPr>
          <w:szCs w:val="24"/>
        </w:rPr>
        <w:t>ansferred to the GMST for Medicare benefits to continue to be paid for these services</w:t>
      </w:r>
      <w:r w:rsidR="00B909B6">
        <w:rPr>
          <w:szCs w:val="24"/>
        </w:rPr>
        <w:t xml:space="preserve"> for the benefit of patients</w:t>
      </w:r>
      <w:r w:rsidR="009F74C2">
        <w:rPr>
          <w:szCs w:val="24"/>
        </w:rPr>
        <w:t xml:space="preserve">. </w:t>
      </w:r>
    </w:p>
    <w:p w:rsidR="001A615F" w:rsidRDefault="001A615F" w:rsidP="00723CFA">
      <w:pPr>
        <w:rPr>
          <w:szCs w:val="24"/>
        </w:rPr>
      </w:pPr>
    </w:p>
    <w:p w:rsidR="00C77CE4" w:rsidRPr="00B638DE" w:rsidRDefault="00373ED6" w:rsidP="00B638DE">
      <w:pPr>
        <w:rPr>
          <w:szCs w:val="24"/>
        </w:rPr>
      </w:pPr>
      <w:r>
        <w:rPr>
          <w:szCs w:val="24"/>
        </w:rPr>
        <w:t>The am</w:t>
      </w:r>
      <w:r w:rsidR="00B909B6">
        <w:rPr>
          <w:szCs w:val="24"/>
        </w:rPr>
        <w:t xml:space="preserve">endments to clause 2.42A.1 </w:t>
      </w:r>
      <w:r>
        <w:rPr>
          <w:szCs w:val="24"/>
        </w:rPr>
        <w:t>clarify current arrangements; that services d</w:t>
      </w:r>
      <w:r w:rsidR="00203DE7">
        <w:rPr>
          <w:szCs w:val="24"/>
        </w:rPr>
        <w:t>escribed in Group T11</w:t>
      </w:r>
      <w:r>
        <w:rPr>
          <w:szCs w:val="24"/>
        </w:rPr>
        <w:t xml:space="preserve"> are not to include the supply of the botulinum toxin, and </w:t>
      </w:r>
      <w:r w:rsidR="00203DE7">
        <w:rPr>
          <w:szCs w:val="24"/>
        </w:rPr>
        <w:t>that most</w:t>
      </w:r>
      <w:r>
        <w:rPr>
          <w:szCs w:val="24"/>
        </w:rPr>
        <w:t xml:space="preserve"> items in Group T11</w:t>
      </w:r>
      <w:r w:rsidR="00203DE7">
        <w:rPr>
          <w:szCs w:val="24"/>
        </w:rPr>
        <w:t xml:space="preserve"> </w:t>
      </w:r>
      <w:r>
        <w:rPr>
          <w:szCs w:val="24"/>
        </w:rPr>
        <w:t>cannot be claimed unless the botulinum toxin is s</w:t>
      </w:r>
      <w:r w:rsidR="00A958DE">
        <w:rPr>
          <w:szCs w:val="24"/>
        </w:rPr>
        <w:t xml:space="preserve">upplied through the PBS. </w:t>
      </w:r>
      <w:r w:rsidR="00B909B6">
        <w:rPr>
          <w:szCs w:val="24"/>
        </w:rPr>
        <w:t xml:space="preserve"> The PBS currently includes practitioner restrictions for the supply of the botulinum toxin to ensure that patients receive services from appropriately qualified practitioners. In the instances of items 18360, 18365, 18366 and 18368 where there is no equivalent PBS arrangements, the practitioner restrictions to ensure patient safety are provi</w:t>
      </w:r>
      <w:r w:rsidR="009A36D6">
        <w:rPr>
          <w:szCs w:val="24"/>
        </w:rPr>
        <w:t>ded explicitly in clause 2.42A.2</w:t>
      </w:r>
      <w:r w:rsidR="00B909B6">
        <w:rPr>
          <w:szCs w:val="24"/>
        </w:rPr>
        <w:t>.</w:t>
      </w:r>
    </w:p>
    <w:p w:rsidR="00E311F5" w:rsidRPr="00893F87" w:rsidRDefault="00E311F5" w:rsidP="00E311F5">
      <w:pPr>
        <w:spacing w:before="120" w:after="120"/>
        <w:rPr>
          <w:b/>
          <w:szCs w:val="24"/>
        </w:rPr>
      </w:pPr>
      <w:r w:rsidRPr="00893F87">
        <w:rPr>
          <w:b/>
          <w:szCs w:val="24"/>
        </w:rPr>
        <w:t>Conclusion</w:t>
      </w:r>
    </w:p>
    <w:p w:rsidR="00E311F5" w:rsidRPr="00D664E6" w:rsidRDefault="00E311F5" w:rsidP="00E311F5">
      <w:pPr>
        <w:spacing w:before="120" w:after="120"/>
        <w:rPr>
          <w:szCs w:val="24"/>
        </w:rPr>
      </w:pPr>
      <w:r>
        <w:rPr>
          <w:szCs w:val="24"/>
        </w:rPr>
        <w:t xml:space="preserve">The </w:t>
      </w:r>
      <w:r w:rsidRPr="00D664E6">
        <w:rPr>
          <w:szCs w:val="24"/>
        </w:rPr>
        <w:t xml:space="preserve">Legislative Instrument is compatible with </w:t>
      </w:r>
      <w:r w:rsidR="00EA0C6F">
        <w:rPr>
          <w:szCs w:val="24"/>
        </w:rPr>
        <w:t>human rights because it maintains</w:t>
      </w:r>
      <w:r w:rsidR="0033247F">
        <w:rPr>
          <w:szCs w:val="24"/>
        </w:rPr>
        <w:t xml:space="preserve"> existing arrangements and the </w:t>
      </w:r>
      <w:r w:rsidR="00EA0C6F">
        <w:rPr>
          <w:szCs w:val="24"/>
        </w:rPr>
        <w:t>protection of human rights</w:t>
      </w:r>
      <w:r w:rsidRPr="00D664E6">
        <w:rPr>
          <w:szCs w:val="24"/>
        </w:rPr>
        <w:t>.</w:t>
      </w:r>
    </w:p>
    <w:p w:rsidR="00E311F5" w:rsidRPr="00893F87" w:rsidRDefault="00E311F5" w:rsidP="00E311F5">
      <w:pPr>
        <w:spacing w:before="120" w:after="120"/>
        <w:rPr>
          <w:szCs w:val="24"/>
        </w:rPr>
      </w:pPr>
    </w:p>
    <w:p w:rsidR="00E311F5" w:rsidRPr="00893F87" w:rsidRDefault="0033247F" w:rsidP="00E311F5">
      <w:pPr>
        <w:spacing w:before="120" w:after="120"/>
        <w:jc w:val="center"/>
        <w:rPr>
          <w:b/>
          <w:bCs/>
          <w:szCs w:val="24"/>
        </w:rPr>
      </w:pPr>
      <w:r>
        <w:rPr>
          <w:b/>
          <w:bCs/>
          <w:szCs w:val="24"/>
        </w:rPr>
        <w:t>Sussan Ley</w:t>
      </w:r>
      <w:r w:rsidR="00E311F5" w:rsidRPr="00893F87">
        <w:rPr>
          <w:b/>
          <w:bCs/>
          <w:szCs w:val="24"/>
        </w:rPr>
        <w:t xml:space="preserve"> </w:t>
      </w:r>
    </w:p>
    <w:p w:rsidR="00E311F5" w:rsidRPr="00C85894" w:rsidRDefault="00E311F5" w:rsidP="00E311F5">
      <w:pPr>
        <w:spacing w:before="120" w:after="120"/>
        <w:jc w:val="center"/>
        <w:rPr>
          <w:szCs w:val="24"/>
        </w:rPr>
      </w:pPr>
      <w:r w:rsidRPr="00893F87">
        <w:rPr>
          <w:b/>
          <w:bCs/>
          <w:szCs w:val="24"/>
        </w:rPr>
        <w:t>Minister for Health</w:t>
      </w:r>
    </w:p>
    <w:p w:rsidR="00445A6D" w:rsidRPr="004D45DE" w:rsidRDefault="00445A6D" w:rsidP="000B3452">
      <w:pPr>
        <w:rPr>
          <w:szCs w:val="24"/>
        </w:rPr>
      </w:pPr>
    </w:p>
    <w:p w:rsidR="00445A6D" w:rsidRPr="004D45DE" w:rsidRDefault="00445A6D" w:rsidP="00445A6D">
      <w:pPr>
        <w:ind w:left="360"/>
        <w:rPr>
          <w:szCs w:val="24"/>
        </w:rPr>
      </w:pPr>
    </w:p>
    <w:p w:rsidR="00445A6D" w:rsidRPr="003239D0" w:rsidRDefault="00445A6D" w:rsidP="003239D0">
      <w:pPr>
        <w:pStyle w:val="BodyText"/>
        <w:rPr>
          <w:b w:val="0"/>
        </w:rPr>
      </w:pPr>
    </w:p>
    <w:p w:rsidR="00B909B6" w:rsidRPr="003239D0" w:rsidRDefault="00B909B6">
      <w:pPr>
        <w:pStyle w:val="BodyText"/>
        <w:rPr>
          <w:b w:val="0"/>
        </w:rPr>
      </w:pPr>
    </w:p>
    <w:sectPr w:rsidR="00B909B6" w:rsidRPr="003239D0" w:rsidSect="008F1AA9">
      <w:headerReference w:type="even" r:id="rId9"/>
      <w:headerReference w:type="default" r:id="rId10"/>
      <w:pgSz w:w="11906" w:h="16838"/>
      <w:pgMar w:top="1440" w:right="1440"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E95" w:rsidRDefault="00940E95">
      <w:r>
        <w:separator/>
      </w:r>
    </w:p>
  </w:endnote>
  <w:endnote w:type="continuationSeparator" w:id="0">
    <w:p w:rsidR="00940E95" w:rsidRDefault="00940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E95" w:rsidRDefault="00940E95">
      <w:r>
        <w:separator/>
      </w:r>
    </w:p>
  </w:footnote>
  <w:footnote w:type="continuationSeparator" w:id="0">
    <w:p w:rsidR="00940E95" w:rsidRDefault="00940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C9D" w:rsidRDefault="00883C9D"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83C9D" w:rsidRDefault="00883C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C9D" w:rsidRDefault="00883C9D"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77EA">
      <w:rPr>
        <w:rStyle w:val="PageNumber"/>
        <w:noProof/>
      </w:rPr>
      <w:t>8</w:t>
    </w:r>
    <w:r>
      <w:rPr>
        <w:rStyle w:val="PageNumber"/>
      </w:rPr>
      <w:fldChar w:fldCharType="end"/>
    </w:r>
  </w:p>
  <w:p w:rsidR="00883C9D" w:rsidRDefault="00883C9D" w:rsidP="009D3773">
    <w:pPr>
      <w:pStyle w:val="Header"/>
      <w:framePr w:wrap="around" w:vAnchor="text" w:hAnchor="page" w:x="6022" w:y="1"/>
      <w:rPr>
        <w:rStyle w:val="PageNumber"/>
      </w:rPr>
    </w:pPr>
  </w:p>
  <w:p w:rsidR="00883C9D" w:rsidRDefault="00883C9D" w:rsidP="009D377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1736B"/>
    <w:multiLevelType w:val="hybridMultilevel"/>
    <w:tmpl w:val="56AA2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172181"/>
    <w:multiLevelType w:val="hybridMultilevel"/>
    <w:tmpl w:val="17C40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4B5AF9"/>
    <w:multiLevelType w:val="hybridMultilevel"/>
    <w:tmpl w:val="8DFA5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0C37EF"/>
    <w:multiLevelType w:val="hybridMultilevel"/>
    <w:tmpl w:val="F184F324"/>
    <w:lvl w:ilvl="0" w:tplc="978A0A7A">
      <w:start w:val="1"/>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17CE6388"/>
    <w:multiLevelType w:val="hybridMultilevel"/>
    <w:tmpl w:val="480C76D2"/>
    <w:lvl w:ilvl="0" w:tplc="0C090017">
      <w:start w:val="1"/>
      <w:numFmt w:val="lowerLetter"/>
      <w:lvlText w:val="%1)"/>
      <w:lvlJc w:val="left"/>
      <w:pPr>
        <w:ind w:left="720" w:hanging="360"/>
      </w:pPr>
      <w:rPr>
        <w:rFonts w:eastAsia="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9B0324C"/>
    <w:multiLevelType w:val="hybridMultilevel"/>
    <w:tmpl w:val="CB701AE6"/>
    <w:lvl w:ilvl="0" w:tplc="FA54F4F4">
      <w:start w:val="1"/>
      <w:numFmt w:val="bullet"/>
      <w:lvlText w:val="-"/>
      <w:lvlJc w:val="left"/>
      <w:pPr>
        <w:ind w:left="720" w:hanging="360"/>
      </w:pPr>
      <w:rPr>
        <w:rFonts w:ascii="Times New Roman" w:eastAsia="Times New Roman" w:hAnsi="Times New Roman" w:cs="Times New Roman" w:hint="default"/>
        <w:b/>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8E5F34"/>
    <w:multiLevelType w:val="hybridMultilevel"/>
    <w:tmpl w:val="520AD47E"/>
    <w:lvl w:ilvl="0" w:tplc="307685D2">
      <w:start w:val="2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C47F72"/>
    <w:multiLevelType w:val="hybridMultilevel"/>
    <w:tmpl w:val="4776F6D4"/>
    <w:lvl w:ilvl="0" w:tplc="978A0A7A">
      <w:start w:val="1"/>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8AC00BD"/>
    <w:multiLevelType w:val="hybridMultilevel"/>
    <w:tmpl w:val="214CA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FD81EF9"/>
    <w:multiLevelType w:val="hybridMultilevel"/>
    <w:tmpl w:val="BE1E191E"/>
    <w:lvl w:ilvl="0" w:tplc="93FA76D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D2A29FC"/>
    <w:multiLevelType w:val="hybridMultilevel"/>
    <w:tmpl w:val="D28CE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EEA4F50"/>
    <w:multiLevelType w:val="hybridMultilevel"/>
    <w:tmpl w:val="6CBCEC82"/>
    <w:lvl w:ilvl="0" w:tplc="B958F7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F805223"/>
    <w:multiLevelType w:val="hybridMultilevel"/>
    <w:tmpl w:val="A19A0EC0"/>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nsid w:val="461971BB"/>
    <w:multiLevelType w:val="hybridMultilevel"/>
    <w:tmpl w:val="DA0C8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FB93311"/>
    <w:multiLevelType w:val="hybridMultilevel"/>
    <w:tmpl w:val="846A53A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nsid w:val="58C66F4B"/>
    <w:multiLevelType w:val="hybridMultilevel"/>
    <w:tmpl w:val="04A0F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8DF1AE6"/>
    <w:multiLevelType w:val="hybridMultilevel"/>
    <w:tmpl w:val="245056F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5A3575DA"/>
    <w:multiLevelType w:val="hybridMultilevel"/>
    <w:tmpl w:val="B9929DDA"/>
    <w:lvl w:ilvl="0" w:tplc="1E145FA6">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61FD01D8"/>
    <w:multiLevelType w:val="hybridMultilevel"/>
    <w:tmpl w:val="E8547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6801C3D"/>
    <w:multiLevelType w:val="hybridMultilevel"/>
    <w:tmpl w:val="80E67CC2"/>
    <w:lvl w:ilvl="0" w:tplc="BFC0C860">
      <w:start w:val="6"/>
      <w:numFmt w:val="bullet"/>
      <w:lvlText w:val="-"/>
      <w:lvlJc w:val="left"/>
      <w:pPr>
        <w:ind w:left="420" w:hanging="360"/>
      </w:pPr>
      <w:rPr>
        <w:rFonts w:ascii="Times New Roman" w:eastAsia="Times New Roman" w:hAnsi="Times New Roman" w:cs="Times New Roman" w:hint="default"/>
        <w:b w:val="0"/>
        <w:sz w:val="23"/>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0">
    <w:nsid w:val="66E778BC"/>
    <w:multiLevelType w:val="hybridMultilevel"/>
    <w:tmpl w:val="45C62E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nsid w:val="6B9B6017"/>
    <w:multiLevelType w:val="hybridMultilevel"/>
    <w:tmpl w:val="DF2E81E6"/>
    <w:lvl w:ilvl="0" w:tplc="3D0205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065219F"/>
    <w:multiLevelType w:val="hybridMultilevel"/>
    <w:tmpl w:val="1CF43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17C00BB"/>
    <w:multiLevelType w:val="hybridMultilevel"/>
    <w:tmpl w:val="4D7E2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316731C"/>
    <w:multiLevelType w:val="hybridMultilevel"/>
    <w:tmpl w:val="BF582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869147E"/>
    <w:multiLevelType w:val="hybridMultilevel"/>
    <w:tmpl w:val="D18EB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11"/>
  </w:num>
  <w:num w:numId="4">
    <w:abstractNumId w:val="1"/>
  </w:num>
  <w:num w:numId="5">
    <w:abstractNumId w:val="24"/>
  </w:num>
  <w:num w:numId="6">
    <w:abstractNumId w:val="0"/>
  </w:num>
  <w:num w:numId="7">
    <w:abstractNumId w:val="13"/>
  </w:num>
  <w:num w:numId="8">
    <w:abstractNumId w:val="10"/>
  </w:num>
  <w:num w:numId="9">
    <w:abstractNumId w:val="6"/>
  </w:num>
  <w:num w:numId="10">
    <w:abstractNumId w:val="25"/>
  </w:num>
  <w:num w:numId="11">
    <w:abstractNumId w:val="10"/>
  </w:num>
  <w:num w:numId="12">
    <w:abstractNumId w:val="15"/>
  </w:num>
  <w:num w:numId="13">
    <w:abstractNumId w:val="21"/>
  </w:num>
  <w:num w:numId="14">
    <w:abstractNumId w:val="7"/>
  </w:num>
  <w:num w:numId="15">
    <w:abstractNumId w:val="12"/>
  </w:num>
  <w:num w:numId="16">
    <w:abstractNumId w:val="20"/>
  </w:num>
  <w:num w:numId="17">
    <w:abstractNumId w:val="4"/>
  </w:num>
  <w:num w:numId="18">
    <w:abstractNumId w:val="9"/>
  </w:num>
  <w:num w:numId="19">
    <w:abstractNumId w:val="9"/>
  </w:num>
  <w:num w:numId="20">
    <w:abstractNumId w:val="2"/>
  </w:num>
  <w:num w:numId="21">
    <w:abstractNumId w:val="18"/>
  </w:num>
  <w:num w:numId="22">
    <w:abstractNumId w:val="22"/>
  </w:num>
  <w:num w:numId="23">
    <w:abstractNumId w:val="8"/>
  </w:num>
  <w:num w:numId="24">
    <w:abstractNumId w:val="16"/>
  </w:num>
  <w:num w:numId="25">
    <w:abstractNumId w:val="3"/>
  </w:num>
  <w:num w:numId="26">
    <w:abstractNumId w:val="14"/>
  </w:num>
  <w:num w:numId="27">
    <w:abstractNumId w:val="2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EE"/>
    <w:rsid w:val="00005906"/>
    <w:rsid w:val="00005F93"/>
    <w:rsid w:val="000074CB"/>
    <w:rsid w:val="00010395"/>
    <w:rsid w:val="00014B38"/>
    <w:rsid w:val="00020D83"/>
    <w:rsid w:val="000269EF"/>
    <w:rsid w:val="0002704E"/>
    <w:rsid w:val="00037A1D"/>
    <w:rsid w:val="000407C2"/>
    <w:rsid w:val="00041E67"/>
    <w:rsid w:val="00044A2A"/>
    <w:rsid w:val="000450CB"/>
    <w:rsid w:val="000509BA"/>
    <w:rsid w:val="0005224B"/>
    <w:rsid w:val="00052794"/>
    <w:rsid w:val="00052900"/>
    <w:rsid w:val="00054298"/>
    <w:rsid w:val="0005533C"/>
    <w:rsid w:val="00055F64"/>
    <w:rsid w:val="00064BA4"/>
    <w:rsid w:val="000666F0"/>
    <w:rsid w:val="00066D6A"/>
    <w:rsid w:val="000710DD"/>
    <w:rsid w:val="000727E0"/>
    <w:rsid w:val="00091C58"/>
    <w:rsid w:val="00093E83"/>
    <w:rsid w:val="000969EF"/>
    <w:rsid w:val="000A31F2"/>
    <w:rsid w:val="000A45BE"/>
    <w:rsid w:val="000B3452"/>
    <w:rsid w:val="000B450B"/>
    <w:rsid w:val="000C0C37"/>
    <w:rsid w:val="000C6797"/>
    <w:rsid w:val="000C6FF8"/>
    <w:rsid w:val="000D7803"/>
    <w:rsid w:val="000E1ACD"/>
    <w:rsid w:val="000E6128"/>
    <w:rsid w:val="000F1714"/>
    <w:rsid w:val="000F249E"/>
    <w:rsid w:val="000F5E76"/>
    <w:rsid w:val="00117BB0"/>
    <w:rsid w:val="001300C4"/>
    <w:rsid w:val="00130653"/>
    <w:rsid w:val="00131A41"/>
    <w:rsid w:val="00134B27"/>
    <w:rsid w:val="0014061A"/>
    <w:rsid w:val="00141E8C"/>
    <w:rsid w:val="00145F61"/>
    <w:rsid w:val="00154FC4"/>
    <w:rsid w:val="0015521F"/>
    <w:rsid w:val="00156367"/>
    <w:rsid w:val="0016200A"/>
    <w:rsid w:val="001623E2"/>
    <w:rsid w:val="001641C0"/>
    <w:rsid w:val="001664F5"/>
    <w:rsid w:val="0017187F"/>
    <w:rsid w:val="001770D9"/>
    <w:rsid w:val="0018012F"/>
    <w:rsid w:val="00182B1A"/>
    <w:rsid w:val="0018451D"/>
    <w:rsid w:val="00185238"/>
    <w:rsid w:val="001867EA"/>
    <w:rsid w:val="0019289B"/>
    <w:rsid w:val="0019464A"/>
    <w:rsid w:val="00195A6A"/>
    <w:rsid w:val="001978CE"/>
    <w:rsid w:val="001A4BE2"/>
    <w:rsid w:val="001A615F"/>
    <w:rsid w:val="001A7796"/>
    <w:rsid w:val="001B6F82"/>
    <w:rsid w:val="001C09B3"/>
    <w:rsid w:val="001C2D13"/>
    <w:rsid w:val="001C6713"/>
    <w:rsid w:val="001D01AB"/>
    <w:rsid w:val="001D2199"/>
    <w:rsid w:val="001D778A"/>
    <w:rsid w:val="001D7D62"/>
    <w:rsid w:val="001E3B02"/>
    <w:rsid w:val="001E5DE7"/>
    <w:rsid w:val="001E7C25"/>
    <w:rsid w:val="00203952"/>
    <w:rsid w:val="00203DE7"/>
    <w:rsid w:val="00213177"/>
    <w:rsid w:val="00217EBF"/>
    <w:rsid w:val="00221C4B"/>
    <w:rsid w:val="00222BBC"/>
    <w:rsid w:val="002246FB"/>
    <w:rsid w:val="00234BDC"/>
    <w:rsid w:val="00250061"/>
    <w:rsid w:val="00250642"/>
    <w:rsid w:val="00251F50"/>
    <w:rsid w:val="00253E30"/>
    <w:rsid w:val="0026231C"/>
    <w:rsid w:val="00263279"/>
    <w:rsid w:val="002643FC"/>
    <w:rsid w:val="00270651"/>
    <w:rsid w:val="0027610D"/>
    <w:rsid w:val="00284013"/>
    <w:rsid w:val="00287B08"/>
    <w:rsid w:val="002A1AAD"/>
    <w:rsid w:val="002A39F4"/>
    <w:rsid w:val="002B2E78"/>
    <w:rsid w:val="002B3258"/>
    <w:rsid w:val="002B49DE"/>
    <w:rsid w:val="002B53D3"/>
    <w:rsid w:val="002B71C3"/>
    <w:rsid w:val="002C1783"/>
    <w:rsid w:val="002C5DCD"/>
    <w:rsid w:val="002D2A4E"/>
    <w:rsid w:val="002D734B"/>
    <w:rsid w:val="002E3493"/>
    <w:rsid w:val="002E7E36"/>
    <w:rsid w:val="002F0434"/>
    <w:rsid w:val="002F449C"/>
    <w:rsid w:val="002F72F7"/>
    <w:rsid w:val="0031124D"/>
    <w:rsid w:val="003120FB"/>
    <w:rsid w:val="003239D0"/>
    <w:rsid w:val="00324908"/>
    <w:rsid w:val="00327B93"/>
    <w:rsid w:val="0033247F"/>
    <w:rsid w:val="0033493D"/>
    <w:rsid w:val="0035214B"/>
    <w:rsid w:val="0036495A"/>
    <w:rsid w:val="00372332"/>
    <w:rsid w:val="00373ED6"/>
    <w:rsid w:val="0038450E"/>
    <w:rsid w:val="00384DEE"/>
    <w:rsid w:val="00385BF3"/>
    <w:rsid w:val="003876E6"/>
    <w:rsid w:val="00391AFA"/>
    <w:rsid w:val="003A3C51"/>
    <w:rsid w:val="003B10E4"/>
    <w:rsid w:val="003B59A9"/>
    <w:rsid w:val="003C2696"/>
    <w:rsid w:val="003C2FA2"/>
    <w:rsid w:val="003E1249"/>
    <w:rsid w:val="003E3544"/>
    <w:rsid w:val="003E35A8"/>
    <w:rsid w:val="003E77CB"/>
    <w:rsid w:val="003F73BA"/>
    <w:rsid w:val="003F73F0"/>
    <w:rsid w:val="00402E54"/>
    <w:rsid w:val="00405890"/>
    <w:rsid w:val="0041237F"/>
    <w:rsid w:val="00414613"/>
    <w:rsid w:val="00414BF3"/>
    <w:rsid w:val="0041767B"/>
    <w:rsid w:val="00424197"/>
    <w:rsid w:val="00432D4D"/>
    <w:rsid w:val="00435D5A"/>
    <w:rsid w:val="00442F9D"/>
    <w:rsid w:val="00443375"/>
    <w:rsid w:val="00445A6D"/>
    <w:rsid w:val="00446A6B"/>
    <w:rsid w:val="0046656A"/>
    <w:rsid w:val="00466A5B"/>
    <w:rsid w:val="004818F3"/>
    <w:rsid w:val="004828A9"/>
    <w:rsid w:val="004849DE"/>
    <w:rsid w:val="00484E4F"/>
    <w:rsid w:val="00492DBE"/>
    <w:rsid w:val="004A56D3"/>
    <w:rsid w:val="004B7B56"/>
    <w:rsid w:val="004C27EB"/>
    <w:rsid w:val="004C405B"/>
    <w:rsid w:val="004C68D1"/>
    <w:rsid w:val="004D0283"/>
    <w:rsid w:val="004D7632"/>
    <w:rsid w:val="004D7821"/>
    <w:rsid w:val="004E0810"/>
    <w:rsid w:val="004E13E2"/>
    <w:rsid w:val="004E22A7"/>
    <w:rsid w:val="004E3E58"/>
    <w:rsid w:val="004E7F97"/>
    <w:rsid w:val="00502156"/>
    <w:rsid w:val="00502277"/>
    <w:rsid w:val="0050242A"/>
    <w:rsid w:val="005140F2"/>
    <w:rsid w:val="0051527F"/>
    <w:rsid w:val="00516C40"/>
    <w:rsid w:val="00520B9E"/>
    <w:rsid w:val="00526255"/>
    <w:rsid w:val="0052795D"/>
    <w:rsid w:val="00532CD3"/>
    <w:rsid w:val="005345A9"/>
    <w:rsid w:val="00536D83"/>
    <w:rsid w:val="0054004F"/>
    <w:rsid w:val="00552105"/>
    <w:rsid w:val="0055354D"/>
    <w:rsid w:val="00560A5E"/>
    <w:rsid w:val="00561AE0"/>
    <w:rsid w:val="005642D9"/>
    <w:rsid w:val="0057258C"/>
    <w:rsid w:val="00573651"/>
    <w:rsid w:val="00581904"/>
    <w:rsid w:val="00585309"/>
    <w:rsid w:val="0059296E"/>
    <w:rsid w:val="00594EB6"/>
    <w:rsid w:val="00597110"/>
    <w:rsid w:val="005A279E"/>
    <w:rsid w:val="005A3D73"/>
    <w:rsid w:val="005A52A3"/>
    <w:rsid w:val="005B06EA"/>
    <w:rsid w:val="005B0EA3"/>
    <w:rsid w:val="005C6118"/>
    <w:rsid w:val="005C7EC3"/>
    <w:rsid w:val="005D538F"/>
    <w:rsid w:val="005D63D9"/>
    <w:rsid w:val="005E293A"/>
    <w:rsid w:val="005F04DC"/>
    <w:rsid w:val="00601165"/>
    <w:rsid w:val="00611A4E"/>
    <w:rsid w:val="0061281D"/>
    <w:rsid w:val="00623004"/>
    <w:rsid w:val="00625964"/>
    <w:rsid w:val="00632A5B"/>
    <w:rsid w:val="00635031"/>
    <w:rsid w:val="006407FA"/>
    <w:rsid w:val="00642BEB"/>
    <w:rsid w:val="00647590"/>
    <w:rsid w:val="006526F5"/>
    <w:rsid w:val="006619F5"/>
    <w:rsid w:val="0066562D"/>
    <w:rsid w:val="00670998"/>
    <w:rsid w:val="00671111"/>
    <w:rsid w:val="00671D20"/>
    <w:rsid w:val="00672050"/>
    <w:rsid w:val="006744DF"/>
    <w:rsid w:val="00675EBF"/>
    <w:rsid w:val="0068031F"/>
    <w:rsid w:val="00680C99"/>
    <w:rsid w:val="00686B35"/>
    <w:rsid w:val="00690ABE"/>
    <w:rsid w:val="006941DA"/>
    <w:rsid w:val="00694C76"/>
    <w:rsid w:val="006B13BC"/>
    <w:rsid w:val="006B32FE"/>
    <w:rsid w:val="006C2B70"/>
    <w:rsid w:val="006D2B37"/>
    <w:rsid w:val="006D54FB"/>
    <w:rsid w:val="006E1A62"/>
    <w:rsid w:val="006E3711"/>
    <w:rsid w:val="006E3D84"/>
    <w:rsid w:val="006E5C6B"/>
    <w:rsid w:val="006E6377"/>
    <w:rsid w:val="006F0641"/>
    <w:rsid w:val="006F6918"/>
    <w:rsid w:val="0070058D"/>
    <w:rsid w:val="00704A1A"/>
    <w:rsid w:val="00705924"/>
    <w:rsid w:val="007134A2"/>
    <w:rsid w:val="00717B45"/>
    <w:rsid w:val="00723CFA"/>
    <w:rsid w:val="00726CFA"/>
    <w:rsid w:val="007304D5"/>
    <w:rsid w:val="00730965"/>
    <w:rsid w:val="007368DC"/>
    <w:rsid w:val="00741A4E"/>
    <w:rsid w:val="007452E0"/>
    <w:rsid w:val="0074775C"/>
    <w:rsid w:val="007505FB"/>
    <w:rsid w:val="007552FF"/>
    <w:rsid w:val="00761318"/>
    <w:rsid w:val="0076544A"/>
    <w:rsid w:val="00776988"/>
    <w:rsid w:val="00777055"/>
    <w:rsid w:val="00784EDA"/>
    <w:rsid w:val="007859F8"/>
    <w:rsid w:val="00791384"/>
    <w:rsid w:val="007A2DE0"/>
    <w:rsid w:val="007A4268"/>
    <w:rsid w:val="007A5B55"/>
    <w:rsid w:val="007A5F41"/>
    <w:rsid w:val="007B08D1"/>
    <w:rsid w:val="007B4EAA"/>
    <w:rsid w:val="007C20FA"/>
    <w:rsid w:val="007C27D3"/>
    <w:rsid w:val="007C2C95"/>
    <w:rsid w:val="007C79FB"/>
    <w:rsid w:val="007D4A14"/>
    <w:rsid w:val="007D75A4"/>
    <w:rsid w:val="007E7ABF"/>
    <w:rsid w:val="007F0907"/>
    <w:rsid w:val="007F1C81"/>
    <w:rsid w:val="007F6ABA"/>
    <w:rsid w:val="0080144C"/>
    <w:rsid w:val="00804A98"/>
    <w:rsid w:val="00805C3A"/>
    <w:rsid w:val="00826C1C"/>
    <w:rsid w:val="00833FCC"/>
    <w:rsid w:val="00844C63"/>
    <w:rsid w:val="00845708"/>
    <w:rsid w:val="008478EE"/>
    <w:rsid w:val="00853E5F"/>
    <w:rsid w:val="0085475F"/>
    <w:rsid w:val="00855C39"/>
    <w:rsid w:val="008609B1"/>
    <w:rsid w:val="00871351"/>
    <w:rsid w:val="00875104"/>
    <w:rsid w:val="00883C9D"/>
    <w:rsid w:val="0089513F"/>
    <w:rsid w:val="008A65BE"/>
    <w:rsid w:val="008A7BB1"/>
    <w:rsid w:val="008B444F"/>
    <w:rsid w:val="008C0F1E"/>
    <w:rsid w:val="008C20F7"/>
    <w:rsid w:val="008C5479"/>
    <w:rsid w:val="008D1B01"/>
    <w:rsid w:val="008D2A83"/>
    <w:rsid w:val="008D2D7B"/>
    <w:rsid w:val="008D44EB"/>
    <w:rsid w:val="008D4E61"/>
    <w:rsid w:val="008E52C3"/>
    <w:rsid w:val="008F1284"/>
    <w:rsid w:val="008F1AA9"/>
    <w:rsid w:val="008F6CD4"/>
    <w:rsid w:val="008F7C5B"/>
    <w:rsid w:val="009043C5"/>
    <w:rsid w:val="009049C0"/>
    <w:rsid w:val="009124F6"/>
    <w:rsid w:val="00913B67"/>
    <w:rsid w:val="00915B08"/>
    <w:rsid w:val="009225FE"/>
    <w:rsid w:val="009234DF"/>
    <w:rsid w:val="009256FF"/>
    <w:rsid w:val="009365C4"/>
    <w:rsid w:val="00937803"/>
    <w:rsid w:val="00940E95"/>
    <w:rsid w:val="009414C5"/>
    <w:rsid w:val="009427F2"/>
    <w:rsid w:val="00943581"/>
    <w:rsid w:val="00944F64"/>
    <w:rsid w:val="00953383"/>
    <w:rsid w:val="0096363E"/>
    <w:rsid w:val="00965025"/>
    <w:rsid w:val="00971B7B"/>
    <w:rsid w:val="00971D3B"/>
    <w:rsid w:val="00972D48"/>
    <w:rsid w:val="00976969"/>
    <w:rsid w:val="00977A95"/>
    <w:rsid w:val="00980C80"/>
    <w:rsid w:val="009810D1"/>
    <w:rsid w:val="00983395"/>
    <w:rsid w:val="009902F7"/>
    <w:rsid w:val="0099448D"/>
    <w:rsid w:val="00995A06"/>
    <w:rsid w:val="009A222A"/>
    <w:rsid w:val="009A36D6"/>
    <w:rsid w:val="009B3AEB"/>
    <w:rsid w:val="009B60F9"/>
    <w:rsid w:val="009C3EB5"/>
    <w:rsid w:val="009C444B"/>
    <w:rsid w:val="009D3773"/>
    <w:rsid w:val="009D499D"/>
    <w:rsid w:val="009E2AEA"/>
    <w:rsid w:val="009E3183"/>
    <w:rsid w:val="009E3783"/>
    <w:rsid w:val="009E3EA3"/>
    <w:rsid w:val="009E6E28"/>
    <w:rsid w:val="009F6A36"/>
    <w:rsid w:val="009F74C2"/>
    <w:rsid w:val="00A00D22"/>
    <w:rsid w:val="00A02D17"/>
    <w:rsid w:val="00A045CA"/>
    <w:rsid w:val="00A04DC3"/>
    <w:rsid w:val="00A05DAD"/>
    <w:rsid w:val="00A17694"/>
    <w:rsid w:val="00A22939"/>
    <w:rsid w:val="00A73CF1"/>
    <w:rsid w:val="00A75C9A"/>
    <w:rsid w:val="00A82214"/>
    <w:rsid w:val="00A87FDE"/>
    <w:rsid w:val="00A9123D"/>
    <w:rsid w:val="00A92534"/>
    <w:rsid w:val="00A93FE2"/>
    <w:rsid w:val="00A958DE"/>
    <w:rsid w:val="00AA4399"/>
    <w:rsid w:val="00AB2E07"/>
    <w:rsid w:val="00AB35DC"/>
    <w:rsid w:val="00AB419D"/>
    <w:rsid w:val="00AB5F4D"/>
    <w:rsid w:val="00AB70BF"/>
    <w:rsid w:val="00AC046B"/>
    <w:rsid w:val="00AC2BEA"/>
    <w:rsid w:val="00AC4FF2"/>
    <w:rsid w:val="00AC54F8"/>
    <w:rsid w:val="00AC681D"/>
    <w:rsid w:val="00AC6E0E"/>
    <w:rsid w:val="00AD0F67"/>
    <w:rsid w:val="00AD5B8D"/>
    <w:rsid w:val="00AD7A1A"/>
    <w:rsid w:val="00AD7E8E"/>
    <w:rsid w:val="00AE0F81"/>
    <w:rsid w:val="00AE6696"/>
    <w:rsid w:val="00AE7CA6"/>
    <w:rsid w:val="00AF3563"/>
    <w:rsid w:val="00AF77EA"/>
    <w:rsid w:val="00B019A9"/>
    <w:rsid w:val="00B02C9A"/>
    <w:rsid w:val="00B03273"/>
    <w:rsid w:val="00B110B5"/>
    <w:rsid w:val="00B174E3"/>
    <w:rsid w:val="00B2270A"/>
    <w:rsid w:val="00B267BB"/>
    <w:rsid w:val="00B316E7"/>
    <w:rsid w:val="00B3231A"/>
    <w:rsid w:val="00B34EF9"/>
    <w:rsid w:val="00B56E4F"/>
    <w:rsid w:val="00B609B5"/>
    <w:rsid w:val="00B638DE"/>
    <w:rsid w:val="00B748AE"/>
    <w:rsid w:val="00B7681E"/>
    <w:rsid w:val="00B84958"/>
    <w:rsid w:val="00B909B6"/>
    <w:rsid w:val="00B94CD8"/>
    <w:rsid w:val="00B95DF6"/>
    <w:rsid w:val="00B96F16"/>
    <w:rsid w:val="00BA58AC"/>
    <w:rsid w:val="00BB1CDA"/>
    <w:rsid w:val="00BB2CD8"/>
    <w:rsid w:val="00BC459E"/>
    <w:rsid w:val="00BD7B14"/>
    <w:rsid w:val="00BE2ECA"/>
    <w:rsid w:val="00BE4C5A"/>
    <w:rsid w:val="00BE6ADA"/>
    <w:rsid w:val="00BF23A6"/>
    <w:rsid w:val="00BF5A87"/>
    <w:rsid w:val="00BF6341"/>
    <w:rsid w:val="00C0045E"/>
    <w:rsid w:val="00C00FD8"/>
    <w:rsid w:val="00C073E4"/>
    <w:rsid w:val="00C07C34"/>
    <w:rsid w:val="00C1537C"/>
    <w:rsid w:val="00C154E6"/>
    <w:rsid w:val="00C16774"/>
    <w:rsid w:val="00C167D5"/>
    <w:rsid w:val="00C262B0"/>
    <w:rsid w:val="00C27B54"/>
    <w:rsid w:val="00C33771"/>
    <w:rsid w:val="00C34230"/>
    <w:rsid w:val="00C3661B"/>
    <w:rsid w:val="00C42112"/>
    <w:rsid w:val="00C42CA1"/>
    <w:rsid w:val="00C46A0C"/>
    <w:rsid w:val="00C473F7"/>
    <w:rsid w:val="00C5100A"/>
    <w:rsid w:val="00C56251"/>
    <w:rsid w:val="00C62FDC"/>
    <w:rsid w:val="00C65B08"/>
    <w:rsid w:val="00C77A1F"/>
    <w:rsid w:val="00C77CE4"/>
    <w:rsid w:val="00C95746"/>
    <w:rsid w:val="00CA73CB"/>
    <w:rsid w:val="00CC12A0"/>
    <w:rsid w:val="00CC26A8"/>
    <w:rsid w:val="00CC2751"/>
    <w:rsid w:val="00CC4E9A"/>
    <w:rsid w:val="00CD5CFE"/>
    <w:rsid w:val="00CE31EE"/>
    <w:rsid w:val="00CE3A6F"/>
    <w:rsid w:val="00CF3997"/>
    <w:rsid w:val="00CF4477"/>
    <w:rsid w:val="00CF6B2F"/>
    <w:rsid w:val="00D027AA"/>
    <w:rsid w:val="00D05CAA"/>
    <w:rsid w:val="00D114E6"/>
    <w:rsid w:val="00D14B03"/>
    <w:rsid w:val="00D26608"/>
    <w:rsid w:val="00D26E3D"/>
    <w:rsid w:val="00D41D2D"/>
    <w:rsid w:val="00D437D4"/>
    <w:rsid w:val="00D44316"/>
    <w:rsid w:val="00D51757"/>
    <w:rsid w:val="00D52FDC"/>
    <w:rsid w:val="00D53AC0"/>
    <w:rsid w:val="00D5617F"/>
    <w:rsid w:val="00D565F8"/>
    <w:rsid w:val="00D56ABB"/>
    <w:rsid w:val="00D571B1"/>
    <w:rsid w:val="00D644BD"/>
    <w:rsid w:val="00D6525B"/>
    <w:rsid w:val="00D67ACF"/>
    <w:rsid w:val="00D85008"/>
    <w:rsid w:val="00D93539"/>
    <w:rsid w:val="00D9515D"/>
    <w:rsid w:val="00D95D46"/>
    <w:rsid w:val="00D961FA"/>
    <w:rsid w:val="00DA7439"/>
    <w:rsid w:val="00DB0DA9"/>
    <w:rsid w:val="00DB773F"/>
    <w:rsid w:val="00DC2120"/>
    <w:rsid w:val="00DD3239"/>
    <w:rsid w:val="00DE0877"/>
    <w:rsid w:val="00DF1D04"/>
    <w:rsid w:val="00E02D2F"/>
    <w:rsid w:val="00E05D40"/>
    <w:rsid w:val="00E0604D"/>
    <w:rsid w:val="00E2038C"/>
    <w:rsid w:val="00E20C77"/>
    <w:rsid w:val="00E311F5"/>
    <w:rsid w:val="00E35B1E"/>
    <w:rsid w:val="00E41A21"/>
    <w:rsid w:val="00E541F8"/>
    <w:rsid w:val="00E55649"/>
    <w:rsid w:val="00E568EB"/>
    <w:rsid w:val="00E56A50"/>
    <w:rsid w:val="00E64BF2"/>
    <w:rsid w:val="00E72855"/>
    <w:rsid w:val="00E73783"/>
    <w:rsid w:val="00E747E6"/>
    <w:rsid w:val="00E74C1D"/>
    <w:rsid w:val="00E81B2F"/>
    <w:rsid w:val="00E85B0A"/>
    <w:rsid w:val="00E935A1"/>
    <w:rsid w:val="00E96038"/>
    <w:rsid w:val="00EA0C6F"/>
    <w:rsid w:val="00EA5A32"/>
    <w:rsid w:val="00EC0273"/>
    <w:rsid w:val="00EC25BA"/>
    <w:rsid w:val="00EC79F2"/>
    <w:rsid w:val="00ED0985"/>
    <w:rsid w:val="00ED0AD5"/>
    <w:rsid w:val="00ED7140"/>
    <w:rsid w:val="00EE60C4"/>
    <w:rsid w:val="00EF0AFA"/>
    <w:rsid w:val="00F012F4"/>
    <w:rsid w:val="00F03FDC"/>
    <w:rsid w:val="00F045AF"/>
    <w:rsid w:val="00F072E1"/>
    <w:rsid w:val="00F11185"/>
    <w:rsid w:val="00F12E98"/>
    <w:rsid w:val="00F207AB"/>
    <w:rsid w:val="00F21724"/>
    <w:rsid w:val="00F21A81"/>
    <w:rsid w:val="00F21CC1"/>
    <w:rsid w:val="00F2252B"/>
    <w:rsid w:val="00F22BD1"/>
    <w:rsid w:val="00F2428F"/>
    <w:rsid w:val="00F25FDB"/>
    <w:rsid w:val="00F27444"/>
    <w:rsid w:val="00F32A56"/>
    <w:rsid w:val="00F413D8"/>
    <w:rsid w:val="00F42100"/>
    <w:rsid w:val="00F42A9B"/>
    <w:rsid w:val="00F4438A"/>
    <w:rsid w:val="00F464FE"/>
    <w:rsid w:val="00F533BB"/>
    <w:rsid w:val="00F6591A"/>
    <w:rsid w:val="00F7546C"/>
    <w:rsid w:val="00F766F7"/>
    <w:rsid w:val="00F83FDD"/>
    <w:rsid w:val="00F93ACB"/>
    <w:rsid w:val="00FA1940"/>
    <w:rsid w:val="00FB0C0E"/>
    <w:rsid w:val="00FB1780"/>
    <w:rsid w:val="00FB2D24"/>
    <w:rsid w:val="00FB35C6"/>
    <w:rsid w:val="00FB3AD8"/>
    <w:rsid w:val="00FB5BFA"/>
    <w:rsid w:val="00FB65E3"/>
    <w:rsid w:val="00FB6ADE"/>
    <w:rsid w:val="00FC59C0"/>
    <w:rsid w:val="00FC7675"/>
    <w:rsid w:val="00FD3574"/>
    <w:rsid w:val="00FD6239"/>
    <w:rsid w:val="00FD6408"/>
    <w:rsid w:val="00FD6A7D"/>
    <w:rsid w:val="00FD6FC9"/>
    <w:rsid w:val="00FE1592"/>
    <w:rsid w:val="00FF1CA4"/>
    <w:rsid w:val="00FF35E2"/>
    <w:rsid w:val="00FF5D71"/>
    <w:rsid w:val="00FF6F60"/>
    <w:rsid w:val="00FF7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rsid w:val="00C56251"/>
    <w:pPr>
      <w:tabs>
        <w:tab w:val="center" w:pos="4153"/>
        <w:tab w:val="right" w:pos="8306"/>
      </w:tabs>
    </w:pPr>
  </w:style>
  <w:style w:type="character" w:customStyle="1" w:styleId="HeaderChar">
    <w:name w:val="Header Char"/>
    <w:basedOn w:val="DefaultParagraphFont"/>
    <w:link w:val="Header"/>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semiHidden/>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AB5F4D"/>
    <w:pPr>
      <w:tabs>
        <w:tab w:val="center" w:pos="4513"/>
        <w:tab w:val="right" w:pos="9026"/>
      </w:tabs>
    </w:pPr>
  </w:style>
  <w:style w:type="character" w:customStyle="1" w:styleId="FooterChar">
    <w:name w:val="Footer Char"/>
    <w:basedOn w:val="DefaultParagraphFont"/>
    <w:link w:val="Footer"/>
    <w:uiPriority w:val="99"/>
    <w:rsid w:val="00AB5F4D"/>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rsid w:val="00C56251"/>
    <w:pPr>
      <w:tabs>
        <w:tab w:val="center" w:pos="4153"/>
        <w:tab w:val="right" w:pos="8306"/>
      </w:tabs>
    </w:pPr>
  </w:style>
  <w:style w:type="character" w:customStyle="1" w:styleId="HeaderChar">
    <w:name w:val="Header Char"/>
    <w:basedOn w:val="DefaultParagraphFont"/>
    <w:link w:val="Header"/>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semiHidden/>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AB5F4D"/>
    <w:pPr>
      <w:tabs>
        <w:tab w:val="center" w:pos="4513"/>
        <w:tab w:val="right" w:pos="9026"/>
      </w:tabs>
    </w:pPr>
  </w:style>
  <w:style w:type="character" w:customStyle="1" w:styleId="FooterChar">
    <w:name w:val="Footer Char"/>
    <w:basedOn w:val="DefaultParagraphFont"/>
    <w:link w:val="Footer"/>
    <w:uiPriority w:val="99"/>
    <w:rsid w:val="00AB5F4D"/>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1065226236">
      <w:bodyDiv w:val="1"/>
      <w:marLeft w:val="0"/>
      <w:marRight w:val="0"/>
      <w:marTop w:val="0"/>
      <w:marBottom w:val="0"/>
      <w:divBdr>
        <w:top w:val="none" w:sz="0" w:space="0" w:color="auto"/>
        <w:left w:val="none" w:sz="0" w:space="0" w:color="auto"/>
        <w:bottom w:val="none" w:sz="0" w:space="0" w:color="auto"/>
        <w:right w:val="none" w:sz="0" w:space="0" w:color="auto"/>
      </w:divBdr>
      <w:divsChild>
        <w:div w:id="1705056800">
          <w:marLeft w:val="0"/>
          <w:marRight w:val="0"/>
          <w:marTop w:val="0"/>
          <w:marBottom w:val="0"/>
          <w:divBdr>
            <w:top w:val="none" w:sz="0" w:space="0" w:color="auto"/>
            <w:left w:val="none" w:sz="0" w:space="0" w:color="auto"/>
            <w:bottom w:val="none" w:sz="0" w:space="0" w:color="auto"/>
            <w:right w:val="none" w:sz="0" w:space="0" w:color="auto"/>
          </w:divBdr>
          <w:divsChild>
            <w:div w:id="905728609">
              <w:marLeft w:val="0"/>
              <w:marRight w:val="0"/>
              <w:marTop w:val="0"/>
              <w:marBottom w:val="0"/>
              <w:divBdr>
                <w:top w:val="none" w:sz="0" w:space="0" w:color="auto"/>
                <w:left w:val="none" w:sz="0" w:space="0" w:color="auto"/>
                <w:bottom w:val="none" w:sz="0" w:space="0" w:color="auto"/>
                <w:right w:val="none" w:sz="0" w:space="0" w:color="auto"/>
              </w:divBdr>
              <w:divsChild>
                <w:div w:id="1378236354">
                  <w:marLeft w:val="0"/>
                  <w:marRight w:val="0"/>
                  <w:marTop w:val="0"/>
                  <w:marBottom w:val="0"/>
                  <w:divBdr>
                    <w:top w:val="none" w:sz="0" w:space="0" w:color="auto"/>
                    <w:left w:val="none" w:sz="0" w:space="0" w:color="auto"/>
                    <w:bottom w:val="none" w:sz="0" w:space="0" w:color="auto"/>
                    <w:right w:val="none" w:sz="0" w:space="0" w:color="auto"/>
                  </w:divBdr>
                  <w:divsChild>
                    <w:div w:id="1802965119">
                      <w:marLeft w:val="0"/>
                      <w:marRight w:val="0"/>
                      <w:marTop w:val="0"/>
                      <w:marBottom w:val="0"/>
                      <w:divBdr>
                        <w:top w:val="none" w:sz="0" w:space="0" w:color="auto"/>
                        <w:left w:val="none" w:sz="0" w:space="0" w:color="auto"/>
                        <w:bottom w:val="none" w:sz="0" w:space="0" w:color="auto"/>
                        <w:right w:val="none" w:sz="0" w:space="0" w:color="auto"/>
                      </w:divBdr>
                      <w:divsChild>
                        <w:div w:id="1599556853">
                          <w:marLeft w:val="0"/>
                          <w:marRight w:val="0"/>
                          <w:marTop w:val="0"/>
                          <w:marBottom w:val="0"/>
                          <w:divBdr>
                            <w:top w:val="single" w:sz="6" w:space="0" w:color="828282"/>
                            <w:left w:val="single" w:sz="6" w:space="0" w:color="828282"/>
                            <w:bottom w:val="single" w:sz="6" w:space="0" w:color="828282"/>
                            <w:right w:val="single" w:sz="6" w:space="0" w:color="828282"/>
                          </w:divBdr>
                          <w:divsChild>
                            <w:div w:id="566843230">
                              <w:marLeft w:val="0"/>
                              <w:marRight w:val="0"/>
                              <w:marTop w:val="0"/>
                              <w:marBottom w:val="0"/>
                              <w:divBdr>
                                <w:top w:val="none" w:sz="0" w:space="0" w:color="auto"/>
                                <w:left w:val="none" w:sz="0" w:space="0" w:color="auto"/>
                                <w:bottom w:val="none" w:sz="0" w:space="0" w:color="auto"/>
                                <w:right w:val="none" w:sz="0" w:space="0" w:color="auto"/>
                              </w:divBdr>
                              <w:divsChild>
                                <w:div w:id="1082722065">
                                  <w:marLeft w:val="0"/>
                                  <w:marRight w:val="0"/>
                                  <w:marTop w:val="0"/>
                                  <w:marBottom w:val="0"/>
                                  <w:divBdr>
                                    <w:top w:val="none" w:sz="0" w:space="0" w:color="auto"/>
                                    <w:left w:val="none" w:sz="0" w:space="0" w:color="auto"/>
                                    <w:bottom w:val="none" w:sz="0" w:space="0" w:color="auto"/>
                                    <w:right w:val="none" w:sz="0" w:space="0" w:color="auto"/>
                                  </w:divBdr>
                                  <w:divsChild>
                                    <w:div w:id="291642944">
                                      <w:marLeft w:val="0"/>
                                      <w:marRight w:val="0"/>
                                      <w:marTop w:val="0"/>
                                      <w:marBottom w:val="0"/>
                                      <w:divBdr>
                                        <w:top w:val="none" w:sz="0" w:space="0" w:color="auto"/>
                                        <w:left w:val="none" w:sz="0" w:space="0" w:color="auto"/>
                                        <w:bottom w:val="none" w:sz="0" w:space="0" w:color="auto"/>
                                        <w:right w:val="none" w:sz="0" w:space="0" w:color="auto"/>
                                      </w:divBdr>
                                      <w:divsChild>
                                        <w:div w:id="963655577">
                                          <w:marLeft w:val="0"/>
                                          <w:marRight w:val="0"/>
                                          <w:marTop w:val="0"/>
                                          <w:marBottom w:val="0"/>
                                          <w:divBdr>
                                            <w:top w:val="none" w:sz="0" w:space="0" w:color="auto"/>
                                            <w:left w:val="none" w:sz="0" w:space="0" w:color="auto"/>
                                            <w:bottom w:val="none" w:sz="0" w:space="0" w:color="auto"/>
                                            <w:right w:val="none" w:sz="0" w:space="0" w:color="auto"/>
                                          </w:divBdr>
                                          <w:divsChild>
                                            <w:div w:id="82184971">
                                              <w:marLeft w:val="0"/>
                                              <w:marRight w:val="0"/>
                                              <w:marTop w:val="0"/>
                                              <w:marBottom w:val="0"/>
                                              <w:divBdr>
                                                <w:top w:val="none" w:sz="0" w:space="0" w:color="auto"/>
                                                <w:left w:val="none" w:sz="0" w:space="0" w:color="auto"/>
                                                <w:bottom w:val="none" w:sz="0" w:space="0" w:color="auto"/>
                                                <w:right w:val="none" w:sz="0" w:space="0" w:color="auto"/>
                                              </w:divBdr>
                                              <w:divsChild>
                                                <w:div w:id="54475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202940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95786-EBCF-4E4B-8450-3130F4F2D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2549</Words>
  <Characters>13385</Characters>
  <Application>Microsoft Office Word</Application>
  <DocSecurity>0</DocSecurity>
  <Lines>1216</Lines>
  <Paragraphs>692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Gibson, Vikki</cp:lastModifiedBy>
  <cp:revision>3</cp:revision>
  <cp:lastPrinted>2015-04-27T06:15:00Z</cp:lastPrinted>
  <dcterms:created xsi:type="dcterms:W3CDTF">2015-06-15T03:51:00Z</dcterms:created>
  <dcterms:modified xsi:type="dcterms:W3CDTF">2015-06-15T03:51:00Z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