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D6F" w:rsidRPr="00516CDD" w:rsidRDefault="00790D6F" w:rsidP="001E78E1">
      <w:pPr>
        <w:pStyle w:val="Title"/>
        <w:spacing w:before="0"/>
        <w:rPr>
          <w:sz w:val="24"/>
          <w:szCs w:val="24"/>
        </w:rPr>
      </w:pPr>
      <w:bookmarkStart w:id="0" w:name="_GoBack"/>
      <w:bookmarkEnd w:id="0"/>
      <w:r w:rsidRPr="00481343">
        <w:rPr>
          <w:sz w:val="24"/>
          <w:szCs w:val="24"/>
        </w:rPr>
        <w:t xml:space="preserve">Australian </w:t>
      </w:r>
      <w:r w:rsidRPr="00516CDD">
        <w:rPr>
          <w:sz w:val="24"/>
          <w:szCs w:val="24"/>
        </w:rPr>
        <w:t>Prudential Regulation Authority (confidentiality) determination</w:t>
      </w:r>
    </w:p>
    <w:p w:rsidR="00790D6F" w:rsidRPr="00516CDD" w:rsidRDefault="00790D6F" w:rsidP="001E78E1">
      <w:pPr>
        <w:pStyle w:val="Title"/>
        <w:spacing w:before="0"/>
        <w:rPr>
          <w:sz w:val="24"/>
          <w:szCs w:val="24"/>
        </w:rPr>
      </w:pPr>
      <w:r w:rsidRPr="00516CDD">
        <w:rPr>
          <w:sz w:val="24"/>
          <w:szCs w:val="24"/>
        </w:rPr>
        <w:t>No.</w:t>
      </w:r>
      <w:r w:rsidR="00694064">
        <w:rPr>
          <w:sz w:val="24"/>
          <w:szCs w:val="24"/>
        </w:rPr>
        <w:t xml:space="preserve"> </w:t>
      </w:r>
      <w:r w:rsidR="00246A34">
        <w:rPr>
          <w:sz w:val="24"/>
          <w:szCs w:val="24"/>
        </w:rPr>
        <w:t xml:space="preserve">12 </w:t>
      </w:r>
      <w:r w:rsidR="00A52A2E">
        <w:rPr>
          <w:sz w:val="24"/>
          <w:szCs w:val="24"/>
        </w:rPr>
        <w:t>of 2015</w:t>
      </w:r>
    </w:p>
    <w:p w:rsidR="00790D6F" w:rsidRPr="00516CDD" w:rsidRDefault="00790D6F" w:rsidP="001E78E1">
      <w:pPr>
        <w:pStyle w:val="Title"/>
        <w:spacing w:before="0"/>
        <w:jc w:val="left"/>
        <w:rPr>
          <w:sz w:val="24"/>
          <w:szCs w:val="24"/>
        </w:rPr>
      </w:pPr>
    </w:p>
    <w:p w:rsidR="00790D6F" w:rsidRPr="00516CDD" w:rsidRDefault="00790D6F" w:rsidP="001E78E1">
      <w:pPr>
        <w:pStyle w:val="BodyText"/>
        <w:jc w:val="center"/>
        <w:rPr>
          <w:b/>
          <w:szCs w:val="24"/>
          <w:u w:val="single"/>
        </w:rPr>
      </w:pPr>
      <w:r>
        <w:rPr>
          <w:b/>
          <w:szCs w:val="24"/>
          <w:u w:val="single"/>
        </w:rPr>
        <w:t>EXPLANATORY STATEMENT</w:t>
      </w:r>
    </w:p>
    <w:p w:rsidR="00790D6F" w:rsidRPr="00AE1D17" w:rsidRDefault="00790D6F" w:rsidP="001E78E1">
      <w:pPr>
        <w:pStyle w:val="BodyText"/>
        <w:jc w:val="center"/>
        <w:rPr>
          <w:b/>
          <w:szCs w:val="24"/>
        </w:rPr>
      </w:pPr>
      <w:r w:rsidRPr="00AE1D17">
        <w:rPr>
          <w:b/>
          <w:szCs w:val="24"/>
        </w:rPr>
        <w:t>Prepared by the Australian Prudential Regulation Authority (APRA)</w:t>
      </w:r>
    </w:p>
    <w:p w:rsidR="00790D6F" w:rsidRDefault="00790D6F" w:rsidP="001E78E1">
      <w:pPr>
        <w:pStyle w:val="BodyText"/>
        <w:jc w:val="center"/>
        <w:rPr>
          <w:szCs w:val="24"/>
        </w:rPr>
      </w:pPr>
      <w:r>
        <w:rPr>
          <w:i/>
          <w:szCs w:val="24"/>
        </w:rPr>
        <w:t>Australian Prudential Regulation Authority Act 1998</w:t>
      </w:r>
      <w:r w:rsidR="00E65F6D">
        <w:rPr>
          <w:szCs w:val="24"/>
        </w:rPr>
        <w:t xml:space="preserve">, </w:t>
      </w:r>
      <w:r>
        <w:rPr>
          <w:szCs w:val="24"/>
        </w:rPr>
        <w:t>s</w:t>
      </w:r>
      <w:r w:rsidR="00E65F6D">
        <w:rPr>
          <w:szCs w:val="24"/>
        </w:rPr>
        <w:t>ection</w:t>
      </w:r>
      <w:r>
        <w:rPr>
          <w:szCs w:val="24"/>
        </w:rPr>
        <w:t xml:space="preserve"> 57</w:t>
      </w:r>
    </w:p>
    <w:p w:rsidR="008B71FE" w:rsidRPr="00516CDD" w:rsidRDefault="00E65F6D">
      <w:pPr>
        <w:pStyle w:val="BodyText"/>
        <w:jc w:val="center"/>
        <w:rPr>
          <w:szCs w:val="24"/>
        </w:rPr>
      </w:pPr>
      <w:r w:rsidRPr="009467C9">
        <w:rPr>
          <w:i/>
          <w:szCs w:val="24"/>
        </w:rPr>
        <w:t>Acts Interpretation Act 1901</w:t>
      </w:r>
      <w:r>
        <w:rPr>
          <w:szCs w:val="24"/>
        </w:rPr>
        <w:t>, section 33</w:t>
      </w:r>
    </w:p>
    <w:p w:rsidR="00006DB0" w:rsidRDefault="00006DB0" w:rsidP="00006DB0">
      <w:pPr>
        <w:spacing w:before="120" w:after="200" w:line="276" w:lineRule="auto"/>
      </w:pPr>
      <w:r>
        <w:t>Under section 57 of the</w:t>
      </w:r>
      <w:r>
        <w:rPr>
          <w:i/>
        </w:rPr>
        <w:t xml:space="preserve"> Australian Prudential Regulation Authority Act 1998 </w:t>
      </w:r>
      <w:r>
        <w:t xml:space="preserve">(the Act), APRA may determine, by legislative instrument, that all or a specified part of </w:t>
      </w:r>
      <w:r w:rsidR="00935EA1">
        <w:t xml:space="preserve">relevant </w:t>
      </w:r>
      <w:r>
        <w:t>reporting documents of a specified kind contain, or do not contain, confidential information.</w:t>
      </w:r>
    </w:p>
    <w:p w:rsidR="008B71FE" w:rsidRDefault="008B71FE" w:rsidP="00AE1D17">
      <w:pPr>
        <w:tabs>
          <w:tab w:val="left" w:pos="0"/>
        </w:tabs>
        <w:spacing w:after="200" w:line="276" w:lineRule="auto"/>
        <w:rPr>
          <w:szCs w:val="24"/>
        </w:rPr>
      </w:pPr>
      <w:r w:rsidRPr="00360A82">
        <w:rPr>
          <w:szCs w:val="24"/>
        </w:rPr>
        <w:t xml:space="preserve">On </w:t>
      </w:r>
      <w:r w:rsidR="00E15943">
        <w:rPr>
          <w:szCs w:val="24"/>
        </w:rPr>
        <w:t>17 June 2015,</w:t>
      </w:r>
      <w:r w:rsidRPr="00360A82">
        <w:rPr>
          <w:szCs w:val="24"/>
        </w:rPr>
        <w:t xml:space="preserve"> APRA made Australian Prudential Regulation Authority (confidentiality) determination N</w:t>
      </w:r>
      <w:r>
        <w:rPr>
          <w:szCs w:val="24"/>
        </w:rPr>
        <w:t xml:space="preserve">o.12 </w:t>
      </w:r>
      <w:r w:rsidR="004A6E5B">
        <w:rPr>
          <w:szCs w:val="24"/>
        </w:rPr>
        <w:t>of 2015 (the determination</w:t>
      </w:r>
      <w:r w:rsidRPr="00360A82">
        <w:rPr>
          <w:szCs w:val="24"/>
        </w:rPr>
        <w:t>) which</w:t>
      </w:r>
      <w:r w:rsidR="00006DB0">
        <w:rPr>
          <w:szCs w:val="24"/>
        </w:rPr>
        <w:t xml:space="preserve"> revokes Australian Prudential Regulation Authority (confidentiality) determination No.26 of 2013, and </w:t>
      </w:r>
      <w:r w:rsidRPr="00360A82">
        <w:rPr>
          <w:szCs w:val="24"/>
        </w:rPr>
        <w:t>determines</w:t>
      </w:r>
      <w:r w:rsidR="00006DB0">
        <w:rPr>
          <w:szCs w:val="24"/>
        </w:rPr>
        <w:t xml:space="preserve"> that certain information provided to APRA under specified reporting standards by life insurers and friendly societies, is not confidential. </w:t>
      </w:r>
    </w:p>
    <w:p w:rsidR="000802B6" w:rsidRPr="00AE1D17" w:rsidRDefault="0032656E" w:rsidP="00AE1D17">
      <w:pPr>
        <w:pStyle w:val="BodyText"/>
        <w:spacing w:before="240" w:after="60"/>
        <w:jc w:val="both"/>
        <w:rPr>
          <w:szCs w:val="24"/>
        </w:rPr>
      </w:pPr>
      <w:r>
        <w:rPr>
          <w:szCs w:val="24"/>
        </w:rPr>
        <w:t>The determination</w:t>
      </w:r>
      <w:r w:rsidR="000802B6">
        <w:rPr>
          <w:szCs w:val="24"/>
        </w:rPr>
        <w:t xml:space="preserve"> commences on the date of registration on the Federal Register of Legislative Instruments. </w:t>
      </w:r>
    </w:p>
    <w:p w:rsidR="00061925" w:rsidRPr="00AE1D17" w:rsidRDefault="000802B6" w:rsidP="00AE1D17">
      <w:pPr>
        <w:pStyle w:val="Heading"/>
        <w:keepNext/>
        <w:numPr>
          <w:ilvl w:val="0"/>
          <w:numId w:val="37"/>
        </w:numPr>
        <w:spacing w:before="240" w:after="60"/>
        <w:ind w:left="567" w:hanging="567"/>
        <w:outlineLvl w:val="0"/>
        <w:rPr>
          <w:szCs w:val="24"/>
        </w:rPr>
      </w:pPr>
      <w:r>
        <w:rPr>
          <w:sz w:val="24"/>
          <w:szCs w:val="24"/>
        </w:rPr>
        <w:t>Background</w:t>
      </w:r>
    </w:p>
    <w:p w:rsidR="00061925" w:rsidRPr="00061925" w:rsidRDefault="00061925" w:rsidP="00AE1D17">
      <w:pPr>
        <w:pStyle w:val="Heading"/>
        <w:keepNext/>
        <w:ind w:left="567"/>
        <w:outlineLvl w:val="0"/>
        <w:rPr>
          <w:szCs w:val="24"/>
        </w:rPr>
      </w:pPr>
    </w:p>
    <w:p w:rsidR="00EA3360" w:rsidRDefault="0028298E" w:rsidP="00AE1D17">
      <w:pPr>
        <w:spacing w:line="276" w:lineRule="auto"/>
      </w:pPr>
      <w:r>
        <w:t>Subsection 56(2) of the Act provides that it is an offence to disclose “protected information”</w:t>
      </w:r>
      <w:r>
        <w:rPr>
          <w:rStyle w:val="FootnoteReference"/>
        </w:rPr>
        <w:footnoteReference w:id="1"/>
      </w:r>
      <w:r>
        <w:t xml:space="preserve"> or a “protected document”</w:t>
      </w:r>
      <w:r>
        <w:rPr>
          <w:rStyle w:val="FootnoteReference"/>
        </w:rPr>
        <w:footnoteReference w:id="2"/>
      </w:r>
      <w:r>
        <w:t>, being information or documents provided to APRA under a “prudential supervision framework law”</w:t>
      </w:r>
      <w:r>
        <w:rPr>
          <w:rStyle w:val="FootnoteReference"/>
        </w:rPr>
        <w:footnoteReference w:id="3"/>
      </w:r>
      <w:r>
        <w:t xml:space="preserve">.  The </w:t>
      </w:r>
      <w:r>
        <w:rPr>
          <w:i/>
        </w:rPr>
        <w:t>Financial Sector (Collection of Data) Act 2001</w:t>
      </w:r>
      <w:r>
        <w:t xml:space="preserve"> (FSCOD Act) is a prudential supervision framework law, and the reportin</w:t>
      </w:r>
      <w:r w:rsidR="0032656E">
        <w:t>g forms listed in the determination</w:t>
      </w:r>
      <w:r>
        <w:t>, having been provided to APRA under that Act, are protected documents.</w:t>
      </w:r>
    </w:p>
    <w:p w:rsidR="00B732C0" w:rsidRDefault="00B732C0" w:rsidP="00AE1D17">
      <w:pPr>
        <w:spacing w:line="276" w:lineRule="auto"/>
      </w:pPr>
    </w:p>
    <w:p w:rsidR="0028298E" w:rsidRDefault="0028298E" w:rsidP="0028298E">
      <w:pPr>
        <w:spacing w:after="200" w:line="276" w:lineRule="auto"/>
      </w:pPr>
      <w:r>
        <w:t xml:space="preserve">Subsection 56(5C) of the Act provides that it is not an offence to disclose information in a reporting document given to APRA under section 13 of the FSCOD Act where APRA has made a determination under section 57 of the Act in relation to the information. </w:t>
      </w:r>
    </w:p>
    <w:p w:rsidR="0028298E" w:rsidRDefault="0028298E">
      <w:pPr>
        <w:spacing w:before="100" w:beforeAutospacing="1" w:after="100" w:afterAutospacing="1"/>
      </w:pPr>
      <w:r>
        <w:t xml:space="preserve">Under subsection 57(2) of the Act APRA may, by legislative instrument, determine that: </w:t>
      </w:r>
    </w:p>
    <w:p w:rsidR="0028298E" w:rsidRDefault="0028298E" w:rsidP="0028298E">
      <w:pPr>
        <w:pStyle w:val="ListParagraph"/>
        <w:numPr>
          <w:ilvl w:val="0"/>
          <w:numId w:val="38"/>
        </w:numPr>
        <w:spacing w:before="100" w:beforeAutospacing="1" w:after="100" w:afterAutospacing="1"/>
        <w:rPr>
          <w:rFonts w:ascii="Times New Roman" w:hAnsi="Times New Roman"/>
          <w:sz w:val="24"/>
          <w:szCs w:val="24"/>
        </w:rPr>
      </w:pPr>
      <w:r>
        <w:rPr>
          <w:rFonts w:ascii="Times New Roman" w:hAnsi="Times New Roman"/>
          <w:sz w:val="24"/>
          <w:szCs w:val="24"/>
        </w:rPr>
        <w:t xml:space="preserve">all or a specified part of a relevant reporting document does not contain confidential information; or </w:t>
      </w:r>
    </w:p>
    <w:p w:rsidR="0028298E" w:rsidRDefault="0028298E" w:rsidP="0028298E">
      <w:pPr>
        <w:pStyle w:val="ListParagraph"/>
        <w:numPr>
          <w:ilvl w:val="0"/>
          <w:numId w:val="38"/>
        </w:numPr>
        <w:spacing w:before="100" w:beforeAutospacing="1" w:after="100" w:afterAutospacing="1"/>
        <w:rPr>
          <w:rFonts w:ascii="Times New Roman" w:hAnsi="Times New Roman"/>
          <w:sz w:val="24"/>
          <w:szCs w:val="24"/>
        </w:rPr>
      </w:pPr>
      <w:r>
        <w:rPr>
          <w:rFonts w:ascii="Times New Roman" w:hAnsi="Times New Roman"/>
          <w:sz w:val="24"/>
          <w:szCs w:val="24"/>
        </w:rPr>
        <w:lastRenderedPageBreak/>
        <w:t xml:space="preserve">all or a specified part of relevant reporting documents of a specified kind do not contain confidential information; </w:t>
      </w:r>
    </w:p>
    <w:p w:rsidR="007D1E6D" w:rsidRDefault="0028298E" w:rsidP="000E61EA">
      <w:pPr>
        <w:pStyle w:val="BodyText"/>
        <w:spacing w:before="240" w:after="60"/>
        <w:rPr>
          <w:szCs w:val="24"/>
        </w:rPr>
      </w:pPr>
      <w:proofErr w:type="gramStart"/>
      <w:r>
        <w:rPr>
          <w:szCs w:val="24"/>
        </w:rPr>
        <w:t>if</w:t>
      </w:r>
      <w:proofErr w:type="gramEnd"/>
      <w:r>
        <w:rPr>
          <w:szCs w:val="24"/>
        </w:rPr>
        <w:t xml:space="preserve">, taking into account any representations made under subsection 57(3) in relation to the document or documents of that kind, APRA considers that the benefit to the public from the disclosure of the document or documents, or information contained in the document or documents, outweighs any detriment to commercial interests that the disclosure may cause.  </w:t>
      </w:r>
    </w:p>
    <w:p w:rsidR="004804E8" w:rsidRPr="005E69B2" w:rsidRDefault="004804E8" w:rsidP="00AE1D17">
      <w:pPr>
        <w:pStyle w:val="BodyText"/>
        <w:spacing w:after="0"/>
        <w:jc w:val="both"/>
        <w:rPr>
          <w:szCs w:val="24"/>
        </w:rPr>
      </w:pPr>
    </w:p>
    <w:p w:rsidR="0028298E" w:rsidRPr="00AE1D17" w:rsidRDefault="0028298E" w:rsidP="00AE1D17">
      <w:pPr>
        <w:pStyle w:val="BodyText"/>
        <w:numPr>
          <w:ilvl w:val="0"/>
          <w:numId w:val="37"/>
        </w:numPr>
        <w:rPr>
          <w:szCs w:val="24"/>
        </w:rPr>
      </w:pPr>
      <w:r>
        <w:rPr>
          <w:b/>
          <w:szCs w:val="24"/>
        </w:rPr>
        <w:t>Purpose and ope</w:t>
      </w:r>
      <w:r w:rsidR="0032656E">
        <w:rPr>
          <w:b/>
          <w:szCs w:val="24"/>
        </w:rPr>
        <w:t>ration of the determination</w:t>
      </w:r>
    </w:p>
    <w:p w:rsidR="00790D6F" w:rsidRDefault="005672BF" w:rsidP="0028298E">
      <w:pPr>
        <w:pStyle w:val="BodyText"/>
        <w:rPr>
          <w:color w:val="000000"/>
          <w:szCs w:val="24"/>
        </w:rPr>
      </w:pPr>
      <w:r>
        <w:rPr>
          <w:szCs w:val="24"/>
        </w:rPr>
        <w:t>The</w:t>
      </w:r>
      <w:r w:rsidR="00790D6F" w:rsidRPr="0055191B">
        <w:rPr>
          <w:szCs w:val="24"/>
        </w:rPr>
        <w:t xml:space="preserve"> </w:t>
      </w:r>
      <w:r w:rsidR="00AE1F9F">
        <w:rPr>
          <w:szCs w:val="24"/>
        </w:rPr>
        <w:t>d</w:t>
      </w:r>
      <w:r w:rsidR="00790D6F" w:rsidRPr="0055191B">
        <w:rPr>
          <w:szCs w:val="24"/>
        </w:rPr>
        <w:t xml:space="preserve">etermination provides that </w:t>
      </w:r>
      <w:r w:rsidR="001E1478">
        <w:rPr>
          <w:szCs w:val="24"/>
        </w:rPr>
        <w:t xml:space="preserve">certain information </w:t>
      </w:r>
      <w:r w:rsidR="00790D6F" w:rsidRPr="0055191B">
        <w:rPr>
          <w:szCs w:val="24"/>
        </w:rPr>
        <w:t xml:space="preserve">given to APRA under </w:t>
      </w:r>
      <w:r w:rsidR="007D1E6D">
        <w:rPr>
          <w:szCs w:val="24"/>
        </w:rPr>
        <w:t>certain</w:t>
      </w:r>
      <w:r w:rsidR="00790D6F" w:rsidRPr="0055191B">
        <w:rPr>
          <w:szCs w:val="24"/>
        </w:rPr>
        <w:t xml:space="preserve"> reporting standards</w:t>
      </w:r>
      <w:r w:rsidR="007D1E6D">
        <w:rPr>
          <w:szCs w:val="24"/>
        </w:rPr>
        <w:t xml:space="preserve"> specified</w:t>
      </w:r>
      <w:r w:rsidR="00790D6F" w:rsidRPr="00495648">
        <w:rPr>
          <w:szCs w:val="24"/>
        </w:rPr>
        <w:t xml:space="preserve"> in </w:t>
      </w:r>
      <w:r w:rsidR="003F58F1">
        <w:rPr>
          <w:szCs w:val="24"/>
        </w:rPr>
        <w:t>the determination</w:t>
      </w:r>
      <w:r w:rsidR="00790D6F" w:rsidRPr="00495648">
        <w:rPr>
          <w:szCs w:val="24"/>
        </w:rPr>
        <w:t xml:space="preserve"> is non</w:t>
      </w:r>
      <w:r w:rsidR="00790D6F" w:rsidRPr="0055191B">
        <w:rPr>
          <w:szCs w:val="24"/>
        </w:rPr>
        <w:t xml:space="preserve">-confidential. </w:t>
      </w:r>
      <w:r w:rsidRPr="005672BF">
        <w:rPr>
          <w:szCs w:val="24"/>
        </w:rPr>
        <w:t xml:space="preserve">The reporting standards </w:t>
      </w:r>
      <w:r w:rsidR="00B445B5">
        <w:rPr>
          <w:szCs w:val="24"/>
        </w:rPr>
        <w:t>referred to in the determination</w:t>
      </w:r>
      <w:r w:rsidRPr="005672BF">
        <w:rPr>
          <w:szCs w:val="24"/>
        </w:rPr>
        <w:t xml:space="preserve"> were made under section 13 of the FSCOD Act.</w:t>
      </w:r>
      <w:r>
        <w:rPr>
          <w:szCs w:val="24"/>
        </w:rPr>
        <w:t xml:space="preserve"> </w:t>
      </w:r>
      <w:r w:rsidR="00790D6F" w:rsidRPr="0055191B">
        <w:rPr>
          <w:szCs w:val="24"/>
        </w:rPr>
        <w:t xml:space="preserve">This </w:t>
      </w:r>
      <w:r w:rsidR="00AE1F9F">
        <w:rPr>
          <w:szCs w:val="24"/>
        </w:rPr>
        <w:t>d</w:t>
      </w:r>
      <w:r w:rsidR="00790D6F" w:rsidRPr="0055191B">
        <w:rPr>
          <w:szCs w:val="24"/>
        </w:rPr>
        <w:t>etermination applies to all</w:t>
      </w:r>
      <w:r w:rsidR="00790D6F">
        <w:rPr>
          <w:szCs w:val="24"/>
        </w:rPr>
        <w:t xml:space="preserve"> life</w:t>
      </w:r>
      <w:r w:rsidR="00790D6F" w:rsidRPr="0055191B">
        <w:rPr>
          <w:color w:val="000000"/>
        </w:rPr>
        <w:t xml:space="preserve"> insurers, including foreign </w:t>
      </w:r>
      <w:r w:rsidR="00790D6F">
        <w:rPr>
          <w:color w:val="000000"/>
        </w:rPr>
        <w:t xml:space="preserve">life </w:t>
      </w:r>
      <w:r w:rsidR="00790D6F" w:rsidRPr="0055191B">
        <w:rPr>
          <w:color w:val="000000"/>
        </w:rPr>
        <w:t xml:space="preserve">insurers </w:t>
      </w:r>
      <w:r w:rsidR="00790D6F" w:rsidRPr="0055191B">
        <w:rPr>
          <w:color w:val="000000"/>
          <w:szCs w:val="24"/>
        </w:rPr>
        <w:t>operating in Australia through branch operations</w:t>
      </w:r>
      <w:r w:rsidR="00790D6F">
        <w:rPr>
          <w:color w:val="000000"/>
          <w:szCs w:val="24"/>
        </w:rPr>
        <w:t>, and friendly societies</w:t>
      </w:r>
      <w:r w:rsidR="00790D6F" w:rsidRPr="0055191B">
        <w:rPr>
          <w:color w:val="000000"/>
          <w:szCs w:val="24"/>
        </w:rPr>
        <w:t>.</w:t>
      </w:r>
    </w:p>
    <w:p w:rsidR="001E1478" w:rsidRDefault="0028298E" w:rsidP="00AE1D17">
      <w:pPr>
        <w:pStyle w:val="BodyText"/>
        <w:rPr>
          <w:b/>
          <w:color w:val="000000"/>
          <w:szCs w:val="24"/>
        </w:rPr>
      </w:pPr>
      <w:r>
        <w:rPr>
          <w:szCs w:val="24"/>
        </w:rPr>
        <w:t xml:space="preserve">This information </w:t>
      </w:r>
      <w:r w:rsidR="001A3E9C">
        <w:rPr>
          <w:szCs w:val="24"/>
        </w:rPr>
        <w:t xml:space="preserve">which is determined by the instrument to be non-confidential will form the basis of statistical publications which </w:t>
      </w:r>
      <w:r>
        <w:rPr>
          <w:szCs w:val="24"/>
        </w:rPr>
        <w:t>will be of use to regulators, policymakers, industry, researchers, analysts and other interested parties.</w:t>
      </w:r>
    </w:p>
    <w:p w:rsidR="00790D6F" w:rsidRPr="0030580F" w:rsidRDefault="00790D6F" w:rsidP="00AE1D17">
      <w:pPr>
        <w:pStyle w:val="BodyText"/>
        <w:numPr>
          <w:ilvl w:val="0"/>
          <w:numId w:val="37"/>
        </w:numPr>
        <w:spacing w:after="0"/>
        <w:rPr>
          <w:b/>
          <w:color w:val="000000"/>
          <w:szCs w:val="24"/>
        </w:rPr>
      </w:pPr>
      <w:r w:rsidRPr="0030580F">
        <w:rPr>
          <w:b/>
          <w:color w:val="000000"/>
          <w:szCs w:val="24"/>
        </w:rPr>
        <w:t>Consultation</w:t>
      </w:r>
    </w:p>
    <w:p w:rsidR="00790D6F" w:rsidRPr="0030580F" w:rsidRDefault="00790D6F" w:rsidP="001E78E1">
      <w:pPr>
        <w:pStyle w:val="BodyText"/>
        <w:spacing w:after="0"/>
        <w:rPr>
          <w:color w:val="000000"/>
          <w:szCs w:val="24"/>
        </w:rPr>
      </w:pPr>
    </w:p>
    <w:p w:rsidR="00790D6F" w:rsidRPr="00D67213" w:rsidRDefault="00790D6F" w:rsidP="001E78E1">
      <w:pPr>
        <w:pStyle w:val="BodyText"/>
        <w:spacing w:after="0"/>
        <w:rPr>
          <w:color w:val="000000"/>
          <w:szCs w:val="24"/>
        </w:rPr>
      </w:pPr>
      <w:r w:rsidRPr="00C84CF4">
        <w:rPr>
          <w:color w:val="000000"/>
          <w:szCs w:val="24"/>
        </w:rPr>
        <w:t>In accordance with</w:t>
      </w:r>
      <w:r w:rsidR="009F6E59" w:rsidRPr="00C84CF4">
        <w:rPr>
          <w:color w:val="000000"/>
          <w:szCs w:val="24"/>
        </w:rPr>
        <w:t xml:space="preserve"> the requirements for consultation under</w:t>
      </w:r>
      <w:r w:rsidRPr="00C84CF4">
        <w:rPr>
          <w:color w:val="000000"/>
          <w:szCs w:val="24"/>
        </w:rPr>
        <w:t xml:space="preserve"> s</w:t>
      </w:r>
      <w:r w:rsidR="009F6E59" w:rsidRPr="00C84CF4">
        <w:rPr>
          <w:color w:val="000000"/>
          <w:szCs w:val="24"/>
        </w:rPr>
        <w:t>ection</w:t>
      </w:r>
      <w:r w:rsidRPr="00C84CF4">
        <w:rPr>
          <w:color w:val="000000"/>
          <w:szCs w:val="24"/>
        </w:rPr>
        <w:t xml:space="preserve"> 57</w:t>
      </w:r>
      <w:r w:rsidR="009F6E59" w:rsidRPr="00C84CF4">
        <w:rPr>
          <w:color w:val="000000"/>
          <w:szCs w:val="24"/>
        </w:rPr>
        <w:t xml:space="preserve"> of the Act</w:t>
      </w:r>
      <w:r w:rsidRPr="00C84CF4">
        <w:rPr>
          <w:color w:val="000000"/>
          <w:szCs w:val="24"/>
        </w:rPr>
        <w:t>, APRA released a discussion paper on 22 February 2013 that proposed that all life insurance and friendly society data</w:t>
      </w:r>
      <w:r w:rsidR="00C84CF4" w:rsidRPr="00AE1D17">
        <w:rPr>
          <w:color w:val="000000"/>
          <w:szCs w:val="24"/>
        </w:rPr>
        <w:t xml:space="preserve"> provided under section 13 </w:t>
      </w:r>
      <w:r w:rsidR="00E15943">
        <w:rPr>
          <w:color w:val="000000"/>
          <w:szCs w:val="24"/>
        </w:rPr>
        <w:t xml:space="preserve">of the </w:t>
      </w:r>
      <w:r w:rsidR="00C84CF4" w:rsidRPr="00AE1D17">
        <w:rPr>
          <w:color w:val="000000"/>
          <w:szCs w:val="24"/>
        </w:rPr>
        <w:t>FSCOD Act</w:t>
      </w:r>
      <w:r w:rsidRPr="00D67213">
        <w:rPr>
          <w:color w:val="000000"/>
          <w:szCs w:val="24"/>
        </w:rPr>
        <w:t xml:space="preserve"> be determined non-confidential, as well as proposals to change its statistical publications. The discussion paper provided all affected entities an opportunity to make representations on the proposed determination. The consultation period ended on 5 April 2013. APRA also invited some affected entities to make additional representations to clarify their submissions in response to the discussion paper, particularly in relation to proposed disclosures in institution-level publications. </w:t>
      </w:r>
    </w:p>
    <w:p w:rsidR="00790D6F" w:rsidRPr="00426D50" w:rsidRDefault="00790D6F" w:rsidP="001E78E1">
      <w:pPr>
        <w:pStyle w:val="BodyText"/>
        <w:spacing w:after="0"/>
        <w:rPr>
          <w:color w:val="000000"/>
          <w:szCs w:val="24"/>
          <w:highlight w:val="yellow"/>
        </w:rPr>
      </w:pPr>
    </w:p>
    <w:p w:rsidR="00790D6F" w:rsidRPr="00D67213" w:rsidRDefault="00790D6F" w:rsidP="001E78E1">
      <w:pPr>
        <w:pStyle w:val="BodyText"/>
        <w:spacing w:after="0"/>
        <w:rPr>
          <w:color w:val="000000"/>
          <w:szCs w:val="24"/>
        </w:rPr>
      </w:pPr>
      <w:r w:rsidRPr="00D67213">
        <w:rPr>
          <w:color w:val="000000"/>
          <w:szCs w:val="24"/>
        </w:rPr>
        <w:t>APRA received submissions from four entities and representative associations during the consultation. These submissions supported the life insurance publications, and supported the principles behind the proposals to make life insurance data non-confidential. However, some submissions suggested that making all data non-confidential would cause detriment to commercial interests; particularly data at a product level, and information relating to individual counterparties.</w:t>
      </w:r>
    </w:p>
    <w:p w:rsidR="00790D6F" w:rsidRPr="00426D50" w:rsidRDefault="00790D6F" w:rsidP="001E78E1">
      <w:pPr>
        <w:pStyle w:val="BodyText"/>
        <w:spacing w:after="0"/>
        <w:rPr>
          <w:color w:val="000000"/>
          <w:szCs w:val="24"/>
          <w:highlight w:val="yellow"/>
        </w:rPr>
      </w:pPr>
    </w:p>
    <w:p w:rsidR="00F746DB" w:rsidRPr="00F746DB" w:rsidRDefault="00094A9D" w:rsidP="00F746DB">
      <w:pPr>
        <w:pStyle w:val="BodyText"/>
        <w:spacing w:after="0"/>
        <w:rPr>
          <w:color w:val="000000"/>
          <w:szCs w:val="24"/>
        </w:rPr>
      </w:pPr>
      <w:r w:rsidRPr="00094A9D">
        <w:rPr>
          <w:color w:val="000000"/>
          <w:szCs w:val="24"/>
        </w:rPr>
        <w:t xml:space="preserve">Insurance industry participants and APRA agreed on a staged approach to the confidentiality process. </w:t>
      </w:r>
      <w:r w:rsidR="00F746DB" w:rsidRPr="00F746DB">
        <w:rPr>
          <w:color w:val="000000"/>
          <w:szCs w:val="24"/>
        </w:rPr>
        <w:t xml:space="preserve">In December 2013, APRA </w:t>
      </w:r>
      <w:r w:rsidR="00F746DB">
        <w:rPr>
          <w:color w:val="000000"/>
          <w:szCs w:val="24"/>
        </w:rPr>
        <w:t>publish</w:t>
      </w:r>
      <w:r w:rsidR="00F746DB" w:rsidRPr="00F746DB">
        <w:rPr>
          <w:color w:val="000000"/>
          <w:szCs w:val="24"/>
        </w:rPr>
        <w:t xml:space="preserve">ed </w:t>
      </w:r>
      <w:r w:rsidR="00F746DB">
        <w:rPr>
          <w:color w:val="000000"/>
          <w:szCs w:val="24"/>
        </w:rPr>
        <w:t>its stage</w:t>
      </w:r>
      <w:r w:rsidR="009354E4">
        <w:rPr>
          <w:color w:val="000000"/>
          <w:szCs w:val="24"/>
        </w:rPr>
        <w:t>-</w:t>
      </w:r>
      <w:r w:rsidR="00F746DB">
        <w:rPr>
          <w:color w:val="000000"/>
          <w:szCs w:val="24"/>
        </w:rPr>
        <w:t>one</w:t>
      </w:r>
      <w:r w:rsidR="00F746DB" w:rsidRPr="00F746DB">
        <w:rPr>
          <w:color w:val="000000"/>
          <w:szCs w:val="24"/>
        </w:rPr>
        <w:t xml:space="preserve"> determination which only included information that entities and representative associations suggested would not be detrimental to their commercial interests. </w:t>
      </w:r>
    </w:p>
    <w:p w:rsidR="003D486D" w:rsidRDefault="003D486D" w:rsidP="00094A9D">
      <w:pPr>
        <w:pStyle w:val="BodyText"/>
        <w:spacing w:after="0"/>
        <w:rPr>
          <w:color w:val="000000"/>
          <w:szCs w:val="24"/>
        </w:rPr>
      </w:pPr>
    </w:p>
    <w:p w:rsidR="00094A9D" w:rsidRDefault="00F746DB" w:rsidP="000E61EA">
      <w:pPr>
        <w:spacing w:line="23" w:lineRule="atLeast"/>
        <w:rPr>
          <w:rFonts w:ascii="Trebuchet MS" w:hAnsi="Trebuchet MS"/>
        </w:rPr>
      </w:pPr>
      <w:r>
        <w:t>In January 2014, APRA held further discussions with industry on their concerns relating to data</w:t>
      </w:r>
      <w:r w:rsidR="00BB153B">
        <w:t xml:space="preserve"> not included in stage one. </w:t>
      </w:r>
      <w:r w:rsidR="00094A9D" w:rsidRPr="0072509D">
        <w:t>APRA</w:t>
      </w:r>
      <w:r w:rsidR="00BB153B">
        <w:t xml:space="preserve"> then</w:t>
      </w:r>
      <w:r w:rsidR="00094A9D" w:rsidRPr="0072509D">
        <w:t xml:space="preserve"> </w:t>
      </w:r>
      <w:r w:rsidR="003D486D">
        <w:t>further assessed the trade-offs between</w:t>
      </w:r>
      <w:r w:rsidR="00094A9D" w:rsidRPr="0072509D">
        <w:t xml:space="preserve"> the public benefit and commercial detriment of the remaining data proposed to be determined non-confidential in the February 2013 discussion paper.</w:t>
      </w:r>
    </w:p>
    <w:p w:rsidR="00094A9D" w:rsidRDefault="00094A9D" w:rsidP="00816A29">
      <w:pPr>
        <w:pStyle w:val="BodyText"/>
        <w:spacing w:after="0"/>
        <w:rPr>
          <w:color w:val="000000"/>
          <w:szCs w:val="24"/>
          <w:highlight w:val="yellow"/>
        </w:rPr>
      </w:pPr>
    </w:p>
    <w:p w:rsidR="00790D6F" w:rsidRDefault="00790D6F" w:rsidP="001E78E1">
      <w:pPr>
        <w:pStyle w:val="BodyText"/>
        <w:spacing w:after="0"/>
        <w:rPr>
          <w:color w:val="000000"/>
          <w:szCs w:val="24"/>
        </w:rPr>
      </w:pPr>
      <w:r w:rsidRPr="00D67213">
        <w:rPr>
          <w:color w:val="000000"/>
          <w:szCs w:val="24"/>
        </w:rPr>
        <w:lastRenderedPageBreak/>
        <w:t xml:space="preserve">APRA </w:t>
      </w:r>
      <w:r w:rsidR="00BB153B">
        <w:rPr>
          <w:color w:val="000000"/>
          <w:szCs w:val="24"/>
        </w:rPr>
        <w:t xml:space="preserve">now </w:t>
      </w:r>
      <w:r w:rsidRPr="00D67213">
        <w:rPr>
          <w:color w:val="000000"/>
          <w:szCs w:val="24"/>
        </w:rPr>
        <w:t>considers, after taking affected entities’ representations into account</w:t>
      </w:r>
      <w:r w:rsidR="00B142FE">
        <w:rPr>
          <w:color w:val="000000"/>
          <w:szCs w:val="24"/>
        </w:rPr>
        <w:t>,</w:t>
      </w:r>
      <w:r w:rsidR="00624067" w:rsidRPr="00D67213">
        <w:rPr>
          <w:color w:val="000000"/>
          <w:szCs w:val="24"/>
        </w:rPr>
        <w:t xml:space="preserve"> that there is a strong public interest in the publication of the information in the </w:t>
      </w:r>
      <w:r w:rsidR="009354E4">
        <w:rPr>
          <w:color w:val="000000"/>
          <w:szCs w:val="24"/>
        </w:rPr>
        <w:t xml:space="preserve">latest </w:t>
      </w:r>
      <w:r w:rsidR="00624067" w:rsidRPr="00D67213">
        <w:rPr>
          <w:color w:val="000000"/>
          <w:szCs w:val="24"/>
        </w:rPr>
        <w:t>determination, and this outweighs any potential detrimental effect to the commercial interests of life insurers and friendly societies</w:t>
      </w:r>
      <w:r w:rsidRPr="00D67213">
        <w:rPr>
          <w:color w:val="000000"/>
          <w:szCs w:val="24"/>
        </w:rPr>
        <w:t>.</w:t>
      </w:r>
    </w:p>
    <w:p w:rsidR="00790D6F" w:rsidRDefault="00790D6F" w:rsidP="001E78E1">
      <w:pPr>
        <w:pStyle w:val="BodyText"/>
        <w:spacing w:after="0"/>
        <w:rPr>
          <w:szCs w:val="24"/>
        </w:rPr>
      </w:pPr>
    </w:p>
    <w:p w:rsidR="00790D6F" w:rsidRPr="009467C9" w:rsidRDefault="00790D6F" w:rsidP="00AE1D17">
      <w:pPr>
        <w:pStyle w:val="ListParagraph"/>
        <w:numPr>
          <w:ilvl w:val="0"/>
          <w:numId w:val="37"/>
        </w:numPr>
        <w:autoSpaceDE w:val="0"/>
        <w:autoSpaceDN w:val="0"/>
        <w:adjustRightInd w:val="0"/>
        <w:rPr>
          <w:b/>
          <w:i/>
          <w:szCs w:val="24"/>
        </w:rPr>
      </w:pPr>
      <w:r w:rsidRPr="009467C9">
        <w:rPr>
          <w:rFonts w:ascii="Times New Roman" w:hAnsi="Times New Roman"/>
          <w:b/>
          <w:sz w:val="24"/>
          <w:szCs w:val="24"/>
        </w:rPr>
        <w:t>Statement of compatibility with human rights prepared in accordance with</w:t>
      </w:r>
      <w:r w:rsidRPr="009467C9">
        <w:rPr>
          <w:rFonts w:ascii="Times New Roman" w:hAnsi="Times New Roman"/>
          <w:i/>
          <w:sz w:val="24"/>
          <w:szCs w:val="24"/>
        </w:rPr>
        <w:t xml:space="preserve"> </w:t>
      </w:r>
      <w:r w:rsidRPr="009467C9">
        <w:rPr>
          <w:rFonts w:ascii="Times New Roman" w:hAnsi="Times New Roman"/>
          <w:b/>
          <w:sz w:val="24"/>
          <w:szCs w:val="24"/>
        </w:rPr>
        <w:t>Part 3 of the</w:t>
      </w:r>
      <w:r w:rsidRPr="009467C9">
        <w:rPr>
          <w:rFonts w:ascii="Times New Roman" w:hAnsi="Times New Roman"/>
          <w:b/>
          <w:i/>
          <w:sz w:val="24"/>
          <w:szCs w:val="24"/>
        </w:rPr>
        <w:t xml:space="preserve"> Human Rights (Parliamentary Scrutiny) Act 2011</w:t>
      </w:r>
    </w:p>
    <w:p w:rsidR="00790D6F" w:rsidRDefault="00790D6F" w:rsidP="001E78E1">
      <w:pPr>
        <w:pStyle w:val="BodyText"/>
        <w:spacing w:after="0"/>
        <w:rPr>
          <w:szCs w:val="24"/>
        </w:rPr>
      </w:pPr>
    </w:p>
    <w:p w:rsidR="00790D6F" w:rsidRDefault="00790D6F" w:rsidP="006B7429">
      <w:pPr>
        <w:autoSpaceDE w:val="0"/>
        <w:autoSpaceDN w:val="0"/>
        <w:adjustRightInd w:val="0"/>
        <w:jc w:val="both"/>
        <w:rPr>
          <w:szCs w:val="24"/>
        </w:rPr>
      </w:pPr>
      <w:r>
        <w:rPr>
          <w:szCs w:val="24"/>
        </w:rPr>
        <w:t xml:space="preserve">A Statement of Compatibility with Human Rights is Appendix </w:t>
      </w:r>
      <w:r w:rsidR="00B445B5">
        <w:rPr>
          <w:szCs w:val="24"/>
        </w:rPr>
        <w:t>A</w:t>
      </w:r>
      <w:r>
        <w:rPr>
          <w:szCs w:val="24"/>
        </w:rPr>
        <w:t xml:space="preserve"> to this Explanatory Statement.</w:t>
      </w:r>
    </w:p>
    <w:p w:rsidR="00790D6F" w:rsidRDefault="00790D6F" w:rsidP="006B7429">
      <w:pPr>
        <w:autoSpaceDE w:val="0"/>
        <w:autoSpaceDN w:val="0"/>
        <w:adjustRightInd w:val="0"/>
        <w:jc w:val="both"/>
        <w:rPr>
          <w:szCs w:val="24"/>
        </w:rPr>
      </w:pPr>
    </w:p>
    <w:p w:rsidR="00790D6F" w:rsidRPr="0030580F" w:rsidRDefault="00790D6F" w:rsidP="001E78E1">
      <w:pPr>
        <w:pStyle w:val="BodyText"/>
        <w:spacing w:after="0"/>
        <w:rPr>
          <w:color w:val="000000"/>
          <w:szCs w:val="24"/>
        </w:rPr>
      </w:pPr>
    </w:p>
    <w:p w:rsidR="00790D6F" w:rsidRPr="00B445B5" w:rsidRDefault="00790D6F" w:rsidP="00B445B5">
      <w:pPr>
        <w:rPr>
          <w:b/>
          <w:sz w:val="28"/>
          <w:szCs w:val="28"/>
        </w:rPr>
      </w:pPr>
      <w:r w:rsidRPr="0030580F">
        <w:rPr>
          <w:szCs w:val="24"/>
        </w:rPr>
        <w:br w:type="page"/>
      </w:r>
      <w:r w:rsidRPr="00B445B5">
        <w:rPr>
          <w:b/>
          <w:sz w:val="28"/>
          <w:szCs w:val="28"/>
        </w:rPr>
        <w:lastRenderedPageBreak/>
        <w:t xml:space="preserve">Appendix </w:t>
      </w:r>
      <w:r w:rsidR="00B445B5">
        <w:rPr>
          <w:b/>
          <w:sz w:val="28"/>
          <w:szCs w:val="28"/>
        </w:rPr>
        <w:t>A</w:t>
      </w:r>
    </w:p>
    <w:p w:rsidR="00790D6F" w:rsidRDefault="00790D6F" w:rsidP="003E6B91">
      <w:pPr>
        <w:pStyle w:val="Title"/>
        <w:spacing w:before="0"/>
        <w:rPr>
          <w:sz w:val="24"/>
          <w:szCs w:val="24"/>
        </w:rPr>
      </w:pPr>
    </w:p>
    <w:p w:rsidR="00790D6F" w:rsidRDefault="00790D6F" w:rsidP="000E071E">
      <w:pPr>
        <w:autoSpaceDE w:val="0"/>
        <w:autoSpaceDN w:val="0"/>
        <w:adjustRightInd w:val="0"/>
        <w:jc w:val="center"/>
        <w:rPr>
          <w:b/>
          <w:szCs w:val="24"/>
        </w:rPr>
      </w:pPr>
      <w:r w:rsidRPr="0084044C">
        <w:rPr>
          <w:b/>
          <w:szCs w:val="24"/>
        </w:rPr>
        <w:t xml:space="preserve">Statement of </w:t>
      </w:r>
      <w:r>
        <w:rPr>
          <w:b/>
          <w:szCs w:val="24"/>
        </w:rPr>
        <w:t>C</w:t>
      </w:r>
      <w:r w:rsidRPr="0084044C">
        <w:rPr>
          <w:b/>
          <w:szCs w:val="24"/>
        </w:rPr>
        <w:t xml:space="preserve">ompatibility </w:t>
      </w:r>
      <w:r>
        <w:rPr>
          <w:b/>
          <w:szCs w:val="24"/>
        </w:rPr>
        <w:t>with Human Rights</w:t>
      </w:r>
    </w:p>
    <w:p w:rsidR="00790D6F" w:rsidRDefault="00790D6F" w:rsidP="000E071E">
      <w:pPr>
        <w:autoSpaceDE w:val="0"/>
        <w:autoSpaceDN w:val="0"/>
        <w:adjustRightInd w:val="0"/>
        <w:jc w:val="center"/>
        <w:rPr>
          <w:b/>
          <w:szCs w:val="24"/>
        </w:rPr>
      </w:pPr>
    </w:p>
    <w:p w:rsidR="00790D6F" w:rsidRPr="00DB0B90" w:rsidRDefault="00790D6F" w:rsidP="000E071E">
      <w:pPr>
        <w:autoSpaceDE w:val="0"/>
        <w:autoSpaceDN w:val="0"/>
        <w:adjustRightInd w:val="0"/>
        <w:jc w:val="both"/>
        <w:rPr>
          <w:i/>
          <w:szCs w:val="24"/>
        </w:rPr>
      </w:pPr>
      <w:r w:rsidRPr="00DB0B90">
        <w:rPr>
          <w:i/>
          <w:szCs w:val="24"/>
        </w:rPr>
        <w:t>Prepared in accordance with Part 3 of the Human Rights (Parliamentary Scrutiny) Act 2011</w:t>
      </w:r>
    </w:p>
    <w:p w:rsidR="00790D6F" w:rsidRDefault="00790D6F" w:rsidP="000E071E">
      <w:pPr>
        <w:pStyle w:val="Title"/>
        <w:spacing w:before="0"/>
        <w:jc w:val="left"/>
        <w:rPr>
          <w:sz w:val="24"/>
          <w:szCs w:val="24"/>
        </w:rPr>
      </w:pPr>
    </w:p>
    <w:p w:rsidR="00790D6F" w:rsidRPr="00516CDD" w:rsidRDefault="00790D6F" w:rsidP="003E6B91">
      <w:pPr>
        <w:pStyle w:val="Title"/>
        <w:spacing w:before="0"/>
        <w:rPr>
          <w:sz w:val="24"/>
          <w:szCs w:val="24"/>
        </w:rPr>
      </w:pPr>
      <w:r w:rsidRPr="00481343">
        <w:rPr>
          <w:sz w:val="24"/>
          <w:szCs w:val="24"/>
        </w:rPr>
        <w:t xml:space="preserve">Australian </w:t>
      </w:r>
      <w:r w:rsidRPr="00516CDD">
        <w:rPr>
          <w:sz w:val="24"/>
          <w:szCs w:val="24"/>
        </w:rPr>
        <w:t>Prudential Regulation Authority (confidentiality) determination</w:t>
      </w:r>
    </w:p>
    <w:p w:rsidR="00790D6F" w:rsidRPr="00516CDD" w:rsidRDefault="00790D6F" w:rsidP="003E6B91">
      <w:pPr>
        <w:pStyle w:val="Title"/>
        <w:spacing w:before="0"/>
        <w:rPr>
          <w:sz w:val="24"/>
          <w:szCs w:val="24"/>
        </w:rPr>
      </w:pPr>
      <w:r w:rsidRPr="00516CDD">
        <w:rPr>
          <w:sz w:val="24"/>
          <w:szCs w:val="24"/>
        </w:rPr>
        <w:t>No.</w:t>
      </w:r>
      <w:r w:rsidR="007D5B86">
        <w:rPr>
          <w:sz w:val="24"/>
          <w:szCs w:val="24"/>
        </w:rPr>
        <w:t xml:space="preserve"> </w:t>
      </w:r>
      <w:r w:rsidR="00B920E6">
        <w:rPr>
          <w:sz w:val="24"/>
          <w:szCs w:val="24"/>
        </w:rPr>
        <w:t>12</w:t>
      </w:r>
      <w:r w:rsidR="00FA02E9">
        <w:rPr>
          <w:sz w:val="24"/>
          <w:szCs w:val="24"/>
        </w:rPr>
        <w:t xml:space="preserve"> </w:t>
      </w:r>
      <w:r w:rsidR="007F71DA">
        <w:rPr>
          <w:sz w:val="24"/>
          <w:szCs w:val="24"/>
        </w:rPr>
        <w:t>of 2015</w:t>
      </w:r>
    </w:p>
    <w:p w:rsidR="00790D6F" w:rsidRDefault="00790D6F" w:rsidP="003E6B91">
      <w:pPr>
        <w:pStyle w:val="BodyText"/>
        <w:spacing w:after="0"/>
        <w:rPr>
          <w:szCs w:val="24"/>
        </w:rPr>
      </w:pPr>
    </w:p>
    <w:p w:rsidR="00790D6F" w:rsidRDefault="00790D6F" w:rsidP="003E6B91">
      <w:pPr>
        <w:pStyle w:val="BodyText"/>
        <w:spacing w:after="0"/>
        <w:rPr>
          <w:i/>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p>
    <w:p w:rsidR="00790D6F" w:rsidRDefault="00790D6F" w:rsidP="003E6B91">
      <w:pPr>
        <w:pStyle w:val="BodyText"/>
        <w:spacing w:after="0"/>
        <w:rPr>
          <w:i/>
          <w:szCs w:val="24"/>
        </w:rPr>
      </w:pPr>
    </w:p>
    <w:p w:rsidR="00790D6F" w:rsidRDefault="00790D6F" w:rsidP="003E6B91">
      <w:pPr>
        <w:pStyle w:val="BodyText"/>
        <w:spacing w:after="0"/>
        <w:rPr>
          <w:b/>
          <w:szCs w:val="24"/>
        </w:rPr>
      </w:pPr>
      <w:r w:rsidRPr="00740541">
        <w:rPr>
          <w:b/>
          <w:szCs w:val="24"/>
        </w:rPr>
        <w:t>Overview of the Legislative Instrument</w:t>
      </w:r>
    </w:p>
    <w:p w:rsidR="00790D6F" w:rsidRDefault="00790D6F" w:rsidP="003E6B91">
      <w:pPr>
        <w:pStyle w:val="BodyText"/>
        <w:spacing w:after="0"/>
        <w:rPr>
          <w:b/>
          <w:szCs w:val="24"/>
        </w:rPr>
      </w:pPr>
    </w:p>
    <w:p w:rsidR="00790D6F" w:rsidRDefault="00790D6F" w:rsidP="003E6B91">
      <w:pPr>
        <w:pStyle w:val="BodyText"/>
      </w:pPr>
      <w:r>
        <w:t>This Legislative Instrument will enable APRA to disclose (including by way of publication in industry bulletins) certain information provided to it by life insurers</w:t>
      </w:r>
      <w:r w:rsidR="007D5B86">
        <w:t xml:space="preserve"> and friendly societies</w:t>
      </w:r>
      <w:r>
        <w:t xml:space="preserve"> </w:t>
      </w:r>
      <w:r w:rsidR="00FA02E9">
        <w:t xml:space="preserve">under </w:t>
      </w:r>
      <w:r>
        <w:t>certain reporting standards.  This information will be of use to</w:t>
      </w:r>
      <w:r w:rsidR="00327C3D">
        <w:t xml:space="preserve"> inter alia, </w:t>
      </w:r>
      <w:r>
        <w:t xml:space="preserve">regulators, policymakers, industry, researchers and analysts. </w:t>
      </w:r>
    </w:p>
    <w:p w:rsidR="00790D6F" w:rsidRDefault="00790D6F" w:rsidP="003E6B91">
      <w:pPr>
        <w:pStyle w:val="BodyText"/>
        <w:rPr>
          <w:b/>
        </w:rPr>
      </w:pPr>
      <w:r>
        <w:rPr>
          <w:b/>
        </w:rPr>
        <w:t>Human rights implications</w:t>
      </w:r>
    </w:p>
    <w:p w:rsidR="00790D6F" w:rsidRDefault="00790D6F" w:rsidP="00F90527">
      <w:pPr>
        <w:pStyle w:val="BodyText"/>
      </w:pPr>
      <w:r>
        <w:t xml:space="preserve">APRA has assessed this Legislative Instrument against the international instruments listed in section 3 of the </w:t>
      </w:r>
      <w:r w:rsidRPr="00792245">
        <w:rPr>
          <w:i/>
        </w:rPr>
        <w:t>Human Rights (Parliamentary Scrutiny) Act 2011</w:t>
      </w:r>
      <w:r>
        <w:t xml:space="preserve"> (HRPS Act) and determined that only Article 17 of the International Covenant on Civil and Political Rights (ICCPR) is conceivably of relevance.</w:t>
      </w:r>
    </w:p>
    <w:p w:rsidR="00790D6F" w:rsidRDefault="00790D6F" w:rsidP="00F90527">
      <w:pPr>
        <w:pStyle w:val="BodyText"/>
      </w:pPr>
      <w:r>
        <w:t>Article 17 of the ICCPR prohibits the arbitrary or unlawful interference with a person’s privacy, family, home and correspondence, and attacks on reputation. Article 17 is exclusively concerned with prohibiting interference with the privacy and/or reputation of individual persons. It does not extend to the privacy and/or reputation of corporate entities.</w:t>
      </w:r>
    </w:p>
    <w:p w:rsidR="00790D6F" w:rsidRDefault="00790D6F" w:rsidP="00F90527">
      <w:pPr>
        <w:pStyle w:val="BodyText"/>
      </w:pPr>
      <w:r>
        <w:t xml:space="preserve">This Legislative Instrument will facilitate the disclosure of specific information given to APRA by </w:t>
      </w:r>
      <w:r w:rsidR="00387FBF">
        <w:t xml:space="preserve">life insurers and friendly societies </w:t>
      </w:r>
      <w:r>
        <w:t xml:space="preserve">in accordance with certain reporting standards.  It does not involve the disclosure of information directly relating to individual persons. Further, APRA reviews all releases of data received under reporting standards to ensure that no information pertaining to an individual person can be deduced from the data. </w:t>
      </w:r>
    </w:p>
    <w:p w:rsidR="00790D6F" w:rsidRDefault="00790D6F" w:rsidP="00F90527">
      <w:pPr>
        <w:pStyle w:val="BodyText"/>
        <w:spacing w:after="0"/>
      </w:pPr>
      <w:r>
        <w:t xml:space="preserve">Consequently this Legislative Instrument does not engage any of the applicable rights or freedoms recognised or declared in the international instruments listed in section 3 of the HRPS Act. </w:t>
      </w:r>
    </w:p>
    <w:p w:rsidR="00327C3D" w:rsidRDefault="00327C3D" w:rsidP="003E6B91">
      <w:pPr>
        <w:pStyle w:val="BodyText"/>
        <w:rPr>
          <w:b/>
        </w:rPr>
      </w:pPr>
    </w:p>
    <w:p w:rsidR="00790D6F" w:rsidRDefault="00790D6F" w:rsidP="003E6B91">
      <w:pPr>
        <w:pStyle w:val="BodyText"/>
        <w:rPr>
          <w:b/>
        </w:rPr>
      </w:pPr>
      <w:r>
        <w:rPr>
          <w:b/>
        </w:rPr>
        <w:t>Conclusion</w:t>
      </w:r>
    </w:p>
    <w:p w:rsidR="000A4A11" w:rsidRPr="001C6E9D" w:rsidRDefault="00790D6F" w:rsidP="009635F1">
      <w:pPr>
        <w:pStyle w:val="BodyText"/>
        <w:rPr>
          <w:b/>
        </w:rPr>
      </w:pPr>
      <w:r>
        <w:t>This Legislative Instrument is compatible with human rights as it does not raise any human rights issues</w:t>
      </w:r>
      <w:r w:rsidR="009635F1">
        <w:t>.</w:t>
      </w:r>
    </w:p>
    <w:sectPr w:rsidR="000A4A11" w:rsidRPr="001C6E9D" w:rsidSect="00995F6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031" w:rsidRDefault="00901031">
      <w:r>
        <w:separator/>
      </w:r>
    </w:p>
  </w:endnote>
  <w:endnote w:type="continuationSeparator" w:id="0">
    <w:p w:rsidR="00901031" w:rsidRDefault="0090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60" w:rsidRDefault="00D35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60" w:rsidRDefault="00D354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60" w:rsidRDefault="00D35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031" w:rsidRDefault="00901031">
      <w:r>
        <w:separator/>
      </w:r>
    </w:p>
  </w:footnote>
  <w:footnote w:type="continuationSeparator" w:id="0">
    <w:p w:rsidR="00901031" w:rsidRDefault="00901031">
      <w:r>
        <w:continuationSeparator/>
      </w:r>
    </w:p>
  </w:footnote>
  <w:footnote w:id="1">
    <w:p w:rsidR="0028298E" w:rsidRDefault="0028298E" w:rsidP="0028298E">
      <w:pPr>
        <w:pStyle w:val="FootnoteText"/>
      </w:pPr>
      <w:r>
        <w:rPr>
          <w:rStyle w:val="FootnoteReference"/>
        </w:rPr>
        <w:footnoteRef/>
      </w:r>
      <w:r>
        <w:t xml:space="preserve"> Defined in </w:t>
      </w:r>
      <w:proofErr w:type="gramStart"/>
      <w:r>
        <w:t>s.56(</w:t>
      </w:r>
      <w:proofErr w:type="gramEnd"/>
      <w:r>
        <w:t>1) of the Act.</w:t>
      </w:r>
    </w:p>
  </w:footnote>
  <w:footnote w:id="2">
    <w:p w:rsidR="0028298E" w:rsidRDefault="0028298E" w:rsidP="0028298E">
      <w:pPr>
        <w:pStyle w:val="FootnoteText"/>
      </w:pPr>
      <w:r>
        <w:rPr>
          <w:rStyle w:val="FootnoteReference"/>
        </w:rPr>
        <w:footnoteRef/>
      </w:r>
      <w:r>
        <w:t xml:space="preserve"> Defined in </w:t>
      </w:r>
      <w:proofErr w:type="gramStart"/>
      <w:r>
        <w:t>s.56(</w:t>
      </w:r>
      <w:proofErr w:type="gramEnd"/>
      <w:r>
        <w:t>1) of the Act.</w:t>
      </w:r>
    </w:p>
  </w:footnote>
  <w:footnote w:id="3">
    <w:p w:rsidR="0028298E" w:rsidRDefault="0028298E" w:rsidP="0028298E">
      <w:pPr>
        <w:pStyle w:val="FootnoteText"/>
      </w:pPr>
      <w:r>
        <w:rPr>
          <w:rStyle w:val="FootnoteReference"/>
        </w:rPr>
        <w:footnoteRef/>
      </w:r>
      <w:r>
        <w:t xml:space="preserve"> Defined in </w:t>
      </w:r>
      <w:proofErr w:type="gramStart"/>
      <w:r>
        <w:t>s.3(</w:t>
      </w:r>
      <w:proofErr w:type="gramEnd"/>
      <w:r>
        <w:t>1) of the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60" w:rsidRDefault="00D35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60" w:rsidRDefault="00D354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60" w:rsidRDefault="00D35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74B8"/>
    <w:multiLevelType w:val="hybridMultilevel"/>
    <w:tmpl w:val="1DB4C79A"/>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752B13"/>
    <w:multiLevelType w:val="hybridMultilevel"/>
    <w:tmpl w:val="434E8BB4"/>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43E3735"/>
    <w:multiLevelType w:val="hybridMultilevel"/>
    <w:tmpl w:val="612A03F2"/>
    <w:lvl w:ilvl="0" w:tplc="0C09001B">
      <w:start w:val="1"/>
      <w:numFmt w:val="lowerRoman"/>
      <w:lvlText w:val="%1."/>
      <w:lvlJc w:val="righ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nsid w:val="14EA172E"/>
    <w:multiLevelType w:val="multilevel"/>
    <w:tmpl w:val="292A9CB0"/>
    <w:lvl w:ilvl="0">
      <w:start w:val="1"/>
      <w:numFmt w:val="decimal"/>
      <w:lvlText w:val="%1."/>
      <w:lvlJc w:val="left"/>
      <w:pPr>
        <w:ind w:left="644" w:hanging="360"/>
      </w:pPr>
      <w:rPr>
        <w:rFonts w:hint="default"/>
      </w:rPr>
    </w:lvl>
    <w:lvl w:ilvl="1">
      <w:start w:val="1"/>
      <w:numFmt w:val="decimal"/>
      <w:isLgl/>
      <w:lvlText w:val="%1.%2."/>
      <w:lvlJc w:val="left"/>
      <w:pPr>
        <w:ind w:left="884"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nsid w:val="1754356A"/>
    <w:multiLevelType w:val="hybridMultilevel"/>
    <w:tmpl w:val="B79083F0"/>
    <w:lvl w:ilvl="0" w:tplc="7D246C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AF42C61"/>
    <w:multiLevelType w:val="hybridMultilevel"/>
    <w:tmpl w:val="C1DA6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5408AC"/>
    <w:multiLevelType w:val="hybridMultilevel"/>
    <w:tmpl w:val="A08EF03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5C24899"/>
    <w:multiLevelType w:val="hybridMultilevel"/>
    <w:tmpl w:val="B7105826"/>
    <w:lvl w:ilvl="0" w:tplc="94AAD742">
      <w:numFmt w:val="bullet"/>
      <w:lvlText w:val="-"/>
      <w:lvlJc w:val="left"/>
      <w:pPr>
        <w:ind w:left="1080" w:hanging="360"/>
      </w:pPr>
      <w:rPr>
        <w:rFonts w:ascii="Trebuchet MS" w:eastAsia="Calibri" w:hAnsi="Trebuchet M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7064C20"/>
    <w:multiLevelType w:val="hybridMultilevel"/>
    <w:tmpl w:val="69EC204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CB52B504">
      <w:start w:val="1"/>
      <w:numFmt w:val="lowerRoman"/>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D781FCC"/>
    <w:multiLevelType w:val="hybridMultilevel"/>
    <w:tmpl w:val="FCA845E8"/>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E495A62"/>
    <w:multiLevelType w:val="hybridMultilevel"/>
    <w:tmpl w:val="697AE21C"/>
    <w:lvl w:ilvl="0" w:tplc="F93E5B16">
      <w:start w:val="1"/>
      <w:numFmt w:val="lowerRoman"/>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nsid w:val="309C0312"/>
    <w:multiLevelType w:val="hybridMultilevel"/>
    <w:tmpl w:val="5734E006"/>
    <w:lvl w:ilvl="0" w:tplc="EB5CDCDA">
      <w:start w:val="1"/>
      <w:numFmt w:val="decimal"/>
      <w:lvlText w:val="%1."/>
      <w:lvlJc w:val="left"/>
      <w:pPr>
        <w:ind w:left="36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333F369C"/>
    <w:multiLevelType w:val="hybridMultilevel"/>
    <w:tmpl w:val="EF0674CE"/>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55B33CD"/>
    <w:multiLevelType w:val="hybridMultilevel"/>
    <w:tmpl w:val="ED708C46"/>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627337B"/>
    <w:multiLevelType w:val="hybridMultilevel"/>
    <w:tmpl w:val="8B361BA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6D53DA2"/>
    <w:multiLevelType w:val="hybridMultilevel"/>
    <w:tmpl w:val="0492B58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64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nsid w:val="378472C6"/>
    <w:multiLevelType w:val="hybridMultilevel"/>
    <w:tmpl w:val="E2CC665A"/>
    <w:lvl w:ilvl="0" w:tplc="F93E5B16">
      <w:start w:val="1"/>
      <w:numFmt w:val="lowerRoman"/>
      <w:lvlText w:val="(%1)"/>
      <w:lvlJc w:val="left"/>
      <w:pPr>
        <w:ind w:left="820" w:hanging="360"/>
      </w:pPr>
      <w:rPr>
        <w:rFonts w:hint="default"/>
      </w:r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17">
    <w:nsid w:val="39B47CE9"/>
    <w:multiLevelType w:val="hybridMultilevel"/>
    <w:tmpl w:val="135CF526"/>
    <w:lvl w:ilvl="0" w:tplc="5706FFF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B655B8B"/>
    <w:multiLevelType w:val="hybridMultilevel"/>
    <w:tmpl w:val="75F83706"/>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CE97E87"/>
    <w:multiLevelType w:val="multilevel"/>
    <w:tmpl w:val="B5D08584"/>
    <w:lvl w:ilvl="0">
      <w:start w:val="1"/>
      <w:numFmt w:val="lowerRoman"/>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E0F78CE"/>
    <w:multiLevelType w:val="hybridMultilevel"/>
    <w:tmpl w:val="7026E4C2"/>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E795CCC"/>
    <w:multiLevelType w:val="hybridMultilevel"/>
    <w:tmpl w:val="BD38B080"/>
    <w:lvl w:ilvl="0" w:tplc="CEA64A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F444695"/>
    <w:multiLevelType w:val="hybridMultilevel"/>
    <w:tmpl w:val="0F86EDC4"/>
    <w:lvl w:ilvl="0" w:tplc="F93E5B1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2EF0D7F"/>
    <w:multiLevelType w:val="hybridMultilevel"/>
    <w:tmpl w:val="25CEA8BA"/>
    <w:lvl w:ilvl="0" w:tplc="F93E5B16">
      <w:start w:val="1"/>
      <w:numFmt w:val="lowerRoman"/>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nsid w:val="4AFE35BF"/>
    <w:multiLevelType w:val="hybridMultilevel"/>
    <w:tmpl w:val="3BF48B58"/>
    <w:lvl w:ilvl="0" w:tplc="2D3EF96C">
      <w:numFmt w:val="bullet"/>
      <w:lvlText w:val="•"/>
      <w:lvlJc w:val="left"/>
      <w:pPr>
        <w:ind w:left="720" w:hanging="360"/>
      </w:pPr>
      <w:rPr>
        <w:rFonts w:ascii="Trebuchet MS" w:eastAsia="Calibr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CDA1A55"/>
    <w:multiLevelType w:val="hybridMultilevel"/>
    <w:tmpl w:val="AAFE5B7E"/>
    <w:lvl w:ilvl="0" w:tplc="79FC33D0">
      <w:start w:val="1"/>
      <w:numFmt w:val="decimal"/>
      <w:lvlText w:val="%1."/>
      <w:lvlJc w:val="left"/>
      <w:pPr>
        <w:ind w:left="3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26">
    <w:nsid w:val="52A538E5"/>
    <w:multiLevelType w:val="hybridMultilevel"/>
    <w:tmpl w:val="EAFC7DD6"/>
    <w:lvl w:ilvl="0" w:tplc="F93E5B1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55F25B44"/>
    <w:multiLevelType w:val="hybridMultilevel"/>
    <w:tmpl w:val="20BC133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77A1E76"/>
    <w:multiLevelType w:val="hybridMultilevel"/>
    <w:tmpl w:val="DB1C7C5E"/>
    <w:lvl w:ilvl="0" w:tplc="F93E5B16">
      <w:start w:val="1"/>
      <w:numFmt w:val="lowerRoman"/>
      <w:lvlText w:val="(%1)"/>
      <w:lvlJc w:val="left"/>
      <w:pPr>
        <w:ind w:left="502"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9">
    <w:nsid w:val="5C4A5F75"/>
    <w:multiLevelType w:val="hybridMultilevel"/>
    <w:tmpl w:val="8F120E2A"/>
    <w:lvl w:ilvl="0" w:tplc="CB52B50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F93E5B16">
      <w:start w:val="1"/>
      <w:numFmt w:val="lowerRoman"/>
      <w:lvlText w:val="(%3)"/>
      <w:lvlJc w:val="left"/>
      <w:pPr>
        <w:ind w:left="2160" w:hanging="180"/>
      </w:pPr>
      <w:rPr>
        <w:rFonts w:hint="default"/>
      </w:rPr>
    </w:lvl>
    <w:lvl w:ilvl="3" w:tplc="F93E5B16">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81A6A38"/>
    <w:multiLevelType w:val="hybridMultilevel"/>
    <w:tmpl w:val="82D47F24"/>
    <w:lvl w:ilvl="0" w:tplc="CB52B504">
      <w:start w:val="1"/>
      <w:numFmt w:val="lowerRoman"/>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nsid w:val="6C0D788C"/>
    <w:multiLevelType w:val="hybridMultilevel"/>
    <w:tmpl w:val="AF44403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CDB67E5"/>
    <w:multiLevelType w:val="hybridMultilevel"/>
    <w:tmpl w:val="25CEA8BA"/>
    <w:lvl w:ilvl="0" w:tplc="F93E5B16">
      <w:start w:val="1"/>
      <w:numFmt w:val="lowerRoman"/>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3">
    <w:nsid w:val="6F776A14"/>
    <w:multiLevelType w:val="hybridMultilevel"/>
    <w:tmpl w:val="DB1C7C5E"/>
    <w:lvl w:ilvl="0" w:tplc="F93E5B16">
      <w:start w:val="1"/>
      <w:numFmt w:val="lowerRoman"/>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37A62FE"/>
    <w:multiLevelType w:val="hybridMultilevel"/>
    <w:tmpl w:val="EEBE9322"/>
    <w:lvl w:ilvl="0" w:tplc="2D3EF96C">
      <w:numFmt w:val="bullet"/>
      <w:lvlText w:val="•"/>
      <w:lvlJc w:val="left"/>
      <w:pPr>
        <w:ind w:left="720" w:hanging="360"/>
      </w:pPr>
      <w:rPr>
        <w:rFonts w:ascii="Trebuchet MS" w:eastAsia="Calibr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50478EB"/>
    <w:multiLevelType w:val="hybridMultilevel"/>
    <w:tmpl w:val="E456437A"/>
    <w:lvl w:ilvl="0" w:tplc="7BC26682">
      <w:start w:val="1"/>
      <w:numFmt w:val="lowerLetter"/>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36">
    <w:nsid w:val="7AE57460"/>
    <w:multiLevelType w:val="hybridMultilevel"/>
    <w:tmpl w:val="8F08A528"/>
    <w:lvl w:ilvl="0" w:tplc="CB52B504">
      <w:start w:val="1"/>
      <w:numFmt w:val="lowerRoman"/>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FF638E"/>
    <w:multiLevelType w:val="hybridMultilevel"/>
    <w:tmpl w:val="20BC133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7"/>
  </w:num>
  <w:num w:numId="3">
    <w:abstractNumId w:val="34"/>
  </w:num>
  <w:num w:numId="4">
    <w:abstractNumId w:val="17"/>
  </w:num>
  <w:num w:numId="5">
    <w:abstractNumId w:val="15"/>
  </w:num>
  <w:num w:numId="6">
    <w:abstractNumId w:val="25"/>
  </w:num>
  <w:num w:numId="7">
    <w:abstractNumId w:val="35"/>
  </w:num>
  <w:num w:numId="8">
    <w:abstractNumId w:val="33"/>
  </w:num>
  <w:num w:numId="9">
    <w:abstractNumId w:val="12"/>
  </w:num>
  <w:num w:numId="10">
    <w:abstractNumId w:val="27"/>
  </w:num>
  <w:num w:numId="11">
    <w:abstractNumId w:val="26"/>
  </w:num>
  <w:num w:numId="12">
    <w:abstractNumId w:val="28"/>
  </w:num>
  <w:num w:numId="13">
    <w:abstractNumId w:val="37"/>
  </w:num>
  <w:num w:numId="14">
    <w:abstractNumId w:val="36"/>
  </w:num>
  <w:num w:numId="15">
    <w:abstractNumId w:val="4"/>
  </w:num>
  <w:num w:numId="16">
    <w:abstractNumId w:val="2"/>
  </w:num>
  <w:num w:numId="17">
    <w:abstractNumId w:val="0"/>
  </w:num>
  <w:num w:numId="18">
    <w:abstractNumId w:val="3"/>
  </w:num>
  <w:num w:numId="19">
    <w:abstractNumId w:val="10"/>
  </w:num>
  <w:num w:numId="20">
    <w:abstractNumId w:val="32"/>
  </w:num>
  <w:num w:numId="21">
    <w:abstractNumId w:val="23"/>
  </w:num>
  <w:num w:numId="22">
    <w:abstractNumId w:val="29"/>
  </w:num>
  <w:num w:numId="23">
    <w:abstractNumId w:val="8"/>
  </w:num>
  <w:num w:numId="24">
    <w:abstractNumId w:val="30"/>
  </w:num>
  <w:num w:numId="25">
    <w:abstractNumId w:val="21"/>
  </w:num>
  <w:num w:numId="26">
    <w:abstractNumId w:val="13"/>
  </w:num>
  <w:num w:numId="27">
    <w:abstractNumId w:val="1"/>
  </w:num>
  <w:num w:numId="28">
    <w:abstractNumId w:val="16"/>
  </w:num>
  <w:num w:numId="29">
    <w:abstractNumId w:val="31"/>
  </w:num>
  <w:num w:numId="30">
    <w:abstractNumId w:val="6"/>
  </w:num>
  <w:num w:numId="31">
    <w:abstractNumId w:val="14"/>
  </w:num>
  <w:num w:numId="32">
    <w:abstractNumId w:val="18"/>
  </w:num>
  <w:num w:numId="33">
    <w:abstractNumId w:val="19"/>
  </w:num>
  <w:num w:numId="34">
    <w:abstractNumId w:val="9"/>
  </w:num>
  <w:num w:numId="35">
    <w:abstractNumId w:val="20"/>
  </w:num>
  <w:num w:numId="36">
    <w:abstractNumId w:val="22"/>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8E1"/>
    <w:rsid w:val="00006DB0"/>
    <w:rsid w:val="0003309E"/>
    <w:rsid w:val="00035874"/>
    <w:rsid w:val="00055A6E"/>
    <w:rsid w:val="00061925"/>
    <w:rsid w:val="000802B6"/>
    <w:rsid w:val="00083CD8"/>
    <w:rsid w:val="00084F91"/>
    <w:rsid w:val="00085443"/>
    <w:rsid w:val="00094A9D"/>
    <w:rsid w:val="000A4A11"/>
    <w:rsid w:val="000B6FC5"/>
    <w:rsid w:val="000E071E"/>
    <w:rsid w:val="000E61EA"/>
    <w:rsid w:val="000F5724"/>
    <w:rsid w:val="00115D79"/>
    <w:rsid w:val="001431C5"/>
    <w:rsid w:val="00182FA1"/>
    <w:rsid w:val="00196E52"/>
    <w:rsid w:val="001A2F36"/>
    <w:rsid w:val="001A3E9C"/>
    <w:rsid w:val="001B3BF6"/>
    <w:rsid w:val="001B5F1B"/>
    <w:rsid w:val="001C02D8"/>
    <w:rsid w:val="001C6E9D"/>
    <w:rsid w:val="001E1478"/>
    <w:rsid w:val="001E78E1"/>
    <w:rsid w:val="001F05AF"/>
    <w:rsid w:val="001F096C"/>
    <w:rsid w:val="002025EC"/>
    <w:rsid w:val="00230136"/>
    <w:rsid w:val="00245752"/>
    <w:rsid w:val="00246A34"/>
    <w:rsid w:val="0024754D"/>
    <w:rsid w:val="00256BC1"/>
    <w:rsid w:val="00266963"/>
    <w:rsid w:val="00273B4A"/>
    <w:rsid w:val="0028298E"/>
    <w:rsid w:val="00292B14"/>
    <w:rsid w:val="00292B77"/>
    <w:rsid w:val="002B0987"/>
    <w:rsid w:val="002C5C2A"/>
    <w:rsid w:val="002D32CF"/>
    <w:rsid w:val="002D67A5"/>
    <w:rsid w:val="002E649C"/>
    <w:rsid w:val="003025F0"/>
    <w:rsid w:val="00303B12"/>
    <w:rsid w:val="0031491B"/>
    <w:rsid w:val="00321766"/>
    <w:rsid w:val="0032656E"/>
    <w:rsid w:val="00327C3D"/>
    <w:rsid w:val="0035177F"/>
    <w:rsid w:val="003629EA"/>
    <w:rsid w:val="00374913"/>
    <w:rsid w:val="00376D82"/>
    <w:rsid w:val="00387FBF"/>
    <w:rsid w:val="00392EC2"/>
    <w:rsid w:val="003A6F45"/>
    <w:rsid w:val="003B0ABC"/>
    <w:rsid w:val="003B617F"/>
    <w:rsid w:val="003C180B"/>
    <w:rsid w:val="003D486D"/>
    <w:rsid w:val="003D5032"/>
    <w:rsid w:val="003D683F"/>
    <w:rsid w:val="003D7DC9"/>
    <w:rsid w:val="003E1F0B"/>
    <w:rsid w:val="003E6B91"/>
    <w:rsid w:val="003E7770"/>
    <w:rsid w:val="003F58F1"/>
    <w:rsid w:val="00403C12"/>
    <w:rsid w:val="00410103"/>
    <w:rsid w:val="00425087"/>
    <w:rsid w:val="00426D50"/>
    <w:rsid w:val="00432238"/>
    <w:rsid w:val="00432A37"/>
    <w:rsid w:val="004456E3"/>
    <w:rsid w:val="00452781"/>
    <w:rsid w:val="00456B68"/>
    <w:rsid w:val="004641EF"/>
    <w:rsid w:val="004804E8"/>
    <w:rsid w:val="00481343"/>
    <w:rsid w:val="00495648"/>
    <w:rsid w:val="004A6E5B"/>
    <w:rsid w:val="004B459A"/>
    <w:rsid w:val="004C3D07"/>
    <w:rsid w:val="004C4728"/>
    <w:rsid w:val="004D0CFD"/>
    <w:rsid w:val="004D5768"/>
    <w:rsid w:val="004D623D"/>
    <w:rsid w:val="004E587F"/>
    <w:rsid w:val="004F3E76"/>
    <w:rsid w:val="00513D5D"/>
    <w:rsid w:val="005164AB"/>
    <w:rsid w:val="00516CDD"/>
    <w:rsid w:val="0052199F"/>
    <w:rsid w:val="005230A7"/>
    <w:rsid w:val="0052720C"/>
    <w:rsid w:val="005310CB"/>
    <w:rsid w:val="00540963"/>
    <w:rsid w:val="00551D07"/>
    <w:rsid w:val="00552344"/>
    <w:rsid w:val="005672BF"/>
    <w:rsid w:val="005A7025"/>
    <w:rsid w:val="005B523E"/>
    <w:rsid w:val="005D0E46"/>
    <w:rsid w:val="005D437B"/>
    <w:rsid w:val="005E1543"/>
    <w:rsid w:val="005E48CA"/>
    <w:rsid w:val="005E5910"/>
    <w:rsid w:val="005F0CFF"/>
    <w:rsid w:val="005F1EB3"/>
    <w:rsid w:val="005F2FB9"/>
    <w:rsid w:val="005F4970"/>
    <w:rsid w:val="005F747C"/>
    <w:rsid w:val="0060666F"/>
    <w:rsid w:val="0061216B"/>
    <w:rsid w:val="00614FF9"/>
    <w:rsid w:val="00622480"/>
    <w:rsid w:val="00624067"/>
    <w:rsid w:val="0063753E"/>
    <w:rsid w:val="006410F0"/>
    <w:rsid w:val="00647D58"/>
    <w:rsid w:val="00651376"/>
    <w:rsid w:val="00652C67"/>
    <w:rsid w:val="00654778"/>
    <w:rsid w:val="0066206B"/>
    <w:rsid w:val="00662905"/>
    <w:rsid w:val="006634D2"/>
    <w:rsid w:val="00675429"/>
    <w:rsid w:val="00684F73"/>
    <w:rsid w:val="0069295A"/>
    <w:rsid w:val="00693B57"/>
    <w:rsid w:val="00694064"/>
    <w:rsid w:val="006A5807"/>
    <w:rsid w:val="006B7429"/>
    <w:rsid w:val="006B7FA1"/>
    <w:rsid w:val="006C7D2E"/>
    <w:rsid w:val="006E1377"/>
    <w:rsid w:val="00701610"/>
    <w:rsid w:val="007031F4"/>
    <w:rsid w:val="00704147"/>
    <w:rsid w:val="00706288"/>
    <w:rsid w:val="00710BF4"/>
    <w:rsid w:val="00721B60"/>
    <w:rsid w:val="00740541"/>
    <w:rsid w:val="00740A26"/>
    <w:rsid w:val="00775512"/>
    <w:rsid w:val="00784962"/>
    <w:rsid w:val="00790D6F"/>
    <w:rsid w:val="00794631"/>
    <w:rsid w:val="00795EDD"/>
    <w:rsid w:val="007B5052"/>
    <w:rsid w:val="007B67F3"/>
    <w:rsid w:val="007D1E6D"/>
    <w:rsid w:val="007D33E7"/>
    <w:rsid w:val="007D4A7C"/>
    <w:rsid w:val="007D5B86"/>
    <w:rsid w:val="007E413B"/>
    <w:rsid w:val="007E63E7"/>
    <w:rsid w:val="007F71DA"/>
    <w:rsid w:val="00816A29"/>
    <w:rsid w:val="0082535B"/>
    <w:rsid w:val="00827F83"/>
    <w:rsid w:val="00832288"/>
    <w:rsid w:val="00841BA8"/>
    <w:rsid w:val="008535D8"/>
    <w:rsid w:val="00860A6B"/>
    <w:rsid w:val="00867A4C"/>
    <w:rsid w:val="00880378"/>
    <w:rsid w:val="008904F8"/>
    <w:rsid w:val="00892A65"/>
    <w:rsid w:val="008A094C"/>
    <w:rsid w:val="008B71FE"/>
    <w:rsid w:val="008C4452"/>
    <w:rsid w:val="008D69A3"/>
    <w:rsid w:val="008E2A36"/>
    <w:rsid w:val="008E5AE2"/>
    <w:rsid w:val="00901031"/>
    <w:rsid w:val="0090681C"/>
    <w:rsid w:val="0092442A"/>
    <w:rsid w:val="00930171"/>
    <w:rsid w:val="009314E2"/>
    <w:rsid w:val="009354E4"/>
    <w:rsid w:val="00935DC0"/>
    <w:rsid w:val="00935DE0"/>
    <w:rsid w:val="00935EA1"/>
    <w:rsid w:val="009453F2"/>
    <w:rsid w:val="009467C9"/>
    <w:rsid w:val="009635F1"/>
    <w:rsid w:val="009768B2"/>
    <w:rsid w:val="009776FC"/>
    <w:rsid w:val="00991137"/>
    <w:rsid w:val="00994E84"/>
    <w:rsid w:val="00995F60"/>
    <w:rsid w:val="009A02CC"/>
    <w:rsid w:val="009A7DAF"/>
    <w:rsid w:val="009C5368"/>
    <w:rsid w:val="009D3182"/>
    <w:rsid w:val="009E73B3"/>
    <w:rsid w:val="009F4631"/>
    <w:rsid w:val="009F6E59"/>
    <w:rsid w:val="00A1003B"/>
    <w:rsid w:val="00A1499A"/>
    <w:rsid w:val="00A45EB3"/>
    <w:rsid w:val="00A52A2E"/>
    <w:rsid w:val="00A624FD"/>
    <w:rsid w:val="00A63A2B"/>
    <w:rsid w:val="00A65D28"/>
    <w:rsid w:val="00A70B81"/>
    <w:rsid w:val="00A74D82"/>
    <w:rsid w:val="00A832B3"/>
    <w:rsid w:val="00A85650"/>
    <w:rsid w:val="00A954DB"/>
    <w:rsid w:val="00A97A12"/>
    <w:rsid w:val="00AA7F4F"/>
    <w:rsid w:val="00AC2517"/>
    <w:rsid w:val="00AC389F"/>
    <w:rsid w:val="00AC4798"/>
    <w:rsid w:val="00AE1D17"/>
    <w:rsid w:val="00AE1F9F"/>
    <w:rsid w:val="00B04B20"/>
    <w:rsid w:val="00B11146"/>
    <w:rsid w:val="00B13486"/>
    <w:rsid w:val="00B142FE"/>
    <w:rsid w:val="00B15798"/>
    <w:rsid w:val="00B30B15"/>
    <w:rsid w:val="00B4062E"/>
    <w:rsid w:val="00B445B5"/>
    <w:rsid w:val="00B456F9"/>
    <w:rsid w:val="00B525EB"/>
    <w:rsid w:val="00B732C0"/>
    <w:rsid w:val="00B920E6"/>
    <w:rsid w:val="00BA35D8"/>
    <w:rsid w:val="00BB153B"/>
    <w:rsid w:val="00BB680F"/>
    <w:rsid w:val="00BC0BFF"/>
    <w:rsid w:val="00BC5D24"/>
    <w:rsid w:val="00BF3A9F"/>
    <w:rsid w:val="00C05F87"/>
    <w:rsid w:val="00C23042"/>
    <w:rsid w:val="00C27B41"/>
    <w:rsid w:val="00C27B88"/>
    <w:rsid w:val="00C302FA"/>
    <w:rsid w:val="00C5791C"/>
    <w:rsid w:val="00C65780"/>
    <w:rsid w:val="00C77BA1"/>
    <w:rsid w:val="00C81FE6"/>
    <w:rsid w:val="00C84A01"/>
    <w:rsid w:val="00C84CF4"/>
    <w:rsid w:val="00CA5AA8"/>
    <w:rsid w:val="00CA6CB3"/>
    <w:rsid w:val="00CC53BF"/>
    <w:rsid w:val="00CC54D8"/>
    <w:rsid w:val="00CE7DA7"/>
    <w:rsid w:val="00D11351"/>
    <w:rsid w:val="00D134A1"/>
    <w:rsid w:val="00D203C0"/>
    <w:rsid w:val="00D3351E"/>
    <w:rsid w:val="00D35460"/>
    <w:rsid w:val="00D47B0C"/>
    <w:rsid w:val="00D64906"/>
    <w:rsid w:val="00D67213"/>
    <w:rsid w:val="00D6750A"/>
    <w:rsid w:val="00D8322A"/>
    <w:rsid w:val="00D9012C"/>
    <w:rsid w:val="00D926AE"/>
    <w:rsid w:val="00DB0B90"/>
    <w:rsid w:val="00DC6434"/>
    <w:rsid w:val="00DD2606"/>
    <w:rsid w:val="00DD3EFA"/>
    <w:rsid w:val="00E11128"/>
    <w:rsid w:val="00E15497"/>
    <w:rsid w:val="00E15943"/>
    <w:rsid w:val="00E201A8"/>
    <w:rsid w:val="00E25951"/>
    <w:rsid w:val="00E53E69"/>
    <w:rsid w:val="00E65F6D"/>
    <w:rsid w:val="00E84E43"/>
    <w:rsid w:val="00E87122"/>
    <w:rsid w:val="00E874AA"/>
    <w:rsid w:val="00E90C89"/>
    <w:rsid w:val="00EA3360"/>
    <w:rsid w:val="00EA6881"/>
    <w:rsid w:val="00EC03BA"/>
    <w:rsid w:val="00EC5653"/>
    <w:rsid w:val="00EC6D6A"/>
    <w:rsid w:val="00EF075F"/>
    <w:rsid w:val="00F032E1"/>
    <w:rsid w:val="00F1151D"/>
    <w:rsid w:val="00F15AA9"/>
    <w:rsid w:val="00F40020"/>
    <w:rsid w:val="00F54AC5"/>
    <w:rsid w:val="00F608C3"/>
    <w:rsid w:val="00F6365B"/>
    <w:rsid w:val="00F6442F"/>
    <w:rsid w:val="00F702B5"/>
    <w:rsid w:val="00F7091A"/>
    <w:rsid w:val="00F72F14"/>
    <w:rsid w:val="00F73292"/>
    <w:rsid w:val="00F746DB"/>
    <w:rsid w:val="00F747F8"/>
    <w:rsid w:val="00F7706D"/>
    <w:rsid w:val="00F8463E"/>
    <w:rsid w:val="00F856AB"/>
    <w:rsid w:val="00F90527"/>
    <w:rsid w:val="00F90666"/>
    <w:rsid w:val="00FA02E9"/>
    <w:rsid w:val="00FA3A44"/>
    <w:rsid w:val="00FA5345"/>
    <w:rsid w:val="00FB4972"/>
    <w:rsid w:val="00FC37B3"/>
    <w:rsid w:val="00FC3EF1"/>
    <w:rsid w:val="00FD6D2E"/>
    <w:rsid w:val="00FE6B8D"/>
    <w:rsid w:val="00FF1D57"/>
    <w:rsid w:val="00FF257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E78E1"/>
    <w:rPr>
      <w:rFonts w:ascii="Times New Roman" w:eastAsia="Times New Roman" w:hAnsi="Times New Roman"/>
      <w:sz w:val="24"/>
      <w:lang w:eastAsia="en-AU"/>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basedOn w:val="DefaultParagraphFont"/>
    <w:link w:val="Heading2"/>
    <w:uiPriority w:val="6"/>
    <w:rsid w:val="00F7706D"/>
    <w:rPr>
      <w:rFonts w:ascii="Trebuchet MS" w:eastAsia="Times New Roman" w:hAnsi="Trebuchet MS" w:cs="Times New Roman"/>
      <w:b/>
      <w:bCs/>
      <w:color w:val="000000"/>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B04B20"/>
    <w:rPr>
      <w:rFonts w:ascii="Tahoma" w:hAnsi="Tahoma" w:cs="Tahoma"/>
      <w:sz w:val="16"/>
      <w:szCs w:val="16"/>
    </w:rPr>
  </w:style>
  <w:style w:type="character" w:customStyle="1" w:styleId="Heading3Char">
    <w:name w:val="Heading 3 Char"/>
    <w:basedOn w:val="DefaultParagraphFont"/>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basedOn w:val="DefaultParagraphFont"/>
    <w:link w:val="Heading4"/>
    <w:uiPriority w:val="3"/>
    <w:rsid w:val="00F7706D"/>
    <w:rPr>
      <w:rFonts w:ascii="Trebuchet MS" w:hAnsi="Trebuchet MS"/>
      <w:color w:val="0C2577"/>
      <w:sz w:val="60"/>
    </w:rPr>
  </w:style>
  <w:style w:type="character" w:customStyle="1" w:styleId="Heading5Char">
    <w:name w:val="Heading 5 Char"/>
    <w:aliases w:val="Chapter Heading Char"/>
    <w:basedOn w:val="DefaultParagraphFont"/>
    <w:link w:val="Heading5"/>
    <w:uiPriority w:val="4"/>
    <w:rsid w:val="00F7706D"/>
    <w:rPr>
      <w:rFonts w:ascii="Trebuchet MS" w:hAnsi="Trebuchet MS"/>
      <w:b/>
      <w:sz w:val="32"/>
    </w:rPr>
  </w:style>
  <w:style w:type="character" w:customStyle="1" w:styleId="Heading6Char">
    <w:name w:val="Heading 6 Char"/>
    <w:aliases w:val="Cover Page Heading Char"/>
    <w:basedOn w:val="DefaultParagraphFont"/>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styleId="Title">
    <w:name w:val="Title"/>
    <w:basedOn w:val="Normal"/>
    <w:link w:val="TitleChar"/>
    <w:qFormat/>
    <w:rsid w:val="001E78E1"/>
    <w:pPr>
      <w:spacing w:before="360"/>
      <w:jc w:val="center"/>
    </w:pPr>
    <w:rPr>
      <w:b/>
      <w:sz w:val="32"/>
    </w:rPr>
  </w:style>
  <w:style w:type="character" w:customStyle="1" w:styleId="TitleChar">
    <w:name w:val="Title Char"/>
    <w:basedOn w:val="DefaultParagraphFont"/>
    <w:link w:val="Title"/>
    <w:rsid w:val="001E78E1"/>
    <w:rPr>
      <w:rFonts w:ascii="Times New Roman" w:eastAsia="Times New Roman" w:hAnsi="Times New Roman" w:cs="Times New Roman"/>
      <w:b/>
      <w:sz w:val="32"/>
      <w:szCs w:val="20"/>
      <w:lang w:eastAsia="en-AU"/>
    </w:rPr>
  </w:style>
  <w:style w:type="paragraph" w:styleId="BodyText">
    <w:name w:val="Body Text"/>
    <w:basedOn w:val="Normal"/>
    <w:link w:val="BodyTextChar"/>
    <w:rsid w:val="001E78E1"/>
    <w:pPr>
      <w:spacing w:after="240"/>
    </w:pPr>
  </w:style>
  <w:style w:type="character" w:customStyle="1" w:styleId="BodyTextChar">
    <w:name w:val="Body Text Char"/>
    <w:basedOn w:val="DefaultParagraphFont"/>
    <w:link w:val="BodyText"/>
    <w:rsid w:val="001E78E1"/>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995F60"/>
    <w:rPr>
      <w:sz w:val="16"/>
      <w:szCs w:val="16"/>
    </w:rPr>
  </w:style>
  <w:style w:type="paragraph" w:styleId="CommentText">
    <w:name w:val="annotation text"/>
    <w:basedOn w:val="Normal"/>
    <w:link w:val="CommentTextChar"/>
    <w:uiPriority w:val="99"/>
    <w:semiHidden/>
    <w:unhideWhenUsed/>
    <w:rsid w:val="00995F60"/>
    <w:rPr>
      <w:sz w:val="20"/>
    </w:rPr>
  </w:style>
  <w:style w:type="character" w:customStyle="1" w:styleId="CommentTextChar">
    <w:name w:val="Comment Text Char"/>
    <w:basedOn w:val="DefaultParagraphFont"/>
    <w:link w:val="CommentText"/>
    <w:uiPriority w:val="99"/>
    <w:semiHidden/>
    <w:rsid w:val="00995F6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95F60"/>
    <w:rPr>
      <w:b/>
      <w:bCs/>
    </w:rPr>
  </w:style>
  <w:style w:type="character" w:customStyle="1" w:styleId="CommentSubjectChar">
    <w:name w:val="Comment Subject Char"/>
    <w:basedOn w:val="CommentTextChar"/>
    <w:link w:val="CommentSubject"/>
    <w:uiPriority w:val="99"/>
    <w:semiHidden/>
    <w:rsid w:val="00995F60"/>
    <w:rPr>
      <w:rFonts w:ascii="Times New Roman" w:eastAsia="Times New Roman" w:hAnsi="Times New Roman" w:cs="Times New Roman"/>
      <w:b/>
      <w:bCs/>
      <w:sz w:val="20"/>
      <w:szCs w:val="20"/>
      <w:lang w:eastAsia="en-AU"/>
    </w:rPr>
  </w:style>
  <w:style w:type="paragraph" w:styleId="Revision">
    <w:name w:val="Revision"/>
    <w:hidden/>
    <w:uiPriority w:val="99"/>
    <w:semiHidden/>
    <w:rsid w:val="00995F60"/>
    <w:rPr>
      <w:rFonts w:ascii="Times New Roman" w:eastAsia="Times New Roman" w:hAnsi="Times New Roman"/>
      <w:sz w:val="24"/>
      <w:lang w:eastAsia="en-AU"/>
    </w:rPr>
  </w:style>
  <w:style w:type="paragraph" w:styleId="ListParagraph">
    <w:name w:val="List Paragraph"/>
    <w:basedOn w:val="Normal"/>
    <w:uiPriority w:val="34"/>
    <w:qFormat/>
    <w:rsid w:val="001C6E9D"/>
    <w:pPr>
      <w:ind w:left="720"/>
    </w:pPr>
    <w:rPr>
      <w:rFonts w:ascii="Trebuchet MS" w:eastAsia="Calibri" w:hAnsi="Trebuchet MS"/>
      <w:sz w:val="22"/>
      <w:szCs w:val="22"/>
      <w:lang w:eastAsia="en-US"/>
    </w:rPr>
  </w:style>
  <w:style w:type="paragraph" w:styleId="FootnoteText">
    <w:name w:val="footnote text"/>
    <w:basedOn w:val="Normal"/>
    <w:link w:val="FootnoteTextChar"/>
    <w:uiPriority w:val="99"/>
    <w:unhideWhenUsed/>
    <w:rsid w:val="00C27B41"/>
    <w:rPr>
      <w:sz w:val="20"/>
    </w:rPr>
  </w:style>
  <w:style w:type="character" w:customStyle="1" w:styleId="FootnoteTextChar">
    <w:name w:val="Footnote Text Char"/>
    <w:basedOn w:val="DefaultParagraphFont"/>
    <w:link w:val="FootnoteText"/>
    <w:uiPriority w:val="99"/>
    <w:rsid w:val="00C27B41"/>
    <w:rPr>
      <w:rFonts w:ascii="Times New Roman" w:eastAsia="Times New Roman" w:hAnsi="Times New Roman"/>
    </w:rPr>
  </w:style>
  <w:style w:type="character" w:styleId="FootnoteReference">
    <w:name w:val="footnote reference"/>
    <w:basedOn w:val="DefaultParagraphFont"/>
    <w:uiPriority w:val="99"/>
    <w:unhideWhenUsed/>
    <w:rsid w:val="00C27B41"/>
    <w:rPr>
      <w:vertAlign w:val="superscript"/>
    </w:rPr>
  </w:style>
  <w:style w:type="paragraph" w:styleId="Header">
    <w:name w:val="header"/>
    <w:basedOn w:val="Normal"/>
    <w:link w:val="HeaderChar"/>
    <w:uiPriority w:val="99"/>
    <w:unhideWhenUsed/>
    <w:rsid w:val="00D35460"/>
    <w:pPr>
      <w:tabs>
        <w:tab w:val="center" w:pos="4513"/>
        <w:tab w:val="right" w:pos="9026"/>
      </w:tabs>
    </w:pPr>
  </w:style>
  <w:style w:type="character" w:customStyle="1" w:styleId="HeaderChar">
    <w:name w:val="Header Char"/>
    <w:basedOn w:val="DefaultParagraphFont"/>
    <w:link w:val="Header"/>
    <w:uiPriority w:val="99"/>
    <w:rsid w:val="00D35460"/>
    <w:rPr>
      <w:rFonts w:ascii="Times New Roman" w:eastAsia="Times New Roman" w:hAnsi="Times New Roman"/>
      <w:sz w:val="24"/>
      <w:lang w:eastAsia="en-AU"/>
    </w:rPr>
  </w:style>
  <w:style w:type="paragraph" w:styleId="Footer">
    <w:name w:val="footer"/>
    <w:basedOn w:val="Normal"/>
    <w:link w:val="FooterChar"/>
    <w:uiPriority w:val="99"/>
    <w:unhideWhenUsed/>
    <w:rsid w:val="00D35460"/>
    <w:pPr>
      <w:tabs>
        <w:tab w:val="center" w:pos="4513"/>
        <w:tab w:val="right" w:pos="9026"/>
      </w:tabs>
    </w:pPr>
  </w:style>
  <w:style w:type="character" w:customStyle="1" w:styleId="FooterChar">
    <w:name w:val="Footer Char"/>
    <w:basedOn w:val="DefaultParagraphFont"/>
    <w:link w:val="Footer"/>
    <w:uiPriority w:val="99"/>
    <w:rsid w:val="00D35460"/>
    <w:rPr>
      <w:rFonts w:ascii="Times New Roman" w:eastAsia="Times New Roman" w:hAnsi="Times New Roman"/>
      <w:sz w:val="24"/>
      <w:lang w:eastAsia="en-AU"/>
    </w:rPr>
  </w:style>
  <w:style w:type="paragraph" w:customStyle="1" w:styleId="Heading">
    <w:name w:val="Heading"/>
    <w:basedOn w:val="Normal"/>
    <w:rsid w:val="000802B6"/>
    <w:rPr>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E78E1"/>
    <w:rPr>
      <w:rFonts w:ascii="Times New Roman" w:eastAsia="Times New Roman" w:hAnsi="Times New Roman"/>
      <w:sz w:val="24"/>
      <w:lang w:eastAsia="en-AU"/>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basedOn w:val="DefaultParagraphFont"/>
    <w:link w:val="Heading2"/>
    <w:uiPriority w:val="6"/>
    <w:rsid w:val="00F7706D"/>
    <w:rPr>
      <w:rFonts w:ascii="Trebuchet MS" w:eastAsia="Times New Roman" w:hAnsi="Trebuchet MS" w:cs="Times New Roman"/>
      <w:b/>
      <w:bCs/>
      <w:color w:val="000000"/>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B04B20"/>
    <w:rPr>
      <w:rFonts w:ascii="Tahoma" w:hAnsi="Tahoma" w:cs="Tahoma"/>
      <w:sz w:val="16"/>
      <w:szCs w:val="16"/>
    </w:rPr>
  </w:style>
  <w:style w:type="character" w:customStyle="1" w:styleId="Heading3Char">
    <w:name w:val="Heading 3 Char"/>
    <w:basedOn w:val="DefaultParagraphFont"/>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basedOn w:val="DefaultParagraphFont"/>
    <w:link w:val="Heading4"/>
    <w:uiPriority w:val="3"/>
    <w:rsid w:val="00F7706D"/>
    <w:rPr>
      <w:rFonts w:ascii="Trebuchet MS" w:hAnsi="Trebuchet MS"/>
      <w:color w:val="0C2577"/>
      <w:sz w:val="60"/>
    </w:rPr>
  </w:style>
  <w:style w:type="character" w:customStyle="1" w:styleId="Heading5Char">
    <w:name w:val="Heading 5 Char"/>
    <w:aliases w:val="Chapter Heading Char"/>
    <w:basedOn w:val="DefaultParagraphFont"/>
    <w:link w:val="Heading5"/>
    <w:uiPriority w:val="4"/>
    <w:rsid w:val="00F7706D"/>
    <w:rPr>
      <w:rFonts w:ascii="Trebuchet MS" w:hAnsi="Trebuchet MS"/>
      <w:b/>
      <w:sz w:val="32"/>
    </w:rPr>
  </w:style>
  <w:style w:type="character" w:customStyle="1" w:styleId="Heading6Char">
    <w:name w:val="Heading 6 Char"/>
    <w:aliases w:val="Cover Page Heading Char"/>
    <w:basedOn w:val="DefaultParagraphFont"/>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styleId="Title">
    <w:name w:val="Title"/>
    <w:basedOn w:val="Normal"/>
    <w:link w:val="TitleChar"/>
    <w:qFormat/>
    <w:rsid w:val="001E78E1"/>
    <w:pPr>
      <w:spacing w:before="360"/>
      <w:jc w:val="center"/>
    </w:pPr>
    <w:rPr>
      <w:b/>
      <w:sz w:val="32"/>
    </w:rPr>
  </w:style>
  <w:style w:type="character" w:customStyle="1" w:styleId="TitleChar">
    <w:name w:val="Title Char"/>
    <w:basedOn w:val="DefaultParagraphFont"/>
    <w:link w:val="Title"/>
    <w:rsid w:val="001E78E1"/>
    <w:rPr>
      <w:rFonts w:ascii="Times New Roman" w:eastAsia="Times New Roman" w:hAnsi="Times New Roman" w:cs="Times New Roman"/>
      <w:b/>
      <w:sz w:val="32"/>
      <w:szCs w:val="20"/>
      <w:lang w:eastAsia="en-AU"/>
    </w:rPr>
  </w:style>
  <w:style w:type="paragraph" w:styleId="BodyText">
    <w:name w:val="Body Text"/>
    <w:basedOn w:val="Normal"/>
    <w:link w:val="BodyTextChar"/>
    <w:rsid w:val="001E78E1"/>
    <w:pPr>
      <w:spacing w:after="240"/>
    </w:pPr>
  </w:style>
  <w:style w:type="character" w:customStyle="1" w:styleId="BodyTextChar">
    <w:name w:val="Body Text Char"/>
    <w:basedOn w:val="DefaultParagraphFont"/>
    <w:link w:val="BodyText"/>
    <w:rsid w:val="001E78E1"/>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995F60"/>
    <w:rPr>
      <w:sz w:val="16"/>
      <w:szCs w:val="16"/>
    </w:rPr>
  </w:style>
  <w:style w:type="paragraph" w:styleId="CommentText">
    <w:name w:val="annotation text"/>
    <w:basedOn w:val="Normal"/>
    <w:link w:val="CommentTextChar"/>
    <w:uiPriority w:val="99"/>
    <w:semiHidden/>
    <w:unhideWhenUsed/>
    <w:rsid w:val="00995F60"/>
    <w:rPr>
      <w:sz w:val="20"/>
    </w:rPr>
  </w:style>
  <w:style w:type="character" w:customStyle="1" w:styleId="CommentTextChar">
    <w:name w:val="Comment Text Char"/>
    <w:basedOn w:val="DefaultParagraphFont"/>
    <w:link w:val="CommentText"/>
    <w:uiPriority w:val="99"/>
    <w:semiHidden/>
    <w:rsid w:val="00995F6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95F60"/>
    <w:rPr>
      <w:b/>
      <w:bCs/>
    </w:rPr>
  </w:style>
  <w:style w:type="character" w:customStyle="1" w:styleId="CommentSubjectChar">
    <w:name w:val="Comment Subject Char"/>
    <w:basedOn w:val="CommentTextChar"/>
    <w:link w:val="CommentSubject"/>
    <w:uiPriority w:val="99"/>
    <w:semiHidden/>
    <w:rsid w:val="00995F60"/>
    <w:rPr>
      <w:rFonts w:ascii="Times New Roman" w:eastAsia="Times New Roman" w:hAnsi="Times New Roman" w:cs="Times New Roman"/>
      <w:b/>
      <w:bCs/>
      <w:sz w:val="20"/>
      <w:szCs w:val="20"/>
      <w:lang w:eastAsia="en-AU"/>
    </w:rPr>
  </w:style>
  <w:style w:type="paragraph" w:styleId="Revision">
    <w:name w:val="Revision"/>
    <w:hidden/>
    <w:uiPriority w:val="99"/>
    <w:semiHidden/>
    <w:rsid w:val="00995F60"/>
    <w:rPr>
      <w:rFonts w:ascii="Times New Roman" w:eastAsia="Times New Roman" w:hAnsi="Times New Roman"/>
      <w:sz w:val="24"/>
      <w:lang w:eastAsia="en-AU"/>
    </w:rPr>
  </w:style>
  <w:style w:type="paragraph" w:styleId="ListParagraph">
    <w:name w:val="List Paragraph"/>
    <w:basedOn w:val="Normal"/>
    <w:uiPriority w:val="34"/>
    <w:qFormat/>
    <w:rsid w:val="001C6E9D"/>
    <w:pPr>
      <w:ind w:left="720"/>
    </w:pPr>
    <w:rPr>
      <w:rFonts w:ascii="Trebuchet MS" w:eastAsia="Calibri" w:hAnsi="Trebuchet MS"/>
      <w:sz w:val="22"/>
      <w:szCs w:val="22"/>
      <w:lang w:eastAsia="en-US"/>
    </w:rPr>
  </w:style>
  <w:style w:type="paragraph" w:styleId="FootnoteText">
    <w:name w:val="footnote text"/>
    <w:basedOn w:val="Normal"/>
    <w:link w:val="FootnoteTextChar"/>
    <w:uiPriority w:val="99"/>
    <w:unhideWhenUsed/>
    <w:rsid w:val="00C27B41"/>
    <w:rPr>
      <w:sz w:val="20"/>
    </w:rPr>
  </w:style>
  <w:style w:type="character" w:customStyle="1" w:styleId="FootnoteTextChar">
    <w:name w:val="Footnote Text Char"/>
    <w:basedOn w:val="DefaultParagraphFont"/>
    <w:link w:val="FootnoteText"/>
    <w:uiPriority w:val="99"/>
    <w:rsid w:val="00C27B41"/>
    <w:rPr>
      <w:rFonts w:ascii="Times New Roman" w:eastAsia="Times New Roman" w:hAnsi="Times New Roman"/>
    </w:rPr>
  </w:style>
  <w:style w:type="character" w:styleId="FootnoteReference">
    <w:name w:val="footnote reference"/>
    <w:basedOn w:val="DefaultParagraphFont"/>
    <w:uiPriority w:val="99"/>
    <w:unhideWhenUsed/>
    <w:rsid w:val="00C27B41"/>
    <w:rPr>
      <w:vertAlign w:val="superscript"/>
    </w:rPr>
  </w:style>
  <w:style w:type="paragraph" w:styleId="Header">
    <w:name w:val="header"/>
    <w:basedOn w:val="Normal"/>
    <w:link w:val="HeaderChar"/>
    <w:uiPriority w:val="99"/>
    <w:unhideWhenUsed/>
    <w:rsid w:val="00D35460"/>
    <w:pPr>
      <w:tabs>
        <w:tab w:val="center" w:pos="4513"/>
        <w:tab w:val="right" w:pos="9026"/>
      </w:tabs>
    </w:pPr>
  </w:style>
  <w:style w:type="character" w:customStyle="1" w:styleId="HeaderChar">
    <w:name w:val="Header Char"/>
    <w:basedOn w:val="DefaultParagraphFont"/>
    <w:link w:val="Header"/>
    <w:uiPriority w:val="99"/>
    <w:rsid w:val="00D35460"/>
    <w:rPr>
      <w:rFonts w:ascii="Times New Roman" w:eastAsia="Times New Roman" w:hAnsi="Times New Roman"/>
      <w:sz w:val="24"/>
      <w:lang w:eastAsia="en-AU"/>
    </w:rPr>
  </w:style>
  <w:style w:type="paragraph" w:styleId="Footer">
    <w:name w:val="footer"/>
    <w:basedOn w:val="Normal"/>
    <w:link w:val="FooterChar"/>
    <w:uiPriority w:val="99"/>
    <w:unhideWhenUsed/>
    <w:rsid w:val="00D35460"/>
    <w:pPr>
      <w:tabs>
        <w:tab w:val="center" w:pos="4513"/>
        <w:tab w:val="right" w:pos="9026"/>
      </w:tabs>
    </w:pPr>
  </w:style>
  <w:style w:type="character" w:customStyle="1" w:styleId="FooterChar">
    <w:name w:val="Footer Char"/>
    <w:basedOn w:val="DefaultParagraphFont"/>
    <w:link w:val="Footer"/>
    <w:uiPriority w:val="99"/>
    <w:rsid w:val="00D35460"/>
    <w:rPr>
      <w:rFonts w:ascii="Times New Roman" w:eastAsia="Times New Roman" w:hAnsi="Times New Roman"/>
      <w:sz w:val="24"/>
      <w:lang w:eastAsia="en-AU"/>
    </w:rPr>
  </w:style>
  <w:style w:type="paragraph" w:customStyle="1" w:styleId="Heading">
    <w:name w:val="Heading"/>
    <w:basedOn w:val="Normal"/>
    <w:rsid w:val="000802B6"/>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18219">
      <w:bodyDiv w:val="1"/>
      <w:marLeft w:val="0"/>
      <w:marRight w:val="0"/>
      <w:marTop w:val="0"/>
      <w:marBottom w:val="0"/>
      <w:divBdr>
        <w:top w:val="none" w:sz="0" w:space="0" w:color="auto"/>
        <w:left w:val="none" w:sz="0" w:space="0" w:color="auto"/>
        <w:bottom w:val="none" w:sz="0" w:space="0" w:color="auto"/>
        <w:right w:val="none" w:sz="0" w:space="0" w:color="auto"/>
      </w:divBdr>
    </w:div>
    <w:div w:id="691608596">
      <w:bodyDiv w:val="1"/>
      <w:marLeft w:val="0"/>
      <w:marRight w:val="0"/>
      <w:marTop w:val="0"/>
      <w:marBottom w:val="0"/>
      <w:divBdr>
        <w:top w:val="none" w:sz="0" w:space="0" w:color="auto"/>
        <w:left w:val="none" w:sz="0" w:space="0" w:color="auto"/>
        <w:bottom w:val="none" w:sz="0" w:space="0" w:color="auto"/>
        <w:right w:val="none" w:sz="0" w:space="0" w:color="auto"/>
      </w:divBdr>
    </w:div>
    <w:div w:id="899638272">
      <w:bodyDiv w:val="1"/>
      <w:marLeft w:val="0"/>
      <w:marRight w:val="0"/>
      <w:marTop w:val="0"/>
      <w:marBottom w:val="0"/>
      <w:divBdr>
        <w:top w:val="none" w:sz="0" w:space="0" w:color="auto"/>
        <w:left w:val="none" w:sz="0" w:space="0" w:color="auto"/>
        <w:bottom w:val="none" w:sz="0" w:space="0" w:color="auto"/>
        <w:right w:val="none" w:sz="0" w:space="0" w:color="auto"/>
      </w:divBdr>
    </w:div>
    <w:div w:id="1029795231">
      <w:bodyDiv w:val="1"/>
      <w:marLeft w:val="0"/>
      <w:marRight w:val="0"/>
      <w:marTop w:val="0"/>
      <w:marBottom w:val="0"/>
      <w:divBdr>
        <w:top w:val="none" w:sz="0" w:space="0" w:color="auto"/>
        <w:left w:val="none" w:sz="0" w:space="0" w:color="auto"/>
        <w:bottom w:val="none" w:sz="0" w:space="0" w:color="auto"/>
        <w:right w:val="none" w:sz="0" w:space="0" w:color="auto"/>
      </w:divBdr>
    </w:div>
    <w:div w:id="207377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158F-2090-4046-8EA0-1A28B6DC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1163</Words>
  <Characters>6634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axocon</dc:creator>
  <cp:lastModifiedBy>Watson, Jill</cp:lastModifiedBy>
  <cp:revision>2</cp:revision>
  <cp:lastPrinted>2015-06-12T04:56:00Z</cp:lastPrinted>
  <dcterms:created xsi:type="dcterms:W3CDTF">2015-06-18T02:34:00Z</dcterms:created>
  <dcterms:modified xsi:type="dcterms:W3CDTF">2015-06-18T02:34:00Z</dcterms:modified>
</cp:coreProperties>
</file>