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A" w:rsidRDefault="001639DA">
      <w:pPr>
        <w:spacing w:before="7" w:after="0" w:line="170" w:lineRule="exact"/>
        <w:rPr>
          <w:sz w:val="17"/>
          <w:szCs w:val="17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352EA8">
      <w:pPr>
        <w:spacing w:after="0" w:line="240" w:lineRule="auto"/>
        <w:ind w:left="163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407160" cy="109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DA" w:rsidRDefault="001639DA">
      <w:pPr>
        <w:spacing w:before="8" w:after="0" w:line="180" w:lineRule="exact"/>
        <w:rPr>
          <w:sz w:val="18"/>
          <w:szCs w:val="18"/>
        </w:rPr>
      </w:pPr>
    </w:p>
    <w:p w:rsidR="001639DA" w:rsidRDefault="00995115">
      <w:pPr>
        <w:spacing w:before="7" w:after="0" w:line="240" w:lineRule="auto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Australia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Prudentia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Regulatio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Authority</w:t>
      </w:r>
    </w:p>
    <w:p w:rsidR="001639DA" w:rsidRDefault="00995115">
      <w:pPr>
        <w:spacing w:after="0" w:line="446" w:lineRule="exact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b/>
          <w:bCs/>
          <w:spacing w:val="1"/>
          <w:sz w:val="40"/>
          <w:szCs w:val="40"/>
        </w:rPr>
        <w:t>confidentiality</w:t>
      </w:r>
      <w:proofErr w:type="gramEnd"/>
      <w:r>
        <w:rPr>
          <w:rFonts w:ascii="Arial" w:eastAsia="Arial" w:hAnsi="Arial" w:cs="Arial"/>
          <w:b/>
          <w:bCs/>
          <w:sz w:val="40"/>
          <w:szCs w:val="40"/>
        </w:rPr>
        <w:t>)</w:t>
      </w:r>
      <w:r>
        <w:rPr>
          <w:rFonts w:ascii="Arial" w:eastAsia="Arial" w:hAnsi="Arial" w:cs="Arial"/>
          <w:b/>
          <w:bCs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determinatio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2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No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.</w:t>
      </w:r>
      <w:r w:rsidR="00904D5F">
        <w:rPr>
          <w:rFonts w:ascii="Arial" w:eastAsia="Arial" w:hAnsi="Arial" w:cs="Arial"/>
          <w:b/>
          <w:bCs/>
          <w:sz w:val="40"/>
          <w:szCs w:val="40"/>
        </w:rPr>
        <w:t xml:space="preserve">12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0</w:t>
      </w:r>
      <w:r w:rsidR="00AF6991">
        <w:rPr>
          <w:rFonts w:ascii="Arial" w:eastAsia="Arial" w:hAnsi="Arial" w:cs="Arial"/>
          <w:b/>
          <w:bCs/>
          <w:spacing w:val="-1"/>
          <w:sz w:val="40"/>
          <w:szCs w:val="40"/>
        </w:rPr>
        <w:t>15</w:t>
      </w:r>
    </w:p>
    <w:p w:rsidR="001639DA" w:rsidRDefault="001639DA">
      <w:pPr>
        <w:spacing w:before="13" w:after="0" w:line="240" w:lineRule="exact"/>
        <w:rPr>
          <w:sz w:val="24"/>
          <w:szCs w:val="24"/>
        </w:rPr>
      </w:pPr>
    </w:p>
    <w:p w:rsidR="001639DA" w:rsidRPr="005B4F6B" w:rsidRDefault="00995115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5B4F6B">
        <w:rPr>
          <w:rFonts w:ascii="Arial" w:eastAsia="Arial" w:hAnsi="Arial" w:cs="Arial"/>
          <w:sz w:val="28"/>
          <w:szCs w:val="28"/>
        </w:rPr>
        <w:t>Information</w:t>
      </w:r>
      <w:r w:rsidRPr="005B4F6B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provided</w:t>
      </w:r>
      <w:r w:rsidRPr="005B4F6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by</w:t>
      </w:r>
      <w:r w:rsidRPr="005B4F6B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life</w:t>
      </w:r>
      <w:r w:rsidRPr="005B4F6B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insurers</w:t>
      </w:r>
      <w:r w:rsidRPr="005B4F6B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and</w:t>
      </w:r>
      <w:r w:rsidRPr="005B4F6B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friendly</w:t>
      </w:r>
      <w:r w:rsidRPr="005B4F6B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</w:rPr>
        <w:t>societies</w:t>
      </w:r>
      <w:r w:rsidRPr="005B4F6B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pacing w:val="1"/>
          <w:sz w:val="28"/>
          <w:szCs w:val="28"/>
        </w:rPr>
        <w:t>under</w:t>
      </w:r>
    </w:p>
    <w:p w:rsidR="00A76BFE" w:rsidRDefault="00995115" w:rsidP="00C606F9">
      <w:pPr>
        <w:spacing w:after="0" w:line="312" w:lineRule="exact"/>
        <w:ind w:left="120" w:right="-20"/>
        <w:rPr>
          <w:rFonts w:ascii="Arial" w:eastAsia="Arial" w:hAnsi="Arial" w:cs="Arial"/>
          <w:spacing w:val="-6"/>
          <w:sz w:val="28"/>
          <w:szCs w:val="28"/>
          <w:shd w:val="clear" w:color="auto" w:fill="FFFFFF" w:themeFill="background1"/>
        </w:rPr>
      </w:pPr>
      <w:r w:rsidRPr="005B4F6B">
        <w:rPr>
          <w:rFonts w:ascii="Arial" w:eastAsia="Arial" w:hAnsi="Arial" w:cs="Arial"/>
          <w:sz w:val="28"/>
          <w:szCs w:val="28"/>
        </w:rPr>
        <w:t>Reporting</w:t>
      </w:r>
      <w:r w:rsidRPr="005B4F6B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Standard</w:t>
      </w:r>
      <w:r w:rsidRPr="005B4F6B">
        <w:rPr>
          <w:rFonts w:ascii="Arial" w:eastAsia="Arial" w:hAnsi="Arial" w:cs="Arial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A76BFE" w:rsidRDefault="00A76BFE" w:rsidP="00C606F9">
      <w:pPr>
        <w:spacing w:after="0" w:line="312" w:lineRule="exact"/>
        <w:ind w:left="120" w:right="-20"/>
        <w:rPr>
          <w:rFonts w:ascii="Arial" w:eastAsia="Arial" w:hAnsi="Arial" w:cs="Arial"/>
          <w:spacing w:val="-6"/>
          <w:sz w:val="28"/>
          <w:szCs w:val="28"/>
          <w:shd w:val="clear" w:color="auto" w:fill="FFFFFF" w:themeFill="background1"/>
        </w:rPr>
      </w:pPr>
    </w:p>
    <w:p w:rsidR="00904D5F" w:rsidRDefault="00995115" w:rsidP="00C606F9">
      <w:pPr>
        <w:spacing w:after="0" w:line="312" w:lineRule="exact"/>
        <w:ind w:left="120" w:right="-20"/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</w:pPr>
      <w:r w:rsidRPr="005B4F6B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>LR</w:t>
      </w:r>
      <w:r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S</w:t>
      </w:r>
      <w:r w:rsidRPr="005B4F6B">
        <w:rPr>
          <w:rFonts w:ascii="Arial" w:eastAsia="Arial" w:hAnsi="Arial" w:cs="Arial"/>
          <w:spacing w:val="-4"/>
          <w:sz w:val="28"/>
          <w:szCs w:val="28"/>
          <w:shd w:val="clear" w:color="auto" w:fill="FFFFFF" w:themeFill="background1"/>
        </w:rPr>
        <w:t xml:space="preserve"> </w:t>
      </w:r>
      <w:r w:rsidRPr="005B4F6B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>100.0</w:t>
      </w:r>
      <w:r w:rsidR="00A76BFE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 xml:space="preserve"> (2008)</w:t>
      </w:r>
      <w:r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,</w:t>
      </w:r>
      <w:r w:rsidR="0044042F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 </w:t>
      </w:r>
      <w:r w:rsidR="00A76BFE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LRS 120.0 (2008), LRS 210.0 (2008), LRS 300.0 (2008), LRS 310.0 (2008), LRS 330.0 (2008), LRS 340.0 (2008), LRS 400.0 (2008), LRS </w:t>
      </w:r>
      <w:r w:rsidR="00200827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420.0 (2008), LRS 430.0 (2008),</w:t>
      </w:r>
      <w:r w:rsidR="00904D5F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 xml:space="preserve"> </w:t>
      </w:r>
    </w:p>
    <w:p w:rsidR="00904D5F" w:rsidRDefault="00904D5F" w:rsidP="00C606F9">
      <w:pPr>
        <w:spacing w:after="0" w:line="312" w:lineRule="exact"/>
        <w:ind w:left="120" w:right="-20"/>
        <w:rPr>
          <w:rFonts w:ascii="Arial" w:eastAsia="Arial" w:hAnsi="Arial" w:cs="Arial"/>
          <w:sz w:val="28"/>
          <w:szCs w:val="28"/>
          <w:shd w:val="clear" w:color="auto" w:fill="FFFFFF" w:themeFill="background1"/>
        </w:rPr>
      </w:pPr>
    </w:p>
    <w:p w:rsidR="00A76BFE" w:rsidRDefault="00A76BFE">
      <w:pPr>
        <w:spacing w:after="0" w:line="312" w:lineRule="exact"/>
        <w:ind w:left="120" w:right="-20"/>
        <w:rPr>
          <w:rFonts w:ascii="Arial" w:eastAsia="Arial" w:hAnsi="Arial" w:cs="Arial"/>
          <w:sz w:val="28"/>
          <w:szCs w:val="28"/>
          <w:shd w:val="clear" w:color="auto" w:fill="FFFFFF" w:themeFill="background1"/>
        </w:rPr>
      </w:pPr>
      <w:r w:rsidRPr="005B4F6B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>LR</w:t>
      </w:r>
      <w:r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S</w:t>
      </w:r>
      <w:r w:rsidRPr="005B4F6B">
        <w:rPr>
          <w:rFonts w:ascii="Arial" w:eastAsia="Arial" w:hAnsi="Arial" w:cs="Arial"/>
          <w:spacing w:val="-4"/>
          <w:sz w:val="28"/>
          <w:szCs w:val="28"/>
          <w:shd w:val="clear" w:color="auto" w:fill="FFFFFF" w:themeFill="background1"/>
        </w:rPr>
        <w:t xml:space="preserve"> </w:t>
      </w:r>
      <w:r w:rsidRPr="005B4F6B"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>100.0</w:t>
      </w:r>
      <w:r>
        <w:rPr>
          <w:rFonts w:ascii="Arial" w:eastAsia="Arial" w:hAnsi="Arial" w:cs="Arial"/>
          <w:spacing w:val="1"/>
          <w:sz w:val="28"/>
          <w:szCs w:val="28"/>
          <w:shd w:val="clear" w:color="auto" w:fill="FFFFFF" w:themeFill="background1"/>
        </w:rPr>
        <w:t xml:space="preserve"> (2009)</w:t>
      </w:r>
      <w:r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LRS 120.0 (2009), LRS 210.0 (2009), LRS 300.0 (2009), LRS 310.0 (2009), LRS 330.0 (2009), LRS 340.0 (2009), LRS 400.0 (2009), LRS 420.0 (2009), LRS 430.0 (2009), </w:t>
      </w:r>
    </w:p>
    <w:p w:rsidR="00A76BFE" w:rsidRDefault="00A76BFE" w:rsidP="00C606F9">
      <w:pPr>
        <w:spacing w:after="0" w:line="312" w:lineRule="exact"/>
        <w:ind w:left="120" w:right="-20"/>
        <w:rPr>
          <w:rFonts w:ascii="Arial" w:eastAsia="Arial" w:hAnsi="Arial" w:cs="Arial"/>
          <w:sz w:val="28"/>
          <w:szCs w:val="28"/>
          <w:shd w:val="clear" w:color="auto" w:fill="FFFFFF" w:themeFill="background1"/>
        </w:rPr>
      </w:pPr>
    </w:p>
    <w:p w:rsidR="001639DA" w:rsidRDefault="006254EF" w:rsidP="00C606F9">
      <w:pPr>
        <w:spacing w:after="0" w:line="312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LRS </w:t>
      </w:r>
      <w:r w:rsidR="0044042F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110.1</w:t>
      </w:r>
      <w:r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 (2013)</w:t>
      </w:r>
      <w:r w:rsidR="0044042F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, LRS 112.0</w:t>
      </w:r>
      <w:r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 (2013)</w:t>
      </w:r>
      <w:r w:rsidR="0044042F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,</w:t>
      </w:r>
      <w:r w:rsidR="00C073B0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 LRS 112.3</w:t>
      </w:r>
      <w:r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 xml:space="preserve"> (2013)</w:t>
      </w:r>
      <w:r w:rsidR="00C073B0" w:rsidRPr="005B4F6B">
        <w:rPr>
          <w:rFonts w:ascii="Arial" w:eastAsia="Arial" w:hAnsi="Arial" w:cs="Arial"/>
          <w:sz w:val="28"/>
          <w:szCs w:val="28"/>
          <w:shd w:val="clear" w:color="auto" w:fill="FFFFFF" w:themeFill="background1"/>
        </w:rPr>
        <w:t>,</w:t>
      </w:r>
      <w:r w:rsidR="00995115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</w:t>
      </w:r>
      <w:r w:rsidR="00C073B0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LRS 114.0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C073B0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, LRS 114.2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C073B0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, LRS 114.3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C073B0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, LRS 115.0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C073B0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, </w:t>
      </w:r>
      <w:r w:rsidR="0029043B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LRS 117.0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29043B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, LRS 118.0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29043B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, </w:t>
      </w:r>
      <w:r w:rsidR="005747D3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LRS 200.0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 (2013)</w:t>
      </w:r>
      <w:r w:rsidR="005747D3" w:rsidRPr="005B4F6B"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 xml:space="preserve">, </w:t>
      </w:r>
      <w:r w:rsidR="00995115" w:rsidRPr="005B4F6B">
        <w:rPr>
          <w:rFonts w:ascii="Arial" w:eastAsia="Arial" w:hAnsi="Arial" w:cs="Arial"/>
          <w:spacing w:val="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sz w:val="28"/>
          <w:szCs w:val="28"/>
        </w:rPr>
        <w:t>300.0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sz w:val="28"/>
          <w:szCs w:val="28"/>
        </w:rPr>
        <w:t>,</w:t>
      </w:r>
      <w:r w:rsidR="00995115" w:rsidRPr="005B4F6B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sz w:val="28"/>
          <w:szCs w:val="28"/>
        </w:rPr>
        <w:t>LRS</w:t>
      </w:r>
      <w:r w:rsidR="00C606F9" w:rsidRPr="005B4F6B">
        <w:rPr>
          <w:rFonts w:ascii="Arial" w:eastAsia="Arial" w:hAnsi="Arial" w:cs="Arial"/>
          <w:sz w:val="28"/>
          <w:szCs w:val="28"/>
        </w:rPr>
        <w:t xml:space="preserve">,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310.0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,</w:t>
      </w:r>
      <w:r w:rsidR="00995115" w:rsidRPr="005B4F6B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330.0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,</w:t>
      </w:r>
      <w:r w:rsidR="00995115" w:rsidRPr="005B4F6B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340.0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,</w:t>
      </w:r>
      <w:r w:rsidR="00995115" w:rsidRPr="005B4F6B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400.0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,</w:t>
      </w:r>
      <w:r w:rsidR="00995115" w:rsidRPr="005B4F6B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420.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0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</w:t>
      </w:r>
      <w:r w:rsidR="00995115" w:rsidRPr="005B4F6B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an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d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LR</w:t>
      </w:r>
      <w:r w:rsidR="00995115" w:rsidRPr="005B4F6B">
        <w:rPr>
          <w:rFonts w:ascii="Arial" w:eastAsia="Arial" w:hAnsi="Arial" w:cs="Arial"/>
          <w:position w:val="-1"/>
          <w:sz w:val="28"/>
          <w:szCs w:val="28"/>
        </w:rPr>
        <w:t>S</w:t>
      </w:r>
      <w:r w:rsidR="00995115" w:rsidRPr="005B4F6B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995115" w:rsidRPr="005B4F6B">
        <w:rPr>
          <w:rFonts w:ascii="Arial" w:eastAsia="Arial" w:hAnsi="Arial" w:cs="Arial"/>
          <w:spacing w:val="1"/>
          <w:position w:val="-1"/>
          <w:sz w:val="28"/>
          <w:szCs w:val="28"/>
        </w:rPr>
        <w:t>430.0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shd w:val="clear" w:color="auto" w:fill="FFFFFF" w:themeFill="background1"/>
        </w:rPr>
        <w:t>(2013).</w:t>
      </w:r>
    </w:p>
    <w:p w:rsidR="001639DA" w:rsidRDefault="001639DA">
      <w:pPr>
        <w:spacing w:before="1" w:after="0" w:line="280" w:lineRule="exact"/>
        <w:rPr>
          <w:sz w:val="28"/>
          <w:szCs w:val="28"/>
        </w:rPr>
      </w:pPr>
    </w:p>
    <w:p w:rsidR="001639DA" w:rsidRDefault="00352EA8">
      <w:pPr>
        <w:spacing w:before="23" w:after="0" w:line="315" w:lineRule="exact"/>
        <w:ind w:left="163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50A250" wp14:editId="106FB733">
                <wp:simplePos x="0" y="0"/>
                <wp:positionH relativeFrom="page">
                  <wp:posOffset>932180</wp:posOffset>
                </wp:positionH>
                <wp:positionV relativeFrom="paragraph">
                  <wp:posOffset>280670</wp:posOffset>
                </wp:positionV>
                <wp:extent cx="5688965" cy="33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33020"/>
                          <a:chOff x="1468" y="442"/>
                          <a:chExt cx="8959" cy="5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78" y="453"/>
                            <a:ext cx="8933" cy="21"/>
                            <a:chOff x="1478" y="453"/>
                            <a:chExt cx="8933" cy="2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78" y="453"/>
                              <a:ext cx="8933" cy="2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8933"/>
                                <a:gd name="T2" fmla="+- 0 474 453"/>
                                <a:gd name="T3" fmla="*/ 474 h 21"/>
                                <a:gd name="T4" fmla="+- 0 10411 1478"/>
                                <a:gd name="T5" fmla="*/ T4 w 8933"/>
                                <a:gd name="T6" fmla="+- 0 474 453"/>
                                <a:gd name="T7" fmla="*/ 474 h 21"/>
                                <a:gd name="T8" fmla="+- 0 10411 1478"/>
                                <a:gd name="T9" fmla="*/ T8 w 8933"/>
                                <a:gd name="T10" fmla="+- 0 453 453"/>
                                <a:gd name="T11" fmla="*/ 453 h 21"/>
                                <a:gd name="T12" fmla="+- 0 1478 1478"/>
                                <a:gd name="T13" fmla="*/ T12 w 8933"/>
                                <a:gd name="T14" fmla="+- 0 453 453"/>
                                <a:gd name="T15" fmla="*/ 453 h 21"/>
                                <a:gd name="T16" fmla="+- 0 1478 1478"/>
                                <a:gd name="T17" fmla="*/ T16 w 8933"/>
                                <a:gd name="T18" fmla="+- 0 474 453"/>
                                <a:gd name="T19" fmla="*/ 4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21">
                                  <a:moveTo>
                                    <a:pt x="0" y="21"/>
                                  </a:moveTo>
                                  <a:lnTo>
                                    <a:pt x="8933" y="2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83" y="462"/>
                            <a:ext cx="8933" cy="21"/>
                            <a:chOff x="1483" y="462"/>
                            <a:chExt cx="8933" cy="2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83" y="462"/>
                              <a:ext cx="8933" cy="21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8933"/>
                                <a:gd name="T2" fmla="+- 0 483 462"/>
                                <a:gd name="T3" fmla="*/ 483 h 21"/>
                                <a:gd name="T4" fmla="+- 0 10416 1483"/>
                                <a:gd name="T5" fmla="*/ T4 w 8933"/>
                                <a:gd name="T6" fmla="+- 0 483 462"/>
                                <a:gd name="T7" fmla="*/ 483 h 21"/>
                                <a:gd name="T8" fmla="+- 0 10416 1483"/>
                                <a:gd name="T9" fmla="*/ T8 w 8933"/>
                                <a:gd name="T10" fmla="+- 0 462 462"/>
                                <a:gd name="T11" fmla="*/ 462 h 21"/>
                                <a:gd name="T12" fmla="+- 0 1483 1483"/>
                                <a:gd name="T13" fmla="*/ T12 w 8933"/>
                                <a:gd name="T14" fmla="+- 0 462 462"/>
                                <a:gd name="T15" fmla="*/ 462 h 21"/>
                                <a:gd name="T16" fmla="+- 0 1483 1483"/>
                                <a:gd name="T17" fmla="*/ T16 w 8933"/>
                                <a:gd name="T18" fmla="+- 0 483 462"/>
                                <a:gd name="T19" fmla="*/ 48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21">
                                  <a:moveTo>
                                    <a:pt x="0" y="21"/>
                                  </a:moveTo>
                                  <a:lnTo>
                                    <a:pt x="8933" y="2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4pt;margin-top:22.1pt;width:447.95pt;height:2.6pt;z-index:-251658752;mso-position-horizontal-relative:page" coordorigin="1468,442" coordsize="895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">
                <v:group id="Group 3" o:spid="_x0000_s1027" style="position:absolute;left:1478;top:453;width:8933;height:21" coordorigin="1478,453" coordsize="893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78;top:453;width:8933;height:21;visibility:visible;mso-wrap-style:square;v-text-anchor:top" coordsize="89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ZscEA&#10;AADaAAAADwAAAGRycy9kb3ducmV2LnhtbESPQWvCQBSE74X+h+UJvdXdSLEhuorUFr02Fnp9ZJ+b&#10;YPZtyK5J/PeuUOhxmJlvmPV2cq0YqA+NZw3ZXIEgrrxp2Gr4OX295iBCRDbYeiYNNwqw3Tw/rbEw&#10;fuRvGspoRYJwKFBDHWNXSBmqmhyGue+Ik3f2vcOYZG+l6XFMcNfKhVJL6bDhtFBjRx81VZfy6jQo&#10;VQ5Xm/0e9pf3LG/zoz18jqPWL7NptwIRaYr/4b/20Wh4g8eVd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mbHBAAAA2gAAAA8AAAAAAAAAAAAAAAAAmAIAAGRycy9kb3du&#10;cmV2LnhtbFBLBQYAAAAABAAEAPUAAACGAwAAAAA=&#10;" path="m,21r8933,l8933,,,,,21xe" fillcolor="#7f7f7f" stroked="f">
                    <v:path arrowok="t" o:connecttype="custom" o:connectlocs="0,474;8933,474;8933,453;0,453;0,474" o:connectangles="0,0,0,0,0"/>
                  </v:shape>
                </v:group>
                <v:group id="Group 5" o:spid="_x0000_s1029" style="position:absolute;left:1483;top:462;width:8933;height:21" coordorigin="1483,462" coordsize="893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483;top:462;width:8933;height:21;visibility:visible;mso-wrap-style:square;v-text-anchor:top" coordsize="89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d3sMA&#10;AADaAAAADwAAAGRycy9kb3ducmV2LnhtbESPUWvCMBSF3wf7D+EOfJvp+iCjMxYZjA3RibofcGmu&#10;TbW5KUlWW3+9EQZ7PJxzvsOZl4NtRU8+NI4VvEwzEMSV0w3XCn4OH8+vIEJE1tg6JgUjBSgXjw9z&#10;LLS78I76faxFgnAoUIGJsSukDJUhi2HqOuLkHZ23GJP0tdQeLwluW5ln2UxabDgtGOzo3VB13v9a&#10;BdfvrF+P2y6vvBk/693G0OpklJo8Dcs3EJGG+B/+a39pBTO4X0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d3sMAAADaAAAADwAAAAAAAAAAAAAAAACYAgAAZHJzL2Rv&#10;d25yZXYueG1sUEsFBgAAAAAEAAQA9QAAAIgDAAAAAA==&#10;" path="m,21r8933,l8933,,,,,21xe" fillcolor="#d4d0c8" stroked="f">
                    <v:path arrowok="t" o:connecttype="custom" o:connectlocs="0,483;8933,483;8933,462;0,462;0,483" o:connectangles="0,0,0,0,0"/>
                  </v:shape>
                </v:group>
                <w10:wrap anchorx="page"/>
              </v:group>
            </w:pict>
          </mc:Fallback>
        </mc:AlternateConten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Australia</w:t>
      </w:r>
      <w:r w:rsidR="00995115">
        <w:rPr>
          <w:rFonts w:ascii="Arial" w:eastAsia="Arial" w:hAnsi="Arial" w:cs="Arial"/>
          <w:i/>
          <w:position w:val="-1"/>
          <w:sz w:val="28"/>
          <w:szCs w:val="28"/>
        </w:rPr>
        <w:t>n</w:t>
      </w:r>
      <w:r w:rsidR="00995115">
        <w:rPr>
          <w:rFonts w:ascii="Arial" w:eastAsia="Arial" w:hAnsi="Arial" w:cs="Arial"/>
          <w:i/>
          <w:spacing w:val="-12"/>
          <w:position w:val="-1"/>
          <w:sz w:val="28"/>
          <w:szCs w:val="28"/>
        </w:rPr>
        <w:t xml:space="preserve"> </w: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Prudentia</w:t>
      </w:r>
      <w:r w:rsidR="00995115">
        <w:rPr>
          <w:rFonts w:ascii="Arial" w:eastAsia="Arial" w:hAnsi="Arial" w:cs="Arial"/>
          <w:i/>
          <w:position w:val="-1"/>
          <w:sz w:val="28"/>
          <w:szCs w:val="28"/>
        </w:rPr>
        <w:t>l</w:t>
      </w:r>
      <w:r w:rsidR="00995115">
        <w:rPr>
          <w:rFonts w:ascii="Arial" w:eastAsia="Arial" w:hAnsi="Arial" w:cs="Arial"/>
          <w:i/>
          <w:spacing w:val="-13"/>
          <w:position w:val="-1"/>
          <w:sz w:val="28"/>
          <w:szCs w:val="28"/>
        </w:rPr>
        <w:t xml:space="preserve"> </w: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Regulatio</w:t>
      </w:r>
      <w:r w:rsidR="00995115">
        <w:rPr>
          <w:rFonts w:ascii="Arial" w:eastAsia="Arial" w:hAnsi="Arial" w:cs="Arial"/>
          <w:i/>
          <w:position w:val="-1"/>
          <w:sz w:val="28"/>
          <w:szCs w:val="28"/>
        </w:rPr>
        <w:t>n</w:t>
      </w:r>
      <w:r w:rsidR="00995115">
        <w:rPr>
          <w:rFonts w:ascii="Arial" w:eastAsia="Arial" w:hAnsi="Arial" w:cs="Arial"/>
          <w:i/>
          <w:spacing w:val="-13"/>
          <w:position w:val="-1"/>
          <w:sz w:val="28"/>
          <w:szCs w:val="28"/>
        </w:rPr>
        <w:t xml:space="preserve"> </w: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Authorit</w:t>
      </w:r>
      <w:r w:rsidR="00995115">
        <w:rPr>
          <w:rFonts w:ascii="Arial" w:eastAsia="Arial" w:hAnsi="Arial" w:cs="Arial"/>
          <w:i/>
          <w:position w:val="-1"/>
          <w:sz w:val="28"/>
          <w:szCs w:val="28"/>
        </w:rPr>
        <w:t>y</w:t>
      </w:r>
      <w:r w:rsidR="00995115">
        <w:rPr>
          <w:rFonts w:ascii="Arial" w:eastAsia="Arial" w:hAnsi="Arial" w:cs="Arial"/>
          <w:i/>
          <w:spacing w:val="-11"/>
          <w:position w:val="-1"/>
          <w:sz w:val="28"/>
          <w:szCs w:val="28"/>
        </w:rPr>
        <w:t xml:space="preserve"> </w: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Ac</w:t>
      </w:r>
      <w:r w:rsidR="00995115">
        <w:rPr>
          <w:rFonts w:ascii="Arial" w:eastAsia="Arial" w:hAnsi="Arial" w:cs="Arial"/>
          <w:i/>
          <w:position w:val="-1"/>
          <w:sz w:val="28"/>
          <w:szCs w:val="28"/>
        </w:rPr>
        <w:t>t</w:t>
      </w:r>
      <w:r w:rsidR="00995115">
        <w:rPr>
          <w:rFonts w:ascii="Arial" w:eastAsia="Arial" w:hAnsi="Arial" w:cs="Arial"/>
          <w:i/>
          <w:spacing w:val="-4"/>
          <w:position w:val="-1"/>
          <w:sz w:val="28"/>
          <w:szCs w:val="28"/>
        </w:rPr>
        <w:t xml:space="preserve"> </w:t>
      </w:r>
      <w:r w:rsidR="00995115">
        <w:rPr>
          <w:rFonts w:ascii="Arial" w:eastAsia="Arial" w:hAnsi="Arial" w:cs="Arial"/>
          <w:i/>
          <w:spacing w:val="1"/>
          <w:position w:val="-1"/>
          <w:sz w:val="28"/>
          <w:szCs w:val="28"/>
        </w:rPr>
        <w:t>1998</w:t>
      </w:r>
    </w:p>
    <w:p w:rsidR="001639DA" w:rsidRDefault="002E2126" w:rsidP="00874F60">
      <w:pPr>
        <w:tabs>
          <w:tab w:val="left" w:pos="7263"/>
        </w:tabs>
        <w:spacing w:before="4" w:after="0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1639DA" w:rsidRDefault="001639DA">
      <w:pPr>
        <w:spacing w:after="0" w:line="200" w:lineRule="exact"/>
        <w:rPr>
          <w:sz w:val="20"/>
          <w:szCs w:val="20"/>
        </w:rPr>
      </w:pPr>
    </w:p>
    <w:p w:rsidR="00C606F9" w:rsidRDefault="00995115">
      <w:pPr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606F9">
        <w:rPr>
          <w:rFonts w:ascii="Times New Roman" w:eastAsia="Times New Roman" w:hAnsi="Times New Roman"/>
          <w:sz w:val="24"/>
          <w:szCs w:val="24"/>
        </w:rPr>
        <w:t>Ian Laughlin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delegate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APRA</w:t>
      </w:r>
      <w:r w:rsidR="00AB7BB8">
        <w:rPr>
          <w:rFonts w:ascii="Times New Roman" w:eastAsia="Times New Roman" w:hAnsi="Times New Roman"/>
          <w:sz w:val="24"/>
          <w:szCs w:val="24"/>
        </w:rPr>
        <w:t>:</w:t>
      </w:r>
    </w:p>
    <w:p w:rsidR="00C606F9" w:rsidRDefault="00C606F9">
      <w:pPr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</w:p>
    <w:p w:rsidR="00C606F9" w:rsidRDefault="00C606F9" w:rsidP="00256C6A">
      <w:pPr>
        <w:pStyle w:val="IntroTo"/>
        <w:numPr>
          <w:ilvl w:val="0"/>
          <w:numId w:val="2"/>
        </w:numPr>
        <w:ind w:hanging="578"/>
      </w:pPr>
      <w:r w:rsidRPr="0019254B">
        <w:t xml:space="preserve">under section 57 of the </w:t>
      </w:r>
      <w:r w:rsidRPr="0019254B">
        <w:rPr>
          <w:i/>
        </w:rPr>
        <w:t>Australian Prudential Regulation Authority Act 1998</w:t>
      </w:r>
      <w:r w:rsidR="00AB7BB8">
        <w:t xml:space="preserve"> (the Act)</w:t>
      </w:r>
      <w:r w:rsidRPr="0019254B">
        <w:t xml:space="preserve"> and subsection 33(3) of the </w:t>
      </w:r>
      <w:r w:rsidRPr="0019254B">
        <w:rPr>
          <w:i/>
        </w:rPr>
        <w:t xml:space="preserve">Acts Interpretation Act </w:t>
      </w:r>
      <w:r w:rsidRPr="00F97B3F">
        <w:rPr>
          <w:i/>
        </w:rPr>
        <w:t>1901</w:t>
      </w:r>
      <w:r w:rsidR="00AB7BB8">
        <w:t>, REVOKE</w:t>
      </w:r>
      <w:r>
        <w:t xml:space="preserve"> the </w:t>
      </w:r>
      <w:r w:rsidRPr="0019254B">
        <w:t>Australian</w:t>
      </w:r>
      <w:r w:rsidRPr="001246A7">
        <w:t xml:space="preserve"> Prudential Regulation Authority (confidentiality) </w:t>
      </w:r>
      <w:r w:rsidRPr="00F02112">
        <w:t xml:space="preserve">determination </w:t>
      </w:r>
      <w:r w:rsidR="008D4A5B">
        <w:t xml:space="preserve">No. </w:t>
      </w:r>
      <w:r w:rsidR="00BE3324">
        <w:t xml:space="preserve">26 </w:t>
      </w:r>
      <w:r w:rsidR="00004EB2">
        <w:t>of 2013</w:t>
      </w:r>
      <w:r>
        <w:t>;</w:t>
      </w:r>
      <w:r w:rsidR="00D8167A">
        <w:t xml:space="preserve"> and</w:t>
      </w:r>
    </w:p>
    <w:p w:rsidR="00C606F9" w:rsidRDefault="00C606F9" w:rsidP="008D4A5B">
      <w:pPr>
        <w:pStyle w:val="IntroTo"/>
        <w:ind w:left="142" w:firstLine="0"/>
      </w:pPr>
    </w:p>
    <w:p w:rsidR="00C606F9" w:rsidRPr="00B1601B" w:rsidRDefault="00C606F9" w:rsidP="00256C6A">
      <w:pPr>
        <w:pStyle w:val="IntroTo"/>
        <w:numPr>
          <w:ilvl w:val="0"/>
          <w:numId w:val="2"/>
        </w:numPr>
        <w:ind w:hanging="578"/>
      </w:pPr>
      <w:r w:rsidRPr="0019254B">
        <w:t xml:space="preserve">under </w:t>
      </w:r>
      <w:r w:rsidR="00E64348">
        <w:t>paragraph</w:t>
      </w:r>
      <w:r w:rsidRPr="0019254B">
        <w:t xml:space="preserve"> 57</w:t>
      </w:r>
      <w:r w:rsidR="00E64348">
        <w:t>(2)(b)</w:t>
      </w:r>
      <w:r w:rsidRPr="0019254B">
        <w:t xml:space="preserve"> of the</w:t>
      </w:r>
      <w:r w:rsidR="00E64348">
        <w:t xml:space="preserve"> Act, DETERMINE</w:t>
      </w:r>
      <w:r w:rsidRPr="0019254B">
        <w:t xml:space="preserve"> </w:t>
      </w:r>
      <w:r w:rsidRPr="00B1601B">
        <w:t>that a reporting document</w:t>
      </w:r>
      <w:r w:rsidR="007519D2">
        <w:t xml:space="preserve"> of a kind specified in Part 1 of the Schedule,</w:t>
      </w:r>
      <w:r w:rsidR="00E64348">
        <w:t xml:space="preserve"> </w:t>
      </w:r>
      <w:r w:rsidR="007519D2">
        <w:t>and the</w:t>
      </w:r>
      <w:r w:rsidR="00E64348">
        <w:t xml:space="preserve"> </w:t>
      </w:r>
      <w:r w:rsidR="007519D2">
        <w:t xml:space="preserve">specified </w:t>
      </w:r>
      <w:r w:rsidR="00E64348">
        <w:t>part</w:t>
      </w:r>
      <w:r w:rsidR="007519D2">
        <w:t>s</w:t>
      </w:r>
      <w:r w:rsidR="00E64348">
        <w:t xml:space="preserve"> of a reporting document</w:t>
      </w:r>
      <w:r w:rsidR="007519D2">
        <w:t xml:space="preserve"> specified in</w:t>
      </w:r>
      <w:r w:rsidRPr="00B1601B">
        <w:t xml:space="preserve"> </w:t>
      </w:r>
      <w:r>
        <w:t xml:space="preserve">Part </w:t>
      </w:r>
      <w:r w:rsidR="007519D2">
        <w:t>2</w:t>
      </w:r>
      <w:r>
        <w:t xml:space="preserve"> </w:t>
      </w:r>
      <w:r w:rsidRPr="00B1601B">
        <w:t xml:space="preserve">of the Schedule does </w:t>
      </w:r>
      <w:r w:rsidR="00A64F1A">
        <w:t xml:space="preserve">not and do </w:t>
      </w:r>
      <w:r w:rsidRPr="00B1601B">
        <w:t>not contain confidential information.</w:t>
      </w:r>
    </w:p>
    <w:p w:rsidR="001639DA" w:rsidRDefault="001639DA">
      <w:pPr>
        <w:spacing w:before="15" w:after="0" w:line="260" w:lineRule="exact"/>
        <w:rPr>
          <w:sz w:val="26"/>
          <w:szCs w:val="26"/>
        </w:rPr>
      </w:pPr>
    </w:p>
    <w:p w:rsidR="001639DA" w:rsidRDefault="00995115" w:rsidP="00874F60">
      <w:pPr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determination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="007519D2">
        <w:rPr>
          <w:rFonts w:ascii="Times New Roman" w:eastAsia="Times New Roman" w:hAnsi="Times New Roman"/>
          <w:spacing w:val="-5"/>
          <w:sz w:val="24"/>
          <w:szCs w:val="24"/>
        </w:rPr>
        <w:t xml:space="preserve">commences upon registration on the Federal Register of Legislative Instruments. </w:t>
      </w:r>
    </w:p>
    <w:p w:rsidR="001639DA" w:rsidRDefault="001639DA">
      <w:pPr>
        <w:spacing w:before="12" w:after="0" w:line="260" w:lineRule="exact"/>
        <w:rPr>
          <w:sz w:val="26"/>
          <w:szCs w:val="26"/>
        </w:rPr>
      </w:pPr>
    </w:p>
    <w:p w:rsidR="001639DA" w:rsidRDefault="001639DA">
      <w:pPr>
        <w:spacing w:after="0"/>
        <w:sectPr w:rsidR="001639DA" w:rsidSect="002A0C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260" w:right="1340" w:bottom="280" w:left="1320" w:header="850" w:footer="720" w:gutter="0"/>
          <w:pgNumType w:start="1"/>
          <w:cols w:space="720"/>
          <w:docGrid w:linePitch="299"/>
        </w:sectPr>
      </w:pPr>
    </w:p>
    <w:p w:rsidR="001639DA" w:rsidRDefault="00995115">
      <w:pPr>
        <w:spacing w:before="45" w:after="0" w:line="216" w:lineRule="exact"/>
        <w:ind w:left="163" w:right="-7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i/>
          <w:spacing w:val="1"/>
          <w:w w:val="103"/>
          <w:sz w:val="19"/>
          <w:szCs w:val="19"/>
        </w:rPr>
        <w:lastRenderedPageBreak/>
        <w:t>Note:</w:t>
      </w:r>
    </w:p>
    <w:p w:rsidR="008964B0" w:rsidRPr="00A732CA" w:rsidRDefault="00995115" w:rsidP="00A732CA">
      <w:pPr>
        <w:spacing w:before="41" w:after="0" w:line="240" w:lineRule="auto"/>
        <w:ind w:right="-20"/>
        <w:rPr>
          <w:rFonts w:ascii="Times New Roman" w:hAnsi="Times New Roman"/>
          <w:sz w:val="19"/>
          <w:szCs w:val="19"/>
        </w:rPr>
        <w:sectPr w:rsidR="008964B0" w:rsidRPr="00A732CA">
          <w:type w:val="continuous"/>
          <w:pgSz w:w="11920" w:h="16840"/>
          <w:pgMar w:top="260" w:right="1340" w:bottom="280" w:left="1320" w:header="720" w:footer="720" w:gutter="0"/>
          <w:cols w:num="2" w:space="720" w:equalWidth="0">
            <w:col w:w="604" w:space="399"/>
            <w:col w:w="8257"/>
          </w:cols>
        </w:sectPr>
      </w:pPr>
      <w:r>
        <w:br w:type="column"/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lastRenderedPageBreak/>
        <w:t>Th</w:t>
      </w:r>
      <w:r w:rsidRPr="007519D2">
        <w:rPr>
          <w:rFonts w:ascii="Times New Roman" w:eastAsia="Times New Roman" w:hAnsi="Times New Roman"/>
          <w:sz w:val="19"/>
          <w:szCs w:val="19"/>
        </w:rPr>
        <w:t>e</w:t>
      </w:r>
      <w:r w:rsidRPr="007519D2">
        <w:rPr>
          <w:rFonts w:ascii="Times New Roman" w:eastAsia="Times New Roman" w:hAnsi="Times New Roman"/>
          <w:spacing w:val="14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effec</w:t>
      </w:r>
      <w:r w:rsidRPr="007519D2">
        <w:rPr>
          <w:rFonts w:ascii="Times New Roman" w:eastAsia="Times New Roman" w:hAnsi="Times New Roman"/>
          <w:sz w:val="19"/>
          <w:szCs w:val="19"/>
        </w:rPr>
        <w:t>t</w:t>
      </w:r>
      <w:r w:rsidRPr="007519D2">
        <w:rPr>
          <w:rFonts w:ascii="Times New Roman" w:eastAsia="Times New Roman" w:hAnsi="Times New Roman"/>
          <w:spacing w:val="18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o</w:t>
      </w:r>
      <w:r w:rsidRPr="007519D2">
        <w:rPr>
          <w:rFonts w:ascii="Times New Roman" w:eastAsia="Times New Roman" w:hAnsi="Times New Roman"/>
          <w:sz w:val="19"/>
          <w:szCs w:val="19"/>
        </w:rPr>
        <w:t>f</w:t>
      </w:r>
      <w:r w:rsidRPr="007519D2">
        <w:rPr>
          <w:rFonts w:ascii="Times New Roman" w:eastAsia="Times New Roman" w:hAnsi="Times New Roman"/>
          <w:spacing w:val="10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thi</w:t>
      </w:r>
      <w:r w:rsidRPr="007519D2">
        <w:rPr>
          <w:rFonts w:ascii="Times New Roman" w:eastAsia="Times New Roman" w:hAnsi="Times New Roman"/>
          <w:sz w:val="19"/>
          <w:szCs w:val="19"/>
        </w:rPr>
        <w:t>s</w:t>
      </w:r>
      <w:r w:rsidRPr="007519D2">
        <w:rPr>
          <w:rFonts w:ascii="Times New Roman" w:eastAsia="Times New Roman" w:hAnsi="Times New Roman"/>
          <w:spacing w:val="13"/>
          <w:sz w:val="19"/>
          <w:szCs w:val="19"/>
        </w:rPr>
        <w:t xml:space="preserve"> </w:t>
      </w:r>
      <w:r w:rsidR="00FA2201" w:rsidRPr="007519D2">
        <w:rPr>
          <w:rFonts w:ascii="Times New Roman" w:eastAsia="Times New Roman" w:hAnsi="Times New Roman"/>
          <w:spacing w:val="1"/>
          <w:sz w:val="19"/>
          <w:szCs w:val="19"/>
        </w:rPr>
        <w:t>instrument</w:t>
      </w:r>
      <w:r w:rsidRPr="007519D2">
        <w:rPr>
          <w:rFonts w:ascii="Times New Roman" w:eastAsia="Times New Roman" w:hAnsi="Times New Roman"/>
          <w:spacing w:val="37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i</w:t>
      </w:r>
      <w:r w:rsidRPr="007519D2">
        <w:rPr>
          <w:rFonts w:ascii="Times New Roman" w:eastAsia="Times New Roman" w:hAnsi="Times New Roman"/>
          <w:sz w:val="19"/>
          <w:szCs w:val="19"/>
        </w:rPr>
        <w:t>s</w:t>
      </w:r>
      <w:r w:rsidRPr="007519D2">
        <w:rPr>
          <w:rFonts w:ascii="Times New Roman" w:eastAsia="Times New Roman" w:hAnsi="Times New Roman"/>
          <w:spacing w:val="9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tha</w:t>
      </w:r>
      <w:r w:rsidRPr="007519D2">
        <w:rPr>
          <w:rFonts w:ascii="Times New Roman" w:eastAsia="Times New Roman" w:hAnsi="Times New Roman"/>
          <w:sz w:val="19"/>
          <w:szCs w:val="19"/>
        </w:rPr>
        <w:t>t</w:t>
      </w:r>
      <w:r w:rsidRPr="007519D2">
        <w:rPr>
          <w:rFonts w:ascii="Times New Roman" w:eastAsia="Times New Roman" w:hAnsi="Times New Roman"/>
          <w:spacing w:val="14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th</w:t>
      </w:r>
      <w:r w:rsidRPr="007519D2">
        <w:rPr>
          <w:rFonts w:ascii="Times New Roman" w:eastAsia="Times New Roman" w:hAnsi="Times New Roman"/>
          <w:sz w:val="19"/>
          <w:szCs w:val="19"/>
        </w:rPr>
        <w:t>e</w:t>
      </w:r>
      <w:r w:rsidRPr="007519D2">
        <w:rPr>
          <w:rFonts w:ascii="Times New Roman" w:eastAsia="Times New Roman" w:hAnsi="Times New Roman"/>
          <w:spacing w:val="12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no</w:t>
      </w:r>
      <w:r w:rsidRPr="007519D2">
        <w:rPr>
          <w:rFonts w:ascii="Times New Roman" w:eastAsia="Times New Roman" w:hAnsi="Times New Roman"/>
          <w:spacing w:val="2"/>
          <w:sz w:val="19"/>
          <w:szCs w:val="19"/>
        </w:rPr>
        <w:t>n</w:t>
      </w:r>
      <w:r w:rsidR="00E34284">
        <w:rPr>
          <w:rFonts w:ascii="Times New Roman" w:eastAsia="Times New Roman" w:hAnsi="Times New Roman"/>
          <w:spacing w:val="2"/>
          <w:sz w:val="19"/>
          <w:szCs w:val="19"/>
        </w:rPr>
        <w:t>-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confidentia</w:t>
      </w:r>
      <w:r w:rsidRPr="007519D2">
        <w:rPr>
          <w:rFonts w:ascii="Times New Roman" w:eastAsia="Times New Roman" w:hAnsi="Times New Roman"/>
          <w:sz w:val="19"/>
          <w:szCs w:val="19"/>
        </w:rPr>
        <w:t>l</w:t>
      </w:r>
      <w:r w:rsidRPr="007519D2">
        <w:rPr>
          <w:rFonts w:ascii="Times New Roman" w:eastAsia="Times New Roman" w:hAnsi="Times New Roman"/>
          <w:spacing w:val="41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informatio</w:t>
      </w:r>
      <w:r w:rsidRPr="007519D2">
        <w:rPr>
          <w:rFonts w:ascii="Times New Roman" w:eastAsia="Times New Roman" w:hAnsi="Times New Roman"/>
          <w:sz w:val="19"/>
          <w:szCs w:val="19"/>
        </w:rPr>
        <w:t>n</w:t>
      </w:r>
      <w:r w:rsidR="007519D2" w:rsidRPr="007519D2">
        <w:rPr>
          <w:rFonts w:ascii="Times New Roman" w:eastAsia="Times New Roman" w:hAnsi="Times New Roman"/>
          <w:sz w:val="19"/>
          <w:szCs w:val="19"/>
        </w:rPr>
        <w:t xml:space="preserve"> (other than personal information within the meaning of the </w:t>
      </w:r>
      <w:r w:rsidR="007519D2" w:rsidRPr="00A732CA">
        <w:rPr>
          <w:rFonts w:ascii="Times New Roman" w:eastAsia="Times New Roman" w:hAnsi="Times New Roman"/>
          <w:i/>
          <w:sz w:val="19"/>
          <w:szCs w:val="19"/>
        </w:rPr>
        <w:t>Privacy Act 1988</w:t>
      </w:r>
      <w:r w:rsidR="007519D2">
        <w:rPr>
          <w:rFonts w:ascii="Times New Roman" w:eastAsia="Times New Roman" w:hAnsi="Times New Roman"/>
          <w:sz w:val="19"/>
          <w:szCs w:val="19"/>
        </w:rPr>
        <w:t xml:space="preserve">)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ma</w:t>
      </w:r>
      <w:r w:rsidRPr="007519D2">
        <w:rPr>
          <w:rFonts w:ascii="Times New Roman" w:eastAsia="Times New Roman" w:hAnsi="Times New Roman"/>
          <w:sz w:val="19"/>
          <w:szCs w:val="19"/>
        </w:rPr>
        <w:t>y</w:t>
      </w:r>
      <w:r w:rsidRPr="007519D2">
        <w:rPr>
          <w:rFonts w:ascii="Times New Roman" w:eastAsia="Times New Roman" w:hAnsi="Times New Roman"/>
          <w:spacing w:val="13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b</w:t>
      </w:r>
      <w:r w:rsidRPr="007519D2">
        <w:rPr>
          <w:rFonts w:ascii="Times New Roman" w:eastAsia="Times New Roman" w:hAnsi="Times New Roman"/>
          <w:sz w:val="19"/>
          <w:szCs w:val="19"/>
        </w:rPr>
        <w:t>e</w:t>
      </w:r>
      <w:r w:rsidRPr="007519D2">
        <w:rPr>
          <w:rFonts w:ascii="Times New Roman" w:eastAsia="Times New Roman" w:hAnsi="Times New Roman"/>
          <w:spacing w:val="8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sz w:val="19"/>
          <w:szCs w:val="19"/>
        </w:rPr>
        <w:t>publishe</w:t>
      </w:r>
      <w:r w:rsidRPr="007519D2">
        <w:rPr>
          <w:rFonts w:ascii="Times New Roman" w:eastAsia="Times New Roman" w:hAnsi="Times New Roman"/>
          <w:sz w:val="19"/>
          <w:szCs w:val="19"/>
        </w:rPr>
        <w:t>d</w:t>
      </w:r>
      <w:r w:rsidRPr="007519D2">
        <w:rPr>
          <w:rFonts w:ascii="Times New Roman" w:eastAsia="Times New Roman" w:hAnsi="Times New Roman"/>
          <w:spacing w:val="25"/>
          <w:sz w:val="19"/>
          <w:szCs w:val="19"/>
        </w:rPr>
        <w:t xml:space="preserve"> </w:t>
      </w:r>
      <w:r w:rsidRPr="007519D2">
        <w:rPr>
          <w:rFonts w:ascii="Times New Roman" w:eastAsia="Times New Roman" w:hAnsi="Times New Roman"/>
          <w:spacing w:val="1"/>
          <w:w w:val="103"/>
          <w:sz w:val="19"/>
          <w:szCs w:val="19"/>
        </w:rPr>
        <w:t>unde</w:t>
      </w:r>
      <w:r w:rsidR="007519D2" w:rsidRPr="00A732CA">
        <w:rPr>
          <w:rFonts w:ascii="Times New Roman" w:hAnsi="Times New Roman"/>
          <w:sz w:val="19"/>
          <w:szCs w:val="19"/>
        </w:rPr>
        <w:t xml:space="preserve">r subsection 56(5C) of the Act. </w:t>
      </w:r>
    </w:p>
    <w:p w:rsidR="001639DA" w:rsidRDefault="001639DA">
      <w:pPr>
        <w:spacing w:before="14" w:after="0" w:line="280" w:lineRule="exact"/>
        <w:rPr>
          <w:sz w:val="28"/>
          <w:szCs w:val="28"/>
        </w:rPr>
      </w:pPr>
    </w:p>
    <w:p w:rsidR="006D0892" w:rsidRDefault="006D0892">
      <w:pPr>
        <w:spacing w:before="29" w:after="0" w:line="271" w:lineRule="exact"/>
        <w:ind w:left="120" w:right="-2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6D0892" w:rsidRDefault="006D0892">
      <w:pPr>
        <w:spacing w:before="29" w:after="0" w:line="271" w:lineRule="exact"/>
        <w:ind w:left="120" w:right="-2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6D0892" w:rsidRDefault="006D0892">
      <w:pPr>
        <w:spacing w:before="29" w:after="0" w:line="271" w:lineRule="exact"/>
        <w:ind w:left="120" w:right="-2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A0C8B" w:rsidRDefault="00995115">
      <w:pPr>
        <w:spacing w:before="29" w:after="0" w:line="271" w:lineRule="exact"/>
        <w:ind w:left="120" w:right="-2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Dated</w:t>
      </w:r>
      <w:r w:rsidR="00D52FA8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="002A0C8B">
        <w:rPr>
          <w:rFonts w:ascii="Times New Roman" w:eastAsia="Times New Roman" w:hAnsi="Times New Roman"/>
          <w:position w:val="-1"/>
          <w:sz w:val="24"/>
          <w:szCs w:val="24"/>
        </w:rPr>
        <w:t xml:space="preserve">  </w:t>
      </w:r>
      <w:r w:rsidR="00E34284">
        <w:rPr>
          <w:rFonts w:ascii="Times New Roman" w:eastAsia="Times New Roman" w:hAnsi="Times New Roman"/>
          <w:position w:val="-1"/>
          <w:sz w:val="24"/>
          <w:szCs w:val="24"/>
        </w:rPr>
        <w:t>17</w:t>
      </w:r>
      <w:r w:rsidR="00765E15" w:rsidRPr="00865F1E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9D5C0A">
        <w:rPr>
          <w:rFonts w:ascii="Times New Roman" w:eastAsia="Times New Roman" w:hAnsi="Times New Roman"/>
          <w:position w:val="-1"/>
          <w:sz w:val="24"/>
          <w:szCs w:val="24"/>
        </w:rPr>
        <w:t>June 2015</w:t>
      </w:r>
    </w:p>
    <w:p w:rsidR="00AD5F65" w:rsidRDefault="00AD5F65" w:rsidP="00AD5F65">
      <w:pPr>
        <w:spacing w:before="29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</w:p>
    <w:p w:rsidR="001639DA" w:rsidRPr="003332BA" w:rsidRDefault="003332BA" w:rsidP="003332BA">
      <w:pPr>
        <w:spacing w:before="29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sz w:val="20"/>
          <w:szCs w:val="20"/>
        </w:rPr>
        <w:t>[</w:t>
      </w:r>
      <w:r w:rsidRPr="003332B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igned]</w:t>
      </w:r>
      <w:bookmarkStart w:id="0" w:name="_GoBack"/>
      <w:bookmarkEnd w:id="0"/>
    </w:p>
    <w:p w:rsidR="00E316E2" w:rsidRDefault="00E316E2">
      <w:pPr>
        <w:spacing w:after="0" w:line="200" w:lineRule="exact"/>
        <w:rPr>
          <w:sz w:val="20"/>
          <w:szCs w:val="20"/>
        </w:rPr>
      </w:pPr>
    </w:p>
    <w:p w:rsidR="000C6666" w:rsidRDefault="000C6666" w:rsidP="000D3AF9">
      <w:pPr>
        <w:spacing w:before="38" w:after="0" w:line="268" w:lineRule="exact"/>
        <w:ind w:left="142" w:right="434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Ian Laughlin</w:t>
      </w:r>
    </w:p>
    <w:p w:rsidR="000C6666" w:rsidRDefault="000C6666" w:rsidP="000D3AF9">
      <w:pPr>
        <w:spacing w:after="0" w:line="262" w:lineRule="exact"/>
        <w:ind w:left="142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Deputy Chairman</w:t>
      </w:r>
    </w:p>
    <w:p w:rsidR="00FA2201" w:rsidRDefault="00FA220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D5C0A" w:rsidRDefault="009D5C0A">
      <w:pPr>
        <w:spacing w:after="0" w:line="200" w:lineRule="exact"/>
        <w:rPr>
          <w:sz w:val="20"/>
          <w:szCs w:val="20"/>
        </w:rPr>
      </w:pPr>
    </w:p>
    <w:p w:rsidR="00B75AEA" w:rsidRDefault="00B75AEA" w:rsidP="00874F60">
      <w:pPr>
        <w:tabs>
          <w:tab w:val="left" w:pos="6840"/>
        </w:tabs>
        <w:spacing w:after="0" w:line="240" w:lineRule="auto"/>
        <w:ind w:right="-20"/>
        <w:rPr>
          <w:rFonts w:ascii="Arial" w:eastAsia="Arial" w:hAnsi="Arial" w:cs="Arial"/>
          <w:b/>
          <w:bCs/>
          <w:position w:val="-5"/>
          <w:sz w:val="24"/>
          <w:szCs w:val="24"/>
        </w:rPr>
      </w:pPr>
    </w:p>
    <w:p w:rsidR="00F91292" w:rsidRDefault="00995115" w:rsidP="00874F60">
      <w:pPr>
        <w:tabs>
          <w:tab w:val="left" w:pos="6840"/>
        </w:tabs>
        <w:spacing w:after="0" w:line="240" w:lineRule="auto"/>
        <w:ind w:left="163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Interpretation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ab/>
      </w:r>
    </w:p>
    <w:p w:rsidR="00F91292" w:rsidRDefault="00995115" w:rsidP="002E2126">
      <w:pPr>
        <w:spacing w:before="68" w:after="0" w:line="240" w:lineRule="auto"/>
        <w:ind w:left="163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determination</w:t>
      </w:r>
      <w:r w:rsidR="00F91292">
        <w:rPr>
          <w:rFonts w:ascii="Times New Roman" w:eastAsia="Times New Roman" w:hAnsi="Times New Roman"/>
          <w:sz w:val="24"/>
          <w:szCs w:val="24"/>
        </w:rPr>
        <w:t>:</w:t>
      </w:r>
    </w:p>
    <w:p w:rsidR="00F91292" w:rsidRDefault="00F91292" w:rsidP="001E67B3">
      <w:pPr>
        <w:spacing w:before="68" w:after="0" w:line="240" w:lineRule="auto"/>
        <w:ind w:left="163" w:right="-20"/>
        <w:rPr>
          <w:rFonts w:ascii="Times New Roman" w:eastAsia="Times New Roman" w:hAnsi="Times New Roman"/>
          <w:sz w:val="24"/>
          <w:szCs w:val="24"/>
        </w:rPr>
      </w:pPr>
    </w:p>
    <w:p w:rsidR="00F91292" w:rsidRDefault="00995115">
      <w:pPr>
        <w:spacing w:before="84" w:after="0" w:line="240" w:lineRule="auto"/>
        <w:ind w:left="163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APRA</w:t>
      </w:r>
      <w:r>
        <w:rPr>
          <w:rFonts w:ascii="Times New Roman" w:eastAsia="Times New Roman" w:hAnsi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means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Australian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Prudential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Regulation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Authority.</w:t>
      </w:r>
    </w:p>
    <w:p w:rsidR="00E34284" w:rsidRDefault="00E34284">
      <w:pPr>
        <w:spacing w:before="84" w:after="0" w:line="240" w:lineRule="auto"/>
        <w:ind w:left="163" w:right="-2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639DA" w:rsidRDefault="00FA2201">
      <w:pPr>
        <w:spacing w:before="84" w:after="0" w:line="240" w:lineRule="auto"/>
        <w:ind w:left="163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r</w:t>
      </w:r>
      <w:r w:rsidR="00995115">
        <w:rPr>
          <w:rFonts w:ascii="Times New Roman" w:eastAsia="Times New Roman" w:hAnsi="Times New Roman"/>
          <w:b/>
          <w:bCs/>
          <w:i/>
          <w:sz w:val="24"/>
          <w:szCs w:val="24"/>
        </w:rPr>
        <w:t>eporting</w:t>
      </w:r>
      <w:proofErr w:type="gramEnd"/>
      <w:r w:rsidR="00995115">
        <w:rPr>
          <w:rFonts w:ascii="Times New Roman" w:eastAsia="Times New Roman" w:hAnsi="Times New Roman"/>
          <w:b/>
          <w:bCs/>
          <w:i/>
          <w:spacing w:val="-7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b/>
          <w:bCs/>
          <w:i/>
          <w:sz w:val="24"/>
          <w:szCs w:val="24"/>
        </w:rPr>
        <w:t>document</w:t>
      </w:r>
      <w:r w:rsidR="00B75AE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means</w:t>
      </w:r>
      <w:r w:rsidR="0099511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a</w:t>
      </w:r>
      <w:r w:rsidR="0099511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reporting</w:t>
      </w:r>
      <w:r w:rsidR="0099511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document</w:t>
      </w:r>
      <w:r w:rsidR="00995115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within</w:t>
      </w:r>
      <w:r w:rsidR="0099511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the</w:t>
      </w:r>
      <w:r w:rsidR="00995115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meaning</w:t>
      </w:r>
      <w:r w:rsidR="0099511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of section</w:t>
      </w:r>
      <w:r w:rsidR="00995115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995115">
        <w:rPr>
          <w:rFonts w:ascii="Times New Roman" w:eastAsia="Times New Roman" w:hAnsi="Times New Roman"/>
          <w:sz w:val="24"/>
          <w:szCs w:val="24"/>
        </w:rPr>
        <w:t>13 of the</w:t>
      </w:r>
    </w:p>
    <w:p w:rsidR="001639DA" w:rsidRDefault="00995115">
      <w:pPr>
        <w:spacing w:after="0" w:line="259" w:lineRule="exact"/>
        <w:ind w:left="163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Financial</w:t>
      </w:r>
      <w:r>
        <w:rPr>
          <w:rFonts w:ascii="Times New Roman" w:eastAsia="Times New Roman" w:hAnsi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Sector</w:t>
      </w:r>
      <w:r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(Collection</w:t>
      </w:r>
      <w:r>
        <w:rPr>
          <w:rFonts w:ascii="Times New Roman" w:eastAsia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of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Data) Act</w:t>
      </w:r>
      <w:r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2001.</w:t>
      </w:r>
      <w:proofErr w:type="gramEnd"/>
    </w:p>
    <w:p w:rsidR="001639DA" w:rsidRDefault="001639DA">
      <w:pPr>
        <w:spacing w:after="0"/>
        <w:sectPr w:rsidR="001639DA" w:rsidSect="00F0129B">
          <w:type w:val="continuous"/>
          <w:pgSz w:w="11920" w:h="16840"/>
          <w:pgMar w:top="260" w:right="1340" w:bottom="1276" w:left="1320" w:header="720" w:footer="720" w:gutter="0"/>
          <w:cols w:space="720"/>
        </w:sectPr>
      </w:pPr>
    </w:p>
    <w:p w:rsidR="001639DA" w:rsidRDefault="001639DA">
      <w:pPr>
        <w:spacing w:before="8" w:after="0" w:line="150" w:lineRule="exact"/>
        <w:rPr>
          <w:sz w:val="15"/>
          <w:szCs w:val="15"/>
        </w:rPr>
      </w:pPr>
    </w:p>
    <w:p w:rsidR="00A51B07" w:rsidRDefault="00A51B07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1639DA" w:rsidRDefault="00995115" w:rsidP="00994386">
      <w:pPr>
        <w:spacing w:before="26"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Schedule</w:t>
      </w:r>
    </w:p>
    <w:p w:rsidR="001639DA" w:rsidRDefault="001639DA">
      <w:pPr>
        <w:spacing w:before="14" w:after="0" w:line="260" w:lineRule="exact"/>
        <w:rPr>
          <w:sz w:val="26"/>
          <w:szCs w:val="26"/>
        </w:rPr>
      </w:pPr>
    </w:p>
    <w:p w:rsidR="001639DA" w:rsidRPr="0016175D" w:rsidRDefault="00995115" w:rsidP="0016175D">
      <w:pPr>
        <w:spacing w:after="0" w:line="356" w:lineRule="exact"/>
        <w:ind w:left="100" w:right="233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Par</w:t>
      </w:r>
      <w:r>
        <w:rPr>
          <w:rFonts w:ascii="Arial" w:eastAsia="Arial" w:hAnsi="Arial" w:cs="Arial"/>
          <w:b/>
          <w:bCs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(reportin</w:t>
      </w:r>
      <w:r>
        <w:rPr>
          <w:rFonts w:ascii="Arial" w:eastAsia="Arial" w:hAnsi="Arial" w:cs="Arial"/>
          <w:b/>
          <w:bCs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3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document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covere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b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 xml:space="preserve">this 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determination)</w:t>
      </w:r>
    </w:p>
    <w:p w:rsidR="0016175D" w:rsidRDefault="0016175D" w:rsidP="0016175D">
      <w:pPr>
        <w:spacing w:after="0" w:line="264" w:lineRule="exact"/>
        <w:ind w:left="100" w:right="211"/>
        <w:rPr>
          <w:rFonts w:ascii="Times New Roman" w:eastAsia="Times New Roman" w:hAnsi="Times New Roman"/>
          <w:sz w:val="24"/>
          <w:szCs w:val="24"/>
        </w:rPr>
      </w:pPr>
    </w:p>
    <w:p w:rsidR="0016175D" w:rsidRPr="00B204F5" w:rsidRDefault="0016175D" w:rsidP="0016175D">
      <w:pPr>
        <w:spacing w:after="0" w:line="264" w:lineRule="exact"/>
        <w:ind w:left="100" w:right="211"/>
        <w:rPr>
          <w:rFonts w:ascii="Times New Roman" w:eastAsia="Times New Roman" w:hAnsi="Times New Roman"/>
          <w:sz w:val="24"/>
          <w:szCs w:val="24"/>
        </w:rPr>
      </w:pPr>
      <w:r w:rsidRPr="00B204F5">
        <w:rPr>
          <w:rFonts w:ascii="Times New Roman" w:eastAsia="Times New Roman" w:hAnsi="Times New Roman"/>
          <w:sz w:val="24"/>
          <w:szCs w:val="24"/>
        </w:rPr>
        <w:t>This determination applies to</w:t>
      </w:r>
      <w:r w:rsidR="0026459C">
        <w:rPr>
          <w:rFonts w:ascii="Times New Roman" w:eastAsia="Times New Roman" w:hAnsi="Times New Roman"/>
          <w:sz w:val="24"/>
          <w:szCs w:val="24"/>
        </w:rPr>
        <w:t xml:space="preserve"> the information in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reporting </w:t>
      </w:r>
      <w:r>
        <w:rPr>
          <w:rFonts w:ascii="Times New Roman" w:eastAsia="Times New Roman" w:hAnsi="Times New Roman"/>
          <w:sz w:val="24"/>
          <w:szCs w:val="24"/>
        </w:rPr>
        <w:t>forms given to APRA by a life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insurer</w:t>
      </w:r>
      <w:r w:rsidR="00F4540F">
        <w:rPr>
          <w:rFonts w:ascii="Times New Roman" w:eastAsia="Times New Roman" w:hAnsi="Times New Roman"/>
          <w:sz w:val="24"/>
          <w:szCs w:val="24"/>
        </w:rPr>
        <w:t xml:space="preserve"> </w:t>
      </w:r>
      <w:r w:rsidR="007B5AED">
        <w:rPr>
          <w:rFonts w:ascii="Times New Roman" w:eastAsia="Times New Roman" w:hAnsi="Times New Roman"/>
          <w:sz w:val="24"/>
          <w:szCs w:val="24"/>
        </w:rPr>
        <w:t>or friendly society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under the following reporting standards, where a period of </w:t>
      </w:r>
      <w:r w:rsidR="002E2126">
        <w:rPr>
          <w:rFonts w:ascii="Times New Roman" w:eastAsia="Times New Roman" w:hAnsi="Times New Roman"/>
          <w:sz w:val="24"/>
          <w:szCs w:val="24"/>
        </w:rPr>
        <w:t xml:space="preserve">at </w:t>
      </w:r>
      <w:r w:rsidR="002E2126" w:rsidRPr="00E93D31">
        <w:rPr>
          <w:rFonts w:ascii="Times New Roman" w:eastAsia="Times New Roman" w:hAnsi="Times New Roman"/>
          <w:sz w:val="24"/>
          <w:szCs w:val="24"/>
        </w:rPr>
        <w:t xml:space="preserve">least </w:t>
      </w:r>
      <w:r w:rsidRPr="00E93D31">
        <w:rPr>
          <w:rFonts w:ascii="Times New Roman" w:eastAsia="Times New Roman" w:hAnsi="Times New Roman"/>
          <w:sz w:val="24"/>
          <w:szCs w:val="24"/>
        </w:rPr>
        <w:t>14 days has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>lapsed from the date the life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insurer</w:t>
      </w:r>
      <w:r w:rsidR="007B5AED">
        <w:rPr>
          <w:rFonts w:ascii="Times New Roman" w:eastAsia="Times New Roman" w:hAnsi="Times New Roman"/>
          <w:sz w:val="24"/>
          <w:szCs w:val="24"/>
        </w:rPr>
        <w:t xml:space="preserve"> or friendly society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was required to provide the information required under the reporting standards in accordance with par</w:t>
      </w:r>
      <w:r>
        <w:rPr>
          <w:rFonts w:ascii="Times New Roman" w:eastAsia="Times New Roman" w:hAnsi="Times New Roman"/>
          <w:sz w:val="24"/>
          <w:szCs w:val="24"/>
        </w:rPr>
        <w:t>agraph 5 of Reporting Standard L</w:t>
      </w:r>
      <w:r w:rsidRPr="00B204F5">
        <w:rPr>
          <w:rFonts w:ascii="Times New Roman" w:eastAsia="Times New Roman" w:hAnsi="Times New Roman"/>
          <w:sz w:val="24"/>
          <w:szCs w:val="24"/>
        </w:rPr>
        <w:t>RS 001 Reporting Requirements:</w:t>
      </w:r>
    </w:p>
    <w:p w:rsidR="0016175D" w:rsidRDefault="0016175D">
      <w:pPr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</w:p>
    <w:p w:rsidR="0016175D" w:rsidRPr="005716E4" w:rsidRDefault="001D4481" w:rsidP="00256C6A">
      <w:pPr>
        <w:numPr>
          <w:ilvl w:val="0"/>
          <w:numId w:val="3"/>
        </w:numPr>
        <w:spacing w:after="0" w:line="264" w:lineRule="exact"/>
        <w:ind w:right="2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Current R</w:t>
      </w:r>
      <w:r w:rsidR="0016175D" w:rsidRPr="005716E4">
        <w:rPr>
          <w:rFonts w:ascii="Times New Roman" w:eastAsia="Times New Roman" w:hAnsi="Times New Roman"/>
          <w:b/>
          <w:sz w:val="24"/>
          <w:szCs w:val="24"/>
        </w:rPr>
        <w:t xml:space="preserve">eporting 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="0016175D" w:rsidRPr="005716E4">
        <w:rPr>
          <w:rFonts w:ascii="Times New Roman" w:eastAsia="Times New Roman" w:hAnsi="Times New Roman"/>
          <w:b/>
          <w:sz w:val="24"/>
          <w:szCs w:val="24"/>
        </w:rPr>
        <w:t xml:space="preserve">tandards </w:t>
      </w:r>
      <w:r w:rsidR="005633B4">
        <w:rPr>
          <w:rFonts w:ascii="Times New Roman" w:eastAsia="Times New Roman" w:hAnsi="Times New Roman"/>
          <w:b/>
          <w:sz w:val="24"/>
          <w:szCs w:val="24"/>
        </w:rPr>
        <w:t xml:space="preserve">effective from </w:t>
      </w:r>
      <w:r w:rsidR="0016175D" w:rsidRPr="005716E4">
        <w:rPr>
          <w:rFonts w:ascii="Times New Roman" w:eastAsia="Times New Roman" w:hAnsi="Times New Roman"/>
          <w:b/>
          <w:sz w:val="24"/>
          <w:szCs w:val="24"/>
        </w:rPr>
        <w:t>1 January 2013</w:t>
      </w:r>
    </w:p>
    <w:p w:rsidR="0016175D" w:rsidRPr="008C05A6" w:rsidRDefault="0016175D" w:rsidP="00874F60">
      <w:pPr>
        <w:spacing w:before="29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16175D" w:rsidRDefault="009D5C0A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Reporting Standard</w:t>
      </w:r>
      <w:r w:rsidRPr="00584A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LRS 112.0 Determination of Capital Base.</w:t>
      </w:r>
    </w:p>
    <w:p w:rsidR="00BE2D4C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Reporting Standard</w:t>
      </w:r>
      <w:r w:rsidRPr="00584A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LRS 114.2 Derivatives Activity. </w:t>
      </w:r>
    </w:p>
    <w:p w:rsidR="00A07FF0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Reporting Standard</w:t>
      </w:r>
      <w:r w:rsidRPr="00584A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LRS 114.3 Off</w:t>
      </w:r>
      <w:r w:rsidR="00D20533">
        <w:rPr>
          <w:rFonts w:ascii="Times New Roman" w:eastAsia="Times New Roman" w:hAnsi="Times New Roman"/>
          <w:sz w:val="24"/>
          <w:szCs w:val="24"/>
        </w:rPr>
        <w:t>-</w:t>
      </w:r>
      <w:r w:rsidR="00E34284"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alance Sheet Business.</w:t>
      </w:r>
    </w:p>
    <w:p w:rsidR="00BE2D4C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 w:rsidRPr="00584A1B">
        <w:rPr>
          <w:rFonts w:ascii="Times New Roman" w:eastAsia="Times New Roman" w:hAnsi="Times New Roman"/>
          <w:sz w:val="24"/>
          <w:szCs w:val="24"/>
        </w:rPr>
        <w:t>Reporting Standard LRS 300.0 Statement of Financial Position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E2D4C" w:rsidRDefault="00BE2D4C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Reporting Standard LRS 31</w:t>
      </w:r>
      <w:r w:rsidRPr="00584A1B">
        <w:rPr>
          <w:rFonts w:ascii="Times New Roman" w:eastAsia="Times New Roman" w:hAnsi="Times New Roman"/>
          <w:sz w:val="24"/>
          <w:szCs w:val="24"/>
        </w:rPr>
        <w:t xml:space="preserve">0.0 </w:t>
      </w:r>
      <w:r>
        <w:rPr>
          <w:rFonts w:ascii="Times New Roman" w:eastAsia="Times New Roman" w:hAnsi="Times New Roman"/>
          <w:sz w:val="24"/>
          <w:szCs w:val="24"/>
        </w:rPr>
        <w:t xml:space="preserve">Income Statement. </w:t>
      </w:r>
    </w:p>
    <w:p w:rsidR="00BE2D4C" w:rsidRPr="00200291" w:rsidRDefault="00200291" w:rsidP="00256C6A">
      <w:pPr>
        <w:numPr>
          <w:ilvl w:val="0"/>
          <w:numId w:val="4"/>
        </w:num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 w:rsidRPr="00200291">
        <w:rPr>
          <w:rFonts w:ascii="Times New Roman" w:eastAsia="Times New Roman" w:hAnsi="Times New Roman"/>
          <w:sz w:val="24"/>
          <w:szCs w:val="24"/>
        </w:rPr>
        <w:t xml:space="preserve">Reporting Standard LRS 340.0 Retained Profits.  </w:t>
      </w:r>
    </w:p>
    <w:p w:rsidR="000D3AF9" w:rsidRDefault="000D3AF9" w:rsidP="000D3AF9">
      <w:pPr>
        <w:spacing w:before="26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1D4481" w:rsidRPr="00B204F5" w:rsidRDefault="001D4481" w:rsidP="001D4481">
      <w:p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  <w:r w:rsidRPr="00B204F5">
        <w:rPr>
          <w:rFonts w:ascii="Times New Roman" w:eastAsia="Times New Roman" w:hAnsi="Times New Roman"/>
          <w:sz w:val="24"/>
          <w:szCs w:val="24"/>
        </w:rPr>
        <w:t>This determination</w:t>
      </w:r>
      <w:r>
        <w:rPr>
          <w:rFonts w:ascii="Times New Roman" w:eastAsia="Times New Roman" w:hAnsi="Times New Roman"/>
          <w:sz w:val="24"/>
          <w:szCs w:val="24"/>
        </w:rPr>
        <w:t xml:space="preserve"> also 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applies to reporting </w:t>
      </w:r>
      <w:r>
        <w:rPr>
          <w:rFonts w:ascii="Times New Roman" w:eastAsia="Times New Roman" w:hAnsi="Times New Roman"/>
          <w:sz w:val="24"/>
          <w:szCs w:val="24"/>
        </w:rPr>
        <w:t>forms given to APRA by a life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insurer</w:t>
      </w:r>
      <w:r>
        <w:rPr>
          <w:rFonts w:ascii="Times New Roman" w:eastAsia="Times New Roman" w:hAnsi="Times New Roman"/>
          <w:sz w:val="24"/>
          <w:szCs w:val="24"/>
        </w:rPr>
        <w:t xml:space="preserve"> or friendly society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under the</w:t>
      </w:r>
      <w:r>
        <w:rPr>
          <w:rFonts w:ascii="Times New Roman" w:eastAsia="Times New Roman" w:hAnsi="Times New Roman"/>
          <w:sz w:val="24"/>
          <w:szCs w:val="24"/>
        </w:rPr>
        <w:t xml:space="preserve"> following superseded</w:t>
      </w:r>
      <w:r w:rsidR="006E1E0B">
        <w:rPr>
          <w:rFonts w:ascii="Times New Roman" w:eastAsia="Times New Roman" w:hAnsi="Times New Roman"/>
          <w:sz w:val="24"/>
          <w:szCs w:val="24"/>
        </w:rPr>
        <w:t xml:space="preserve"> reporting standards:</w:t>
      </w:r>
    </w:p>
    <w:p w:rsidR="001D4481" w:rsidRPr="008C05A6" w:rsidRDefault="001D4481" w:rsidP="001D4481">
      <w:pPr>
        <w:spacing w:after="0" w:line="200" w:lineRule="exact"/>
        <w:rPr>
          <w:sz w:val="20"/>
          <w:szCs w:val="20"/>
        </w:rPr>
      </w:pPr>
    </w:p>
    <w:p w:rsidR="001D4481" w:rsidRPr="00A732CA" w:rsidRDefault="001D4481" w:rsidP="00A732CA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Superseded </w:t>
      </w:r>
      <w:r w:rsidRPr="00A732CA">
        <w:rPr>
          <w:rFonts w:ascii="Times New Roman" w:eastAsia="Times New Roman" w:hAnsi="Times New Roman"/>
          <w:b/>
          <w:sz w:val="24"/>
          <w:szCs w:val="24"/>
        </w:rPr>
        <w:t>Reporting Standards effective from 1 January 2008 to 30 September 2009:</w:t>
      </w:r>
    </w:p>
    <w:p w:rsidR="001D4481" w:rsidRPr="008A458C" w:rsidRDefault="001D4481" w:rsidP="001D4481">
      <w:pPr>
        <w:pStyle w:val="ListParagraph"/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100.0 Solvency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 Standard LRS 120.0 Management Capital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210.0 Derivatives,</w:t>
      </w:r>
      <w:r w:rsidRPr="00A732C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Commitments</w:t>
      </w:r>
      <w:r w:rsidRPr="00A732C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and</w:t>
      </w:r>
      <w:r w:rsidRPr="00A732C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</w:t>
      </w:r>
      <w:r w:rsidR="00E34284">
        <w:rPr>
          <w:rFonts w:ascii="Times New Roman" w:eastAsia="Times New Roman" w:hAnsi="Times New Roman"/>
          <w:spacing w:val="2"/>
          <w:sz w:val="24"/>
          <w:szCs w:val="24"/>
        </w:rPr>
        <w:t>f-</w:t>
      </w:r>
      <w:r w:rsidR="00E34284">
        <w:rPr>
          <w:rFonts w:ascii="Times New Roman" w:eastAsia="Times New Roman" w:hAnsi="Times New Roman"/>
          <w:sz w:val="24"/>
          <w:szCs w:val="24"/>
        </w:rPr>
        <w:t>b</w:t>
      </w:r>
      <w:r w:rsidRPr="00A732CA">
        <w:rPr>
          <w:rFonts w:ascii="Times New Roman" w:eastAsia="Times New Roman" w:hAnsi="Times New Roman"/>
          <w:sz w:val="24"/>
          <w:szCs w:val="24"/>
        </w:rPr>
        <w:t>alance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Sheet</w:t>
      </w:r>
      <w:r w:rsidRPr="00A732C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Items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300.0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Financial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Position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310.0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Financial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Performance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330.0 Summary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Revenue</w:t>
      </w:r>
      <w:r w:rsidRPr="00A732C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and</w:t>
      </w:r>
      <w:r w:rsidRPr="00A732C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Expenses (all data in form except product level data);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340.0 Retained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Profits (all data in form);</w:t>
      </w:r>
    </w:p>
    <w:p w:rsidR="001D4481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400.0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Policy</w:t>
      </w:r>
      <w:r w:rsidRPr="00A732C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Liabilities (all data in form except product level data);</w:t>
      </w:r>
    </w:p>
    <w:p w:rsidR="001D4481" w:rsidRPr="00A732CA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420.0 Assets Backing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Policy</w:t>
      </w:r>
      <w:r w:rsidRPr="00A732C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Liabilities (all data in form except product level data);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and</w:t>
      </w:r>
    </w:p>
    <w:p w:rsidR="001D4481" w:rsidRPr="00A732CA" w:rsidRDefault="001D4481" w:rsidP="00A732CA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430.0 Sources of Profit (all data in form except product level data).</w:t>
      </w:r>
    </w:p>
    <w:p w:rsidR="001D4481" w:rsidRPr="00A732CA" w:rsidRDefault="001D4481" w:rsidP="001D4481">
      <w:pPr>
        <w:pStyle w:val="ListParagraph"/>
        <w:tabs>
          <w:tab w:val="left" w:pos="1540"/>
        </w:tabs>
        <w:spacing w:after="0" w:line="259" w:lineRule="exact"/>
        <w:ind w:left="1440" w:right="-20"/>
        <w:rPr>
          <w:rFonts w:ascii="Times New Roman" w:eastAsia="Times New Roman" w:hAnsi="Times New Roman"/>
          <w:b/>
          <w:sz w:val="24"/>
          <w:szCs w:val="24"/>
        </w:rPr>
      </w:pPr>
    </w:p>
    <w:p w:rsidR="001D4481" w:rsidRPr="00A732CA" w:rsidRDefault="001D4481" w:rsidP="00A732CA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b/>
          <w:sz w:val="24"/>
          <w:szCs w:val="24"/>
        </w:rPr>
      </w:pPr>
      <w:r w:rsidRPr="00A732CA">
        <w:rPr>
          <w:rFonts w:ascii="Times New Roman" w:eastAsia="Times New Roman" w:hAnsi="Times New Roman"/>
          <w:b/>
          <w:sz w:val="24"/>
          <w:szCs w:val="24"/>
        </w:rPr>
        <w:t>Superseded Reporting Standards effective from 1 October 2009 to 31 December 2012:</w:t>
      </w:r>
    </w:p>
    <w:p w:rsidR="001D4481" w:rsidRDefault="001D4481" w:rsidP="00A732CA">
      <w:p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1D4481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100.0 Solvency (all data in form)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D4481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 Standard LRS 120.0 Management Capital (all data in form);</w:t>
      </w:r>
    </w:p>
    <w:p w:rsidR="001D4481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 Standard LRS 210.0 De</w:t>
      </w:r>
      <w:r w:rsidR="00E34284">
        <w:rPr>
          <w:rFonts w:ascii="Times New Roman" w:eastAsia="Times New Roman" w:hAnsi="Times New Roman"/>
          <w:sz w:val="24"/>
          <w:szCs w:val="24"/>
        </w:rPr>
        <w:t>rivatives, Commitments and Off-b</w:t>
      </w:r>
      <w:r w:rsidRPr="00A732CA">
        <w:rPr>
          <w:rFonts w:ascii="Times New Roman" w:eastAsia="Times New Roman" w:hAnsi="Times New Roman"/>
          <w:sz w:val="24"/>
          <w:szCs w:val="24"/>
        </w:rPr>
        <w:t>alance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Sheet</w:t>
      </w:r>
      <w:r w:rsidRPr="00A732C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Items (all data in form);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300.0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Financial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Position (all data in form);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310.0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Financial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Performance (all data in form);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lastRenderedPageBreak/>
        <w:t>Reporting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330.0 Summary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Revenue</w:t>
      </w:r>
      <w:r w:rsidRPr="00A732C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and</w:t>
      </w:r>
      <w:r w:rsidRPr="00A732C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Expenses  (all data in form except product level data);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340.0 Retained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Profits (all data in form);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400.0 Statement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of Policy</w:t>
      </w:r>
      <w:r w:rsidRPr="00A732C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Liabilities  (all data in form except product level data);</w:t>
      </w:r>
    </w:p>
    <w:p w:rsidR="00EA5220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420.0 Assets Backing</w:t>
      </w:r>
      <w:r w:rsidRPr="00A732C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Policy</w:t>
      </w:r>
      <w:r w:rsidRPr="00A732C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Liabilities  (all data in form except product level data);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and</w:t>
      </w:r>
    </w:p>
    <w:p w:rsidR="001D4481" w:rsidRPr="00A732CA" w:rsidRDefault="001D4481" w:rsidP="00A732CA">
      <w:pPr>
        <w:pStyle w:val="ListParagraph"/>
        <w:numPr>
          <w:ilvl w:val="0"/>
          <w:numId w:val="38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732CA">
        <w:rPr>
          <w:rFonts w:ascii="Times New Roman" w:eastAsia="Times New Roman" w:hAnsi="Times New Roman"/>
          <w:sz w:val="24"/>
          <w:szCs w:val="24"/>
        </w:rPr>
        <w:t>Reporting</w:t>
      </w:r>
      <w:r w:rsidRPr="00A732C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Standard</w:t>
      </w:r>
      <w:r w:rsidRPr="00A732C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LRS</w:t>
      </w:r>
      <w:r w:rsidRPr="00A732C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732CA">
        <w:rPr>
          <w:rFonts w:ascii="Times New Roman" w:eastAsia="Times New Roman" w:hAnsi="Times New Roman"/>
          <w:sz w:val="24"/>
          <w:szCs w:val="24"/>
        </w:rPr>
        <w:t>430.0 Sources of Profit (all data in form except product level data).</w:t>
      </w:r>
    </w:p>
    <w:p w:rsidR="001D4481" w:rsidRDefault="001D4481" w:rsidP="001D4481">
      <w:pPr>
        <w:pStyle w:val="ListParagraph"/>
        <w:tabs>
          <w:tab w:val="left" w:pos="1540"/>
        </w:tabs>
        <w:spacing w:after="0" w:line="259" w:lineRule="exact"/>
        <w:ind w:left="0" w:right="-20"/>
        <w:rPr>
          <w:rFonts w:ascii="Times New Roman" w:eastAsia="Times New Roman" w:hAnsi="Times New Roman"/>
          <w:sz w:val="24"/>
          <w:szCs w:val="24"/>
        </w:rPr>
      </w:pPr>
    </w:p>
    <w:p w:rsidR="001D4481" w:rsidRDefault="001D4481" w:rsidP="001D4481">
      <w:pPr>
        <w:pStyle w:val="ListParagraph"/>
        <w:tabs>
          <w:tab w:val="left" w:pos="1540"/>
        </w:tabs>
        <w:spacing w:after="0" w:line="240" w:lineRule="auto"/>
        <w:ind w:left="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21739F" w:rsidRDefault="0021739F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21739F" w:rsidRDefault="0021739F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21739F" w:rsidRDefault="0021739F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21739F" w:rsidRDefault="0021739F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21739F" w:rsidRDefault="0021739F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B75AEA" w:rsidRDefault="00B75AEA" w:rsidP="00994386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EA5220" w:rsidRDefault="00EA5220">
      <w:pPr>
        <w:widowControl/>
        <w:spacing w:after="0" w:line="240" w:lineRule="auto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br w:type="page"/>
      </w:r>
    </w:p>
    <w:p w:rsidR="00CA0983" w:rsidRPr="00CA0983" w:rsidRDefault="00CA0983" w:rsidP="00994386">
      <w:pPr>
        <w:spacing w:before="26" w:after="0" w:line="240" w:lineRule="auto"/>
        <w:ind w:right="-20"/>
        <w:rPr>
          <w:rFonts w:eastAsia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lastRenderedPageBreak/>
        <w:t>Schedule</w:t>
      </w:r>
    </w:p>
    <w:p w:rsidR="00CA0983" w:rsidRPr="00CA0983" w:rsidRDefault="00CA0983" w:rsidP="00CA0983">
      <w:pPr>
        <w:spacing w:before="14" w:after="0" w:line="200" w:lineRule="exact"/>
        <w:rPr>
          <w:sz w:val="20"/>
          <w:szCs w:val="20"/>
        </w:rPr>
      </w:pPr>
    </w:p>
    <w:p w:rsidR="00CA0983" w:rsidRPr="00497493" w:rsidRDefault="00765E15" w:rsidP="00CA0983">
      <w:pPr>
        <w:spacing w:after="0" w:line="356" w:lineRule="exact"/>
        <w:ind w:left="100" w:right="233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Part 2</w:t>
      </w:r>
      <w:r w:rsidR="00CA0983" w:rsidRPr="00B204F5">
        <w:rPr>
          <w:rFonts w:ascii="Arial" w:eastAsia="Arial" w:hAnsi="Arial" w:cs="Arial"/>
          <w:b/>
          <w:bCs/>
          <w:spacing w:val="2"/>
          <w:sz w:val="31"/>
          <w:szCs w:val="31"/>
        </w:rPr>
        <w:t xml:space="preserve"> (</w:t>
      </w:r>
      <w:r w:rsidR="00E91535">
        <w:rPr>
          <w:rFonts w:ascii="Arial" w:eastAsia="Arial" w:hAnsi="Arial" w:cs="Arial"/>
          <w:b/>
          <w:bCs/>
          <w:spacing w:val="2"/>
          <w:sz w:val="31"/>
          <w:szCs w:val="31"/>
        </w:rPr>
        <w:t>Parts of r</w:t>
      </w:r>
      <w:r w:rsidR="00CA0983" w:rsidRPr="00B204F5">
        <w:rPr>
          <w:rFonts w:ascii="Arial" w:eastAsia="Arial" w:hAnsi="Arial" w:cs="Arial"/>
          <w:b/>
          <w:bCs/>
          <w:spacing w:val="2"/>
          <w:sz w:val="31"/>
          <w:szCs w:val="31"/>
        </w:rPr>
        <w:t>eporting documents covered by this determination)</w:t>
      </w:r>
    </w:p>
    <w:p w:rsidR="005027FE" w:rsidRDefault="005027FE" w:rsidP="00CA098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p w:rsidR="000D3AF9" w:rsidRPr="00B204F5" w:rsidRDefault="000D3AF9" w:rsidP="000D3AF9">
      <w:pPr>
        <w:spacing w:after="0" w:line="264" w:lineRule="exact"/>
        <w:ind w:left="100" w:right="211"/>
        <w:rPr>
          <w:rFonts w:ascii="Times New Roman" w:eastAsia="Times New Roman" w:hAnsi="Times New Roman"/>
          <w:sz w:val="24"/>
          <w:szCs w:val="24"/>
        </w:rPr>
      </w:pPr>
      <w:r w:rsidRPr="00B204F5">
        <w:rPr>
          <w:rFonts w:ascii="Times New Roman" w:eastAsia="Times New Roman" w:hAnsi="Times New Roman"/>
          <w:sz w:val="24"/>
          <w:szCs w:val="24"/>
        </w:rPr>
        <w:t xml:space="preserve">This determination applies to </w:t>
      </w:r>
      <w:r w:rsidR="0026459C">
        <w:rPr>
          <w:rFonts w:ascii="Times New Roman" w:eastAsia="Times New Roman" w:hAnsi="Times New Roman"/>
          <w:sz w:val="24"/>
          <w:szCs w:val="24"/>
        </w:rPr>
        <w:t xml:space="preserve">the information in </w:t>
      </w:r>
      <w:r w:rsidR="00792D3C">
        <w:rPr>
          <w:rFonts w:ascii="Times New Roman" w:eastAsia="Times New Roman" w:hAnsi="Times New Roman"/>
          <w:sz w:val="24"/>
          <w:szCs w:val="24"/>
        </w:rPr>
        <w:t xml:space="preserve">the following parts of 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reporting </w:t>
      </w:r>
      <w:r>
        <w:rPr>
          <w:rFonts w:ascii="Times New Roman" w:eastAsia="Times New Roman" w:hAnsi="Times New Roman"/>
          <w:sz w:val="24"/>
          <w:szCs w:val="24"/>
        </w:rPr>
        <w:t>forms given to APRA by a life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insurer</w:t>
      </w:r>
      <w:r w:rsidR="007B5AED">
        <w:rPr>
          <w:rFonts w:ascii="Times New Roman" w:eastAsia="Times New Roman" w:hAnsi="Times New Roman"/>
          <w:sz w:val="24"/>
          <w:szCs w:val="24"/>
        </w:rPr>
        <w:t xml:space="preserve"> or friendly society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under the following reporting standards, where a period of </w:t>
      </w:r>
      <w:r w:rsidR="002E2126">
        <w:rPr>
          <w:rFonts w:ascii="Times New Roman" w:eastAsia="Times New Roman" w:hAnsi="Times New Roman"/>
          <w:sz w:val="24"/>
          <w:szCs w:val="24"/>
        </w:rPr>
        <w:t xml:space="preserve">at least </w:t>
      </w:r>
      <w:r w:rsidRPr="006311E6">
        <w:rPr>
          <w:rFonts w:ascii="Times New Roman" w:eastAsia="Times New Roman" w:hAnsi="Times New Roman"/>
          <w:sz w:val="24"/>
          <w:szCs w:val="24"/>
        </w:rPr>
        <w:t>14 days has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>lapsed from the date the life</w:t>
      </w:r>
      <w:r w:rsidRPr="00B204F5">
        <w:rPr>
          <w:rFonts w:ascii="Times New Roman" w:eastAsia="Times New Roman" w:hAnsi="Times New Roman"/>
          <w:sz w:val="24"/>
          <w:szCs w:val="24"/>
        </w:rPr>
        <w:t xml:space="preserve"> insurer </w:t>
      </w:r>
      <w:r w:rsidR="007B5AED">
        <w:rPr>
          <w:rFonts w:ascii="Times New Roman" w:eastAsia="Times New Roman" w:hAnsi="Times New Roman"/>
          <w:sz w:val="24"/>
          <w:szCs w:val="24"/>
        </w:rPr>
        <w:t xml:space="preserve">or friendly society </w:t>
      </w:r>
      <w:r w:rsidRPr="00B204F5">
        <w:rPr>
          <w:rFonts w:ascii="Times New Roman" w:eastAsia="Times New Roman" w:hAnsi="Times New Roman"/>
          <w:sz w:val="24"/>
          <w:szCs w:val="24"/>
        </w:rPr>
        <w:t>was required to provide the information required under the reporting standards in accordance with par</w:t>
      </w:r>
      <w:r>
        <w:rPr>
          <w:rFonts w:ascii="Times New Roman" w:eastAsia="Times New Roman" w:hAnsi="Times New Roman"/>
          <w:sz w:val="24"/>
          <w:szCs w:val="24"/>
        </w:rPr>
        <w:t>agraph 5 of Reporting Standard L</w:t>
      </w:r>
      <w:r w:rsidRPr="00B204F5">
        <w:rPr>
          <w:rFonts w:ascii="Times New Roman" w:eastAsia="Times New Roman" w:hAnsi="Times New Roman"/>
          <w:sz w:val="24"/>
          <w:szCs w:val="24"/>
        </w:rPr>
        <w:t>RS 001 Reporting Requirements:</w:t>
      </w:r>
    </w:p>
    <w:p w:rsidR="005027FE" w:rsidRPr="0044042F" w:rsidRDefault="005027FE" w:rsidP="00E8169F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  <w:highlight w:val="yello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8E082D" w:rsidRPr="00874F60" w:rsidTr="00D64AD0">
        <w:trPr>
          <w:tblHeader/>
        </w:trPr>
        <w:tc>
          <w:tcPr>
            <w:tcW w:w="4679" w:type="dxa"/>
            <w:shd w:val="clear" w:color="auto" w:fill="auto"/>
          </w:tcPr>
          <w:p w:rsidR="008E082D" w:rsidRPr="00004844" w:rsidRDefault="008E082D" w:rsidP="00B37968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844">
              <w:rPr>
                <w:rFonts w:ascii="Times New Roman" w:eastAsia="Times New Roman" w:hAnsi="Times New Roman"/>
                <w:b/>
                <w:sz w:val="24"/>
                <w:szCs w:val="24"/>
              </w:rPr>
              <w:t>Parts of reporting form covered by this determination</w:t>
            </w:r>
          </w:p>
        </w:tc>
        <w:tc>
          <w:tcPr>
            <w:tcW w:w="4677" w:type="dxa"/>
            <w:shd w:val="clear" w:color="auto" w:fill="auto"/>
          </w:tcPr>
          <w:p w:rsidR="008E082D" w:rsidRPr="00004844" w:rsidRDefault="008E082D" w:rsidP="00B37968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844">
              <w:rPr>
                <w:rFonts w:ascii="Times New Roman" w:eastAsia="Times New Roman" w:hAnsi="Times New Roman"/>
                <w:b/>
                <w:sz w:val="24"/>
                <w:szCs w:val="24"/>
              </w:rPr>
              <w:t>Reporting standards</w:t>
            </w:r>
          </w:p>
        </w:tc>
      </w:tr>
      <w:tr w:rsidR="001A72CC" w:rsidRPr="00874F60" w:rsidTr="00724FED">
        <w:trPr>
          <w:trHeight w:val="551"/>
        </w:trPr>
        <w:tc>
          <w:tcPr>
            <w:tcW w:w="4679" w:type="dxa"/>
            <w:shd w:val="clear" w:color="auto" w:fill="auto"/>
          </w:tcPr>
          <w:p w:rsidR="001A72CC" w:rsidRDefault="00580674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110.</w:t>
            </w:r>
            <w:r w:rsidR="001A72CC">
              <w:rPr>
                <w:rFonts w:ascii="Times New Roman" w:eastAsia="Times New Roman" w:hAnsi="Times New Roman"/>
                <w:sz w:val="24"/>
                <w:szCs w:val="24"/>
              </w:rPr>
              <w:t>1: Prescribed Capital Amount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(SF, GF)</w:t>
            </w:r>
          </w:p>
          <w:p w:rsidR="001A72CC" w:rsidRDefault="001A72CC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2CC" w:rsidRDefault="001A72CC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CC">
              <w:rPr>
                <w:rFonts w:ascii="Times New Roman" w:eastAsia="Times New Roman" w:hAnsi="Times New Roman"/>
                <w:sz w:val="24"/>
                <w:szCs w:val="24"/>
              </w:rPr>
              <w:t>Section 1: Summary of prescribed capital amount</w:t>
            </w:r>
          </w:p>
          <w:p w:rsidR="00416BA4" w:rsidRDefault="00416BA4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BA4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416BA4">
              <w:rPr>
                <w:rFonts w:ascii="Times New Roman" w:eastAsia="Times New Roman" w:hAnsi="Times New Roman"/>
                <w:sz w:val="24"/>
                <w:szCs w:val="24"/>
              </w:rPr>
              <w:t>LRF 114: Asset risk charge</w:t>
            </w:r>
          </w:p>
          <w:p w:rsidR="00697813" w:rsidRPr="00697813" w:rsidRDefault="00697813" w:rsidP="00697813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BA4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A4">
              <w:rPr>
                <w:rFonts w:ascii="Times New Roman" w:eastAsia="Times New Roman" w:hAnsi="Times New Roman"/>
                <w:sz w:val="24"/>
                <w:szCs w:val="24"/>
              </w:rPr>
              <w:t>2. LRF 115: Insurance risk charge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BA4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A4">
              <w:rPr>
                <w:rFonts w:ascii="Times New Roman" w:eastAsia="Times New Roman" w:hAnsi="Times New Roman"/>
                <w:sz w:val="24"/>
                <w:szCs w:val="24"/>
              </w:rPr>
              <w:t>3. Less: Aggregation benefit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BA4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A4">
              <w:rPr>
                <w:rFonts w:ascii="Times New Roman" w:eastAsia="Times New Roman" w:hAnsi="Times New Roman"/>
                <w:sz w:val="24"/>
                <w:szCs w:val="24"/>
              </w:rPr>
              <w:t>4. LRF 200: Aggregate risk charge for variable annuities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6BA4" w:rsidRDefault="00416BA4" w:rsidP="00416B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A4">
              <w:rPr>
                <w:rFonts w:ascii="Times New Roman" w:eastAsia="Times New Roman" w:hAnsi="Times New Roman"/>
                <w:sz w:val="24"/>
                <w:szCs w:val="24"/>
              </w:rPr>
              <w:t>5. LRF 117: Asset concentration risk charge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13" w:rsidRDefault="00697813" w:rsidP="0069781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813">
              <w:rPr>
                <w:rFonts w:ascii="Times New Roman" w:eastAsia="Times New Roman" w:hAnsi="Times New Roman"/>
                <w:sz w:val="24"/>
                <w:szCs w:val="24"/>
              </w:rPr>
              <w:t>6. LRF 118: Operational risk charge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13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813">
              <w:rPr>
                <w:rFonts w:ascii="Times New Roman" w:eastAsia="Times New Roman" w:hAnsi="Times New Roman"/>
                <w:sz w:val="24"/>
                <w:szCs w:val="24"/>
              </w:rPr>
              <w:t>7. Combined stress scenario adjustment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13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813">
              <w:rPr>
                <w:rFonts w:ascii="Times New Roman" w:eastAsia="Times New Roman" w:hAnsi="Times New Roman"/>
                <w:sz w:val="24"/>
                <w:szCs w:val="24"/>
              </w:rPr>
              <w:t>8. Adjustments to prescribed capital amount as approved by APRA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</w:t>
            </w:r>
          </w:p>
          <w:p w:rsidR="00697813" w:rsidRPr="00697813" w:rsidRDefault="00697813" w:rsidP="0069781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13" w:rsidRDefault="00697813" w:rsidP="00697813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813">
              <w:rPr>
                <w:rFonts w:ascii="Times New Roman" w:eastAsia="Times New Roman" w:hAnsi="Times New Roman"/>
                <w:sz w:val="24"/>
                <w:szCs w:val="24"/>
              </w:rPr>
              <w:t>9. Prescribed capital amount</w:t>
            </w:r>
          </w:p>
          <w:p w:rsidR="00697813" w:rsidRPr="00697813" w:rsidRDefault="00697813" w:rsidP="00697813">
            <w:p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13" w:rsidRPr="00697813" w:rsidRDefault="00697813" w:rsidP="00697813">
            <w:p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813">
              <w:rPr>
                <w:rFonts w:ascii="Times New Roman" w:eastAsia="Times New Roman" w:hAnsi="Times New Roman"/>
                <w:sz w:val="24"/>
                <w:szCs w:val="24"/>
              </w:rPr>
              <w:t>Section 2: Capital adequacy assessment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1A72CC" w:rsidRDefault="001A72CC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A72CC" w:rsidRPr="001A72CC" w:rsidRDefault="001A72CC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CC">
              <w:rPr>
                <w:rFonts w:ascii="Times New Roman" w:eastAsia="Times New Roman" w:hAnsi="Times New Roman"/>
                <w:sz w:val="24"/>
                <w:szCs w:val="24"/>
              </w:rPr>
              <w:t xml:space="preserve">LRS 110.1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Prescribed Capital Amount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21739F" w:rsidRPr="00874F60" w:rsidTr="00724FED">
        <w:trPr>
          <w:trHeight w:val="551"/>
        </w:trPr>
        <w:tc>
          <w:tcPr>
            <w:tcW w:w="4679" w:type="dxa"/>
            <w:shd w:val="clear" w:color="auto" w:fill="auto"/>
          </w:tcPr>
          <w:p w:rsidR="0021739F" w:rsidRDefault="00580674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110.</w:t>
            </w:r>
            <w:r w:rsidR="0021739F" w:rsidRPr="0021739F">
              <w:rPr>
                <w:rFonts w:ascii="Times New Roman" w:eastAsia="Times New Roman" w:hAnsi="Times New Roman"/>
                <w:sz w:val="24"/>
                <w:szCs w:val="24"/>
              </w:rPr>
              <w:t>2: Prescribed Capital Amount (Entity)</w:t>
            </w:r>
            <w:r w:rsidR="0021739F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739F" w:rsidRDefault="0021739F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739F" w:rsidRDefault="0021739F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1739F" w:rsidRPr="001A72CC" w:rsidRDefault="0021739F" w:rsidP="001A72C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CC">
              <w:rPr>
                <w:rFonts w:ascii="Times New Roman" w:eastAsia="Times New Roman" w:hAnsi="Times New Roman"/>
                <w:sz w:val="24"/>
                <w:szCs w:val="24"/>
              </w:rPr>
              <w:t xml:space="preserve">LRS 110.1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Prescribed Capital Amount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724FED">
        <w:trPr>
          <w:trHeight w:val="551"/>
        </w:trPr>
        <w:tc>
          <w:tcPr>
            <w:tcW w:w="4679" w:type="dxa"/>
            <w:shd w:val="clear" w:color="auto" w:fill="auto"/>
          </w:tcPr>
          <w:p w:rsidR="004E76D0" w:rsidRDefault="00580674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LRF 112.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3: Related Party Exposures</w:t>
            </w:r>
          </w:p>
          <w:p w:rsidR="004E76D0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Section 1: </w:t>
            </w:r>
            <w:r w:rsidRPr="00575390">
              <w:rPr>
                <w:rFonts w:ascii="Times New Roman" w:eastAsia="Times New Roman" w:hAnsi="Times New Roman"/>
                <w:sz w:val="24"/>
                <w:szCs w:val="24"/>
              </w:rPr>
              <w:t>Investments in subsidiaries, joint ventures and associates and contributions to regulatory adjustments</w:t>
            </w:r>
          </w:p>
          <w:p w:rsidR="004E76D0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 assets – total amount only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Value of investment net of goodwill and other intangibles – total amount only.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8C6111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Goodwill – 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total amount only.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Other intangibles </w:t>
            </w:r>
            <w:r w:rsidR="008C6111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total amount only.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390">
              <w:rPr>
                <w:rFonts w:ascii="Times New Roman" w:eastAsia="Times New Roman" w:hAnsi="Times New Roman"/>
                <w:sz w:val="24"/>
                <w:szCs w:val="24"/>
              </w:rPr>
              <w:t>Adjustment for goodwill / other intangibles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111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total amount only.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04C">
              <w:rPr>
                <w:rFonts w:ascii="Times New Roman" w:eastAsia="Times New Roman" w:hAnsi="Times New Roman"/>
                <w:sz w:val="24"/>
                <w:szCs w:val="24"/>
              </w:rPr>
              <w:t>Regulatory capital requirement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111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total amount only.</w:t>
            </w:r>
          </w:p>
          <w:p w:rsidR="004E76D0" w:rsidRDefault="004E76D0" w:rsidP="0021739F">
            <w:pPr>
              <w:spacing w:after="0" w:line="240" w:lineRule="auto"/>
              <w:ind w:left="36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1739F">
            <w:pPr>
              <w:numPr>
                <w:ilvl w:val="0"/>
                <w:numId w:val="6"/>
              </w:numPr>
              <w:spacing w:after="0" w:line="240" w:lineRule="auto"/>
              <w:ind w:left="284" w:right="-2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Adjustment for regulatory capital requirement </w:t>
            </w:r>
            <w:r w:rsidR="000E1BAC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total amount only.</w:t>
            </w:r>
          </w:p>
          <w:p w:rsidR="004E76D0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416" w:rsidRDefault="00441416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416">
              <w:rPr>
                <w:rFonts w:ascii="Times New Roman" w:eastAsia="Times New Roman" w:hAnsi="Times New Roman"/>
                <w:sz w:val="24"/>
                <w:szCs w:val="24"/>
              </w:rPr>
              <w:t>Section 2: Other related party exposures</w:t>
            </w:r>
          </w:p>
          <w:p w:rsidR="00441416" w:rsidRDefault="00441416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416" w:rsidRDefault="00441416" w:rsidP="00D20533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284" w:right="-2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Fair value of exposure – total amount only</w:t>
            </w:r>
          </w:p>
          <w:p w:rsidR="004E76D0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2A3E8A" w:rsidRDefault="004E76D0" w:rsidP="0021739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Pr="00874F60" w:rsidRDefault="003332BA" w:rsidP="0021739F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4E76D0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LRS </w:t>
              </w:r>
              <w:r w:rsidR="004E76D0">
                <w:rPr>
                  <w:rFonts w:ascii="Times New Roman" w:eastAsia="Times New Roman" w:hAnsi="Times New Roman"/>
                  <w:sz w:val="24"/>
                  <w:szCs w:val="24"/>
                </w:rPr>
                <w:t>112.3</w:t>
              </w:r>
              <w:r w:rsidR="004E76D0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r w:rsidR="004E76D0">
                <w:rPr>
                  <w:rFonts w:ascii="Times New Roman" w:eastAsia="Times New Roman" w:hAnsi="Times New Roman"/>
                  <w:sz w:val="24"/>
                  <w:szCs w:val="24"/>
                </w:rPr>
                <w:t>Related</w:t>
              </w:r>
            </w:hyperlink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Party Exposures</w:t>
            </w:r>
            <w:r w:rsidR="004E76D0" w:rsidRPr="00874F60">
              <w:rPr>
                <w:rFonts w:ascii="Times New Roman" w:eastAsia="Times New Roman" w:hAnsi="Times New Roman"/>
                <w:sz w:val="24"/>
                <w:szCs w:val="24"/>
              </w:rPr>
              <w:t xml:space="preserve"> (which came into effect on 1 January 2013)</w:t>
            </w:r>
          </w:p>
        </w:tc>
      </w:tr>
      <w:tr w:rsidR="004E76D0" w:rsidRPr="00874F60" w:rsidTr="00724FED">
        <w:trPr>
          <w:trHeight w:val="551"/>
        </w:trPr>
        <w:tc>
          <w:tcPr>
            <w:tcW w:w="4679" w:type="dxa"/>
            <w:shd w:val="clear" w:color="auto" w:fill="auto"/>
          </w:tcPr>
          <w:p w:rsidR="004E76D0" w:rsidRDefault="00580674" w:rsidP="00A05391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114.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0: Asset Risk Charge</w:t>
            </w:r>
          </w:p>
          <w:p w:rsidR="004E76D0" w:rsidRDefault="004E76D0" w:rsidP="00A05391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05391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Section 1: </w:t>
            </w: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>Asset risk charge calculation</w:t>
            </w:r>
          </w:p>
          <w:p w:rsidR="004E76D0" w:rsidRDefault="004E76D0" w:rsidP="00A05391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>Total assets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liabilities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3. Liability adjustments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Off</w:t>
            </w:r>
            <w:r w:rsidR="00E3428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balance sheet exposures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>5. Impact on capital base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532F3">
            <w:pPr>
              <w:pStyle w:val="ListParagraph"/>
              <w:numPr>
                <w:ilvl w:val="0"/>
                <w:numId w:val="28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6. Risk charge components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>7. Aggregated risk charge component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8. Adjustments to asset risk charge as approved by APRA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</w:t>
            </w:r>
          </w:p>
          <w:p w:rsidR="002133F4" w:rsidRPr="002133F4" w:rsidRDefault="002133F4" w:rsidP="002133F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532F3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A532F3">
              <w:rPr>
                <w:rFonts w:ascii="Times New Roman" w:eastAsia="Times New Roman" w:hAnsi="Times New Roman"/>
                <w:sz w:val="24"/>
                <w:szCs w:val="24"/>
              </w:rPr>
              <w:t>9. Asset risk charge</w:t>
            </w:r>
          </w:p>
          <w:p w:rsidR="004E76D0" w:rsidRDefault="004E76D0" w:rsidP="00A532F3">
            <w:pPr>
              <w:tabs>
                <w:tab w:val="left" w:pos="851"/>
              </w:tabs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A532F3" w:rsidRDefault="004E76D0" w:rsidP="00A532F3">
            <w:pPr>
              <w:tabs>
                <w:tab w:val="left" w:pos="851"/>
              </w:tabs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 xml:space="preserve">Section 2: Additional information </w:t>
            </w:r>
            <w:r w:rsidR="000E1BA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342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32F3">
              <w:rPr>
                <w:rFonts w:ascii="Times New Roman" w:eastAsia="Times New Roman" w:hAnsi="Times New Roman"/>
                <w:sz w:val="24"/>
                <w:szCs w:val="24"/>
              </w:rPr>
              <w:t>Asset risk charge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Default="004E76D0" w:rsidP="00A05391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Default="004E76D0" w:rsidP="00575390">
            <w:pPr>
              <w:spacing w:after="0" w:line="240" w:lineRule="auto"/>
              <w:ind w:left="100" w:right="-2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LRS 114.0 Asset Risk Charge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724FED">
        <w:trPr>
          <w:trHeight w:val="551"/>
        </w:trPr>
        <w:tc>
          <w:tcPr>
            <w:tcW w:w="4679" w:type="dxa"/>
            <w:shd w:val="clear" w:color="auto" w:fill="auto"/>
          </w:tcPr>
          <w:p w:rsidR="004E76D0" w:rsidRDefault="00580674" w:rsidP="004E76D0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LRF 115.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 Insurance Risk Charge</w:t>
            </w:r>
            <w:r w:rsidR="00CE743D">
              <w:rPr>
                <w:rFonts w:ascii="Times New Roman" w:eastAsia="Times New Roman" w:hAnsi="Times New Roman"/>
                <w:sz w:val="24"/>
                <w:szCs w:val="24"/>
              </w:rPr>
              <w:t xml:space="preserve"> (SF)</w:t>
            </w:r>
          </w:p>
          <w:p w:rsidR="004E76D0" w:rsidRDefault="004E76D0" w:rsidP="004E76D0">
            <w:pPr>
              <w:spacing w:after="0" w:line="264" w:lineRule="exact"/>
              <w:ind w:left="100"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4E76D0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6D0">
              <w:rPr>
                <w:rFonts w:ascii="Times New Roman" w:eastAsia="Times New Roman" w:hAnsi="Times New Roman"/>
                <w:sz w:val="24"/>
                <w:szCs w:val="24"/>
              </w:rPr>
              <w:t>Section 1: Insurance risk charge calculation</w:t>
            </w:r>
          </w:p>
          <w:p w:rsidR="004E76D0" w:rsidRDefault="004E76D0" w:rsidP="004E76D0">
            <w:pPr>
              <w:spacing w:after="0" w:line="264" w:lineRule="exact"/>
              <w:ind w:left="100"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4E76D0" w:rsidRPr="00232EBD">
              <w:rPr>
                <w:rFonts w:ascii="Times New Roman" w:eastAsia="Times New Roman" w:hAnsi="Times New Roman"/>
                <w:sz w:val="24"/>
                <w:szCs w:val="24"/>
              </w:rPr>
              <w:t>Fund TOTAL: Stressed policy liabilities</w:t>
            </w: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 xml:space="preserve"> – all </w:t>
            </w:r>
            <w:r w:rsidR="00466BB0">
              <w:rPr>
                <w:rFonts w:ascii="Times New Roman" w:eastAsia="Times New Roman" w:hAnsi="Times New Roman"/>
                <w:sz w:val="24"/>
                <w:szCs w:val="24"/>
              </w:rPr>
              <w:t>data items</w:t>
            </w:r>
          </w:p>
          <w:p w:rsidR="00466BB0" w:rsidRPr="00466BB0" w:rsidRDefault="00466BB0" w:rsidP="00466BB0">
            <w:pPr>
              <w:spacing w:after="0" w:line="264" w:lineRule="exact"/>
              <w:ind w:left="100"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EBD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>2. Fund TOTAL: Adjusted policy liabilities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EBD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>3. Fund TOTAL: Stress impact on adjusted policy liabilities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EBD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>4. Less: Tax benefits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EBD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>5. Adjustments to insurance risk charge as approved by APRA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EBD" w:rsidRPr="00232EBD" w:rsidRDefault="00232EBD" w:rsidP="00232EBD">
            <w:pPr>
              <w:pStyle w:val="ListParagraph"/>
              <w:numPr>
                <w:ilvl w:val="0"/>
                <w:numId w:val="29"/>
              </w:num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EBD">
              <w:rPr>
                <w:rFonts w:ascii="Times New Roman" w:eastAsia="Times New Roman" w:hAnsi="Times New Roman"/>
                <w:sz w:val="24"/>
                <w:szCs w:val="24"/>
              </w:rPr>
              <w:t>6. Insurance risk charge</w:t>
            </w:r>
          </w:p>
          <w:p w:rsidR="004E76D0" w:rsidRDefault="004E76D0" w:rsidP="004E76D0">
            <w:pPr>
              <w:spacing w:after="0" w:line="264" w:lineRule="exact"/>
              <w:ind w:left="100"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2A3E8A" w:rsidRDefault="004E76D0" w:rsidP="00232EBD">
            <w:pPr>
              <w:spacing w:after="0" w:line="264" w:lineRule="exact"/>
              <w:ind w:left="100" w:right="2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Pr="00874F60" w:rsidRDefault="004E76D0" w:rsidP="00575390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LRS 115.0 Insurance Risk Charge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CE743D" w:rsidRPr="00874F60" w:rsidTr="00CE743D">
        <w:trPr>
          <w:trHeight w:val="2106"/>
        </w:trPr>
        <w:tc>
          <w:tcPr>
            <w:tcW w:w="4679" w:type="dxa"/>
            <w:shd w:val="clear" w:color="auto" w:fill="auto"/>
          </w:tcPr>
          <w:p w:rsidR="00CE743D" w:rsidRDefault="00580674" w:rsidP="00CE743D">
            <w:pPr>
              <w:spacing w:after="0" w:line="264" w:lineRule="exact"/>
              <w:ind w:right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115.</w:t>
            </w:r>
            <w:r w:rsidR="00CE743D">
              <w:rPr>
                <w:rFonts w:ascii="Times New Roman" w:eastAsia="Times New Roman" w:hAnsi="Times New Roman"/>
                <w:sz w:val="24"/>
                <w:szCs w:val="24"/>
              </w:rPr>
              <w:t>1 Insurance Risk Charge (GF)</w:t>
            </w:r>
          </w:p>
          <w:p w:rsidR="00CE743D" w:rsidRDefault="00CE743D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743D" w:rsidRDefault="00CE743D" w:rsidP="00CE74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E743D">
              <w:rPr>
                <w:rFonts w:ascii="Times New Roman" w:eastAsia="Times New Roman" w:hAnsi="Times New Roman"/>
                <w:sz w:val="24"/>
                <w:szCs w:val="24"/>
              </w:rPr>
              <w:t>Expected management fees (net of any assumed reduction shown in 1.1) – all data items</w:t>
            </w:r>
          </w:p>
          <w:p w:rsidR="00466BB0" w:rsidRPr="00466BB0" w:rsidRDefault="00466BB0" w:rsidP="00466BB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743D" w:rsidRDefault="00CE743D" w:rsidP="00CE743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43D">
              <w:rPr>
                <w:rFonts w:ascii="Times New Roman" w:eastAsia="Times New Roman" w:hAnsi="Times New Roman"/>
                <w:sz w:val="24"/>
                <w:szCs w:val="24"/>
              </w:rPr>
              <w:t>2. Expected servicing expenses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54E2">
              <w:rPr>
                <w:rFonts w:ascii="Times New Roman" w:eastAsia="Times New Roman" w:hAnsi="Times New Roman"/>
                <w:sz w:val="24"/>
                <w:szCs w:val="24"/>
              </w:rPr>
              <w:t>3. Expected deficiency (before prescribed multiplier)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54E2">
              <w:rPr>
                <w:rFonts w:ascii="Times New Roman" w:eastAsia="Times New Roman" w:hAnsi="Times New Roman"/>
                <w:sz w:val="24"/>
                <w:szCs w:val="24"/>
              </w:rPr>
              <w:t>4. Additional deficiency from prescribed servicing expense stress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6154E2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4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 Expected deficiency (post prescribed multiplier)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D20533" w:rsidP="006154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54E2" w:rsidRPr="006154E2">
              <w:rPr>
                <w:rFonts w:ascii="Times New Roman" w:eastAsia="Times New Roman" w:hAnsi="Times New Roman"/>
                <w:sz w:val="24"/>
                <w:szCs w:val="24"/>
              </w:rPr>
              <w:t>6. Total servicing expense reserve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6154E2" w:rsidP="006154E2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Less: Tax benefits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D20533" w:rsidP="006154E2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54E2" w:rsidRPr="006154E2">
              <w:rPr>
                <w:rFonts w:ascii="Times New Roman" w:eastAsia="Times New Roman" w:hAnsi="Times New Roman"/>
                <w:sz w:val="24"/>
                <w:szCs w:val="24"/>
              </w:rPr>
              <w:t>8. Adjustments to insurance risk charge as approved by APRA</w:t>
            </w:r>
            <w:r w:rsidR="006154E2"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</w:t>
            </w:r>
          </w:p>
          <w:p w:rsidR="00466BB0" w:rsidRPr="00466BB0" w:rsidRDefault="00466BB0" w:rsidP="00466BB0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4E2" w:rsidRDefault="00D20533" w:rsidP="006154E2">
            <w:pPr>
              <w:pStyle w:val="ListParagraph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54E2" w:rsidRPr="006154E2">
              <w:rPr>
                <w:rFonts w:ascii="Times New Roman" w:eastAsia="Times New Roman" w:hAnsi="Times New Roman"/>
                <w:sz w:val="24"/>
                <w:szCs w:val="24"/>
              </w:rPr>
              <w:t>9. Insurance risk charge</w:t>
            </w:r>
          </w:p>
          <w:p w:rsidR="00CE743D" w:rsidRPr="00C174D7" w:rsidRDefault="00CE743D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E743D" w:rsidRDefault="00CE743D" w:rsidP="00DE3EF2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LRS 115.0 Insurance Risk Charge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D64AD0">
        <w:tc>
          <w:tcPr>
            <w:tcW w:w="4679" w:type="dxa"/>
            <w:shd w:val="clear" w:color="auto" w:fill="auto"/>
          </w:tcPr>
          <w:p w:rsidR="004E76D0" w:rsidRDefault="00580674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LRF 117.</w:t>
            </w:r>
            <w:r w:rsidR="004E76D0" w:rsidRPr="00C174D7">
              <w:rPr>
                <w:rFonts w:ascii="Times New Roman" w:eastAsia="Times New Roman" w:hAnsi="Times New Roman"/>
                <w:sz w:val="24"/>
                <w:szCs w:val="24"/>
              </w:rPr>
              <w:t>0: Asset Concentration Risk Charge</w:t>
            </w:r>
          </w:p>
          <w:p w:rsidR="004E76D0" w:rsidRDefault="004E76D0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B92E68" w:rsidRDefault="00441416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1.V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alue of assets of the fund (VAF)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Default="004E76D0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363">
              <w:rPr>
                <w:rFonts w:ascii="Times New Roman" w:eastAsia="Times New Roman" w:hAnsi="Times New Roman"/>
                <w:sz w:val="24"/>
                <w:szCs w:val="24"/>
              </w:rPr>
              <w:t>2. Capital base</w:t>
            </w:r>
          </w:p>
          <w:p w:rsidR="004E76D0" w:rsidRPr="00AF161C" w:rsidRDefault="004E76D0" w:rsidP="00AF161C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130F19" w:rsidRDefault="00130F19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F19">
              <w:rPr>
                <w:rFonts w:ascii="Times New Roman" w:eastAsia="Times New Roman" w:hAnsi="Times New Roman"/>
                <w:sz w:val="24"/>
                <w:szCs w:val="24"/>
              </w:rPr>
              <w:t xml:space="preserve">3. Large Exposures and contributions to asset concentration risk charge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34284">
              <w:rPr>
                <w:rFonts w:ascii="Times New Roman" w:eastAsia="Times New Roman" w:hAnsi="Times New Roman"/>
                <w:sz w:val="24"/>
                <w:szCs w:val="24"/>
              </w:rPr>
              <w:t>Specialist reinsurer? (Y/N)</w:t>
            </w:r>
          </w:p>
          <w:p w:rsidR="004E76D0" w:rsidRPr="001C2B0E" w:rsidRDefault="004E76D0" w:rsidP="001C2B0E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2F4FDF">
            <w:pPr>
              <w:spacing w:after="0" w:line="240" w:lineRule="auto"/>
              <w:ind w:left="28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FDF">
              <w:rPr>
                <w:rFonts w:ascii="Times New Roman" w:eastAsia="Times New Roman" w:hAnsi="Times New Roman"/>
                <w:sz w:val="24"/>
                <w:szCs w:val="24"/>
              </w:rPr>
              <w:t>Section 3: Totals and risk charges</w:t>
            </w:r>
          </w:p>
          <w:p w:rsidR="004E76D0" w:rsidRDefault="004E76D0" w:rsidP="002F4FDF">
            <w:pPr>
              <w:spacing w:after="0" w:line="240" w:lineRule="auto"/>
              <w:ind w:left="284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44141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DE3EF2">
              <w:rPr>
                <w:rFonts w:ascii="Times New Roman" w:eastAsia="Times New Roman" w:hAnsi="Times New Roman"/>
                <w:sz w:val="24"/>
                <w:szCs w:val="24"/>
              </w:rPr>
              <w:t>4. Aggregate of excess exposures subjected to asset concentration risk charge</w:t>
            </w:r>
            <w:r w:rsidR="00441416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Pr="00675F33" w:rsidRDefault="004E76D0" w:rsidP="00675F33">
            <w:pPr>
              <w:spacing w:after="0" w:line="240" w:lineRule="auto"/>
              <w:ind w:left="284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AE08B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EF2">
              <w:rPr>
                <w:rFonts w:ascii="Times New Roman" w:eastAsia="Times New Roman" w:hAnsi="Times New Roman"/>
                <w:sz w:val="24"/>
                <w:szCs w:val="24"/>
              </w:rPr>
              <w:t>5. Adjustments to asset concentration risk charge as approved by APRA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only.</w:t>
            </w:r>
          </w:p>
          <w:p w:rsidR="004E76D0" w:rsidRPr="00675F33" w:rsidRDefault="004E76D0" w:rsidP="00675F33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D20533" w:rsidP="00AE08B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DE3EF2">
              <w:rPr>
                <w:rFonts w:ascii="Times New Roman" w:eastAsia="Times New Roman" w:hAnsi="Times New Roman"/>
                <w:sz w:val="24"/>
                <w:szCs w:val="24"/>
              </w:rPr>
              <w:t>6. Asset concentration risk charge</w:t>
            </w:r>
          </w:p>
          <w:p w:rsidR="004E76D0" w:rsidRPr="002F4FDF" w:rsidRDefault="004E76D0" w:rsidP="002F4FDF">
            <w:pPr>
              <w:spacing w:after="0" w:line="240" w:lineRule="auto"/>
              <w:ind w:left="284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Pr="00874F60" w:rsidRDefault="003332BA" w:rsidP="00DE3EF2">
            <w:hyperlink r:id="rId17" w:history="1">
              <w:r w:rsidR="004E76D0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LRS </w:t>
              </w:r>
              <w:r w:rsidR="004E76D0">
                <w:rPr>
                  <w:rFonts w:ascii="Times New Roman" w:eastAsia="Times New Roman" w:hAnsi="Times New Roman"/>
                  <w:sz w:val="24"/>
                  <w:szCs w:val="24"/>
                </w:rPr>
                <w:t>117.0</w:t>
              </w:r>
              <w:r w:rsidR="004E76D0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r w:rsidR="004E76D0">
                <w:rPr>
                  <w:rFonts w:ascii="Times New Roman" w:eastAsia="Times New Roman" w:hAnsi="Times New Roman"/>
                  <w:sz w:val="24"/>
                  <w:szCs w:val="24"/>
                </w:rPr>
                <w:t>Asset Concentration Risk Charge</w:t>
              </w:r>
            </w:hyperlink>
            <w:r w:rsidR="004E76D0" w:rsidRPr="00874F60">
              <w:rPr>
                <w:rFonts w:ascii="Times New Roman" w:eastAsia="Times New Roman" w:hAnsi="Times New Roman"/>
                <w:sz w:val="24"/>
                <w:szCs w:val="24"/>
              </w:rPr>
              <w:t xml:space="preserve"> (which came into effect on 1 January 2013)</w:t>
            </w:r>
          </w:p>
        </w:tc>
      </w:tr>
      <w:tr w:rsidR="00A245A6" w:rsidRPr="00874F60" w:rsidTr="00D64AD0">
        <w:tc>
          <w:tcPr>
            <w:tcW w:w="4679" w:type="dxa"/>
            <w:shd w:val="clear" w:color="auto" w:fill="auto"/>
          </w:tcPr>
          <w:p w:rsidR="00A245A6" w:rsidRDefault="00580674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LRF </w:t>
            </w:r>
            <w:r w:rsidR="00A245A6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245A6" w:rsidRPr="00C174D7">
              <w:rPr>
                <w:rFonts w:ascii="Times New Roman" w:eastAsia="Times New Roman" w:hAnsi="Times New Roman"/>
                <w:sz w:val="24"/>
                <w:szCs w:val="24"/>
              </w:rPr>
              <w:t xml:space="preserve">0: </w:t>
            </w:r>
            <w:r w:rsidR="00A245A6">
              <w:rPr>
                <w:rFonts w:ascii="Times New Roman" w:eastAsia="Times New Roman" w:hAnsi="Times New Roman"/>
                <w:sz w:val="24"/>
                <w:szCs w:val="24"/>
              </w:rPr>
              <w:t>Operational</w:t>
            </w:r>
            <w:r w:rsidR="00A245A6" w:rsidRPr="00C174D7">
              <w:rPr>
                <w:rFonts w:ascii="Times New Roman" w:eastAsia="Times New Roman" w:hAnsi="Times New Roman"/>
                <w:sz w:val="24"/>
                <w:szCs w:val="24"/>
              </w:rPr>
              <w:t xml:space="preserve"> Risk Charge</w:t>
            </w:r>
          </w:p>
          <w:p w:rsidR="00A245A6" w:rsidRDefault="00A245A6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45A6" w:rsidRDefault="00857ECE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ECE">
              <w:rPr>
                <w:rFonts w:ascii="Times New Roman" w:eastAsia="Times New Roman" w:hAnsi="Times New Roman"/>
                <w:sz w:val="24"/>
                <w:szCs w:val="24"/>
              </w:rPr>
              <w:t>Section 1: Operational risk charge calculation</w:t>
            </w:r>
          </w:p>
          <w:p w:rsidR="00857ECE" w:rsidRDefault="00857ECE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ECE" w:rsidRDefault="00857ECE" w:rsidP="00D9066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ECE">
              <w:rPr>
                <w:rFonts w:ascii="Times New Roman" w:eastAsia="Times New Roman" w:hAnsi="Times New Roman"/>
                <w:sz w:val="24"/>
                <w:szCs w:val="24"/>
              </w:rPr>
              <w:t>Specialist reinsurer? (Y/N)</w:t>
            </w:r>
          </w:p>
          <w:p w:rsidR="00A245A6" w:rsidRDefault="00A245A6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45A6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857ECE">
              <w:rPr>
                <w:rFonts w:ascii="Times New Roman" w:eastAsia="Times New Roman" w:hAnsi="Times New Roman"/>
                <w:sz w:val="24"/>
                <w:szCs w:val="24"/>
              </w:rPr>
              <w:t>Operational risk charge for risk business – all data items</w:t>
            </w:r>
          </w:p>
          <w:p w:rsidR="00A9026E" w:rsidRPr="00A9026E" w:rsidRDefault="00A9026E" w:rsidP="00A9026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ECE" w:rsidRDefault="00D20533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7ECE" w:rsidRPr="00857ECE">
              <w:rPr>
                <w:rFonts w:ascii="Times New Roman" w:eastAsia="Times New Roman" w:hAnsi="Times New Roman"/>
                <w:sz w:val="24"/>
                <w:szCs w:val="24"/>
              </w:rPr>
              <w:t>2. Operational risk charge for investment</w:t>
            </w:r>
            <w:r w:rsidR="00E3428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57ECE" w:rsidRPr="00857ECE">
              <w:rPr>
                <w:rFonts w:ascii="Times New Roman" w:eastAsia="Times New Roman" w:hAnsi="Times New Roman"/>
                <w:sz w:val="24"/>
                <w:szCs w:val="24"/>
              </w:rPr>
              <w:t>linked business</w:t>
            </w:r>
            <w:r w:rsidR="00D9066C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A9026E" w:rsidRPr="00A9026E" w:rsidRDefault="00A9026E" w:rsidP="00A9026E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ECE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7ECE">
              <w:rPr>
                <w:rFonts w:ascii="Times New Roman" w:eastAsia="Times New Roman" w:hAnsi="Times New Roman"/>
                <w:sz w:val="24"/>
                <w:szCs w:val="24"/>
              </w:rPr>
              <w:t>3. Operational risk charge for other business</w:t>
            </w:r>
            <w:r w:rsidR="00D9066C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A9026E" w:rsidRPr="00A9026E" w:rsidRDefault="00A9026E" w:rsidP="00A9026E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ECE" w:rsidRDefault="00857ECE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ECE">
              <w:rPr>
                <w:rFonts w:ascii="Times New Roman" w:eastAsia="Times New Roman" w:hAnsi="Times New Roman"/>
                <w:sz w:val="24"/>
                <w:szCs w:val="24"/>
              </w:rPr>
              <w:t>4. Adjustments to operational risk charge as approved by APRA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total amount only</w:t>
            </w:r>
          </w:p>
          <w:p w:rsidR="00A9026E" w:rsidRPr="00A9026E" w:rsidRDefault="00A9026E" w:rsidP="00A9026E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ECE" w:rsidRPr="00857ECE" w:rsidRDefault="00D20533" w:rsidP="00857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7ECE" w:rsidRPr="00857ECE">
              <w:rPr>
                <w:rFonts w:ascii="Times New Roman" w:eastAsia="Times New Roman" w:hAnsi="Times New Roman"/>
                <w:sz w:val="24"/>
                <w:szCs w:val="24"/>
              </w:rPr>
              <w:t>5. Operational risk charge</w:t>
            </w:r>
          </w:p>
          <w:p w:rsidR="00857ECE" w:rsidRDefault="00857ECE" w:rsidP="00A245A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45A6" w:rsidRPr="00C174D7" w:rsidRDefault="00A245A6" w:rsidP="00C174D7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245A6" w:rsidRDefault="003332BA" w:rsidP="00A245A6">
            <w:hyperlink r:id="rId18" w:history="1">
              <w:r w:rsidR="00A245A6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LRS </w:t>
              </w:r>
              <w:r w:rsidR="00A245A6">
                <w:rPr>
                  <w:rFonts w:ascii="Times New Roman" w:eastAsia="Times New Roman" w:hAnsi="Times New Roman"/>
                  <w:sz w:val="24"/>
                  <w:szCs w:val="24"/>
                </w:rPr>
                <w:t>118.0</w:t>
              </w:r>
              <w:r w:rsidR="00A245A6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r w:rsidR="00A245A6">
                <w:rPr>
                  <w:rFonts w:ascii="Times New Roman" w:eastAsia="Times New Roman" w:hAnsi="Times New Roman"/>
                  <w:sz w:val="24"/>
                  <w:szCs w:val="24"/>
                </w:rPr>
                <w:t>Operational Risk Charge</w:t>
              </w:r>
            </w:hyperlink>
            <w:r w:rsidR="00A245A6" w:rsidRPr="00874F60">
              <w:rPr>
                <w:rFonts w:ascii="Times New Roman" w:eastAsia="Times New Roman" w:hAnsi="Times New Roman"/>
                <w:sz w:val="24"/>
                <w:szCs w:val="24"/>
              </w:rPr>
              <w:t xml:space="preserve"> (which came into effect on 1 January 2013)</w:t>
            </w:r>
          </w:p>
        </w:tc>
      </w:tr>
      <w:tr w:rsidR="004E76D0" w:rsidRPr="00874F60" w:rsidTr="00D64AD0">
        <w:tc>
          <w:tcPr>
            <w:tcW w:w="4679" w:type="dxa"/>
            <w:shd w:val="clear" w:color="auto" w:fill="auto"/>
          </w:tcPr>
          <w:p w:rsidR="004E76D0" w:rsidRDefault="00580674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LRF 200.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0: Capital Adequacy Supplementary Information</w:t>
            </w: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328">
              <w:rPr>
                <w:rFonts w:ascii="Times New Roman" w:eastAsia="Times New Roman" w:hAnsi="Times New Roman"/>
                <w:sz w:val="24"/>
                <w:szCs w:val="24"/>
              </w:rPr>
              <w:t>Section 2: Insurance risk charge</w:t>
            </w: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C726B8" w:rsidRDefault="00C726B8" w:rsidP="00C726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4E76D0" w:rsidRPr="00C726B8">
              <w:rPr>
                <w:rFonts w:ascii="Times New Roman" w:eastAsia="Times New Roman" w:hAnsi="Times New Roman"/>
                <w:sz w:val="24"/>
                <w:szCs w:val="24"/>
              </w:rPr>
              <w:t>Total impact of stress margins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Pr="00B92E68" w:rsidRDefault="004E76D0" w:rsidP="00B92E6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C726B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Section 3: Variable annuities</w:t>
            </w:r>
            <w:r w:rsidR="00C726B8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</w:tc>
        <w:tc>
          <w:tcPr>
            <w:tcW w:w="4677" w:type="dxa"/>
            <w:shd w:val="clear" w:color="auto" w:fill="auto"/>
          </w:tcPr>
          <w:p w:rsidR="004E76D0" w:rsidRPr="00696157" w:rsidRDefault="004E76D0" w:rsidP="00B3796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96157">
              <w:rPr>
                <w:rFonts w:ascii="Times New Roman" w:hAnsi="Times New Roman"/>
                <w:sz w:val="24"/>
                <w:szCs w:val="24"/>
              </w:rPr>
              <w:t>LRS 200.0 Capital Adequacy Supplementary Information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D64AD0">
        <w:tc>
          <w:tcPr>
            <w:tcW w:w="4679" w:type="dxa"/>
            <w:shd w:val="clear" w:color="auto" w:fill="auto"/>
          </w:tcPr>
          <w:p w:rsidR="004E76D0" w:rsidRPr="0067594A" w:rsidRDefault="00580674" w:rsidP="00D82329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330.</w:t>
            </w:r>
            <w:r w:rsidR="004E76D0" w:rsidRPr="00CF7995">
              <w:rPr>
                <w:rFonts w:ascii="Times New Roman" w:eastAsia="Times New Roman" w:hAnsi="Times New Roman"/>
                <w:sz w:val="24"/>
                <w:szCs w:val="24"/>
              </w:rPr>
              <w:t>0: Summary of Revenue and Expenses</w:t>
            </w:r>
          </w:p>
          <w:p w:rsidR="004E76D0" w:rsidRPr="00012F43" w:rsidRDefault="004E76D0" w:rsidP="00D82329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09187E" w:rsidRDefault="004E76D0" w:rsidP="00E3428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87E">
              <w:rPr>
                <w:rFonts w:ascii="Times New Roman" w:eastAsia="Times New Roman" w:hAnsi="Times New Roman"/>
                <w:sz w:val="24"/>
                <w:szCs w:val="24"/>
              </w:rPr>
              <w:t>Totals by class of business</w:t>
            </w:r>
            <w:r w:rsidR="00C726B8" w:rsidRPr="0009187E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Default="004E76D0" w:rsidP="001373F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68632A" w:rsidRDefault="004E76D0" w:rsidP="001C2B0E">
            <w:pPr>
              <w:tabs>
                <w:tab w:val="left" w:pos="709"/>
                <w:tab w:val="left" w:pos="851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Pr="00874F60" w:rsidRDefault="003332BA" w:rsidP="000D5650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0D5650">
                <w:rPr>
                  <w:rFonts w:ascii="Times New Roman" w:eastAsia="Times New Roman" w:hAnsi="Times New Roman"/>
                  <w:sz w:val="24"/>
                  <w:szCs w:val="24"/>
                </w:rPr>
                <w:t>LRS 33</w:t>
              </w:r>
              <w:r w:rsidR="004E76D0" w:rsidRPr="00874F60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0.0 </w:t>
              </w:r>
              <w:r w:rsidR="000D5650">
                <w:rPr>
                  <w:rFonts w:ascii="Times New Roman" w:eastAsia="Times New Roman" w:hAnsi="Times New Roman"/>
                  <w:sz w:val="24"/>
                  <w:szCs w:val="24"/>
                </w:rPr>
                <w:t>Summary</w:t>
              </w:r>
            </w:hyperlink>
            <w:r w:rsidR="000D5650">
              <w:rPr>
                <w:rFonts w:ascii="Times New Roman" w:eastAsia="Times New Roman" w:hAnsi="Times New Roman"/>
                <w:sz w:val="24"/>
                <w:szCs w:val="24"/>
              </w:rPr>
              <w:t xml:space="preserve"> of Revenue and Expenses</w:t>
            </w:r>
            <w:r w:rsidR="004E76D0" w:rsidRPr="00874F60">
              <w:rPr>
                <w:rFonts w:ascii="Times New Roman" w:eastAsia="Times New Roman" w:hAnsi="Times New Roman"/>
                <w:sz w:val="24"/>
                <w:szCs w:val="24"/>
              </w:rPr>
              <w:t xml:space="preserve"> (which came into effect on 1 January 2013)</w:t>
            </w:r>
          </w:p>
        </w:tc>
      </w:tr>
      <w:tr w:rsidR="004E76D0" w:rsidRPr="00874F60" w:rsidTr="00094D50">
        <w:trPr>
          <w:trHeight w:val="649"/>
        </w:trPr>
        <w:tc>
          <w:tcPr>
            <w:tcW w:w="4679" w:type="dxa"/>
            <w:shd w:val="clear" w:color="auto" w:fill="auto"/>
          </w:tcPr>
          <w:p w:rsidR="004E76D0" w:rsidRDefault="00580674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400.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0: Statement of Policy Liabilities</w:t>
            </w: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C726B8" w:rsidP="00342B0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20" w:hanging="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Totals by class of business and basis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Pr="00C02AF7" w:rsidRDefault="004E76D0" w:rsidP="007E254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Default="003332BA" w:rsidP="00B37968">
            <w:pPr>
              <w:spacing w:after="0" w:line="240" w:lineRule="auto"/>
              <w:ind w:left="100" w:right="-20"/>
            </w:pPr>
            <w:hyperlink r:id="rId20" w:history="1">
              <w:r w:rsidR="004E76D0" w:rsidRPr="00094D50">
                <w:rPr>
                  <w:rFonts w:ascii="Times New Roman" w:eastAsia="Times New Roman" w:hAnsi="Times New Roman"/>
                  <w:sz w:val="24"/>
                  <w:szCs w:val="24"/>
                </w:rPr>
                <w:t>LRS 400.0 Statement of Policy Liabilities</w:t>
              </w:r>
            </w:hyperlink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6D0"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094D50">
        <w:trPr>
          <w:trHeight w:val="649"/>
        </w:trPr>
        <w:tc>
          <w:tcPr>
            <w:tcW w:w="4679" w:type="dxa"/>
            <w:shd w:val="clear" w:color="auto" w:fill="auto"/>
          </w:tcPr>
          <w:p w:rsidR="004E76D0" w:rsidRDefault="00580674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420.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0: Assets Backing Policy Liabilities</w:t>
            </w: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342B04" w:rsidRDefault="004E76D0" w:rsidP="00342B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B04">
              <w:rPr>
                <w:rFonts w:ascii="Times New Roman" w:eastAsia="Times New Roman" w:hAnsi="Times New Roman"/>
                <w:sz w:val="24"/>
                <w:szCs w:val="24"/>
              </w:rPr>
              <w:t>3.Totals by class of business</w:t>
            </w:r>
            <w:r w:rsidR="00342B04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Default="004E76D0" w:rsidP="00874F60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Pr="00094D50" w:rsidRDefault="004E76D0" w:rsidP="00B37968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LRS 420.0 Assets Backing Policy Liabilities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  <w:tr w:rsidR="004E76D0" w:rsidRPr="00874F60" w:rsidTr="00094D50">
        <w:trPr>
          <w:trHeight w:val="649"/>
        </w:trPr>
        <w:tc>
          <w:tcPr>
            <w:tcW w:w="4679" w:type="dxa"/>
            <w:shd w:val="clear" w:color="auto" w:fill="auto"/>
          </w:tcPr>
          <w:p w:rsidR="004E76D0" w:rsidRDefault="00580674" w:rsidP="00075B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LRF 430.</w:t>
            </w:r>
            <w:r w:rsidR="004E76D0">
              <w:rPr>
                <w:rFonts w:ascii="Times New Roman" w:eastAsia="Times New Roman" w:hAnsi="Times New Roman"/>
                <w:sz w:val="24"/>
                <w:szCs w:val="24"/>
              </w:rPr>
              <w:t>0: Sources of Profit</w:t>
            </w:r>
          </w:p>
          <w:p w:rsidR="004E76D0" w:rsidRDefault="004E76D0" w:rsidP="00075B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342B04" w:rsidRDefault="00342B04" w:rsidP="00342B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4E76D0" w:rsidRPr="00342B04">
              <w:rPr>
                <w:rFonts w:ascii="Times New Roman" w:eastAsia="Times New Roman" w:hAnsi="Times New Roman"/>
                <w:sz w:val="24"/>
                <w:szCs w:val="24"/>
              </w:rPr>
              <w:t>Totals by class of business and profit allocation</w:t>
            </w:r>
            <w:r w:rsidRPr="00342B04">
              <w:rPr>
                <w:rFonts w:ascii="Times New Roman" w:eastAsia="Times New Roman" w:hAnsi="Times New Roman"/>
                <w:sz w:val="24"/>
                <w:szCs w:val="24"/>
              </w:rPr>
              <w:t xml:space="preserve"> – all data items</w:t>
            </w:r>
          </w:p>
          <w:p w:rsidR="004E76D0" w:rsidRDefault="004E76D0" w:rsidP="00075B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76D0" w:rsidRPr="00342B04" w:rsidRDefault="004E76D0" w:rsidP="00342B0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76D0" w:rsidRDefault="004E76D0" w:rsidP="00B37968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LRS 430.0 Sources of Profit </w:t>
            </w:r>
            <w:r w:rsidRPr="00874F60">
              <w:rPr>
                <w:rFonts w:ascii="Times New Roman" w:eastAsia="Times New Roman" w:hAnsi="Times New Roman"/>
                <w:sz w:val="24"/>
                <w:szCs w:val="24"/>
              </w:rPr>
              <w:t>(which came into effect on 1 January 2013)</w:t>
            </w:r>
          </w:p>
        </w:tc>
      </w:tr>
    </w:tbl>
    <w:p w:rsidR="00644A6F" w:rsidRDefault="00644A6F" w:rsidP="00411812">
      <w:pPr>
        <w:spacing w:after="0" w:line="264" w:lineRule="exact"/>
        <w:ind w:right="211"/>
        <w:rPr>
          <w:rFonts w:ascii="Times New Roman" w:eastAsia="Times New Roman" w:hAnsi="Times New Roman"/>
          <w:sz w:val="24"/>
          <w:szCs w:val="24"/>
        </w:rPr>
      </w:pPr>
    </w:p>
    <w:p w:rsidR="00196E59" w:rsidRPr="00196E59" w:rsidRDefault="00196E59" w:rsidP="00644A6F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15"/>
          <w:szCs w:val="15"/>
          <w:highlight w:val="yellow"/>
        </w:rPr>
      </w:pPr>
    </w:p>
    <w:p w:rsidR="000D3AF9" w:rsidRDefault="000D3AF9" w:rsidP="00E8169F">
      <w:pPr>
        <w:spacing w:before="26"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</w:pPr>
    </w:p>
    <w:sectPr w:rsidR="000D3AF9" w:rsidSect="00F0129B">
      <w:pgSz w:w="11920" w:h="16840"/>
      <w:pgMar w:top="1134" w:right="1340" w:bottom="1276" w:left="1340" w:header="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9F" w:rsidRDefault="0021739F" w:rsidP="001639DA">
      <w:pPr>
        <w:spacing w:after="0" w:line="240" w:lineRule="auto"/>
      </w:pPr>
      <w:r>
        <w:separator/>
      </w:r>
    </w:p>
  </w:endnote>
  <w:endnote w:type="continuationSeparator" w:id="0">
    <w:p w:rsidR="0021739F" w:rsidRDefault="0021739F" w:rsidP="001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9F" w:rsidRDefault="0021739F" w:rsidP="001639DA">
      <w:pPr>
        <w:spacing w:after="0" w:line="240" w:lineRule="auto"/>
      </w:pPr>
      <w:r>
        <w:separator/>
      </w:r>
    </w:p>
  </w:footnote>
  <w:footnote w:type="continuationSeparator" w:id="0">
    <w:p w:rsidR="0021739F" w:rsidRDefault="0021739F" w:rsidP="0016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9F" w:rsidRDefault="0021739F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32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62604DF"/>
    <w:multiLevelType w:val="hybridMultilevel"/>
    <w:tmpl w:val="53AEA2BC"/>
    <w:lvl w:ilvl="0" w:tplc="028E4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74B8"/>
    <w:multiLevelType w:val="hybridMultilevel"/>
    <w:tmpl w:val="1DB4C79A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2B13"/>
    <w:multiLevelType w:val="hybridMultilevel"/>
    <w:tmpl w:val="434E8BB4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3735"/>
    <w:multiLevelType w:val="hybridMultilevel"/>
    <w:tmpl w:val="612A03F2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EA172E"/>
    <w:multiLevelType w:val="multilevel"/>
    <w:tmpl w:val="292A9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5408AC"/>
    <w:multiLevelType w:val="hybridMultilevel"/>
    <w:tmpl w:val="A08EF0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4C20"/>
    <w:multiLevelType w:val="hybridMultilevel"/>
    <w:tmpl w:val="69EC204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CB52B504">
      <w:start w:val="1"/>
      <w:numFmt w:val="lowerRoman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1FCC"/>
    <w:multiLevelType w:val="hybridMultilevel"/>
    <w:tmpl w:val="FCA845E8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69CC"/>
    <w:multiLevelType w:val="hybridMultilevel"/>
    <w:tmpl w:val="2B3AC270"/>
    <w:lvl w:ilvl="0" w:tplc="F07096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5A62"/>
    <w:multiLevelType w:val="hybridMultilevel"/>
    <w:tmpl w:val="697AE21C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5B33CD"/>
    <w:multiLevelType w:val="hybridMultilevel"/>
    <w:tmpl w:val="ED708C46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337B"/>
    <w:multiLevelType w:val="hybridMultilevel"/>
    <w:tmpl w:val="8B361BA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08D6"/>
    <w:multiLevelType w:val="hybridMultilevel"/>
    <w:tmpl w:val="0A5A7DFA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6D53DA2"/>
    <w:multiLevelType w:val="hybridMultilevel"/>
    <w:tmpl w:val="BCF200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78472C6"/>
    <w:multiLevelType w:val="hybridMultilevel"/>
    <w:tmpl w:val="E2CC665A"/>
    <w:lvl w:ilvl="0" w:tplc="F93E5B16">
      <w:start w:val="1"/>
      <w:numFmt w:val="lowerRoman"/>
      <w:lvlText w:val="(%1)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B655B8B"/>
    <w:multiLevelType w:val="hybridMultilevel"/>
    <w:tmpl w:val="75F83706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9120E"/>
    <w:multiLevelType w:val="hybridMultilevel"/>
    <w:tmpl w:val="AA0869A4"/>
    <w:lvl w:ilvl="0" w:tplc="B6D6B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97E87"/>
    <w:multiLevelType w:val="multilevel"/>
    <w:tmpl w:val="B5D08584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0F78CE"/>
    <w:multiLevelType w:val="hybridMultilevel"/>
    <w:tmpl w:val="7026E4C2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95CCC"/>
    <w:multiLevelType w:val="hybridMultilevel"/>
    <w:tmpl w:val="BD38B080"/>
    <w:lvl w:ilvl="0" w:tplc="CEA64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44695"/>
    <w:multiLevelType w:val="hybridMultilevel"/>
    <w:tmpl w:val="0F86EDC4"/>
    <w:lvl w:ilvl="0" w:tplc="F93E5B1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373F2"/>
    <w:multiLevelType w:val="hybridMultilevel"/>
    <w:tmpl w:val="95846FF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D7F"/>
    <w:multiLevelType w:val="hybridMultilevel"/>
    <w:tmpl w:val="25CEA8BA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DA1A55"/>
    <w:multiLevelType w:val="multilevel"/>
    <w:tmpl w:val="CC86B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D21C8D"/>
    <w:multiLevelType w:val="hybridMultilevel"/>
    <w:tmpl w:val="1BBA1730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E4192"/>
    <w:multiLevelType w:val="hybridMultilevel"/>
    <w:tmpl w:val="9B3A9758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1E76"/>
    <w:multiLevelType w:val="hybridMultilevel"/>
    <w:tmpl w:val="DB1C7C5E"/>
    <w:lvl w:ilvl="0" w:tplc="F93E5B16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9A856EC"/>
    <w:multiLevelType w:val="hybridMultilevel"/>
    <w:tmpl w:val="A3602D2C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F93E5B1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A5F75"/>
    <w:multiLevelType w:val="hybridMultilevel"/>
    <w:tmpl w:val="8F120E2A"/>
    <w:lvl w:ilvl="0" w:tplc="CB52B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93E5B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F93E5B1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B7574"/>
    <w:multiLevelType w:val="hybridMultilevel"/>
    <w:tmpl w:val="776015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81A6A38"/>
    <w:multiLevelType w:val="hybridMultilevel"/>
    <w:tmpl w:val="82D47F24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683510E1"/>
    <w:multiLevelType w:val="hybridMultilevel"/>
    <w:tmpl w:val="627471D4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C0D788C"/>
    <w:multiLevelType w:val="hybridMultilevel"/>
    <w:tmpl w:val="AF4440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67E5"/>
    <w:multiLevelType w:val="hybridMultilevel"/>
    <w:tmpl w:val="25CEA8BA"/>
    <w:lvl w:ilvl="0" w:tplc="F93E5B16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6918"/>
    <w:multiLevelType w:val="hybridMultilevel"/>
    <w:tmpl w:val="0A5A7DFA"/>
    <w:lvl w:ilvl="0" w:tplc="CB52B504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50478EB"/>
    <w:multiLevelType w:val="hybridMultilevel"/>
    <w:tmpl w:val="E456437A"/>
    <w:lvl w:ilvl="0" w:tplc="7BC2668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7AE57460"/>
    <w:multiLevelType w:val="hybridMultilevel"/>
    <w:tmpl w:val="8F08A528"/>
    <w:lvl w:ilvl="0" w:tplc="CB52B504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F638E"/>
    <w:multiLevelType w:val="hybridMultilevel"/>
    <w:tmpl w:val="20BC133C"/>
    <w:lvl w:ilvl="0" w:tplc="F93E5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36"/>
  </w:num>
  <w:num w:numId="5">
    <w:abstractNumId w:val="27"/>
  </w:num>
  <w:num w:numId="6">
    <w:abstractNumId w:val="38"/>
  </w:num>
  <w:num w:numId="7">
    <w:abstractNumId w:val="37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34"/>
  </w:num>
  <w:num w:numId="13">
    <w:abstractNumId w:val="23"/>
  </w:num>
  <w:num w:numId="14">
    <w:abstractNumId w:val="22"/>
  </w:num>
  <w:num w:numId="15">
    <w:abstractNumId w:val="26"/>
  </w:num>
  <w:num w:numId="16">
    <w:abstractNumId w:val="28"/>
  </w:num>
  <w:num w:numId="17">
    <w:abstractNumId w:val="29"/>
  </w:num>
  <w:num w:numId="18">
    <w:abstractNumId w:val="25"/>
  </w:num>
  <w:num w:numId="19">
    <w:abstractNumId w:val="7"/>
  </w:num>
  <w:num w:numId="20">
    <w:abstractNumId w:val="32"/>
  </w:num>
  <w:num w:numId="21">
    <w:abstractNumId w:val="35"/>
  </w:num>
  <w:num w:numId="22">
    <w:abstractNumId w:val="13"/>
  </w:num>
  <w:num w:numId="23">
    <w:abstractNumId w:val="31"/>
  </w:num>
  <w:num w:numId="24">
    <w:abstractNumId w:val="20"/>
  </w:num>
  <w:num w:numId="25">
    <w:abstractNumId w:val="11"/>
  </w:num>
  <w:num w:numId="26">
    <w:abstractNumId w:val="1"/>
  </w:num>
  <w:num w:numId="27">
    <w:abstractNumId w:val="0"/>
  </w:num>
  <w:num w:numId="28">
    <w:abstractNumId w:val="3"/>
  </w:num>
  <w:num w:numId="29">
    <w:abstractNumId w:val="15"/>
  </w:num>
  <w:num w:numId="30">
    <w:abstractNumId w:val="33"/>
  </w:num>
  <w:num w:numId="31">
    <w:abstractNumId w:val="6"/>
  </w:num>
  <w:num w:numId="32">
    <w:abstractNumId w:val="12"/>
  </w:num>
  <w:num w:numId="33">
    <w:abstractNumId w:val="16"/>
  </w:num>
  <w:num w:numId="34">
    <w:abstractNumId w:val="18"/>
  </w:num>
  <w:num w:numId="35">
    <w:abstractNumId w:val="8"/>
  </w:num>
  <w:num w:numId="36">
    <w:abstractNumId w:val="19"/>
  </w:num>
  <w:num w:numId="37">
    <w:abstractNumId w:val="21"/>
  </w:num>
  <w:num w:numId="38">
    <w:abstractNumId w:val="30"/>
  </w:num>
  <w:num w:numId="3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DA"/>
    <w:rsid w:val="00004844"/>
    <w:rsid w:val="00004EB2"/>
    <w:rsid w:val="00012F43"/>
    <w:rsid w:val="00031DF7"/>
    <w:rsid w:val="0003771A"/>
    <w:rsid w:val="000501DE"/>
    <w:rsid w:val="000506BF"/>
    <w:rsid w:val="0006750A"/>
    <w:rsid w:val="00075B84"/>
    <w:rsid w:val="000810EC"/>
    <w:rsid w:val="00090236"/>
    <w:rsid w:val="0009187E"/>
    <w:rsid w:val="000921CA"/>
    <w:rsid w:val="00094D50"/>
    <w:rsid w:val="000979D3"/>
    <w:rsid w:val="000A1BAE"/>
    <w:rsid w:val="000A45F7"/>
    <w:rsid w:val="000A5884"/>
    <w:rsid w:val="000B5495"/>
    <w:rsid w:val="000C436C"/>
    <w:rsid w:val="000C6666"/>
    <w:rsid w:val="000D3AF9"/>
    <w:rsid w:val="000D5650"/>
    <w:rsid w:val="000E1BAC"/>
    <w:rsid w:val="000F15FF"/>
    <w:rsid w:val="00113E14"/>
    <w:rsid w:val="00124E35"/>
    <w:rsid w:val="00130F19"/>
    <w:rsid w:val="00134C74"/>
    <w:rsid w:val="001373FE"/>
    <w:rsid w:val="00147376"/>
    <w:rsid w:val="0016175D"/>
    <w:rsid w:val="001639DA"/>
    <w:rsid w:val="00170F05"/>
    <w:rsid w:val="00176089"/>
    <w:rsid w:val="00187A8B"/>
    <w:rsid w:val="00196A8D"/>
    <w:rsid w:val="00196E59"/>
    <w:rsid w:val="001A2570"/>
    <w:rsid w:val="001A5A53"/>
    <w:rsid w:val="001A72CC"/>
    <w:rsid w:val="001B012E"/>
    <w:rsid w:val="001C2B0E"/>
    <w:rsid w:val="001C6BCC"/>
    <w:rsid w:val="001D0C9F"/>
    <w:rsid w:val="001D4481"/>
    <w:rsid w:val="001E67B3"/>
    <w:rsid w:val="001F44E4"/>
    <w:rsid w:val="001F5B2C"/>
    <w:rsid w:val="00200291"/>
    <w:rsid w:val="00200827"/>
    <w:rsid w:val="00211577"/>
    <w:rsid w:val="002133F4"/>
    <w:rsid w:val="0021739F"/>
    <w:rsid w:val="00222DAA"/>
    <w:rsid w:val="00231F49"/>
    <w:rsid w:val="00232EBD"/>
    <w:rsid w:val="00244575"/>
    <w:rsid w:val="00253AD1"/>
    <w:rsid w:val="00256C6A"/>
    <w:rsid w:val="002622E3"/>
    <w:rsid w:val="0026459C"/>
    <w:rsid w:val="00281D48"/>
    <w:rsid w:val="00287FD4"/>
    <w:rsid w:val="0029043B"/>
    <w:rsid w:val="00291427"/>
    <w:rsid w:val="002936D2"/>
    <w:rsid w:val="002A0C8B"/>
    <w:rsid w:val="002A254A"/>
    <w:rsid w:val="002A3E8A"/>
    <w:rsid w:val="002B0A47"/>
    <w:rsid w:val="002D2AC4"/>
    <w:rsid w:val="002E2126"/>
    <w:rsid w:val="002E2638"/>
    <w:rsid w:val="002F4FDF"/>
    <w:rsid w:val="003062D3"/>
    <w:rsid w:val="00307A83"/>
    <w:rsid w:val="00314D75"/>
    <w:rsid w:val="00316E56"/>
    <w:rsid w:val="003332BA"/>
    <w:rsid w:val="00341D5E"/>
    <w:rsid w:val="00342B04"/>
    <w:rsid w:val="00343009"/>
    <w:rsid w:val="0034449F"/>
    <w:rsid w:val="00351484"/>
    <w:rsid w:val="00352EA8"/>
    <w:rsid w:val="0035433A"/>
    <w:rsid w:val="0037527F"/>
    <w:rsid w:val="003825F2"/>
    <w:rsid w:val="00386B75"/>
    <w:rsid w:val="0039433B"/>
    <w:rsid w:val="003A7363"/>
    <w:rsid w:val="003B47A4"/>
    <w:rsid w:val="003D7F12"/>
    <w:rsid w:val="003E41A8"/>
    <w:rsid w:val="0040058A"/>
    <w:rsid w:val="00404637"/>
    <w:rsid w:val="00411812"/>
    <w:rsid w:val="00416BA4"/>
    <w:rsid w:val="004232B2"/>
    <w:rsid w:val="0044042F"/>
    <w:rsid w:val="00440BF8"/>
    <w:rsid w:val="00441416"/>
    <w:rsid w:val="0044387D"/>
    <w:rsid w:val="004633AC"/>
    <w:rsid w:val="00464A0E"/>
    <w:rsid w:val="00466BB0"/>
    <w:rsid w:val="00474A5E"/>
    <w:rsid w:val="004830E5"/>
    <w:rsid w:val="00495A19"/>
    <w:rsid w:val="00495C2B"/>
    <w:rsid w:val="004C1361"/>
    <w:rsid w:val="004C51DC"/>
    <w:rsid w:val="004C6433"/>
    <w:rsid w:val="004D3606"/>
    <w:rsid w:val="004D4233"/>
    <w:rsid w:val="004E76D0"/>
    <w:rsid w:val="005027FE"/>
    <w:rsid w:val="005033FD"/>
    <w:rsid w:val="00511926"/>
    <w:rsid w:val="00514561"/>
    <w:rsid w:val="00543B6A"/>
    <w:rsid w:val="00550325"/>
    <w:rsid w:val="0056308A"/>
    <w:rsid w:val="005633B4"/>
    <w:rsid w:val="00563CCC"/>
    <w:rsid w:val="005661C2"/>
    <w:rsid w:val="005747D3"/>
    <w:rsid w:val="00574C03"/>
    <w:rsid w:val="00575390"/>
    <w:rsid w:val="00576A10"/>
    <w:rsid w:val="00580674"/>
    <w:rsid w:val="005808A7"/>
    <w:rsid w:val="00584A1B"/>
    <w:rsid w:val="005A0012"/>
    <w:rsid w:val="005A707D"/>
    <w:rsid w:val="005B3F64"/>
    <w:rsid w:val="005B4F6B"/>
    <w:rsid w:val="005B7E9F"/>
    <w:rsid w:val="005C4CDA"/>
    <w:rsid w:val="005C76E8"/>
    <w:rsid w:val="005E6C68"/>
    <w:rsid w:val="005E6F7E"/>
    <w:rsid w:val="005F1239"/>
    <w:rsid w:val="005F3678"/>
    <w:rsid w:val="00602BD5"/>
    <w:rsid w:val="006074EB"/>
    <w:rsid w:val="006154E2"/>
    <w:rsid w:val="006165A5"/>
    <w:rsid w:val="00617FA0"/>
    <w:rsid w:val="006254EF"/>
    <w:rsid w:val="006311E6"/>
    <w:rsid w:val="00644A6F"/>
    <w:rsid w:val="00655B4D"/>
    <w:rsid w:val="00665D06"/>
    <w:rsid w:val="0067042E"/>
    <w:rsid w:val="00674564"/>
    <w:rsid w:val="0067594A"/>
    <w:rsid w:val="00675F33"/>
    <w:rsid w:val="00682578"/>
    <w:rsid w:val="0068632A"/>
    <w:rsid w:val="006958DD"/>
    <w:rsid w:val="00696157"/>
    <w:rsid w:val="00697813"/>
    <w:rsid w:val="00697D3B"/>
    <w:rsid w:val="006A40E2"/>
    <w:rsid w:val="006B7822"/>
    <w:rsid w:val="006C404C"/>
    <w:rsid w:val="006D0824"/>
    <w:rsid w:val="006D0892"/>
    <w:rsid w:val="006D6B64"/>
    <w:rsid w:val="006E1E0B"/>
    <w:rsid w:val="00702F31"/>
    <w:rsid w:val="007076AB"/>
    <w:rsid w:val="007158AD"/>
    <w:rsid w:val="00723A41"/>
    <w:rsid w:val="00724FED"/>
    <w:rsid w:val="007519D2"/>
    <w:rsid w:val="00764328"/>
    <w:rsid w:val="00764BC9"/>
    <w:rsid w:val="00765E15"/>
    <w:rsid w:val="00767D4B"/>
    <w:rsid w:val="007838DC"/>
    <w:rsid w:val="00792D3C"/>
    <w:rsid w:val="007A6006"/>
    <w:rsid w:val="007B13C2"/>
    <w:rsid w:val="007B5AED"/>
    <w:rsid w:val="007D41A4"/>
    <w:rsid w:val="007E10F5"/>
    <w:rsid w:val="007E254D"/>
    <w:rsid w:val="007F24BD"/>
    <w:rsid w:val="007F5A34"/>
    <w:rsid w:val="00824ED2"/>
    <w:rsid w:val="00826B59"/>
    <w:rsid w:val="00833657"/>
    <w:rsid w:val="00847F8E"/>
    <w:rsid w:val="0085541E"/>
    <w:rsid w:val="00857ECE"/>
    <w:rsid w:val="00861711"/>
    <w:rsid w:val="00865F1E"/>
    <w:rsid w:val="00874F60"/>
    <w:rsid w:val="008964B0"/>
    <w:rsid w:val="008A3C0B"/>
    <w:rsid w:val="008A458C"/>
    <w:rsid w:val="008C05A6"/>
    <w:rsid w:val="008C6111"/>
    <w:rsid w:val="008D0A6E"/>
    <w:rsid w:val="008D0E8E"/>
    <w:rsid w:val="008D4A5B"/>
    <w:rsid w:val="008E082D"/>
    <w:rsid w:val="008E4C9F"/>
    <w:rsid w:val="008E6C1C"/>
    <w:rsid w:val="00904D5F"/>
    <w:rsid w:val="0091008E"/>
    <w:rsid w:val="00921906"/>
    <w:rsid w:val="00921D79"/>
    <w:rsid w:val="00927DD8"/>
    <w:rsid w:val="00932851"/>
    <w:rsid w:val="009460F1"/>
    <w:rsid w:val="00951C3A"/>
    <w:rsid w:val="009712E3"/>
    <w:rsid w:val="00991A37"/>
    <w:rsid w:val="00994386"/>
    <w:rsid w:val="00995115"/>
    <w:rsid w:val="009A5451"/>
    <w:rsid w:val="009B4C8C"/>
    <w:rsid w:val="009C6E75"/>
    <w:rsid w:val="009D5C0A"/>
    <w:rsid w:val="009D5E55"/>
    <w:rsid w:val="009E3E5F"/>
    <w:rsid w:val="009E52A1"/>
    <w:rsid w:val="009F7134"/>
    <w:rsid w:val="00A033E9"/>
    <w:rsid w:val="00A05391"/>
    <w:rsid w:val="00A06CF8"/>
    <w:rsid w:val="00A07FF0"/>
    <w:rsid w:val="00A1464F"/>
    <w:rsid w:val="00A21BBF"/>
    <w:rsid w:val="00A245A6"/>
    <w:rsid w:val="00A26BB3"/>
    <w:rsid w:val="00A343D0"/>
    <w:rsid w:val="00A372FC"/>
    <w:rsid w:val="00A51B07"/>
    <w:rsid w:val="00A532F3"/>
    <w:rsid w:val="00A5513D"/>
    <w:rsid w:val="00A614F5"/>
    <w:rsid w:val="00A64F1A"/>
    <w:rsid w:val="00A732CA"/>
    <w:rsid w:val="00A76BFE"/>
    <w:rsid w:val="00A9026E"/>
    <w:rsid w:val="00A94E4F"/>
    <w:rsid w:val="00AA2689"/>
    <w:rsid w:val="00AA3369"/>
    <w:rsid w:val="00AA3691"/>
    <w:rsid w:val="00AB7BB8"/>
    <w:rsid w:val="00AD5F65"/>
    <w:rsid w:val="00AE08BD"/>
    <w:rsid w:val="00AF161C"/>
    <w:rsid w:val="00AF19C2"/>
    <w:rsid w:val="00AF6991"/>
    <w:rsid w:val="00B0069D"/>
    <w:rsid w:val="00B127E8"/>
    <w:rsid w:val="00B13722"/>
    <w:rsid w:val="00B1502A"/>
    <w:rsid w:val="00B376EB"/>
    <w:rsid w:val="00B37968"/>
    <w:rsid w:val="00B50699"/>
    <w:rsid w:val="00B50A04"/>
    <w:rsid w:val="00B61DC1"/>
    <w:rsid w:val="00B75803"/>
    <w:rsid w:val="00B75AEA"/>
    <w:rsid w:val="00B77429"/>
    <w:rsid w:val="00B90A8F"/>
    <w:rsid w:val="00B92E68"/>
    <w:rsid w:val="00BC69E9"/>
    <w:rsid w:val="00BD0444"/>
    <w:rsid w:val="00BD079E"/>
    <w:rsid w:val="00BD2827"/>
    <w:rsid w:val="00BD2FF9"/>
    <w:rsid w:val="00BE2D4C"/>
    <w:rsid w:val="00BE3324"/>
    <w:rsid w:val="00BE6AA1"/>
    <w:rsid w:val="00BF4205"/>
    <w:rsid w:val="00BF4806"/>
    <w:rsid w:val="00C01D3C"/>
    <w:rsid w:val="00C02AF7"/>
    <w:rsid w:val="00C073B0"/>
    <w:rsid w:val="00C1132B"/>
    <w:rsid w:val="00C174D7"/>
    <w:rsid w:val="00C17751"/>
    <w:rsid w:val="00C20585"/>
    <w:rsid w:val="00C606F9"/>
    <w:rsid w:val="00C61DE0"/>
    <w:rsid w:val="00C726B8"/>
    <w:rsid w:val="00C74631"/>
    <w:rsid w:val="00C932D6"/>
    <w:rsid w:val="00CA0983"/>
    <w:rsid w:val="00CA6ECD"/>
    <w:rsid w:val="00CE743D"/>
    <w:rsid w:val="00CF6038"/>
    <w:rsid w:val="00CF7995"/>
    <w:rsid w:val="00D051C5"/>
    <w:rsid w:val="00D20533"/>
    <w:rsid w:val="00D22AD8"/>
    <w:rsid w:val="00D35ACC"/>
    <w:rsid w:val="00D4600F"/>
    <w:rsid w:val="00D52FA8"/>
    <w:rsid w:val="00D60CB9"/>
    <w:rsid w:val="00D61369"/>
    <w:rsid w:val="00D643AB"/>
    <w:rsid w:val="00D64AD0"/>
    <w:rsid w:val="00D73F55"/>
    <w:rsid w:val="00D8167A"/>
    <w:rsid w:val="00D82329"/>
    <w:rsid w:val="00D87971"/>
    <w:rsid w:val="00D9066C"/>
    <w:rsid w:val="00DB59A3"/>
    <w:rsid w:val="00DC4E15"/>
    <w:rsid w:val="00DD10A9"/>
    <w:rsid w:val="00DD194D"/>
    <w:rsid w:val="00DD6F17"/>
    <w:rsid w:val="00DD7917"/>
    <w:rsid w:val="00DE306A"/>
    <w:rsid w:val="00DE3EF2"/>
    <w:rsid w:val="00DF32B0"/>
    <w:rsid w:val="00E13148"/>
    <w:rsid w:val="00E22F8E"/>
    <w:rsid w:val="00E26A76"/>
    <w:rsid w:val="00E316E2"/>
    <w:rsid w:val="00E34284"/>
    <w:rsid w:val="00E41577"/>
    <w:rsid w:val="00E64348"/>
    <w:rsid w:val="00E64811"/>
    <w:rsid w:val="00E76AA0"/>
    <w:rsid w:val="00E8169F"/>
    <w:rsid w:val="00E83161"/>
    <w:rsid w:val="00E90DE6"/>
    <w:rsid w:val="00E91535"/>
    <w:rsid w:val="00E93D31"/>
    <w:rsid w:val="00E93E42"/>
    <w:rsid w:val="00EA4CFB"/>
    <w:rsid w:val="00EA5220"/>
    <w:rsid w:val="00EA57CE"/>
    <w:rsid w:val="00EB15C4"/>
    <w:rsid w:val="00EC0D1F"/>
    <w:rsid w:val="00ED1DCC"/>
    <w:rsid w:val="00ED4DF6"/>
    <w:rsid w:val="00EF14A4"/>
    <w:rsid w:val="00F00C32"/>
    <w:rsid w:val="00F0129B"/>
    <w:rsid w:val="00F06103"/>
    <w:rsid w:val="00F1512A"/>
    <w:rsid w:val="00F17E75"/>
    <w:rsid w:val="00F43AFB"/>
    <w:rsid w:val="00F4540F"/>
    <w:rsid w:val="00F5505F"/>
    <w:rsid w:val="00F67693"/>
    <w:rsid w:val="00F77DCA"/>
    <w:rsid w:val="00F91292"/>
    <w:rsid w:val="00F95E70"/>
    <w:rsid w:val="00FA056B"/>
    <w:rsid w:val="00FA1DDC"/>
    <w:rsid w:val="00FA2201"/>
    <w:rsid w:val="00FA5A1A"/>
    <w:rsid w:val="00FB4AB1"/>
    <w:rsid w:val="00FD0844"/>
    <w:rsid w:val="00FD0C64"/>
    <w:rsid w:val="00FD2FB9"/>
    <w:rsid w:val="00FE1861"/>
    <w:rsid w:val="00FF3AE0"/>
    <w:rsid w:val="00FF506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8B"/>
  </w:style>
  <w:style w:type="paragraph" w:styleId="Footer">
    <w:name w:val="footer"/>
    <w:basedOn w:val="Normal"/>
    <w:link w:val="Foot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8B"/>
  </w:style>
  <w:style w:type="paragraph" w:styleId="ListParagraph">
    <w:name w:val="List Paragraph"/>
    <w:basedOn w:val="Normal"/>
    <w:uiPriority w:val="34"/>
    <w:qFormat/>
    <w:rsid w:val="0099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13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o">
    <w:name w:val="IntroTo:"/>
    <w:basedOn w:val="Normal"/>
    <w:rsid w:val="00C606F9"/>
    <w:pPr>
      <w:widowControl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0A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5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5F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8B"/>
  </w:style>
  <w:style w:type="paragraph" w:styleId="Footer">
    <w:name w:val="footer"/>
    <w:basedOn w:val="Normal"/>
    <w:link w:val="FooterChar"/>
    <w:uiPriority w:val="99"/>
    <w:unhideWhenUsed/>
    <w:rsid w:val="002A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8B"/>
  </w:style>
  <w:style w:type="paragraph" w:styleId="ListParagraph">
    <w:name w:val="List Paragraph"/>
    <w:basedOn w:val="Normal"/>
    <w:uiPriority w:val="34"/>
    <w:qFormat/>
    <w:rsid w:val="0099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13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o">
    <w:name w:val="IntroTo:"/>
    <w:basedOn w:val="Normal"/>
    <w:rsid w:val="00C606F9"/>
    <w:pPr>
      <w:widowControl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0A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5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5F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pra.gov.au/lifs/ReportingFramework/Documents/FSCODA-No-54-of-2013-LRS-310-0-Income-Statemen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pra.gov.au/lifs/ReportingFramework/Documents/FSCODA-No-54-of-2013-LRS-310-0-Income-Stat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ra.gov.au/lifs/ReportingFramework/Documents/FSCODA-No-54-of-2013-LRS-310-0-Income-Statement.pdf" TargetMode="External"/><Relationship Id="rId20" Type="http://schemas.openxmlformats.org/officeDocument/2006/relationships/hyperlink" Target="http://www.apra.gov.au/lifs/ReportingFramework/Documents/FSCODA-No-57-of-2013-LRS-400-0-Statement-of-Policy-Liabiliti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apra.gov.au/lifs/ReportingFramework/Documents/FSCODA-No-54-of-2013-LRS-310-0-Income-Statem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FFEB-E5CF-4496-8BEF-6C63223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1721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SIP0207550.htm</vt:lpstr>
    </vt:vector>
  </TitlesOfParts>
  <Company>APRA</Company>
  <LinksUpToDate>false</LinksUpToDate>
  <CharactersWithSpaces>11514</CharactersWithSpaces>
  <SharedDoc>false</SharedDoc>
  <HLinks>
    <vt:vector size="6" baseType="variant"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http://www.apra.gov.au/lifs/ReportingFramework/Documents/FSCODA-No-54-of-2013-LRS-310-0-Income-Statement.pdf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SIP0207550.htm</dc:title>
  <dc:creator>Antonietta Discala</dc:creator>
  <cp:lastModifiedBy>Watson, Jill</cp:lastModifiedBy>
  <cp:revision>2</cp:revision>
  <cp:lastPrinted>2015-06-12T04:45:00Z</cp:lastPrinted>
  <dcterms:created xsi:type="dcterms:W3CDTF">2015-06-18T02:32:00Z</dcterms:created>
  <dcterms:modified xsi:type="dcterms:W3CDTF">2015-06-18T02:32:00Z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2013-02-18T00:00:00Z</vt:filetime>
  </property>
</Properties>
</file>