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8DD" w:rsidRPr="00634C4B" w:rsidRDefault="004C4A61" w:rsidP="00E578DD">
      <w:pPr>
        <w:spacing w:after="200" w:line="276" w:lineRule="auto"/>
        <w:jc w:val="center"/>
        <w:rPr>
          <w:rFonts w:ascii="Times New Roman" w:eastAsia="Times New Roman" w:hAnsi="Times New Roman"/>
          <w:b/>
          <w:sz w:val="24"/>
          <w:szCs w:val="24"/>
          <w:u w:val="single"/>
          <w:lang w:eastAsia="en-AU"/>
        </w:rPr>
      </w:pPr>
      <w:bookmarkStart w:id="0" w:name="_GoBack"/>
      <w:bookmarkEnd w:id="0"/>
      <w:r w:rsidRPr="00634C4B">
        <w:rPr>
          <w:rFonts w:ascii="Times New Roman" w:eastAsia="Times New Roman" w:hAnsi="Times New Roman"/>
          <w:b/>
          <w:sz w:val="24"/>
          <w:szCs w:val="24"/>
          <w:lang w:eastAsia="en-AU"/>
        </w:rPr>
        <w:t>Australian Prudential Regulation Authority</w:t>
      </w:r>
      <w:r w:rsidR="00E578DD" w:rsidRPr="00634C4B">
        <w:rPr>
          <w:rFonts w:ascii="Times New Roman" w:eastAsia="Times New Roman" w:hAnsi="Times New Roman"/>
          <w:b/>
          <w:sz w:val="24"/>
          <w:szCs w:val="24"/>
          <w:lang w:eastAsia="en-AU"/>
        </w:rPr>
        <w:t xml:space="preserve"> (</w:t>
      </w:r>
      <w:r w:rsidRPr="00634C4B">
        <w:rPr>
          <w:rFonts w:ascii="Times New Roman" w:eastAsia="Times New Roman" w:hAnsi="Times New Roman"/>
          <w:b/>
          <w:sz w:val="24"/>
          <w:szCs w:val="24"/>
          <w:lang w:eastAsia="en-AU"/>
        </w:rPr>
        <w:t>confidentiality</w:t>
      </w:r>
      <w:r w:rsidR="00E578DD" w:rsidRPr="00634C4B">
        <w:rPr>
          <w:rFonts w:ascii="Times New Roman" w:eastAsia="Times New Roman" w:hAnsi="Times New Roman"/>
          <w:b/>
          <w:sz w:val="24"/>
          <w:szCs w:val="24"/>
          <w:lang w:eastAsia="en-AU"/>
        </w:rPr>
        <w:t xml:space="preserve">) determination No. </w:t>
      </w:r>
      <w:r w:rsidR="0062611E">
        <w:rPr>
          <w:rFonts w:ascii="Times New Roman" w:eastAsia="Times New Roman" w:hAnsi="Times New Roman"/>
          <w:b/>
          <w:sz w:val="24"/>
          <w:szCs w:val="24"/>
          <w:lang w:eastAsia="en-AU"/>
        </w:rPr>
        <w:t>11</w:t>
      </w:r>
      <w:r w:rsidR="00E578DD" w:rsidRPr="00634C4B">
        <w:rPr>
          <w:rFonts w:ascii="Times New Roman" w:eastAsia="Times New Roman" w:hAnsi="Times New Roman"/>
          <w:b/>
          <w:sz w:val="24"/>
          <w:szCs w:val="24"/>
          <w:lang w:eastAsia="en-AU"/>
        </w:rPr>
        <w:t xml:space="preserve"> of 2</w:t>
      </w:r>
      <w:r w:rsidR="007D1D55" w:rsidRPr="00634C4B">
        <w:rPr>
          <w:rFonts w:ascii="Times New Roman" w:eastAsia="Times New Roman" w:hAnsi="Times New Roman"/>
          <w:b/>
          <w:sz w:val="24"/>
          <w:szCs w:val="24"/>
          <w:lang w:eastAsia="en-AU"/>
        </w:rPr>
        <w:t>015</w:t>
      </w:r>
    </w:p>
    <w:p w:rsidR="00E578DD" w:rsidRPr="00E578DD" w:rsidRDefault="00E578DD" w:rsidP="00E578DD">
      <w:pPr>
        <w:spacing w:after="200" w:line="276" w:lineRule="auto"/>
        <w:jc w:val="center"/>
        <w:rPr>
          <w:rFonts w:ascii="Times New Roman" w:eastAsia="Times New Roman" w:hAnsi="Times New Roman"/>
          <w:b/>
          <w:sz w:val="24"/>
          <w:szCs w:val="24"/>
          <w:u w:val="single"/>
          <w:lang w:eastAsia="en-AU"/>
        </w:rPr>
      </w:pPr>
      <w:r w:rsidRPr="00E578DD">
        <w:rPr>
          <w:rFonts w:ascii="Times New Roman" w:eastAsia="Times New Roman" w:hAnsi="Times New Roman"/>
          <w:b/>
          <w:sz w:val="24"/>
          <w:szCs w:val="24"/>
          <w:u w:val="single"/>
          <w:lang w:eastAsia="en-AU"/>
        </w:rPr>
        <w:t>EXPLANATORY STATEMENT</w:t>
      </w:r>
    </w:p>
    <w:p w:rsidR="00E578DD" w:rsidRPr="00E578DD" w:rsidRDefault="00E578DD" w:rsidP="00E578DD">
      <w:pPr>
        <w:spacing w:after="200" w:line="276" w:lineRule="auto"/>
        <w:jc w:val="center"/>
        <w:rPr>
          <w:rFonts w:ascii="Times New Roman" w:eastAsia="Times New Roman" w:hAnsi="Times New Roman"/>
          <w:sz w:val="24"/>
          <w:szCs w:val="24"/>
          <w:lang w:eastAsia="en-AU"/>
        </w:rPr>
      </w:pPr>
      <w:r w:rsidRPr="00612891">
        <w:rPr>
          <w:rFonts w:ascii="Times New Roman" w:eastAsia="Times New Roman" w:hAnsi="Times New Roman"/>
          <w:b/>
          <w:sz w:val="24"/>
          <w:szCs w:val="24"/>
          <w:lang w:eastAsia="en-AU"/>
        </w:rPr>
        <w:t>Prepared by the Australian Prudential Regulation Authority</w:t>
      </w:r>
      <w:r w:rsidRPr="00E578DD">
        <w:rPr>
          <w:rFonts w:ascii="Times New Roman" w:eastAsia="Times New Roman" w:hAnsi="Times New Roman"/>
          <w:sz w:val="24"/>
          <w:szCs w:val="24"/>
          <w:lang w:eastAsia="en-AU"/>
        </w:rPr>
        <w:t xml:space="preserve"> (</w:t>
      </w:r>
      <w:r w:rsidRPr="00E578DD">
        <w:rPr>
          <w:rFonts w:ascii="Times New Roman" w:eastAsia="Times New Roman" w:hAnsi="Times New Roman"/>
          <w:b/>
          <w:sz w:val="24"/>
          <w:szCs w:val="24"/>
          <w:lang w:eastAsia="en-AU"/>
        </w:rPr>
        <w:t>APRA</w:t>
      </w:r>
      <w:r w:rsidRPr="00E578DD">
        <w:rPr>
          <w:rFonts w:ascii="Times New Roman" w:eastAsia="Times New Roman" w:hAnsi="Times New Roman"/>
          <w:sz w:val="24"/>
          <w:szCs w:val="24"/>
          <w:lang w:eastAsia="en-AU"/>
        </w:rPr>
        <w:t>)</w:t>
      </w:r>
    </w:p>
    <w:p w:rsidR="00E578DD" w:rsidRDefault="00E578DD" w:rsidP="00E578DD">
      <w:pPr>
        <w:spacing w:after="200" w:line="276" w:lineRule="auto"/>
        <w:jc w:val="center"/>
        <w:rPr>
          <w:rFonts w:ascii="Times New Roman" w:eastAsia="Times New Roman" w:hAnsi="Times New Roman"/>
          <w:sz w:val="24"/>
          <w:szCs w:val="24"/>
          <w:lang w:eastAsia="en-AU"/>
        </w:rPr>
      </w:pPr>
      <w:r w:rsidRPr="00E578DD">
        <w:rPr>
          <w:rFonts w:ascii="Times New Roman" w:eastAsia="Times New Roman" w:hAnsi="Times New Roman"/>
          <w:i/>
          <w:sz w:val="24"/>
          <w:szCs w:val="24"/>
          <w:lang w:eastAsia="en-AU"/>
        </w:rPr>
        <w:t>Australian Prudential Regulation Authority Act 1998</w:t>
      </w:r>
      <w:r w:rsidRPr="00E578DD">
        <w:rPr>
          <w:rFonts w:ascii="Times New Roman" w:eastAsia="Times New Roman" w:hAnsi="Times New Roman"/>
          <w:sz w:val="24"/>
          <w:szCs w:val="24"/>
          <w:lang w:eastAsia="en-AU"/>
        </w:rPr>
        <w:t>, section 57</w:t>
      </w:r>
    </w:p>
    <w:p w:rsidR="00EB2516" w:rsidRDefault="00EB2516" w:rsidP="00EB2516">
      <w:pPr>
        <w:spacing w:after="200" w:line="276" w:lineRule="auto"/>
        <w:jc w:val="center"/>
        <w:rPr>
          <w:rFonts w:ascii="Times New Roman" w:eastAsia="Times New Roman" w:hAnsi="Times New Roman"/>
          <w:sz w:val="24"/>
          <w:szCs w:val="24"/>
          <w:lang w:eastAsia="en-AU"/>
        </w:rPr>
      </w:pPr>
      <w:r w:rsidRPr="00E6235E">
        <w:rPr>
          <w:rFonts w:ascii="Times New Roman" w:eastAsia="Times New Roman" w:hAnsi="Times New Roman"/>
          <w:i/>
          <w:sz w:val="24"/>
          <w:szCs w:val="24"/>
          <w:lang w:eastAsia="en-AU"/>
        </w:rPr>
        <w:t>Acts Interpretation Act 1901</w:t>
      </w:r>
      <w:r>
        <w:rPr>
          <w:rFonts w:ascii="Times New Roman" w:eastAsia="Times New Roman" w:hAnsi="Times New Roman"/>
          <w:sz w:val="24"/>
          <w:szCs w:val="24"/>
          <w:lang w:eastAsia="en-AU"/>
        </w:rPr>
        <w:t>, section 33</w:t>
      </w:r>
    </w:p>
    <w:p w:rsidR="000C3FBD" w:rsidRPr="00634C4B" w:rsidRDefault="007D1D55" w:rsidP="00E578DD">
      <w:pPr>
        <w:spacing w:after="200" w:line="276" w:lineRule="auto"/>
        <w:rPr>
          <w:rFonts w:ascii="Times New Roman" w:eastAsia="Times New Roman" w:hAnsi="Times New Roman"/>
          <w:sz w:val="24"/>
          <w:szCs w:val="24"/>
          <w:lang w:eastAsia="en-AU"/>
        </w:rPr>
      </w:pPr>
      <w:r w:rsidRPr="00634C4B">
        <w:rPr>
          <w:rFonts w:ascii="Times New Roman" w:eastAsia="Times New Roman" w:hAnsi="Times New Roman"/>
          <w:sz w:val="24"/>
          <w:szCs w:val="24"/>
          <w:lang w:eastAsia="en-AU"/>
        </w:rPr>
        <w:t xml:space="preserve">Under </w:t>
      </w:r>
      <w:r w:rsidR="00EB2516">
        <w:rPr>
          <w:rFonts w:ascii="Times New Roman" w:eastAsia="Times New Roman" w:hAnsi="Times New Roman"/>
          <w:sz w:val="24"/>
          <w:szCs w:val="24"/>
          <w:lang w:eastAsia="en-AU"/>
        </w:rPr>
        <w:t>subsection</w:t>
      </w:r>
      <w:r w:rsidRPr="00634C4B">
        <w:rPr>
          <w:rFonts w:ascii="Times New Roman" w:eastAsia="Times New Roman" w:hAnsi="Times New Roman"/>
          <w:sz w:val="24"/>
          <w:szCs w:val="24"/>
          <w:lang w:eastAsia="en-AU"/>
        </w:rPr>
        <w:t xml:space="preserve"> 57(</w:t>
      </w:r>
      <w:r w:rsidR="0090186B" w:rsidRPr="00634C4B">
        <w:rPr>
          <w:rFonts w:ascii="Times New Roman" w:eastAsia="Times New Roman" w:hAnsi="Times New Roman"/>
          <w:sz w:val="24"/>
          <w:szCs w:val="24"/>
          <w:lang w:eastAsia="en-AU"/>
        </w:rPr>
        <w:t>2</w:t>
      </w:r>
      <w:r w:rsidRPr="00634C4B">
        <w:rPr>
          <w:rFonts w:ascii="Times New Roman" w:eastAsia="Times New Roman" w:hAnsi="Times New Roman"/>
          <w:sz w:val="24"/>
          <w:szCs w:val="24"/>
          <w:lang w:eastAsia="en-AU"/>
        </w:rPr>
        <w:t>) of the</w:t>
      </w:r>
      <w:r w:rsidR="000C3FBD" w:rsidRPr="00634C4B">
        <w:rPr>
          <w:rFonts w:ascii="Times New Roman" w:eastAsia="Times New Roman" w:hAnsi="Times New Roman"/>
          <w:i/>
          <w:sz w:val="24"/>
          <w:szCs w:val="24"/>
          <w:lang w:eastAsia="en-AU"/>
        </w:rPr>
        <w:t xml:space="preserve"> Australian Prudential Regulation Authority Act 1998 </w:t>
      </w:r>
      <w:r w:rsidR="000C3FBD" w:rsidRPr="00612891">
        <w:rPr>
          <w:rFonts w:ascii="Times New Roman" w:eastAsia="Times New Roman" w:hAnsi="Times New Roman"/>
          <w:sz w:val="24"/>
          <w:szCs w:val="24"/>
          <w:lang w:eastAsia="en-AU"/>
        </w:rPr>
        <w:t>(the Act)</w:t>
      </w:r>
      <w:r w:rsidR="000C3FBD" w:rsidRPr="00634C4B">
        <w:rPr>
          <w:rFonts w:ascii="Times New Roman" w:eastAsia="Times New Roman" w:hAnsi="Times New Roman"/>
          <w:sz w:val="24"/>
          <w:szCs w:val="24"/>
          <w:lang w:eastAsia="en-AU"/>
        </w:rPr>
        <w:t xml:space="preserve">, APRA may determine, by legislative instrument, that all or a specified part of </w:t>
      </w:r>
      <w:r w:rsidR="00EB2516">
        <w:rPr>
          <w:rFonts w:ascii="Times New Roman" w:eastAsia="Times New Roman" w:hAnsi="Times New Roman"/>
          <w:sz w:val="24"/>
          <w:szCs w:val="24"/>
          <w:lang w:eastAsia="en-AU"/>
        </w:rPr>
        <w:t xml:space="preserve">a </w:t>
      </w:r>
      <w:r w:rsidR="000C3FBD" w:rsidRPr="00634C4B">
        <w:rPr>
          <w:rFonts w:ascii="Times New Roman" w:eastAsia="Times New Roman" w:hAnsi="Times New Roman"/>
          <w:sz w:val="24"/>
          <w:szCs w:val="24"/>
          <w:lang w:eastAsia="en-AU"/>
        </w:rPr>
        <w:t>relevant reporting document</w:t>
      </w:r>
      <w:r w:rsidR="00EB2516">
        <w:rPr>
          <w:rFonts w:ascii="Times New Roman" w:eastAsia="Times New Roman" w:hAnsi="Times New Roman"/>
          <w:sz w:val="24"/>
          <w:szCs w:val="24"/>
          <w:lang w:eastAsia="en-AU"/>
        </w:rPr>
        <w:t xml:space="preserve"> or</w:t>
      </w:r>
      <w:r w:rsidR="000C3FBD" w:rsidRPr="00634C4B">
        <w:rPr>
          <w:rFonts w:ascii="Times New Roman" w:eastAsia="Times New Roman" w:hAnsi="Times New Roman"/>
          <w:sz w:val="24"/>
          <w:szCs w:val="24"/>
          <w:lang w:eastAsia="en-AU"/>
        </w:rPr>
        <w:t xml:space="preserve"> </w:t>
      </w:r>
      <w:r w:rsidR="00EB2516" w:rsidRPr="00634C4B">
        <w:rPr>
          <w:rFonts w:ascii="Times New Roman" w:eastAsia="Times New Roman" w:hAnsi="Times New Roman"/>
          <w:sz w:val="24"/>
          <w:szCs w:val="24"/>
          <w:lang w:eastAsia="en-AU"/>
        </w:rPr>
        <w:t>all or a specified part of relevant reporting document</w:t>
      </w:r>
      <w:r w:rsidR="00230E14">
        <w:rPr>
          <w:rFonts w:ascii="Times New Roman" w:eastAsia="Times New Roman" w:hAnsi="Times New Roman"/>
          <w:sz w:val="24"/>
          <w:szCs w:val="24"/>
          <w:lang w:eastAsia="en-AU"/>
        </w:rPr>
        <w:t>s</w:t>
      </w:r>
      <w:r w:rsidR="00EB2516" w:rsidRPr="00634C4B">
        <w:rPr>
          <w:rFonts w:ascii="Times New Roman" w:eastAsia="Times New Roman" w:hAnsi="Times New Roman"/>
          <w:sz w:val="24"/>
          <w:szCs w:val="24"/>
          <w:lang w:eastAsia="en-AU"/>
        </w:rPr>
        <w:t xml:space="preserve"> </w:t>
      </w:r>
      <w:r w:rsidR="000C3FBD" w:rsidRPr="00634C4B">
        <w:rPr>
          <w:rFonts w:ascii="Times New Roman" w:eastAsia="Times New Roman" w:hAnsi="Times New Roman"/>
          <w:sz w:val="24"/>
          <w:szCs w:val="24"/>
          <w:lang w:eastAsia="en-AU"/>
        </w:rPr>
        <w:t>of a specified kind contain</w:t>
      </w:r>
      <w:r w:rsidR="00582FA2">
        <w:rPr>
          <w:rFonts w:ascii="Times New Roman" w:eastAsia="Times New Roman" w:hAnsi="Times New Roman"/>
          <w:sz w:val="24"/>
          <w:szCs w:val="24"/>
          <w:lang w:eastAsia="en-AU"/>
        </w:rPr>
        <w:t>s</w:t>
      </w:r>
      <w:r w:rsidR="000C3FBD" w:rsidRPr="00634C4B">
        <w:rPr>
          <w:rFonts w:ascii="Times New Roman" w:eastAsia="Times New Roman" w:hAnsi="Times New Roman"/>
          <w:sz w:val="24"/>
          <w:szCs w:val="24"/>
          <w:lang w:eastAsia="en-AU"/>
        </w:rPr>
        <w:t>, or do</w:t>
      </w:r>
      <w:r w:rsidR="00582FA2">
        <w:rPr>
          <w:rFonts w:ascii="Times New Roman" w:eastAsia="Times New Roman" w:hAnsi="Times New Roman"/>
          <w:sz w:val="24"/>
          <w:szCs w:val="24"/>
          <w:lang w:eastAsia="en-AU"/>
        </w:rPr>
        <w:t>es</w:t>
      </w:r>
      <w:r w:rsidR="000C3FBD" w:rsidRPr="00634C4B">
        <w:rPr>
          <w:rFonts w:ascii="Times New Roman" w:eastAsia="Times New Roman" w:hAnsi="Times New Roman"/>
          <w:sz w:val="24"/>
          <w:szCs w:val="24"/>
          <w:lang w:eastAsia="en-AU"/>
        </w:rPr>
        <w:t xml:space="preserve"> not contain, confidential information.</w:t>
      </w:r>
    </w:p>
    <w:p w:rsidR="00E578DD" w:rsidRPr="00612891" w:rsidRDefault="000C3FBD" w:rsidP="00E578DD">
      <w:pPr>
        <w:spacing w:after="200" w:line="276" w:lineRule="auto"/>
        <w:rPr>
          <w:rFonts w:ascii="Times New Roman" w:eastAsia="Times New Roman" w:hAnsi="Times New Roman"/>
          <w:sz w:val="24"/>
          <w:szCs w:val="24"/>
          <w:lang w:eastAsia="en-AU"/>
        </w:rPr>
      </w:pPr>
      <w:r w:rsidRPr="00612891">
        <w:rPr>
          <w:rFonts w:ascii="Times New Roman" w:eastAsia="Times New Roman" w:hAnsi="Times New Roman"/>
          <w:sz w:val="24"/>
          <w:szCs w:val="24"/>
          <w:lang w:eastAsia="en-AU"/>
        </w:rPr>
        <w:t>On</w:t>
      </w:r>
      <w:r w:rsidR="00867796">
        <w:rPr>
          <w:rFonts w:ascii="Times New Roman" w:eastAsia="Times New Roman" w:hAnsi="Times New Roman"/>
          <w:sz w:val="24"/>
          <w:szCs w:val="24"/>
          <w:lang w:eastAsia="en-AU"/>
        </w:rPr>
        <w:t xml:space="preserve"> 12 June 2015</w:t>
      </w:r>
      <w:r w:rsidRPr="00612891">
        <w:rPr>
          <w:rFonts w:ascii="Times New Roman" w:eastAsia="Times New Roman" w:hAnsi="Times New Roman"/>
          <w:sz w:val="24"/>
          <w:szCs w:val="24"/>
          <w:lang w:eastAsia="en-AU"/>
        </w:rPr>
        <w:t xml:space="preserve">, APRA made </w:t>
      </w:r>
      <w:r w:rsidR="00E578DD" w:rsidRPr="00612891">
        <w:rPr>
          <w:rFonts w:ascii="Times New Roman" w:eastAsia="Times New Roman" w:hAnsi="Times New Roman"/>
          <w:sz w:val="24"/>
          <w:szCs w:val="24"/>
          <w:lang w:eastAsia="en-AU"/>
        </w:rPr>
        <w:t>Australian Prudential Regulation Authority (confidentiality) determination No.</w:t>
      </w:r>
      <w:r w:rsidR="0062611E">
        <w:rPr>
          <w:rFonts w:ascii="Times New Roman" w:eastAsia="Times New Roman" w:hAnsi="Times New Roman"/>
          <w:sz w:val="24"/>
          <w:szCs w:val="24"/>
          <w:lang w:eastAsia="en-AU"/>
        </w:rPr>
        <w:t xml:space="preserve"> 11</w:t>
      </w:r>
      <w:r w:rsidR="00E578DD" w:rsidRPr="00612891">
        <w:rPr>
          <w:rFonts w:ascii="Times New Roman" w:eastAsia="Times New Roman" w:hAnsi="Times New Roman"/>
          <w:sz w:val="24"/>
          <w:szCs w:val="24"/>
          <w:lang w:eastAsia="en-AU"/>
        </w:rPr>
        <w:t xml:space="preserve"> of 2015 (the </w:t>
      </w:r>
      <w:r w:rsidRPr="00612891">
        <w:rPr>
          <w:rFonts w:ascii="Times New Roman" w:eastAsia="Times New Roman" w:hAnsi="Times New Roman"/>
          <w:sz w:val="24"/>
          <w:szCs w:val="24"/>
          <w:lang w:eastAsia="en-AU"/>
        </w:rPr>
        <w:t>instrument</w:t>
      </w:r>
      <w:r w:rsidR="00E578DD" w:rsidRPr="00612891">
        <w:rPr>
          <w:rFonts w:ascii="Times New Roman" w:eastAsia="Times New Roman" w:hAnsi="Times New Roman"/>
          <w:sz w:val="24"/>
          <w:szCs w:val="24"/>
          <w:lang w:eastAsia="en-AU"/>
        </w:rPr>
        <w:t>)</w:t>
      </w:r>
      <w:r w:rsidRPr="00612891">
        <w:rPr>
          <w:rFonts w:ascii="Times New Roman" w:eastAsia="Times New Roman" w:hAnsi="Times New Roman"/>
          <w:sz w:val="24"/>
          <w:szCs w:val="24"/>
          <w:lang w:eastAsia="en-AU"/>
        </w:rPr>
        <w:t xml:space="preserve"> which</w:t>
      </w:r>
      <w:r w:rsidR="00EB722E" w:rsidRPr="00612891">
        <w:rPr>
          <w:rFonts w:ascii="Times New Roman" w:eastAsia="Times New Roman" w:hAnsi="Times New Roman"/>
          <w:sz w:val="24"/>
          <w:szCs w:val="24"/>
          <w:lang w:eastAsia="en-AU"/>
        </w:rPr>
        <w:t xml:space="preserve"> determines that</w:t>
      </w:r>
      <w:r w:rsidR="00E578DD" w:rsidRPr="00612891">
        <w:rPr>
          <w:rFonts w:ascii="Times New Roman" w:eastAsia="Times New Roman" w:hAnsi="Times New Roman"/>
          <w:sz w:val="24"/>
          <w:szCs w:val="24"/>
          <w:lang w:eastAsia="en-AU"/>
        </w:rPr>
        <w:t xml:space="preserve"> </w:t>
      </w:r>
      <w:r w:rsidR="00EB722E" w:rsidRPr="00612891">
        <w:rPr>
          <w:rFonts w:ascii="Times New Roman" w:eastAsia="Times New Roman" w:hAnsi="Times New Roman"/>
          <w:sz w:val="24"/>
          <w:szCs w:val="24"/>
          <w:lang w:eastAsia="en-AU"/>
        </w:rPr>
        <w:t xml:space="preserve">all or specified parts of </w:t>
      </w:r>
      <w:r w:rsidR="00E578DD" w:rsidRPr="00612891">
        <w:rPr>
          <w:rFonts w:ascii="Times New Roman" w:eastAsia="Times New Roman" w:hAnsi="Times New Roman"/>
          <w:sz w:val="24"/>
          <w:szCs w:val="24"/>
          <w:lang w:eastAsia="en-AU"/>
        </w:rPr>
        <w:t xml:space="preserve">the </w:t>
      </w:r>
      <w:r w:rsidR="005E1E5D">
        <w:rPr>
          <w:rFonts w:ascii="Times New Roman" w:eastAsia="Times New Roman" w:hAnsi="Times New Roman"/>
          <w:sz w:val="24"/>
          <w:szCs w:val="24"/>
          <w:lang w:eastAsia="en-AU"/>
        </w:rPr>
        <w:t>general insurance</w:t>
      </w:r>
      <w:r w:rsidR="00EB722E" w:rsidRPr="00612891">
        <w:rPr>
          <w:rFonts w:ascii="Times New Roman" w:eastAsia="Times New Roman" w:hAnsi="Times New Roman"/>
          <w:sz w:val="24"/>
          <w:szCs w:val="24"/>
          <w:lang w:eastAsia="en-AU"/>
        </w:rPr>
        <w:t xml:space="preserve"> </w:t>
      </w:r>
      <w:r w:rsidR="00E578DD" w:rsidRPr="00612891">
        <w:rPr>
          <w:rFonts w:ascii="Times New Roman" w:eastAsia="Times New Roman" w:hAnsi="Times New Roman"/>
          <w:sz w:val="24"/>
          <w:szCs w:val="24"/>
          <w:lang w:eastAsia="en-AU"/>
        </w:rPr>
        <w:t xml:space="preserve">reporting standards listed in </w:t>
      </w:r>
      <w:r w:rsidR="00634C4B" w:rsidRPr="00612891">
        <w:rPr>
          <w:rFonts w:ascii="Times New Roman" w:eastAsia="Times New Roman" w:hAnsi="Times New Roman"/>
          <w:sz w:val="24"/>
          <w:szCs w:val="24"/>
          <w:lang w:eastAsia="en-AU"/>
        </w:rPr>
        <w:t>the instrument</w:t>
      </w:r>
      <w:r w:rsidR="00EB722E" w:rsidRPr="00612891">
        <w:rPr>
          <w:rFonts w:ascii="Times New Roman" w:eastAsia="Times New Roman" w:hAnsi="Times New Roman"/>
          <w:sz w:val="24"/>
          <w:szCs w:val="24"/>
          <w:lang w:eastAsia="en-AU"/>
        </w:rPr>
        <w:t xml:space="preserve"> do not contain confidential information</w:t>
      </w:r>
      <w:r w:rsidR="00E578DD" w:rsidRPr="00612891">
        <w:rPr>
          <w:rFonts w:ascii="Times New Roman" w:eastAsia="Times New Roman" w:hAnsi="Times New Roman"/>
          <w:sz w:val="24"/>
          <w:szCs w:val="24"/>
          <w:lang w:eastAsia="en-AU"/>
        </w:rPr>
        <w:t>.</w:t>
      </w:r>
    </w:p>
    <w:p w:rsidR="00EB722E" w:rsidRPr="00E578DD" w:rsidRDefault="00EB722E" w:rsidP="00E578DD">
      <w:pPr>
        <w:spacing w:after="200" w:line="276" w:lineRule="auto"/>
        <w:rPr>
          <w:rFonts w:ascii="Times New Roman" w:eastAsia="Times New Roman" w:hAnsi="Times New Roman"/>
          <w:sz w:val="24"/>
          <w:szCs w:val="24"/>
          <w:lang w:eastAsia="en-AU"/>
        </w:rPr>
      </w:pPr>
      <w:r w:rsidRPr="00634C4B">
        <w:rPr>
          <w:rFonts w:ascii="Times New Roman" w:eastAsia="Times New Roman" w:hAnsi="Times New Roman"/>
          <w:sz w:val="24"/>
          <w:szCs w:val="24"/>
          <w:lang w:eastAsia="en-AU"/>
        </w:rPr>
        <w:t>The instrument commences on the date of registration on the Federal Register of Legislative Instruments.</w:t>
      </w:r>
    </w:p>
    <w:p w:rsidR="00E578DD" w:rsidRPr="00E578DD" w:rsidRDefault="00EB722E" w:rsidP="00E578DD">
      <w:pPr>
        <w:numPr>
          <w:ilvl w:val="0"/>
          <w:numId w:val="34"/>
        </w:numPr>
        <w:spacing w:after="240" w:line="240" w:lineRule="auto"/>
        <w:rPr>
          <w:rFonts w:ascii="Times New Roman" w:eastAsia="Times New Roman" w:hAnsi="Times New Roman"/>
          <w:b/>
          <w:sz w:val="24"/>
          <w:szCs w:val="24"/>
          <w:lang w:eastAsia="en-AU"/>
        </w:rPr>
      </w:pPr>
      <w:r w:rsidRPr="00634C4B">
        <w:rPr>
          <w:rFonts w:ascii="Times New Roman" w:eastAsia="Times New Roman" w:hAnsi="Times New Roman"/>
          <w:b/>
          <w:sz w:val="24"/>
          <w:szCs w:val="24"/>
          <w:lang w:eastAsia="en-AU"/>
        </w:rPr>
        <w:t>B</w:t>
      </w:r>
      <w:r w:rsidR="00E578DD" w:rsidRPr="00E578DD">
        <w:rPr>
          <w:rFonts w:ascii="Times New Roman" w:eastAsia="Times New Roman" w:hAnsi="Times New Roman"/>
          <w:b/>
          <w:sz w:val="24"/>
          <w:szCs w:val="24"/>
          <w:lang w:eastAsia="en-AU"/>
        </w:rPr>
        <w:t>ackground</w:t>
      </w:r>
    </w:p>
    <w:p w:rsidR="008731CD" w:rsidRDefault="008C4B9B" w:rsidP="00E578DD">
      <w:pPr>
        <w:spacing w:after="200" w:line="276" w:lineRule="auto"/>
        <w:rPr>
          <w:rFonts w:ascii="Times New Roman" w:eastAsia="Times New Roman" w:hAnsi="Times New Roman"/>
          <w:sz w:val="24"/>
          <w:szCs w:val="24"/>
          <w:lang w:eastAsia="en-AU"/>
        </w:rPr>
      </w:pPr>
      <w:r w:rsidRPr="00634C4B">
        <w:rPr>
          <w:rFonts w:ascii="Times New Roman" w:eastAsia="Times New Roman" w:hAnsi="Times New Roman"/>
          <w:sz w:val="24"/>
          <w:szCs w:val="24"/>
          <w:lang w:eastAsia="en-AU"/>
        </w:rPr>
        <w:t>Subsection 56(2)</w:t>
      </w:r>
      <w:r w:rsidR="00634C4B" w:rsidRPr="00634C4B">
        <w:rPr>
          <w:rFonts w:ascii="Times New Roman" w:eastAsia="Times New Roman" w:hAnsi="Times New Roman"/>
          <w:sz w:val="24"/>
          <w:szCs w:val="24"/>
          <w:lang w:eastAsia="en-AU"/>
        </w:rPr>
        <w:t xml:space="preserve"> of the </w:t>
      </w:r>
      <w:r w:rsidRPr="00634C4B">
        <w:rPr>
          <w:rFonts w:ascii="Times New Roman" w:eastAsia="Times New Roman" w:hAnsi="Times New Roman"/>
          <w:sz w:val="24"/>
          <w:szCs w:val="24"/>
          <w:lang w:eastAsia="en-AU"/>
        </w:rPr>
        <w:t>Act provides that it is an offence</w:t>
      </w:r>
      <w:r w:rsidR="00634C4B" w:rsidRPr="00634C4B">
        <w:rPr>
          <w:rFonts w:ascii="Times New Roman" w:eastAsia="Times New Roman" w:hAnsi="Times New Roman"/>
          <w:sz w:val="24"/>
          <w:szCs w:val="24"/>
          <w:lang w:eastAsia="en-AU"/>
        </w:rPr>
        <w:t xml:space="preserve"> to disclose “protected information”</w:t>
      </w:r>
      <w:r w:rsidR="00BF6D1D">
        <w:rPr>
          <w:rStyle w:val="FootnoteReference"/>
          <w:rFonts w:eastAsia="Times New Roman"/>
          <w:szCs w:val="24"/>
          <w:lang w:eastAsia="en-AU"/>
        </w:rPr>
        <w:footnoteReference w:id="1"/>
      </w:r>
      <w:r w:rsidR="00634C4B" w:rsidRPr="00634C4B">
        <w:rPr>
          <w:rFonts w:ascii="Times New Roman" w:eastAsia="Times New Roman" w:hAnsi="Times New Roman"/>
          <w:sz w:val="24"/>
          <w:szCs w:val="24"/>
          <w:lang w:eastAsia="en-AU"/>
        </w:rPr>
        <w:t xml:space="preserve"> or a “protected document”</w:t>
      </w:r>
      <w:r w:rsidR="00BF6D1D">
        <w:rPr>
          <w:rStyle w:val="FootnoteReference"/>
          <w:rFonts w:eastAsia="Times New Roman"/>
          <w:szCs w:val="24"/>
          <w:lang w:eastAsia="en-AU"/>
        </w:rPr>
        <w:footnoteReference w:id="2"/>
      </w:r>
      <w:r w:rsidR="00634C4B" w:rsidRPr="00634C4B">
        <w:rPr>
          <w:rFonts w:ascii="Times New Roman" w:eastAsia="Times New Roman" w:hAnsi="Times New Roman"/>
          <w:sz w:val="24"/>
          <w:szCs w:val="24"/>
          <w:lang w:eastAsia="en-AU"/>
        </w:rPr>
        <w:t>, being information or documents provided to APRA under a “prudential supervision framework law”</w:t>
      </w:r>
      <w:r w:rsidR="00BF6D1D">
        <w:rPr>
          <w:rStyle w:val="FootnoteReference"/>
          <w:rFonts w:eastAsia="Times New Roman"/>
          <w:szCs w:val="24"/>
          <w:lang w:eastAsia="en-AU"/>
        </w:rPr>
        <w:footnoteReference w:id="3"/>
      </w:r>
      <w:r w:rsidR="00634C4B" w:rsidRPr="00634C4B">
        <w:rPr>
          <w:rFonts w:ascii="Times New Roman" w:eastAsia="Times New Roman" w:hAnsi="Times New Roman"/>
          <w:sz w:val="24"/>
          <w:szCs w:val="24"/>
          <w:lang w:eastAsia="en-AU"/>
        </w:rPr>
        <w:t>.  The</w:t>
      </w:r>
      <w:r w:rsidRPr="00634C4B">
        <w:rPr>
          <w:rFonts w:ascii="Times New Roman" w:eastAsia="Times New Roman" w:hAnsi="Times New Roman"/>
          <w:sz w:val="24"/>
          <w:szCs w:val="24"/>
          <w:lang w:eastAsia="en-AU"/>
        </w:rPr>
        <w:t xml:space="preserve"> </w:t>
      </w:r>
      <w:r w:rsidR="00F74E58" w:rsidRPr="00612891">
        <w:rPr>
          <w:rFonts w:ascii="Times New Roman" w:eastAsia="Times New Roman" w:hAnsi="Times New Roman"/>
          <w:i/>
          <w:sz w:val="24"/>
          <w:szCs w:val="24"/>
          <w:lang w:eastAsia="en-AU"/>
        </w:rPr>
        <w:t>Financial Sector (Collection of Data) Act 2001</w:t>
      </w:r>
      <w:r w:rsidR="00F74E58">
        <w:rPr>
          <w:rFonts w:ascii="Times New Roman" w:eastAsia="Times New Roman" w:hAnsi="Times New Roman"/>
          <w:sz w:val="24"/>
          <w:szCs w:val="24"/>
          <w:lang w:eastAsia="en-AU"/>
        </w:rPr>
        <w:t xml:space="preserve"> </w:t>
      </w:r>
      <w:r w:rsidR="008731CD" w:rsidRPr="008731CD">
        <w:rPr>
          <w:rFonts w:ascii="Times New Roman" w:eastAsia="Times New Roman" w:hAnsi="Times New Roman"/>
          <w:sz w:val="24"/>
          <w:szCs w:val="24"/>
          <w:lang w:eastAsia="en-AU"/>
        </w:rPr>
        <w:t>(FSCOD Act)</w:t>
      </w:r>
      <w:r w:rsidR="008731CD">
        <w:rPr>
          <w:rFonts w:ascii="Times New Roman" w:eastAsia="Times New Roman" w:hAnsi="Times New Roman"/>
          <w:sz w:val="24"/>
          <w:szCs w:val="24"/>
          <w:lang w:eastAsia="en-AU"/>
        </w:rPr>
        <w:t xml:space="preserve"> </w:t>
      </w:r>
      <w:r w:rsidR="00F74E58" w:rsidRPr="00F74E58">
        <w:rPr>
          <w:rFonts w:ascii="Times New Roman" w:eastAsia="Times New Roman" w:hAnsi="Times New Roman"/>
          <w:sz w:val="24"/>
          <w:szCs w:val="24"/>
          <w:lang w:eastAsia="en-AU"/>
        </w:rPr>
        <w:t>is a prudential supervision framework law</w:t>
      </w:r>
      <w:r w:rsidR="008731CD">
        <w:rPr>
          <w:rFonts w:ascii="Times New Roman" w:eastAsia="Times New Roman" w:hAnsi="Times New Roman"/>
          <w:sz w:val="24"/>
          <w:szCs w:val="24"/>
          <w:lang w:eastAsia="en-AU"/>
        </w:rPr>
        <w:t>,</w:t>
      </w:r>
      <w:r w:rsidR="00BF6D1D">
        <w:rPr>
          <w:rFonts w:ascii="Times New Roman" w:eastAsia="Times New Roman" w:hAnsi="Times New Roman"/>
          <w:sz w:val="24"/>
          <w:szCs w:val="24"/>
          <w:lang w:eastAsia="en-AU"/>
        </w:rPr>
        <w:t xml:space="preserve"> and</w:t>
      </w:r>
      <w:r w:rsidR="00F74E58">
        <w:rPr>
          <w:rFonts w:ascii="Times New Roman" w:eastAsia="Times New Roman" w:hAnsi="Times New Roman"/>
          <w:sz w:val="24"/>
          <w:szCs w:val="24"/>
          <w:lang w:eastAsia="en-AU"/>
        </w:rPr>
        <w:t xml:space="preserve"> the </w:t>
      </w:r>
      <w:r w:rsidR="00230E14">
        <w:rPr>
          <w:rFonts w:ascii="Times New Roman" w:eastAsia="Times New Roman" w:hAnsi="Times New Roman"/>
          <w:sz w:val="24"/>
          <w:szCs w:val="24"/>
          <w:lang w:eastAsia="en-AU"/>
        </w:rPr>
        <w:t>general insurance</w:t>
      </w:r>
      <w:r w:rsidR="00F74E58">
        <w:rPr>
          <w:rFonts w:ascii="Times New Roman" w:eastAsia="Times New Roman" w:hAnsi="Times New Roman"/>
          <w:sz w:val="24"/>
          <w:szCs w:val="24"/>
          <w:lang w:eastAsia="en-AU"/>
        </w:rPr>
        <w:t xml:space="preserve"> reporting forms </w:t>
      </w:r>
      <w:r w:rsidR="008731CD">
        <w:rPr>
          <w:rFonts w:ascii="Times New Roman" w:eastAsia="Times New Roman" w:hAnsi="Times New Roman"/>
          <w:sz w:val="24"/>
          <w:szCs w:val="24"/>
          <w:lang w:eastAsia="en-AU"/>
        </w:rPr>
        <w:t>listed in the instrument, having been provided to APRA under that Act, are protected documents.</w:t>
      </w:r>
    </w:p>
    <w:p w:rsidR="00E578DD" w:rsidRPr="00E578DD" w:rsidRDefault="00E578DD" w:rsidP="00E578DD">
      <w:pPr>
        <w:spacing w:after="200" w:line="276" w:lineRule="auto"/>
        <w:rPr>
          <w:rFonts w:ascii="Times New Roman" w:eastAsia="Times New Roman" w:hAnsi="Times New Roman"/>
          <w:sz w:val="24"/>
          <w:szCs w:val="24"/>
          <w:lang w:eastAsia="en-AU"/>
        </w:rPr>
      </w:pPr>
      <w:r w:rsidRPr="00E578DD">
        <w:rPr>
          <w:rFonts w:ascii="Times New Roman" w:eastAsia="Times New Roman" w:hAnsi="Times New Roman"/>
          <w:sz w:val="24"/>
          <w:szCs w:val="24"/>
          <w:lang w:eastAsia="en-AU"/>
        </w:rPr>
        <w:t xml:space="preserve">Subsection 56(5C) of the Act provides that it is not an offence to disclose information in a reporting document given to APRA under section 13 of the FSCOD Act where APRA has </w:t>
      </w:r>
      <w:r w:rsidR="008C4B9B" w:rsidRPr="00634C4B">
        <w:rPr>
          <w:rFonts w:ascii="Times New Roman" w:eastAsia="Times New Roman" w:hAnsi="Times New Roman"/>
          <w:sz w:val="24"/>
          <w:szCs w:val="24"/>
          <w:lang w:eastAsia="en-AU"/>
        </w:rPr>
        <w:t xml:space="preserve">made a </w:t>
      </w:r>
      <w:r w:rsidRPr="00E578DD">
        <w:rPr>
          <w:rFonts w:ascii="Times New Roman" w:eastAsia="Times New Roman" w:hAnsi="Times New Roman"/>
          <w:sz w:val="24"/>
          <w:szCs w:val="24"/>
          <w:lang w:eastAsia="en-AU"/>
        </w:rPr>
        <w:t>determin</w:t>
      </w:r>
      <w:r w:rsidR="008C4B9B" w:rsidRPr="00634C4B">
        <w:rPr>
          <w:rFonts w:ascii="Times New Roman" w:eastAsia="Times New Roman" w:hAnsi="Times New Roman"/>
          <w:sz w:val="24"/>
          <w:szCs w:val="24"/>
          <w:lang w:eastAsia="en-AU"/>
        </w:rPr>
        <w:t>ation</w:t>
      </w:r>
      <w:r w:rsidRPr="00E578DD">
        <w:rPr>
          <w:rFonts w:ascii="Times New Roman" w:eastAsia="Times New Roman" w:hAnsi="Times New Roman"/>
          <w:sz w:val="24"/>
          <w:szCs w:val="24"/>
          <w:lang w:eastAsia="en-AU"/>
        </w:rPr>
        <w:t xml:space="preserve"> under section 57</w:t>
      </w:r>
      <w:r w:rsidR="008C4B9B" w:rsidRPr="00634C4B">
        <w:rPr>
          <w:rFonts w:ascii="Times New Roman" w:eastAsia="Times New Roman" w:hAnsi="Times New Roman"/>
          <w:sz w:val="24"/>
          <w:szCs w:val="24"/>
          <w:lang w:eastAsia="en-AU"/>
        </w:rPr>
        <w:t xml:space="preserve"> of the Act in relation to the information</w:t>
      </w:r>
      <w:r w:rsidRPr="00E578DD">
        <w:rPr>
          <w:rFonts w:ascii="Times New Roman" w:eastAsia="Times New Roman" w:hAnsi="Times New Roman"/>
          <w:sz w:val="24"/>
          <w:szCs w:val="24"/>
          <w:lang w:eastAsia="en-AU"/>
        </w:rPr>
        <w:t xml:space="preserve">. </w:t>
      </w:r>
    </w:p>
    <w:p w:rsidR="00E578DD" w:rsidRPr="00E578DD" w:rsidRDefault="00E578DD" w:rsidP="00E578DD">
      <w:pPr>
        <w:spacing w:before="100" w:beforeAutospacing="1" w:after="100" w:afterAutospacing="1" w:line="240" w:lineRule="auto"/>
        <w:rPr>
          <w:rFonts w:ascii="Times New Roman" w:eastAsia="Times New Roman" w:hAnsi="Times New Roman"/>
          <w:sz w:val="24"/>
          <w:szCs w:val="24"/>
          <w:lang w:eastAsia="en-AU"/>
        </w:rPr>
      </w:pPr>
      <w:r w:rsidRPr="00E578DD">
        <w:rPr>
          <w:rFonts w:ascii="Times New Roman" w:eastAsia="Times New Roman" w:hAnsi="Times New Roman"/>
          <w:sz w:val="24"/>
          <w:szCs w:val="24"/>
          <w:lang w:eastAsia="en-AU"/>
        </w:rPr>
        <w:t xml:space="preserve">Under subsections 57(2) and (4) of the Act APRA may, by legislative instrument, determine that: </w:t>
      </w:r>
    </w:p>
    <w:p w:rsidR="00E578DD" w:rsidRPr="00E578DD" w:rsidRDefault="00E578DD" w:rsidP="00E578DD">
      <w:pPr>
        <w:spacing w:before="100" w:beforeAutospacing="1" w:after="100" w:afterAutospacing="1" w:line="240" w:lineRule="auto"/>
        <w:ind w:left="1440" w:hanging="720"/>
        <w:rPr>
          <w:rFonts w:ascii="Times New Roman" w:eastAsia="Times New Roman" w:hAnsi="Times New Roman"/>
          <w:sz w:val="24"/>
          <w:szCs w:val="24"/>
          <w:lang w:eastAsia="en-AU"/>
        </w:rPr>
      </w:pPr>
      <w:r w:rsidRPr="00E578DD">
        <w:rPr>
          <w:rFonts w:ascii="Times New Roman" w:eastAsia="Times New Roman" w:hAnsi="Times New Roman"/>
          <w:sz w:val="24"/>
          <w:szCs w:val="24"/>
          <w:lang w:eastAsia="en-AU"/>
        </w:rPr>
        <w:t xml:space="preserve">(a) </w:t>
      </w:r>
      <w:r w:rsidRPr="00E578DD">
        <w:rPr>
          <w:rFonts w:ascii="Times New Roman" w:eastAsia="Times New Roman" w:hAnsi="Times New Roman"/>
          <w:sz w:val="24"/>
          <w:szCs w:val="24"/>
          <w:lang w:eastAsia="en-AU"/>
        </w:rPr>
        <w:tab/>
      </w:r>
      <w:proofErr w:type="gramStart"/>
      <w:r w:rsidRPr="00E578DD">
        <w:rPr>
          <w:rFonts w:ascii="Times New Roman" w:eastAsia="Times New Roman" w:hAnsi="Times New Roman"/>
          <w:sz w:val="24"/>
          <w:szCs w:val="24"/>
          <w:lang w:eastAsia="en-AU"/>
        </w:rPr>
        <w:t>all</w:t>
      </w:r>
      <w:proofErr w:type="gramEnd"/>
      <w:r w:rsidRPr="00E578DD">
        <w:rPr>
          <w:rFonts w:ascii="Times New Roman" w:eastAsia="Times New Roman" w:hAnsi="Times New Roman"/>
          <w:sz w:val="24"/>
          <w:szCs w:val="24"/>
          <w:lang w:eastAsia="en-AU"/>
        </w:rPr>
        <w:t xml:space="preserve"> or a specified part of a relevant reporting document does not contain confidential information; or </w:t>
      </w:r>
    </w:p>
    <w:p w:rsidR="00E578DD" w:rsidRPr="00E578DD" w:rsidRDefault="00E578DD" w:rsidP="00E578DD">
      <w:pPr>
        <w:tabs>
          <w:tab w:val="left" w:pos="1418"/>
          <w:tab w:val="left" w:pos="2268"/>
        </w:tabs>
        <w:spacing w:before="100" w:beforeAutospacing="1" w:after="100" w:afterAutospacing="1" w:line="240" w:lineRule="auto"/>
        <w:ind w:left="1418" w:hanging="698"/>
        <w:rPr>
          <w:rFonts w:ascii="Times New Roman" w:eastAsia="Times New Roman" w:hAnsi="Times New Roman"/>
          <w:sz w:val="24"/>
          <w:szCs w:val="24"/>
          <w:lang w:eastAsia="en-AU"/>
        </w:rPr>
      </w:pPr>
      <w:r w:rsidRPr="00E578DD">
        <w:rPr>
          <w:rFonts w:ascii="Times New Roman" w:eastAsia="Times New Roman" w:hAnsi="Times New Roman"/>
          <w:sz w:val="24"/>
          <w:szCs w:val="24"/>
          <w:lang w:eastAsia="en-AU"/>
        </w:rPr>
        <w:t xml:space="preserve">(b) </w:t>
      </w:r>
      <w:r w:rsidRPr="00E578DD">
        <w:rPr>
          <w:rFonts w:ascii="Times New Roman" w:eastAsia="Times New Roman" w:hAnsi="Times New Roman"/>
          <w:sz w:val="24"/>
          <w:szCs w:val="24"/>
          <w:lang w:eastAsia="en-AU"/>
        </w:rPr>
        <w:tab/>
      </w:r>
      <w:proofErr w:type="gramStart"/>
      <w:r w:rsidRPr="00E578DD">
        <w:rPr>
          <w:rFonts w:ascii="Times New Roman" w:eastAsia="Times New Roman" w:hAnsi="Times New Roman"/>
          <w:sz w:val="24"/>
          <w:szCs w:val="24"/>
          <w:lang w:eastAsia="en-AU"/>
        </w:rPr>
        <w:t>all</w:t>
      </w:r>
      <w:proofErr w:type="gramEnd"/>
      <w:r w:rsidRPr="00E578DD">
        <w:rPr>
          <w:rFonts w:ascii="Times New Roman" w:eastAsia="Times New Roman" w:hAnsi="Times New Roman"/>
          <w:sz w:val="24"/>
          <w:szCs w:val="24"/>
          <w:lang w:eastAsia="en-AU"/>
        </w:rPr>
        <w:t xml:space="preserve"> or a specified part of relevant reporting documents of a specified kind do</w:t>
      </w:r>
      <w:r w:rsidR="005D416C">
        <w:rPr>
          <w:rFonts w:ascii="Times New Roman" w:eastAsia="Times New Roman" w:hAnsi="Times New Roman"/>
          <w:sz w:val="24"/>
          <w:szCs w:val="24"/>
          <w:lang w:eastAsia="en-AU"/>
        </w:rPr>
        <w:t>es</w:t>
      </w:r>
      <w:r w:rsidRPr="00E578DD">
        <w:rPr>
          <w:rFonts w:ascii="Times New Roman" w:eastAsia="Times New Roman" w:hAnsi="Times New Roman"/>
          <w:sz w:val="24"/>
          <w:szCs w:val="24"/>
          <w:lang w:eastAsia="en-AU"/>
        </w:rPr>
        <w:t xml:space="preserve"> not contain confidential information</w:t>
      </w:r>
      <w:r w:rsidR="00973EBF">
        <w:rPr>
          <w:rFonts w:ascii="Times New Roman" w:eastAsia="Times New Roman" w:hAnsi="Times New Roman"/>
          <w:sz w:val="24"/>
          <w:szCs w:val="24"/>
          <w:lang w:eastAsia="en-AU"/>
        </w:rPr>
        <w:t>,</w:t>
      </w:r>
      <w:r w:rsidRPr="00E578DD">
        <w:rPr>
          <w:rFonts w:ascii="Times New Roman" w:eastAsia="Times New Roman" w:hAnsi="Times New Roman"/>
          <w:sz w:val="24"/>
          <w:szCs w:val="24"/>
          <w:lang w:eastAsia="en-AU"/>
        </w:rPr>
        <w:t xml:space="preserve"> </w:t>
      </w:r>
    </w:p>
    <w:p w:rsidR="00E578DD" w:rsidRPr="00E578DD" w:rsidRDefault="00E578DD" w:rsidP="00E578DD">
      <w:pPr>
        <w:spacing w:before="100" w:beforeAutospacing="1" w:after="100" w:afterAutospacing="1" w:line="240" w:lineRule="auto"/>
        <w:rPr>
          <w:rFonts w:ascii="Times New Roman" w:eastAsia="Times New Roman" w:hAnsi="Times New Roman"/>
          <w:sz w:val="24"/>
          <w:szCs w:val="24"/>
          <w:lang w:eastAsia="en-AU"/>
        </w:rPr>
      </w:pPr>
      <w:proofErr w:type="gramStart"/>
      <w:r w:rsidRPr="00E578DD">
        <w:rPr>
          <w:rFonts w:ascii="Times New Roman" w:eastAsia="Times New Roman" w:hAnsi="Times New Roman"/>
          <w:sz w:val="24"/>
          <w:szCs w:val="24"/>
          <w:lang w:eastAsia="en-AU"/>
        </w:rPr>
        <w:t>if</w:t>
      </w:r>
      <w:proofErr w:type="gramEnd"/>
      <w:r w:rsidRPr="00E578DD">
        <w:rPr>
          <w:rFonts w:ascii="Times New Roman" w:eastAsia="Times New Roman" w:hAnsi="Times New Roman"/>
          <w:sz w:val="24"/>
          <w:szCs w:val="24"/>
          <w:lang w:eastAsia="en-AU"/>
        </w:rPr>
        <w:t xml:space="preserve">, taking into account any representations made under subsection 57(3) in relation to the document or documents of that kind, APRA considers that the benefit to the public from the disclosure of the </w:t>
      </w:r>
      <w:r w:rsidRPr="00E578DD">
        <w:rPr>
          <w:rFonts w:ascii="Times New Roman" w:eastAsia="Times New Roman" w:hAnsi="Times New Roman"/>
          <w:sz w:val="24"/>
          <w:szCs w:val="24"/>
          <w:lang w:eastAsia="en-AU"/>
        </w:rPr>
        <w:lastRenderedPageBreak/>
        <w:t xml:space="preserve">document or documents, or information contained in the document or documents, outweighs any detriment to commercial interests that the disclosure may cause. </w:t>
      </w:r>
    </w:p>
    <w:p w:rsidR="00E578DD" w:rsidRPr="00E578DD" w:rsidRDefault="00E578DD" w:rsidP="00E578DD">
      <w:pPr>
        <w:spacing w:after="200" w:line="276" w:lineRule="auto"/>
        <w:rPr>
          <w:rFonts w:ascii="Times New Roman" w:eastAsia="Times New Roman" w:hAnsi="Times New Roman"/>
          <w:sz w:val="24"/>
          <w:szCs w:val="24"/>
          <w:lang w:eastAsia="en-AU"/>
        </w:rPr>
      </w:pPr>
      <w:r w:rsidRPr="00E578DD">
        <w:rPr>
          <w:rFonts w:ascii="Times New Roman" w:eastAsia="Times New Roman" w:hAnsi="Times New Roman"/>
          <w:sz w:val="24"/>
          <w:szCs w:val="24"/>
          <w:lang w:eastAsia="en-AU"/>
        </w:rPr>
        <w:t>Under subsection 57(3) of the Act</w:t>
      </w:r>
      <w:r w:rsidR="008731CD">
        <w:rPr>
          <w:rFonts w:ascii="Times New Roman" w:eastAsia="Times New Roman" w:hAnsi="Times New Roman"/>
          <w:sz w:val="24"/>
          <w:szCs w:val="24"/>
          <w:lang w:eastAsia="en-AU"/>
        </w:rPr>
        <w:t>,</w:t>
      </w:r>
      <w:r w:rsidRPr="00E578DD">
        <w:rPr>
          <w:rFonts w:ascii="Times New Roman" w:eastAsia="Times New Roman" w:hAnsi="Times New Roman"/>
          <w:sz w:val="24"/>
          <w:szCs w:val="24"/>
          <w:lang w:eastAsia="en-AU"/>
        </w:rPr>
        <w:t xml:space="preserve"> APRA must not make a determination under subsection 57(2) unless APRA gives interested parties for the determination a reasonable opportunity to make representations as to whether or not the relevant reporting document contains, or relevant reporting documents of that kind contain, confidential information.</w:t>
      </w:r>
    </w:p>
    <w:p w:rsidR="00E578DD" w:rsidRPr="00E578DD" w:rsidRDefault="00E578DD" w:rsidP="00E578DD">
      <w:pPr>
        <w:spacing w:after="200" w:line="276" w:lineRule="auto"/>
        <w:rPr>
          <w:rFonts w:ascii="Times New Roman" w:eastAsia="Times New Roman" w:hAnsi="Times New Roman"/>
          <w:sz w:val="24"/>
          <w:szCs w:val="24"/>
          <w:lang w:eastAsia="en-AU"/>
        </w:rPr>
      </w:pPr>
      <w:r w:rsidRPr="00E578DD">
        <w:rPr>
          <w:rFonts w:ascii="Times New Roman" w:eastAsia="Times New Roman" w:hAnsi="Times New Roman"/>
          <w:sz w:val="24"/>
          <w:szCs w:val="24"/>
          <w:lang w:eastAsia="en-AU"/>
        </w:rPr>
        <w:t xml:space="preserve">The consultation undertaken by APRA for the purposes of subsection 57(3) is discussed below. </w:t>
      </w:r>
    </w:p>
    <w:p w:rsidR="00E578DD" w:rsidRPr="00E578DD" w:rsidRDefault="0090186B" w:rsidP="00E578DD">
      <w:pPr>
        <w:numPr>
          <w:ilvl w:val="0"/>
          <w:numId w:val="34"/>
        </w:numPr>
        <w:spacing w:after="240" w:line="240" w:lineRule="auto"/>
        <w:rPr>
          <w:rFonts w:ascii="Times New Roman" w:eastAsia="Times New Roman" w:hAnsi="Times New Roman"/>
          <w:sz w:val="24"/>
          <w:szCs w:val="24"/>
          <w:lang w:eastAsia="en-AU"/>
        </w:rPr>
      </w:pPr>
      <w:r w:rsidRPr="00634C4B">
        <w:rPr>
          <w:rFonts w:ascii="Times New Roman" w:eastAsia="Times New Roman" w:hAnsi="Times New Roman"/>
          <w:b/>
          <w:sz w:val="24"/>
          <w:szCs w:val="24"/>
          <w:lang w:eastAsia="en-AU"/>
        </w:rPr>
        <w:t>Purpose and Operation of the Instrument</w:t>
      </w:r>
      <w:r w:rsidR="00E578DD" w:rsidRPr="00E578DD">
        <w:rPr>
          <w:rFonts w:ascii="Times New Roman" w:eastAsia="Times New Roman" w:hAnsi="Times New Roman"/>
          <w:sz w:val="24"/>
          <w:szCs w:val="24"/>
          <w:lang w:eastAsia="en-AU"/>
        </w:rPr>
        <w:t xml:space="preserve">  </w:t>
      </w:r>
    </w:p>
    <w:p w:rsidR="00B44A29" w:rsidRDefault="00E578DD" w:rsidP="00B44A29">
      <w:pPr>
        <w:spacing w:after="200" w:line="276" w:lineRule="auto"/>
        <w:rPr>
          <w:rFonts w:ascii="Times New Roman" w:eastAsia="Times New Roman" w:hAnsi="Times New Roman"/>
          <w:sz w:val="24"/>
          <w:szCs w:val="24"/>
          <w:lang w:eastAsia="en-AU"/>
        </w:rPr>
      </w:pPr>
      <w:r w:rsidRPr="00E578DD">
        <w:rPr>
          <w:rFonts w:ascii="Times New Roman" w:eastAsia="Times New Roman" w:hAnsi="Times New Roman"/>
          <w:sz w:val="24"/>
          <w:szCs w:val="24"/>
          <w:lang w:eastAsia="en-AU"/>
        </w:rPr>
        <w:t xml:space="preserve">The </w:t>
      </w:r>
      <w:r w:rsidR="00A66ADC">
        <w:rPr>
          <w:rFonts w:ascii="Times New Roman" w:eastAsia="Times New Roman" w:hAnsi="Times New Roman"/>
          <w:sz w:val="24"/>
          <w:szCs w:val="24"/>
          <w:lang w:eastAsia="en-AU"/>
        </w:rPr>
        <w:t>instrument</w:t>
      </w:r>
      <w:r w:rsidRPr="00E578DD">
        <w:rPr>
          <w:rFonts w:ascii="Times New Roman" w:eastAsia="Times New Roman" w:hAnsi="Times New Roman"/>
          <w:sz w:val="24"/>
          <w:szCs w:val="24"/>
          <w:lang w:eastAsia="en-AU"/>
        </w:rPr>
        <w:t xml:space="preserve"> provides that certain information given to APRA under the reporting standards listed in </w:t>
      </w:r>
      <w:r w:rsidR="003178F7" w:rsidRPr="00634C4B">
        <w:rPr>
          <w:rFonts w:ascii="Times New Roman" w:eastAsia="Times New Roman" w:hAnsi="Times New Roman"/>
          <w:sz w:val="24"/>
          <w:szCs w:val="24"/>
          <w:lang w:eastAsia="en-AU"/>
        </w:rPr>
        <w:t>the instrument is non-confidential</w:t>
      </w:r>
      <w:r w:rsidR="00A35C0E" w:rsidRPr="00634C4B">
        <w:rPr>
          <w:rFonts w:ascii="Times New Roman" w:eastAsia="Times New Roman" w:hAnsi="Times New Roman"/>
          <w:sz w:val="24"/>
          <w:szCs w:val="24"/>
          <w:lang w:eastAsia="en-AU"/>
        </w:rPr>
        <w:t xml:space="preserve"> and consequently its release by APRA will be permitted under subsection 56(5C) of the Act</w:t>
      </w:r>
      <w:r w:rsidRPr="00E578DD">
        <w:rPr>
          <w:rFonts w:ascii="Times New Roman" w:eastAsia="Times New Roman" w:hAnsi="Times New Roman"/>
          <w:sz w:val="24"/>
          <w:szCs w:val="24"/>
          <w:lang w:eastAsia="en-AU"/>
        </w:rPr>
        <w:t xml:space="preserve">. </w:t>
      </w:r>
      <w:r w:rsidR="003178F7" w:rsidRPr="00634C4B">
        <w:rPr>
          <w:rFonts w:ascii="Times New Roman" w:eastAsia="Times New Roman" w:hAnsi="Times New Roman"/>
          <w:sz w:val="24"/>
          <w:szCs w:val="24"/>
          <w:lang w:eastAsia="en-AU"/>
        </w:rPr>
        <w:t xml:space="preserve"> </w:t>
      </w:r>
      <w:r w:rsidR="00B44A29">
        <w:rPr>
          <w:rFonts w:ascii="Times New Roman" w:eastAsia="Times New Roman" w:hAnsi="Times New Roman"/>
          <w:sz w:val="24"/>
          <w:szCs w:val="24"/>
          <w:lang w:eastAsia="en-AU"/>
        </w:rPr>
        <w:t>The information determined to be non-confidential is set out in the Schedule to the instrument.  The Schedule is divided into three main parts.  Parts 1 and 2 cover reporting documents submitted to APRA under current reporting standards.  Part 1 covers reporting documents which are subject to the determination in their entirety and Part 2 covers reporting documents which are partly, but not entirely, subject to the determination. Part 3 covers reporting documents, in some cases partly and in other cases entirely, submitted to APRA under reporting standards which ceased to have effect prior to 1 January 2013.</w:t>
      </w:r>
    </w:p>
    <w:p w:rsidR="00582C59" w:rsidRDefault="003178F7" w:rsidP="00F74E58">
      <w:pPr>
        <w:spacing w:after="200" w:line="276" w:lineRule="auto"/>
        <w:rPr>
          <w:rFonts w:ascii="Times New Roman" w:eastAsia="Times New Roman" w:hAnsi="Times New Roman"/>
          <w:sz w:val="24"/>
          <w:szCs w:val="24"/>
          <w:lang w:eastAsia="en-AU"/>
        </w:rPr>
      </w:pPr>
      <w:r w:rsidRPr="00634C4B">
        <w:rPr>
          <w:rFonts w:ascii="Times New Roman" w:eastAsia="Times New Roman" w:hAnsi="Times New Roman"/>
          <w:sz w:val="24"/>
          <w:szCs w:val="24"/>
          <w:lang w:eastAsia="en-AU"/>
        </w:rPr>
        <w:t xml:space="preserve">The information </w:t>
      </w:r>
      <w:r w:rsidR="00764256">
        <w:rPr>
          <w:rFonts w:ascii="Times New Roman" w:eastAsia="Times New Roman" w:hAnsi="Times New Roman"/>
          <w:sz w:val="24"/>
          <w:szCs w:val="24"/>
          <w:lang w:eastAsia="en-AU"/>
        </w:rPr>
        <w:t xml:space="preserve">which is determined by the instrument to be non-confidential </w:t>
      </w:r>
      <w:r w:rsidRPr="00634C4B">
        <w:rPr>
          <w:rFonts w:ascii="Times New Roman" w:eastAsia="Times New Roman" w:hAnsi="Times New Roman"/>
          <w:sz w:val="24"/>
          <w:szCs w:val="24"/>
          <w:lang w:eastAsia="en-AU"/>
        </w:rPr>
        <w:t>will form the ba</w:t>
      </w:r>
      <w:r w:rsidR="00A35C0E" w:rsidRPr="00634C4B">
        <w:rPr>
          <w:rFonts w:ascii="Times New Roman" w:eastAsia="Times New Roman" w:hAnsi="Times New Roman"/>
          <w:sz w:val="24"/>
          <w:szCs w:val="24"/>
          <w:lang w:eastAsia="en-AU"/>
        </w:rPr>
        <w:t xml:space="preserve">sis of statistical publications which </w:t>
      </w:r>
      <w:r w:rsidRPr="00634C4B">
        <w:rPr>
          <w:rFonts w:ascii="Times New Roman" w:eastAsia="Times New Roman" w:hAnsi="Times New Roman"/>
          <w:sz w:val="24"/>
          <w:szCs w:val="24"/>
          <w:lang w:eastAsia="en-AU"/>
        </w:rPr>
        <w:t xml:space="preserve">will be of use to regulators, policymakers, industry, researchers, analysts and other interested parties.  </w:t>
      </w:r>
    </w:p>
    <w:p w:rsidR="00706180" w:rsidRPr="00CE0F02" w:rsidRDefault="00706180" w:rsidP="00F74E58">
      <w:pPr>
        <w:spacing w:after="200" w:line="276" w:lineRule="auto"/>
        <w:rPr>
          <w:rFonts w:ascii="Times New Roman" w:eastAsia="Times New Roman" w:hAnsi="Times New Roman"/>
          <w:sz w:val="24"/>
          <w:szCs w:val="24"/>
          <w:lang w:eastAsia="en-AU"/>
        </w:rPr>
      </w:pPr>
      <w:r w:rsidRPr="00CE0F02">
        <w:rPr>
          <w:rFonts w:ascii="Times New Roman" w:eastAsia="Times New Roman" w:hAnsi="Times New Roman"/>
          <w:sz w:val="24"/>
          <w:szCs w:val="24"/>
          <w:lang w:eastAsia="en-AU"/>
        </w:rPr>
        <w:t xml:space="preserve">The information </w:t>
      </w:r>
      <w:r w:rsidR="00CE0F02">
        <w:rPr>
          <w:rFonts w:ascii="Times New Roman" w:eastAsia="Times New Roman" w:hAnsi="Times New Roman"/>
          <w:sz w:val="24"/>
          <w:szCs w:val="24"/>
          <w:lang w:eastAsia="en-AU"/>
        </w:rPr>
        <w:t>covered</w:t>
      </w:r>
      <w:r w:rsidRPr="00CE0F02">
        <w:rPr>
          <w:rFonts w:ascii="Times New Roman" w:eastAsia="Times New Roman" w:hAnsi="Times New Roman"/>
          <w:sz w:val="24"/>
          <w:szCs w:val="24"/>
          <w:lang w:eastAsia="en-AU"/>
        </w:rPr>
        <w:t xml:space="preserve"> by the instrument includes </w:t>
      </w:r>
      <w:r w:rsidR="00122E07">
        <w:rPr>
          <w:rFonts w:ascii="Times New Roman" w:eastAsia="Times New Roman" w:hAnsi="Times New Roman"/>
          <w:sz w:val="24"/>
          <w:szCs w:val="24"/>
          <w:lang w:eastAsia="en-AU"/>
        </w:rPr>
        <w:t xml:space="preserve">and adds to </w:t>
      </w:r>
      <w:r w:rsidRPr="00CE0F02">
        <w:rPr>
          <w:rFonts w:ascii="Times New Roman" w:eastAsia="Times New Roman" w:hAnsi="Times New Roman"/>
          <w:sz w:val="24"/>
          <w:szCs w:val="24"/>
          <w:lang w:eastAsia="en-AU"/>
        </w:rPr>
        <w:t xml:space="preserve">the information </w:t>
      </w:r>
      <w:r w:rsidR="00CE0F02" w:rsidRPr="00AB54CD">
        <w:rPr>
          <w:rFonts w:ascii="Times New Roman" w:eastAsia="Times New Roman" w:hAnsi="Times New Roman"/>
          <w:sz w:val="24"/>
          <w:szCs w:val="24"/>
          <w:lang w:eastAsia="en-AU"/>
        </w:rPr>
        <w:t xml:space="preserve">determined to be non-confidential </w:t>
      </w:r>
      <w:r w:rsidR="00CE0F02">
        <w:rPr>
          <w:rFonts w:ascii="Times New Roman" w:eastAsia="Times New Roman" w:hAnsi="Times New Roman"/>
          <w:sz w:val="24"/>
          <w:szCs w:val="24"/>
          <w:lang w:eastAsia="en-AU"/>
        </w:rPr>
        <w:t xml:space="preserve">by </w:t>
      </w:r>
      <w:r w:rsidRPr="00CE0F02">
        <w:rPr>
          <w:rFonts w:ascii="Times New Roman" w:eastAsia="Times New Roman" w:hAnsi="Times New Roman"/>
          <w:sz w:val="24"/>
          <w:szCs w:val="24"/>
          <w:lang w:eastAsia="en-AU"/>
        </w:rPr>
        <w:t>Australian Prudential Regulation Authority (confidentiality) determination No. 25 of 2013 made on 9 December 2013 regis</w:t>
      </w:r>
      <w:r w:rsidR="00CE0F02" w:rsidRPr="00CE0F02">
        <w:rPr>
          <w:rFonts w:ascii="Times New Roman" w:eastAsia="Times New Roman" w:hAnsi="Times New Roman"/>
          <w:sz w:val="24"/>
          <w:szCs w:val="24"/>
          <w:lang w:eastAsia="en-AU"/>
        </w:rPr>
        <w:t>ter</w:t>
      </w:r>
      <w:r w:rsidRPr="00CE0F02">
        <w:rPr>
          <w:rFonts w:ascii="Times New Roman" w:eastAsia="Times New Roman" w:hAnsi="Times New Roman"/>
          <w:sz w:val="24"/>
          <w:szCs w:val="24"/>
          <w:lang w:eastAsia="en-AU"/>
        </w:rPr>
        <w:t xml:space="preserve">ed number </w:t>
      </w:r>
      <w:r w:rsidR="00CE0F02" w:rsidRPr="00E6235E">
        <w:rPr>
          <w:rFonts w:ascii="Times New Roman" w:hAnsi="Times New Roman"/>
          <w:sz w:val="24"/>
          <w:szCs w:val="24"/>
        </w:rPr>
        <w:t>F2013L02065</w:t>
      </w:r>
      <w:r w:rsidR="00AF470F">
        <w:rPr>
          <w:rFonts w:ascii="Times New Roman" w:hAnsi="Times New Roman"/>
          <w:sz w:val="24"/>
          <w:szCs w:val="24"/>
        </w:rPr>
        <w:t xml:space="preserve"> (the former in</w:t>
      </w:r>
      <w:r w:rsidR="00CE0F02">
        <w:rPr>
          <w:rFonts w:ascii="Times New Roman" w:hAnsi="Times New Roman"/>
          <w:sz w:val="24"/>
          <w:szCs w:val="24"/>
        </w:rPr>
        <w:t>strument)</w:t>
      </w:r>
      <w:proofErr w:type="gramStart"/>
      <w:r w:rsidR="00A66ADC" w:rsidRPr="00CE0F02">
        <w:rPr>
          <w:rFonts w:ascii="Times New Roman" w:eastAsia="Times New Roman" w:hAnsi="Times New Roman"/>
          <w:sz w:val="24"/>
          <w:szCs w:val="24"/>
          <w:lang w:eastAsia="en-AU"/>
        </w:rPr>
        <w:t>,</w:t>
      </w:r>
      <w:r w:rsidR="00CE0F02">
        <w:rPr>
          <w:rFonts w:ascii="Times New Roman" w:eastAsia="Times New Roman" w:hAnsi="Times New Roman"/>
          <w:sz w:val="24"/>
          <w:szCs w:val="24"/>
          <w:lang w:eastAsia="en-AU"/>
        </w:rPr>
        <w:t xml:space="preserve">  The</w:t>
      </w:r>
      <w:proofErr w:type="gramEnd"/>
      <w:r w:rsidR="00CE0F02">
        <w:rPr>
          <w:rFonts w:ascii="Times New Roman" w:eastAsia="Times New Roman" w:hAnsi="Times New Roman"/>
          <w:sz w:val="24"/>
          <w:szCs w:val="24"/>
          <w:lang w:eastAsia="en-AU"/>
        </w:rPr>
        <w:t xml:space="preserve"> reporting stand</w:t>
      </w:r>
      <w:r w:rsidR="00E01084">
        <w:rPr>
          <w:rFonts w:ascii="Times New Roman" w:eastAsia="Times New Roman" w:hAnsi="Times New Roman"/>
          <w:sz w:val="24"/>
          <w:szCs w:val="24"/>
          <w:lang w:eastAsia="en-AU"/>
        </w:rPr>
        <w:t>a</w:t>
      </w:r>
      <w:r w:rsidR="00CE0F02">
        <w:rPr>
          <w:rFonts w:ascii="Times New Roman" w:eastAsia="Times New Roman" w:hAnsi="Times New Roman"/>
          <w:sz w:val="24"/>
          <w:szCs w:val="24"/>
          <w:lang w:eastAsia="en-AU"/>
        </w:rPr>
        <w:t>rds and data covered by the former instrument were also described and listed in the Explanatory Statement which accompanied the former instrument.</w:t>
      </w:r>
      <w:r w:rsidR="00A66ADC" w:rsidRPr="00CE0F02">
        <w:rPr>
          <w:rFonts w:ascii="Times New Roman" w:eastAsia="Times New Roman" w:hAnsi="Times New Roman"/>
          <w:sz w:val="24"/>
          <w:szCs w:val="24"/>
          <w:lang w:eastAsia="en-AU"/>
        </w:rPr>
        <w:t xml:space="preserve"> </w:t>
      </w:r>
    </w:p>
    <w:p w:rsidR="00A66ADC" w:rsidRPr="00634C4B" w:rsidRDefault="00706180" w:rsidP="00FD6234">
      <w:pPr>
        <w:spacing w:after="200" w:line="276" w:lineRule="auto"/>
        <w:rPr>
          <w:rFonts w:ascii="Times New Roman" w:eastAsia="Times New Roman" w:hAnsi="Times New Roman"/>
          <w:b/>
          <w:color w:val="000000"/>
          <w:sz w:val="24"/>
          <w:szCs w:val="24"/>
          <w:lang w:eastAsia="en-AU"/>
        </w:rPr>
      </w:pPr>
      <w:r>
        <w:rPr>
          <w:rFonts w:ascii="Times New Roman" w:eastAsia="Times New Roman" w:hAnsi="Times New Roman"/>
          <w:sz w:val="24"/>
          <w:szCs w:val="24"/>
          <w:lang w:eastAsia="en-AU"/>
        </w:rPr>
        <w:t>T</w:t>
      </w:r>
      <w:r w:rsidR="00A66ADC">
        <w:rPr>
          <w:rFonts w:ascii="Times New Roman" w:eastAsia="Times New Roman" w:hAnsi="Times New Roman"/>
          <w:sz w:val="24"/>
          <w:szCs w:val="24"/>
          <w:lang w:eastAsia="en-AU"/>
        </w:rPr>
        <w:t>he i</w:t>
      </w:r>
      <w:r w:rsidR="00E01084">
        <w:rPr>
          <w:rFonts w:ascii="Times New Roman" w:eastAsia="Times New Roman" w:hAnsi="Times New Roman"/>
          <w:sz w:val="24"/>
          <w:szCs w:val="24"/>
          <w:lang w:eastAsia="en-AU"/>
        </w:rPr>
        <w:t xml:space="preserve">nstrument </w:t>
      </w:r>
      <w:r w:rsidR="00CE0F02">
        <w:rPr>
          <w:rFonts w:ascii="Times New Roman" w:eastAsia="Times New Roman" w:hAnsi="Times New Roman"/>
          <w:sz w:val="24"/>
          <w:szCs w:val="24"/>
          <w:lang w:eastAsia="en-AU"/>
        </w:rPr>
        <w:t xml:space="preserve">revokes the former instrument </w:t>
      </w:r>
      <w:r w:rsidR="00A66ADC">
        <w:rPr>
          <w:rFonts w:ascii="Times New Roman" w:eastAsia="Times New Roman" w:hAnsi="Times New Roman"/>
          <w:sz w:val="24"/>
          <w:szCs w:val="24"/>
          <w:lang w:eastAsia="en-AU"/>
        </w:rPr>
        <w:t>which has been superseded by</w:t>
      </w:r>
      <w:r w:rsidR="00CE0F02">
        <w:rPr>
          <w:rFonts w:ascii="Times New Roman" w:eastAsia="Times New Roman" w:hAnsi="Times New Roman"/>
          <w:sz w:val="24"/>
          <w:szCs w:val="24"/>
          <w:lang w:eastAsia="en-AU"/>
        </w:rPr>
        <w:t xml:space="preserve"> the instrument.</w:t>
      </w:r>
      <w:r w:rsidR="00416E30">
        <w:rPr>
          <w:rFonts w:ascii="Times New Roman" w:eastAsia="Times New Roman" w:hAnsi="Times New Roman"/>
          <w:sz w:val="24"/>
          <w:szCs w:val="24"/>
          <w:lang w:eastAsia="en-AU"/>
        </w:rPr>
        <w:t xml:space="preserve"> The former instrument covered </w:t>
      </w:r>
      <w:r w:rsidR="00FD6234">
        <w:rPr>
          <w:rFonts w:ascii="Times New Roman" w:eastAsia="Times New Roman" w:hAnsi="Times New Roman"/>
          <w:sz w:val="24"/>
          <w:szCs w:val="24"/>
          <w:lang w:eastAsia="en-AU"/>
        </w:rPr>
        <w:t xml:space="preserve">certain information reported by general insurers on an annual basis. The instrument </w:t>
      </w:r>
      <w:r w:rsidR="00416E30">
        <w:rPr>
          <w:rFonts w:ascii="Times New Roman" w:eastAsia="Times New Roman" w:hAnsi="Times New Roman"/>
          <w:sz w:val="24"/>
          <w:szCs w:val="24"/>
          <w:lang w:eastAsia="en-AU"/>
        </w:rPr>
        <w:t xml:space="preserve">covers both annual and quarterly data, plus additional </w:t>
      </w:r>
      <w:r w:rsidR="00276B5A">
        <w:rPr>
          <w:rFonts w:ascii="Times New Roman" w:eastAsia="Times New Roman" w:hAnsi="Times New Roman"/>
          <w:sz w:val="24"/>
          <w:szCs w:val="24"/>
          <w:lang w:eastAsia="en-AU"/>
        </w:rPr>
        <w:t>information</w:t>
      </w:r>
      <w:r w:rsidR="00416E30">
        <w:rPr>
          <w:rFonts w:ascii="Times New Roman" w:eastAsia="Times New Roman" w:hAnsi="Times New Roman"/>
          <w:sz w:val="24"/>
          <w:szCs w:val="24"/>
          <w:lang w:eastAsia="en-AU"/>
        </w:rPr>
        <w:t>.</w:t>
      </w:r>
    </w:p>
    <w:p w:rsidR="00E578DD" w:rsidRPr="00E578DD" w:rsidRDefault="00E578DD" w:rsidP="00E578DD">
      <w:pPr>
        <w:numPr>
          <w:ilvl w:val="0"/>
          <w:numId w:val="34"/>
        </w:numPr>
        <w:spacing w:after="0" w:line="240" w:lineRule="auto"/>
        <w:rPr>
          <w:rFonts w:ascii="Times New Roman" w:eastAsia="Times New Roman" w:hAnsi="Times New Roman"/>
          <w:b/>
          <w:color w:val="000000"/>
          <w:sz w:val="24"/>
          <w:szCs w:val="24"/>
          <w:lang w:eastAsia="en-AU"/>
        </w:rPr>
      </w:pPr>
      <w:r w:rsidRPr="00E578DD">
        <w:rPr>
          <w:rFonts w:ascii="Times New Roman" w:eastAsia="Times New Roman" w:hAnsi="Times New Roman"/>
          <w:b/>
          <w:color w:val="000000"/>
          <w:sz w:val="24"/>
          <w:szCs w:val="24"/>
          <w:lang w:eastAsia="en-AU"/>
        </w:rPr>
        <w:t>Consultation</w:t>
      </w:r>
    </w:p>
    <w:p w:rsidR="00E578DD" w:rsidRPr="00E578DD" w:rsidRDefault="00E578DD" w:rsidP="00E578DD">
      <w:pPr>
        <w:spacing w:after="0" w:line="276" w:lineRule="auto"/>
        <w:rPr>
          <w:rFonts w:ascii="Times New Roman" w:eastAsia="Times New Roman" w:hAnsi="Times New Roman"/>
          <w:color w:val="000000"/>
          <w:sz w:val="24"/>
          <w:szCs w:val="24"/>
          <w:lang w:eastAsia="en-AU"/>
        </w:rPr>
      </w:pPr>
    </w:p>
    <w:p w:rsidR="00E578DD" w:rsidRPr="00E578DD" w:rsidRDefault="00E578DD" w:rsidP="00E578DD">
      <w:pPr>
        <w:spacing w:after="0" w:line="276" w:lineRule="auto"/>
        <w:rPr>
          <w:rFonts w:ascii="Times New Roman" w:eastAsia="Times New Roman" w:hAnsi="Times New Roman"/>
          <w:color w:val="000000"/>
          <w:sz w:val="24"/>
          <w:szCs w:val="24"/>
          <w:lang w:eastAsia="en-AU"/>
        </w:rPr>
      </w:pPr>
      <w:r w:rsidRPr="00E578DD">
        <w:rPr>
          <w:rFonts w:ascii="Times New Roman" w:eastAsia="Times New Roman" w:hAnsi="Times New Roman"/>
          <w:color w:val="000000"/>
          <w:sz w:val="24"/>
          <w:szCs w:val="24"/>
          <w:lang w:eastAsia="en-AU"/>
        </w:rPr>
        <w:t xml:space="preserve">In accordance with the requirements for consultation under section 57 of the APRA Act, APRA released a discussion paper in </w:t>
      </w:r>
      <w:r w:rsidR="00F327CB">
        <w:rPr>
          <w:rFonts w:ascii="Times New Roman" w:eastAsia="Times New Roman" w:hAnsi="Times New Roman"/>
          <w:color w:val="000000"/>
          <w:sz w:val="24"/>
          <w:szCs w:val="24"/>
          <w:lang w:eastAsia="en-AU"/>
        </w:rPr>
        <w:t xml:space="preserve">February </w:t>
      </w:r>
      <w:r w:rsidRPr="00E578DD">
        <w:rPr>
          <w:rFonts w:ascii="Times New Roman" w:eastAsia="Times New Roman" w:hAnsi="Times New Roman"/>
          <w:color w:val="000000"/>
          <w:sz w:val="24"/>
          <w:szCs w:val="24"/>
          <w:lang w:eastAsia="en-AU"/>
        </w:rPr>
        <w:t xml:space="preserve">2013 that proposed that </w:t>
      </w:r>
      <w:r w:rsidR="007F6BB6">
        <w:rPr>
          <w:rFonts w:ascii="Times New Roman" w:eastAsia="Times New Roman" w:hAnsi="Times New Roman"/>
          <w:color w:val="000000"/>
          <w:sz w:val="24"/>
          <w:szCs w:val="24"/>
          <w:lang w:eastAsia="en-AU"/>
        </w:rPr>
        <w:t>all</w:t>
      </w:r>
      <w:r w:rsidR="007F6BB6" w:rsidRPr="00E578DD">
        <w:rPr>
          <w:rFonts w:ascii="Times New Roman" w:eastAsia="Times New Roman" w:hAnsi="Times New Roman"/>
          <w:color w:val="000000"/>
          <w:sz w:val="24"/>
          <w:szCs w:val="24"/>
          <w:lang w:eastAsia="en-AU"/>
        </w:rPr>
        <w:t xml:space="preserve"> </w:t>
      </w:r>
      <w:r w:rsidR="00F327CB">
        <w:rPr>
          <w:rFonts w:ascii="Times New Roman" w:eastAsia="Times New Roman" w:hAnsi="Times New Roman"/>
          <w:color w:val="000000"/>
          <w:sz w:val="24"/>
          <w:szCs w:val="24"/>
          <w:lang w:eastAsia="en-AU"/>
        </w:rPr>
        <w:t>general insurance</w:t>
      </w:r>
      <w:r w:rsidR="003F610C">
        <w:rPr>
          <w:rFonts w:ascii="Times New Roman" w:eastAsia="Times New Roman" w:hAnsi="Times New Roman"/>
          <w:color w:val="000000"/>
          <w:sz w:val="24"/>
          <w:szCs w:val="24"/>
          <w:lang w:eastAsia="en-AU"/>
        </w:rPr>
        <w:t xml:space="preserve"> </w:t>
      </w:r>
      <w:r w:rsidRPr="00E578DD">
        <w:rPr>
          <w:rFonts w:ascii="Times New Roman" w:eastAsia="Times New Roman" w:hAnsi="Times New Roman"/>
          <w:color w:val="000000"/>
          <w:sz w:val="24"/>
          <w:szCs w:val="24"/>
          <w:lang w:eastAsia="en-AU"/>
        </w:rPr>
        <w:t>data</w:t>
      </w:r>
      <w:r w:rsidRPr="00634C4B">
        <w:rPr>
          <w:rFonts w:ascii="Times New Roman" w:eastAsia="Times New Roman" w:hAnsi="Times New Roman"/>
          <w:color w:val="000000"/>
          <w:sz w:val="24"/>
          <w:szCs w:val="24"/>
          <w:vertAlign w:val="superscript"/>
          <w:lang w:eastAsia="en-AU"/>
        </w:rPr>
        <w:footnoteReference w:id="4"/>
      </w:r>
      <w:r w:rsidRPr="00E578DD">
        <w:rPr>
          <w:rFonts w:ascii="Times New Roman" w:eastAsia="Times New Roman" w:hAnsi="Times New Roman"/>
          <w:color w:val="000000"/>
          <w:sz w:val="24"/>
          <w:szCs w:val="24"/>
          <w:lang w:eastAsia="en-AU"/>
        </w:rPr>
        <w:t xml:space="preserve"> be determined non-confidential, as well as changes to its statistical publications. The discussion paper provided all affected entities an opportunity to make representations on the proposed determination. The consultation period ended on </w:t>
      </w:r>
      <w:r w:rsidR="00F327CB">
        <w:rPr>
          <w:rFonts w:ascii="Times New Roman" w:eastAsia="Times New Roman" w:hAnsi="Times New Roman"/>
          <w:color w:val="000000"/>
          <w:sz w:val="24"/>
          <w:szCs w:val="24"/>
          <w:lang w:eastAsia="en-AU"/>
        </w:rPr>
        <w:t>5 April 2013</w:t>
      </w:r>
      <w:r w:rsidRPr="00E578DD">
        <w:rPr>
          <w:rFonts w:ascii="Times New Roman" w:eastAsia="Times New Roman" w:hAnsi="Times New Roman"/>
          <w:color w:val="000000"/>
          <w:sz w:val="24"/>
          <w:szCs w:val="24"/>
          <w:lang w:eastAsia="en-AU"/>
        </w:rPr>
        <w:t xml:space="preserve">. </w:t>
      </w:r>
      <w:r w:rsidR="003F610C" w:rsidRPr="003F610C">
        <w:rPr>
          <w:rFonts w:ascii="Times New Roman" w:eastAsia="Times New Roman" w:hAnsi="Times New Roman"/>
          <w:color w:val="000000"/>
          <w:sz w:val="24"/>
          <w:szCs w:val="24"/>
          <w:lang w:eastAsia="en-AU"/>
        </w:rPr>
        <w:t>APRA also invited some affected entities to make additional representations to clarify their submissions in response to the discussion paper, particularly in relation to proposed disclosures of institution-level publications.</w:t>
      </w:r>
    </w:p>
    <w:p w:rsidR="00E578DD" w:rsidRPr="00E578DD" w:rsidRDefault="00E578DD" w:rsidP="00E578DD">
      <w:pPr>
        <w:spacing w:after="0" w:line="276" w:lineRule="auto"/>
        <w:rPr>
          <w:rFonts w:ascii="Times New Roman" w:eastAsia="Times New Roman" w:hAnsi="Times New Roman"/>
          <w:color w:val="000000"/>
          <w:sz w:val="24"/>
          <w:szCs w:val="24"/>
          <w:lang w:eastAsia="en-AU"/>
        </w:rPr>
      </w:pPr>
    </w:p>
    <w:p w:rsidR="00E578DD" w:rsidRDefault="00200E7D" w:rsidP="00E578DD">
      <w:pPr>
        <w:spacing w:after="0" w:line="276" w:lineRule="auto"/>
        <w:rPr>
          <w:rFonts w:ascii="Times New Roman" w:eastAsia="Times New Roman" w:hAnsi="Times New Roman"/>
          <w:color w:val="000000"/>
          <w:sz w:val="24"/>
          <w:szCs w:val="24"/>
          <w:lang w:eastAsia="en-AU"/>
        </w:rPr>
      </w:pPr>
      <w:r w:rsidRPr="00200E7D">
        <w:rPr>
          <w:rFonts w:ascii="Times New Roman" w:eastAsia="Times New Roman" w:hAnsi="Times New Roman"/>
          <w:color w:val="000000"/>
          <w:sz w:val="24"/>
          <w:szCs w:val="24"/>
          <w:lang w:eastAsia="en-AU"/>
        </w:rPr>
        <w:t>APRA received submissions from seven entities and representative associations during the consultation. These submissions supported the proposed general insurance publications, and supported the principles behind the proposals to make general insurance data non-confidential. However, some submissions suggested that making all data non-confidential would be detrimental to the commercial interests of general insurers, particularly class of business level data and information relating to individual counterparties.</w:t>
      </w:r>
    </w:p>
    <w:p w:rsidR="0097242F" w:rsidRDefault="0097242F" w:rsidP="00E578DD">
      <w:pPr>
        <w:spacing w:after="0" w:line="276" w:lineRule="auto"/>
        <w:rPr>
          <w:rFonts w:ascii="Times New Roman" w:eastAsia="Times New Roman" w:hAnsi="Times New Roman"/>
          <w:color w:val="000000"/>
          <w:sz w:val="24"/>
          <w:szCs w:val="24"/>
          <w:lang w:eastAsia="en-AU"/>
        </w:rPr>
      </w:pPr>
    </w:p>
    <w:p w:rsidR="0061410E" w:rsidRDefault="0097242F" w:rsidP="00E578DD">
      <w:pPr>
        <w:spacing w:after="0" w:line="276" w:lineRule="auto"/>
        <w:rPr>
          <w:rFonts w:ascii="Times New Roman" w:eastAsia="Times New Roman" w:hAnsi="Times New Roman"/>
          <w:color w:val="000000"/>
          <w:sz w:val="24"/>
          <w:szCs w:val="24"/>
          <w:lang w:eastAsia="en-AU"/>
        </w:rPr>
      </w:pPr>
      <w:r w:rsidRPr="0097242F">
        <w:rPr>
          <w:rFonts w:ascii="Times New Roman" w:eastAsia="Times New Roman" w:hAnsi="Times New Roman"/>
          <w:color w:val="000000"/>
          <w:sz w:val="24"/>
          <w:szCs w:val="24"/>
          <w:lang w:eastAsia="en-AU"/>
        </w:rPr>
        <w:t xml:space="preserve">Some submissions suggested that a second round of consultation would be necessary to properly consider and gauge the effect of determining data to be non-confidential. Following its initial consideration of submissions, APRA invited the industry bodies and other entities that had made submissions </w:t>
      </w:r>
      <w:r w:rsidRPr="00E578DD">
        <w:rPr>
          <w:rFonts w:ascii="Times New Roman" w:eastAsia="Times New Roman" w:hAnsi="Times New Roman"/>
          <w:color w:val="000000"/>
          <w:sz w:val="24"/>
          <w:szCs w:val="24"/>
          <w:lang w:eastAsia="en-AU"/>
        </w:rPr>
        <w:t xml:space="preserve">to clarify their submissions in response to the discussion </w:t>
      </w:r>
      <w:r w:rsidR="0061410E" w:rsidRPr="00E578DD">
        <w:rPr>
          <w:rFonts w:ascii="Times New Roman" w:eastAsia="Times New Roman" w:hAnsi="Times New Roman"/>
          <w:color w:val="000000"/>
          <w:sz w:val="24"/>
          <w:szCs w:val="24"/>
          <w:lang w:eastAsia="en-AU"/>
        </w:rPr>
        <w:t>paper</w:t>
      </w:r>
      <w:r w:rsidR="0061410E" w:rsidRPr="0097242F">
        <w:rPr>
          <w:rFonts w:ascii="Times New Roman" w:eastAsia="Times New Roman" w:hAnsi="Times New Roman"/>
          <w:color w:val="000000"/>
          <w:sz w:val="24"/>
          <w:szCs w:val="24"/>
          <w:lang w:eastAsia="en-AU"/>
        </w:rPr>
        <w:t xml:space="preserve"> </w:t>
      </w:r>
      <w:r w:rsidR="0061410E">
        <w:rPr>
          <w:rFonts w:ascii="Times New Roman" w:eastAsia="Times New Roman" w:hAnsi="Times New Roman"/>
          <w:color w:val="000000"/>
          <w:sz w:val="24"/>
          <w:szCs w:val="24"/>
          <w:lang w:eastAsia="en-AU"/>
        </w:rPr>
        <w:t>and</w:t>
      </w:r>
      <w:r>
        <w:rPr>
          <w:rFonts w:ascii="Times New Roman" w:eastAsia="Times New Roman" w:hAnsi="Times New Roman"/>
          <w:color w:val="000000"/>
          <w:sz w:val="24"/>
          <w:szCs w:val="24"/>
          <w:lang w:eastAsia="en-AU"/>
        </w:rPr>
        <w:t xml:space="preserve"> </w:t>
      </w:r>
      <w:r w:rsidRPr="0097242F">
        <w:rPr>
          <w:rFonts w:ascii="Times New Roman" w:eastAsia="Times New Roman" w:hAnsi="Times New Roman"/>
          <w:color w:val="000000"/>
          <w:sz w:val="24"/>
          <w:szCs w:val="24"/>
          <w:lang w:eastAsia="en-AU"/>
        </w:rPr>
        <w:t>to make additional representations to clarify their submissions. APRA also met with industry representatives and other stakeholders to discuss its proposals and obtain further feedback in September 2013</w:t>
      </w:r>
      <w:r w:rsidR="0061410E">
        <w:rPr>
          <w:rFonts w:ascii="Times New Roman" w:eastAsia="Times New Roman" w:hAnsi="Times New Roman"/>
          <w:color w:val="000000"/>
          <w:sz w:val="24"/>
          <w:szCs w:val="24"/>
          <w:lang w:eastAsia="en-AU"/>
        </w:rPr>
        <w:t xml:space="preserve"> and</w:t>
      </w:r>
      <w:r w:rsidRPr="0097242F">
        <w:rPr>
          <w:rFonts w:ascii="Times New Roman" w:eastAsia="Times New Roman" w:hAnsi="Times New Roman"/>
          <w:color w:val="000000"/>
          <w:sz w:val="24"/>
          <w:szCs w:val="24"/>
          <w:lang w:eastAsia="en-AU"/>
        </w:rPr>
        <w:t xml:space="preserve"> October 2013 and January 2014. Following this additional consultation, further representations from industry were received in April 2014.</w:t>
      </w:r>
    </w:p>
    <w:p w:rsidR="0061410E" w:rsidRPr="00E578DD" w:rsidRDefault="0061410E" w:rsidP="00E578DD">
      <w:pPr>
        <w:spacing w:after="0" w:line="276" w:lineRule="auto"/>
        <w:rPr>
          <w:rFonts w:ascii="Times New Roman" w:eastAsia="Times New Roman" w:hAnsi="Times New Roman"/>
          <w:color w:val="000000"/>
          <w:sz w:val="24"/>
          <w:szCs w:val="24"/>
          <w:lang w:eastAsia="en-AU"/>
        </w:rPr>
      </w:pPr>
    </w:p>
    <w:p w:rsidR="0061410E" w:rsidRDefault="0061410E" w:rsidP="00064C43">
      <w:pPr>
        <w:spacing w:after="0" w:line="276" w:lineRule="auto"/>
        <w:rPr>
          <w:rFonts w:ascii="Times New Roman" w:eastAsia="Times New Roman" w:hAnsi="Times New Roman"/>
          <w:sz w:val="24"/>
          <w:szCs w:val="24"/>
          <w:lang w:eastAsia="en-AU"/>
        </w:rPr>
      </w:pPr>
      <w:r w:rsidRPr="00416E30">
        <w:rPr>
          <w:rFonts w:ascii="Times New Roman" w:eastAsia="Times New Roman" w:hAnsi="Times New Roman"/>
          <w:sz w:val="24"/>
          <w:szCs w:val="24"/>
          <w:lang w:eastAsia="en-AU"/>
        </w:rPr>
        <w:t xml:space="preserve">As outlined in </w:t>
      </w:r>
      <w:r w:rsidR="007E44CA">
        <w:rPr>
          <w:rFonts w:ascii="Times New Roman" w:eastAsia="Times New Roman" w:hAnsi="Times New Roman"/>
          <w:sz w:val="24"/>
          <w:szCs w:val="24"/>
          <w:lang w:eastAsia="en-AU"/>
        </w:rPr>
        <w:t>APRA’s</w:t>
      </w:r>
      <w:r w:rsidRPr="00416E30">
        <w:rPr>
          <w:rFonts w:ascii="Times New Roman" w:eastAsia="Times New Roman" w:hAnsi="Times New Roman"/>
          <w:sz w:val="24"/>
          <w:szCs w:val="24"/>
          <w:lang w:eastAsia="en-AU"/>
        </w:rPr>
        <w:t xml:space="preserve"> December 2013 response to submissions, having considered all of the feedback on data confidentiality, APRA implemented a phased approach to the determination of data to be non-confidential.</w:t>
      </w:r>
      <w:r w:rsidRPr="0061410E">
        <w:rPr>
          <w:rFonts w:ascii="Times New Roman" w:eastAsia="Times New Roman" w:hAnsi="Times New Roman"/>
          <w:sz w:val="24"/>
          <w:szCs w:val="24"/>
          <w:lang w:eastAsia="en-AU"/>
        </w:rPr>
        <w:t xml:space="preserve"> As the first stage, APRA included information </w:t>
      </w:r>
      <w:r w:rsidR="007E44CA">
        <w:rPr>
          <w:rFonts w:ascii="Times New Roman" w:eastAsia="Times New Roman" w:hAnsi="Times New Roman"/>
          <w:sz w:val="24"/>
          <w:szCs w:val="24"/>
          <w:lang w:eastAsia="en-AU"/>
        </w:rPr>
        <w:t>i</w:t>
      </w:r>
      <w:r w:rsidR="00156AB9">
        <w:rPr>
          <w:rFonts w:ascii="Times New Roman" w:eastAsia="Times New Roman" w:hAnsi="Times New Roman"/>
          <w:sz w:val="24"/>
          <w:szCs w:val="24"/>
          <w:lang w:eastAsia="en-AU"/>
        </w:rPr>
        <w:t xml:space="preserve">n the former instrument </w:t>
      </w:r>
      <w:r w:rsidRPr="0061410E">
        <w:rPr>
          <w:rFonts w:ascii="Times New Roman" w:eastAsia="Times New Roman" w:hAnsi="Times New Roman"/>
          <w:sz w:val="24"/>
          <w:szCs w:val="24"/>
          <w:lang w:eastAsia="en-AU"/>
        </w:rPr>
        <w:t xml:space="preserve">that industry </w:t>
      </w:r>
      <w:r w:rsidR="007E44CA">
        <w:rPr>
          <w:rFonts w:ascii="Times New Roman" w:eastAsia="Times New Roman" w:hAnsi="Times New Roman"/>
          <w:sz w:val="24"/>
          <w:szCs w:val="24"/>
          <w:lang w:eastAsia="en-AU"/>
        </w:rPr>
        <w:t>had to that date indicated</w:t>
      </w:r>
      <w:r w:rsidRPr="0061410E">
        <w:rPr>
          <w:rFonts w:ascii="Times New Roman" w:eastAsia="Times New Roman" w:hAnsi="Times New Roman"/>
          <w:sz w:val="24"/>
          <w:szCs w:val="24"/>
          <w:lang w:eastAsia="en-AU"/>
        </w:rPr>
        <w:t xml:space="preserve"> would not be detrimental to their commercial interests.</w:t>
      </w:r>
    </w:p>
    <w:p w:rsidR="00E578DD" w:rsidRPr="00E578DD" w:rsidRDefault="00E578DD" w:rsidP="00E578DD">
      <w:pPr>
        <w:spacing w:after="0" w:line="276" w:lineRule="auto"/>
        <w:rPr>
          <w:rFonts w:ascii="Times New Roman" w:eastAsia="Times New Roman" w:hAnsi="Times New Roman"/>
          <w:color w:val="000000"/>
          <w:sz w:val="24"/>
          <w:szCs w:val="24"/>
          <w:lang w:eastAsia="en-AU"/>
        </w:rPr>
      </w:pPr>
    </w:p>
    <w:p w:rsidR="00E578DD" w:rsidRDefault="00156AB9" w:rsidP="00E578DD">
      <w:pPr>
        <w:spacing w:after="0" w:line="276" w:lineRule="auto"/>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A</w:t>
      </w:r>
      <w:r w:rsidR="002B5482">
        <w:rPr>
          <w:rFonts w:ascii="Times New Roman" w:eastAsia="Times New Roman" w:hAnsi="Times New Roman"/>
          <w:color w:val="000000"/>
          <w:sz w:val="24"/>
          <w:szCs w:val="24"/>
          <w:lang w:eastAsia="en-AU"/>
        </w:rPr>
        <w:t>t</w:t>
      </w:r>
      <w:r>
        <w:rPr>
          <w:rFonts w:ascii="Times New Roman" w:eastAsia="Times New Roman" w:hAnsi="Times New Roman"/>
          <w:color w:val="000000"/>
          <w:sz w:val="24"/>
          <w:szCs w:val="24"/>
          <w:lang w:eastAsia="en-AU"/>
        </w:rPr>
        <w:t xml:space="preserve"> th</w:t>
      </w:r>
      <w:r w:rsidR="002B5482">
        <w:rPr>
          <w:rFonts w:ascii="Times New Roman" w:eastAsia="Times New Roman" w:hAnsi="Times New Roman"/>
          <w:color w:val="000000"/>
          <w:sz w:val="24"/>
          <w:szCs w:val="24"/>
          <w:lang w:eastAsia="en-AU"/>
        </w:rPr>
        <w:t>is</w:t>
      </w:r>
      <w:r>
        <w:rPr>
          <w:rFonts w:ascii="Times New Roman" w:eastAsia="Times New Roman" w:hAnsi="Times New Roman"/>
          <w:color w:val="000000"/>
          <w:sz w:val="24"/>
          <w:szCs w:val="24"/>
          <w:lang w:eastAsia="en-AU"/>
        </w:rPr>
        <w:t xml:space="preserve"> second stage </w:t>
      </w:r>
      <w:r w:rsidR="00E578DD" w:rsidRPr="00E578DD">
        <w:rPr>
          <w:rFonts w:ascii="Times New Roman" w:eastAsia="Times New Roman" w:hAnsi="Times New Roman"/>
          <w:color w:val="000000"/>
          <w:sz w:val="24"/>
          <w:szCs w:val="24"/>
          <w:lang w:eastAsia="en-AU"/>
        </w:rPr>
        <w:t xml:space="preserve">APRA considers, after taking </w:t>
      </w:r>
      <w:r w:rsidR="00CA247C">
        <w:rPr>
          <w:rFonts w:ascii="Times New Roman" w:eastAsia="Times New Roman" w:hAnsi="Times New Roman"/>
          <w:color w:val="000000"/>
          <w:sz w:val="24"/>
          <w:szCs w:val="24"/>
          <w:lang w:eastAsia="en-AU"/>
        </w:rPr>
        <w:t xml:space="preserve">into account the representations made by </w:t>
      </w:r>
      <w:r w:rsidR="00E578DD" w:rsidRPr="00E578DD">
        <w:rPr>
          <w:rFonts w:ascii="Times New Roman" w:eastAsia="Times New Roman" w:hAnsi="Times New Roman"/>
          <w:color w:val="000000"/>
          <w:sz w:val="24"/>
          <w:szCs w:val="24"/>
          <w:lang w:eastAsia="en-AU"/>
        </w:rPr>
        <w:t>affected entities’ and representative associates</w:t>
      </w:r>
      <w:r w:rsidR="002B5482">
        <w:rPr>
          <w:rFonts w:ascii="Times New Roman" w:eastAsia="Times New Roman" w:hAnsi="Times New Roman"/>
          <w:color w:val="000000"/>
          <w:sz w:val="24"/>
          <w:szCs w:val="24"/>
          <w:lang w:eastAsia="en-AU"/>
        </w:rPr>
        <w:t>,</w:t>
      </w:r>
      <w:r w:rsidR="00E578DD" w:rsidRPr="00E578DD">
        <w:rPr>
          <w:rFonts w:ascii="Times New Roman" w:eastAsia="Times New Roman" w:hAnsi="Times New Roman"/>
          <w:color w:val="000000"/>
          <w:sz w:val="24"/>
          <w:szCs w:val="24"/>
          <w:lang w:eastAsia="en-AU"/>
        </w:rPr>
        <w:t xml:space="preserve"> that there is a strong </w:t>
      </w:r>
      <w:r w:rsidR="00810AA7">
        <w:rPr>
          <w:rFonts w:ascii="Times New Roman" w:eastAsia="Times New Roman" w:hAnsi="Times New Roman"/>
          <w:color w:val="000000"/>
          <w:sz w:val="24"/>
          <w:szCs w:val="24"/>
          <w:lang w:eastAsia="en-AU"/>
        </w:rPr>
        <w:t xml:space="preserve">benefit to the </w:t>
      </w:r>
      <w:r w:rsidR="00E578DD" w:rsidRPr="00E578DD">
        <w:rPr>
          <w:rFonts w:ascii="Times New Roman" w:eastAsia="Times New Roman" w:hAnsi="Times New Roman"/>
          <w:color w:val="000000"/>
          <w:sz w:val="24"/>
          <w:szCs w:val="24"/>
          <w:lang w:eastAsia="en-AU"/>
        </w:rPr>
        <w:t xml:space="preserve">public </w:t>
      </w:r>
      <w:r w:rsidR="00810AA7">
        <w:rPr>
          <w:rFonts w:ascii="Times New Roman" w:eastAsia="Times New Roman" w:hAnsi="Times New Roman"/>
          <w:color w:val="000000"/>
          <w:sz w:val="24"/>
          <w:szCs w:val="24"/>
          <w:lang w:eastAsia="en-AU"/>
        </w:rPr>
        <w:t>from</w:t>
      </w:r>
      <w:r w:rsidR="00E578DD" w:rsidRPr="00E578DD">
        <w:rPr>
          <w:rFonts w:ascii="Times New Roman" w:eastAsia="Times New Roman" w:hAnsi="Times New Roman"/>
          <w:color w:val="000000"/>
          <w:sz w:val="24"/>
          <w:szCs w:val="24"/>
          <w:lang w:eastAsia="en-AU"/>
        </w:rPr>
        <w:t xml:space="preserve"> the </w:t>
      </w:r>
      <w:r w:rsidR="00810AA7">
        <w:rPr>
          <w:rFonts w:ascii="Times New Roman" w:eastAsia="Times New Roman" w:hAnsi="Times New Roman"/>
          <w:color w:val="000000"/>
          <w:sz w:val="24"/>
          <w:szCs w:val="24"/>
          <w:lang w:eastAsia="en-AU"/>
        </w:rPr>
        <w:t>disclosure</w:t>
      </w:r>
      <w:r w:rsidR="00E578DD" w:rsidRPr="00E578DD">
        <w:rPr>
          <w:rFonts w:ascii="Times New Roman" w:eastAsia="Times New Roman" w:hAnsi="Times New Roman"/>
          <w:color w:val="000000"/>
          <w:sz w:val="24"/>
          <w:szCs w:val="24"/>
          <w:lang w:eastAsia="en-AU"/>
        </w:rPr>
        <w:t xml:space="preserve"> of the information in the </w:t>
      </w:r>
      <w:r>
        <w:rPr>
          <w:rFonts w:ascii="Times New Roman" w:eastAsia="Times New Roman" w:hAnsi="Times New Roman"/>
          <w:color w:val="000000"/>
          <w:sz w:val="24"/>
          <w:szCs w:val="24"/>
          <w:lang w:eastAsia="en-AU"/>
        </w:rPr>
        <w:t>instrument</w:t>
      </w:r>
      <w:r w:rsidR="00E578DD" w:rsidRPr="00E578DD">
        <w:rPr>
          <w:rFonts w:ascii="Times New Roman" w:eastAsia="Times New Roman" w:hAnsi="Times New Roman"/>
          <w:color w:val="000000"/>
          <w:sz w:val="24"/>
          <w:szCs w:val="24"/>
          <w:lang w:eastAsia="en-AU"/>
        </w:rPr>
        <w:t xml:space="preserve">, and this </w:t>
      </w:r>
      <w:r w:rsidR="00810AA7">
        <w:rPr>
          <w:rFonts w:ascii="Times New Roman" w:eastAsia="Times New Roman" w:hAnsi="Times New Roman"/>
          <w:color w:val="000000"/>
          <w:sz w:val="24"/>
          <w:szCs w:val="24"/>
          <w:lang w:eastAsia="en-AU"/>
        </w:rPr>
        <w:t xml:space="preserve">public benefit </w:t>
      </w:r>
      <w:r w:rsidR="00E578DD" w:rsidRPr="00E578DD">
        <w:rPr>
          <w:rFonts w:ascii="Times New Roman" w:eastAsia="Times New Roman" w:hAnsi="Times New Roman"/>
          <w:color w:val="000000"/>
          <w:sz w:val="24"/>
          <w:szCs w:val="24"/>
          <w:lang w:eastAsia="en-AU"/>
        </w:rPr>
        <w:t xml:space="preserve">outweighs any </w:t>
      </w:r>
      <w:r w:rsidR="00810AA7">
        <w:rPr>
          <w:rFonts w:ascii="Times New Roman" w:eastAsia="Times New Roman" w:hAnsi="Times New Roman"/>
          <w:color w:val="000000"/>
          <w:sz w:val="24"/>
          <w:szCs w:val="24"/>
          <w:lang w:eastAsia="en-AU"/>
        </w:rPr>
        <w:t>detriment</w:t>
      </w:r>
      <w:r w:rsidRPr="00E578DD">
        <w:rPr>
          <w:rFonts w:ascii="Times New Roman" w:eastAsia="Times New Roman" w:hAnsi="Times New Roman"/>
          <w:color w:val="000000"/>
          <w:sz w:val="24"/>
          <w:szCs w:val="24"/>
          <w:lang w:eastAsia="en-AU"/>
        </w:rPr>
        <w:t xml:space="preserve"> </w:t>
      </w:r>
      <w:r w:rsidR="00810AA7">
        <w:rPr>
          <w:rFonts w:ascii="Times New Roman" w:eastAsia="Times New Roman" w:hAnsi="Times New Roman"/>
          <w:color w:val="000000"/>
          <w:sz w:val="24"/>
          <w:szCs w:val="24"/>
          <w:lang w:eastAsia="en-AU"/>
        </w:rPr>
        <w:t>to commercial interests that the disclosure may cause.</w:t>
      </w:r>
    </w:p>
    <w:p w:rsidR="00064C43" w:rsidRPr="00064C43" w:rsidRDefault="00064C43" w:rsidP="00E578DD">
      <w:pPr>
        <w:spacing w:after="0" w:line="276" w:lineRule="auto"/>
        <w:rPr>
          <w:rFonts w:ascii="Times New Roman" w:eastAsia="Times New Roman" w:hAnsi="Times New Roman"/>
          <w:color w:val="000000"/>
          <w:sz w:val="24"/>
          <w:szCs w:val="24"/>
          <w:lang w:eastAsia="en-AU"/>
        </w:rPr>
      </w:pPr>
    </w:p>
    <w:p w:rsidR="00064C43" w:rsidRPr="00F11BC9" w:rsidRDefault="00064C43" w:rsidP="00064C43">
      <w:pPr>
        <w:spacing w:line="23" w:lineRule="atLeast"/>
        <w:jc w:val="both"/>
        <w:rPr>
          <w:rFonts w:ascii="Times New Roman" w:hAnsi="Times New Roman"/>
          <w:sz w:val="24"/>
          <w:szCs w:val="24"/>
        </w:rPr>
      </w:pPr>
      <w:r w:rsidRPr="00F11BC9">
        <w:rPr>
          <w:rFonts w:ascii="Times New Roman" w:hAnsi="Times New Roman"/>
          <w:sz w:val="24"/>
          <w:szCs w:val="24"/>
        </w:rPr>
        <w:t>Three reporting standards in the February 2013 discussion paper were revoked on 18 December 2014 and replaced. Of these, two are included in recommendations to determine data non-confidential in Attachment A:</w:t>
      </w:r>
    </w:p>
    <w:p w:rsidR="00064C43" w:rsidRPr="00F11BC9" w:rsidRDefault="00064C43" w:rsidP="00064C43">
      <w:pPr>
        <w:pStyle w:val="ListParagraph"/>
        <w:numPr>
          <w:ilvl w:val="0"/>
          <w:numId w:val="35"/>
        </w:numPr>
        <w:spacing w:after="200" w:line="23" w:lineRule="atLeast"/>
        <w:jc w:val="both"/>
        <w:rPr>
          <w:rFonts w:ascii="Times New Roman" w:hAnsi="Times New Roman"/>
          <w:i/>
          <w:sz w:val="24"/>
          <w:szCs w:val="24"/>
        </w:rPr>
      </w:pPr>
      <w:r w:rsidRPr="00F11BC9">
        <w:rPr>
          <w:rFonts w:ascii="Times New Roman" w:hAnsi="Times New Roman"/>
          <w:i/>
          <w:sz w:val="24"/>
          <w:szCs w:val="24"/>
        </w:rPr>
        <w:t>GRS 440.0 Claims Development Table;</w:t>
      </w:r>
      <w:r w:rsidRPr="00F11BC9">
        <w:rPr>
          <w:rFonts w:ascii="Times New Roman" w:hAnsi="Times New Roman"/>
          <w:i/>
          <w:iCs/>
          <w:sz w:val="24"/>
          <w:szCs w:val="24"/>
        </w:rPr>
        <w:t xml:space="preserve"> and</w:t>
      </w:r>
    </w:p>
    <w:p w:rsidR="00064C43" w:rsidRPr="00F11BC9" w:rsidRDefault="00064C43" w:rsidP="00064C43">
      <w:pPr>
        <w:pStyle w:val="ListParagraph"/>
        <w:numPr>
          <w:ilvl w:val="0"/>
          <w:numId w:val="35"/>
        </w:numPr>
        <w:spacing w:after="200" w:line="23" w:lineRule="atLeast"/>
        <w:jc w:val="both"/>
        <w:rPr>
          <w:rFonts w:ascii="Times New Roman" w:hAnsi="Times New Roman"/>
          <w:sz w:val="24"/>
          <w:szCs w:val="24"/>
        </w:rPr>
      </w:pPr>
      <w:r w:rsidRPr="00F11BC9">
        <w:rPr>
          <w:rFonts w:ascii="Times New Roman" w:hAnsi="Times New Roman"/>
          <w:i/>
          <w:iCs/>
          <w:sz w:val="24"/>
          <w:szCs w:val="24"/>
        </w:rPr>
        <w:t xml:space="preserve">GRS 112.0 Determination of Capital Base. </w:t>
      </w:r>
    </w:p>
    <w:p w:rsidR="00064C43" w:rsidRPr="00F11BC9" w:rsidRDefault="00064C43" w:rsidP="00064C43">
      <w:pPr>
        <w:spacing w:line="23" w:lineRule="atLeast"/>
        <w:jc w:val="both"/>
        <w:rPr>
          <w:rFonts w:ascii="Times New Roman" w:hAnsi="Times New Roman"/>
          <w:sz w:val="24"/>
          <w:szCs w:val="24"/>
        </w:rPr>
      </w:pPr>
      <w:r w:rsidRPr="00F11BC9">
        <w:rPr>
          <w:rFonts w:ascii="Times New Roman" w:hAnsi="Times New Roman"/>
          <w:sz w:val="24"/>
          <w:szCs w:val="24"/>
        </w:rPr>
        <w:t>APRA consulted with industry for four weeks commencing 11 November 2014 on the proposals to revoke and replace the above reporting standards. Two submissions were received from industry and both submissions were of a positive nature agreeing with all of the suggested revisions to the reporting standards. As a result, APRA did not consider it necessary to release any public discussion or response papers.</w:t>
      </w:r>
    </w:p>
    <w:p w:rsidR="00064C43" w:rsidRPr="00F11BC9" w:rsidRDefault="00064C43" w:rsidP="00064C43">
      <w:pPr>
        <w:spacing w:line="23" w:lineRule="atLeast"/>
        <w:jc w:val="both"/>
        <w:rPr>
          <w:rFonts w:ascii="Times New Roman" w:hAnsi="Times New Roman"/>
          <w:sz w:val="24"/>
          <w:szCs w:val="24"/>
        </w:rPr>
      </w:pPr>
      <w:r w:rsidRPr="00F11BC9">
        <w:rPr>
          <w:rFonts w:ascii="Times New Roman" w:hAnsi="Times New Roman"/>
          <w:sz w:val="24"/>
          <w:szCs w:val="24"/>
        </w:rPr>
        <w:t>The changes in the 18 December 2014 standards were:</w:t>
      </w:r>
    </w:p>
    <w:p w:rsidR="00064C43" w:rsidRPr="00F11BC9" w:rsidRDefault="00064C43" w:rsidP="00064C43">
      <w:pPr>
        <w:pStyle w:val="ListParagraph"/>
        <w:numPr>
          <w:ilvl w:val="0"/>
          <w:numId w:val="36"/>
        </w:numPr>
        <w:spacing w:after="200" w:line="23" w:lineRule="atLeast"/>
        <w:jc w:val="both"/>
        <w:rPr>
          <w:rFonts w:ascii="Times New Roman" w:hAnsi="Times New Roman"/>
          <w:sz w:val="24"/>
          <w:szCs w:val="24"/>
        </w:rPr>
      </w:pPr>
      <w:r w:rsidRPr="00F11BC9">
        <w:rPr>
          <w:rFonts w:ascii="Times New Roman" w:hAnsi="Times New Roman"/>
          <w:sz w:val="24"/>
          <w:szCs w:val="24"/>
        </w:rPr>
        <w:t>GRS 440.0 no longer includes the claim count data columns for reinsurance business; and</w:t>
      </w:r>
    </w:p>
    <w:p w:rsidR="00064C43" w:rsidRPr="00F11BC9" w:rsidRDefault="00064C43" w:rsidP="00064C43">
      <w:pPr>
        <w:pStyle w:val="ListParagraph"/>
        <w:numPr>
          <w:ilvl w:val="0"/>
          <w:numId w:val="36"/>
        </w:numPr>
        <w:spacing w:after="200" w:line="23" w:lineRule="atLeast"/>
        <w:jc w:val="both"/>
        <w:rPr>
          <w:rFonts w:ascii="Times New Roman" w:hAnsi="Times New Roman"/>
          <w:sz w:val="24"/>
          <w:szCs w:val="24"/>
        </w:rPr>
      </w:pPr>
      <w:r w:rsidRPr="00F11BC9">
        <w:rPr>
          <w:rFonts w:ascii="Times New Roman" w:hAnsi="Times New Roman"/>
          <w:sz w:val="24"/>
          <w:szCs w:val="24"/>
        </w:rPr>
        <w:t xml:space="preserve">GRS 112.0 now clearly indicate that this reporting standard does not apply to Category C insurers, as defined in </w:t>
      </w:r>
      <w:r w:rsidRPr="00F11BC9">
        <w:rPr>
          <w:rFonts w:ascii="Times New Roman" w:hAnsi="Times New Roman"/>
          <w:i/>
          <w:sz w:val="24"/>
          <w:szCs w:val="24"/>
        </w:rPr>
        <w:t>GPS 001 Definitions.</w:t>
      </w:r>
    </w:p>
    <w:p w:rsidR="00064C43" w:rsidRPr="00F11BC9" w:rsidRDefault="00064C43" w:rsidP="00064C43">
      <w:pPr>
        <w:spacing w:line="23" w:lineRule="atLeast"/>
        <w:jc w:val="both"/>
        <w:rPr>
          <w:rFonts w:ascii="Times New Roman" w:hAnsi="Times New Roman"/>
          <w:sz w:val="24"/>
          <w:szCs w:val="24"/>
        </w:rPr>
      </w:pPr>
      <w:r w:rsidRPr="00F11BC9">
        <w:rPr>
          <w:rFonts w:ascii="Times New Roman" w:hAnsi="Times New Roman"/>
          <w:sz w:val="24"/>
          <w:szCs w:val="24"/>
        </w:rPr>
        <w:t xml:space="preserve">The changes were minor or machinery in nature, do not substantially alter existing arrangements and relate only to a modest reduction in the reporting requirements currently imposed on industry. Hence, </w:t>
      </w:r>
      <w:r>
        <w:rPr>
          <w:rFonts w:ascii="Times New Roman" w:hAnsi="Times New Roman"/>
          <w:sz w:val="24"/>
          <w:szCs w:val="24"/>
        </w:rPr>
        <w:t>APRA</w:t>
      </w:r>
      <w:r w:rsidRPr="00F11BC9">
        <w:rPr>
          <w:rFonts w:ascii="Times New Roman" w:hAnsi="Times New Roman"/>
          <w:sz w:val="24"/>
          <w:szCs w:val="24"/>
        </w:rPr>
        <w:t xml:space="preserve"> has not conducted additional consultation on the confidentiality of </w:t>
      </w:r>
      <w:r w:rsidR="009118C6">
        <w:rPr>
          <w:rFonts w:ascii="Times New Roman" w:hAnsi="Times New Roman"/>
          <w:sz w:val="24"/>
          <w:szCs w:val="24"/>
        </w:rPr>
        <w:t xml:space="preserve">information </w:t>
      </w:r>
      <w:r w:rsidR="009118C6">
        <w:rPr>
          <w:rFonts w:ascii="Times New Roman" w:hAnsi="Times New Roman"/>
          <w:sz w:val="24"/>
          <w:szCs w:val="24"/>
        </w:rPr>
        <w:lastRenderedPageBreak/>
        <w:t xml:space="preserve">provided under </w:t>
      </w:r>
      <w:r w:rsidRPr="00F11BC9">
        <w:rPr>
          <w:rFonts w:ascii="Times New Roman" w:hAnsi="Times New Roman"/>
          <w:sz w:val="24"/>
          <w:szCs w:val="24"/>
        </w:rPr>
        <w:t xml:space="preserve">the three standards replaced in December 2014 as the information reported was </w:t>
      </w:r>
      <w:r w:rsidR="009118C6">
        <w:rPr>
          <w:rFonts w:ascii="Times New Roman" w:hAnsi="Times New Roman"/>
          <w:sz w:val="24"/>
          <w:szCs w:val="24"/>
        </w:rPr>
        <w:t xml:space="preserve">of a kind </w:t>
      </w:r>
      <w:r w:rsidRPr="00F11BC9">
        <w:rPr>
          <w:rFonts w:ascii="Times New Roman" w:hAnsi="Times New Roman"/>
          <w:sz w:val="24"/>
          <w:szCs w:val="24"/>
        </w:rPr>
        <w:t>covered by the consultation</w:t>
      </w:r>
      <w:r w:rsidR="009118C6">
        <w:rPr>
          <w:rFonts w:ascii="Times New Roman" w:hAnsi="Times New Roman"/>
          <w:sz w:val="24"/>
          <w:szCs w:val="24"/>
        </w:rPr>
        <w:t xml:space="preserve"> that did occur</w:t>
      </w:r>
      <w:r w:rsidRPr="00F11BC9">
        <w:rPr>
          <w:rFonts w:ascii="Times New Roman" w:hAnsi="Times New Roman"/>
          <w:sz w:val="24"/>
          <w:szCs w:val="24"/>
        </w:rPr>
        <w:t xml:space="preserve">. </w:t>
      </w:r>
    </w:p>
    <w:p w:rsidR="00064C43" w:rsidRPr="00E578DD" w:rsidRDefault="00064C43" w:rsidP="00E578DD">
      <w:pPr>
        <w:spacing w:after="0" w:line="276" w:lineRule="auto"/>
        <w:rPr>
          <w:rFonts w:ascii="Times New Roman" w:eastAsia="Times New Roman" w:hAnsi="Times New Roman"/>
          <w:color w:val="000000"/>
          <w:sz w:val="24"/>
          <w:szCs w:val="24"/>
          <w:lang w:eastAsia="en-AU"/>
        </w:rPr>
      </w:pPr>
    </w:p>
    <w:p w:rsidR="00E578DD" w:rsidRPr="00E578DD" w:rsidRDefault="00E578DD" w:rsidP="00E578DD">
      <w:pPr>
        <w:spacing w:after="0" w:line="276" w:lineRule="auto"/>
        <w:rPr>
          <w:rFonts w:ascii="Times New Roman" w:eastAsia="Times New Roman" w:hAnsi="Times New Roman"/>
          <w:sz w:val="24"/>
          <w:szCs w:val="24"/>
          <w:lang w:eastAsia="en-AU"/>
        </w:rPr>
      </w:pPr>
    </w:p>
    <w:p w:rsidR="00E578DD" w:rsidRPr="00E578DD" w:rsidRDefault="00E578DD" w:rsidP="00E578DD">
      <w:pPr>
        <w:numPr>
          <w:ilvl w:val="0"/>
          <w:numId w:val="34"/>
        </w:numPr>
        <w:autoSpaceDE w:val="0"/>
        <w:autoSpaceDN w:val="0"/>
        <w:adjustRightInd w:val="0"/>
        <w:spacing w:after="0" w:line="240" w:lineRule="auto"/>
        <w:rPr>
          <w:rFonts w:ascii="Times New Roman" w:eastAsia="Times New Roman" w:hAnsi="Times New Roman"/>
          <w:b/>
          <w:sz w:val="24"/>
          <w:szCs w:val="24"/>
          <w:lang w:eastAsia="en-AU"/>
        </w:rPr>
      </w:pPr>
      <w:r w:rsidRPr="00E578DD">
        <w:rPr>
          <w:rFonts w:ascii="Times New Roman" w:eastAsia="Times New Roman" w:hAnsi="Times New Roman"/>
          <w:b/>
          <w:sz w:val="24"/>
          <w:szCs w:val="24"/>
          <w:lang w:eastAsia="en-AU"/>
        </w:rPr>
        <w:t>Statement of compatibility with human rights prepared in accordance with</w:t>
      </w:r>
      <w:r w:rsidRPr="00E578DD">
        <w:rPr>
          <w:rFonts w:ascii="Times New Roman" w:eastAsia="Times New Roman" w:hAnsi="Times New Roman"/>
          <w:sz w:val="24"/>
          <w:szCs w:val="24"/>
          <w:lang w:eastAsia="en-AU"/>
        </w:rPr>
        <w:t xml:space="preserve"> </w:t>
      </w:r>
      <w:r w:rsidRPr="00E578DD">
        <w:rPr>
          <w:rFonts w:ascii="Times New Roman" w:eastAsia="Times New Roman" w:hAnsi="Times New Roman"/>
          <w:b/>
          <w:sz w:val="24"/>
          <w:szCs w:val="24"/>
          <w:lang w:eastAsia="en-AU"/>
        </w:rPr>
        <w:t>Part 3 of the Human Rights (Parliamentary Scrutiny) Act 2011</w:t>
      </w:r>
    </w:p>
    <w:p w:rsidR="00E578DD" w:rsidRPr="00E578DD" w:rsidRDefault="00E578DD" w:rsidP="00E578DD">
      <w:pPr>
        <w:spacing w:after="0" w:line="276" w:lineRule="auto"/>
        <w:rPr>
          <w:rFonts w:ascii="Times New Roman" w:eastAsia="Times New Roman" w:hAnsi="Times New Roman"/>
          <w:sz w:val="24"/>
          <w:szCs w:val="24"/>
          <w:lang w:eastAsia="en-AU"/>
        </w:rPr>
      </w:pPr>
    </w:p>
    <w:p w:rsidR="002C347C" w:rsidRDefault="00E578DD" w:rsidP="00E578DD">
      <w:pPr>
        <w:autoSpaceDE w:val="0"/>
        <w:autoSpaceDN w:val="0"/>
        <w:adjustRightInd w:val="0"/>
        <w:spacing w:after="200" w:line="276" w:lineRule="auto"/>
        <w:jc w:val="both"/>
        <w:rPr>
          <w:rFonts w:ascii="Times New Roman" w:eastAsia="Times New Roman" w:hAnsi="Times New Roman"/>
          <w:sz w:val="24"/>
          <w:szCs w:val="24"/>
          <w:lang w:eastAsia="en-AU"/>
        </w:rPr>
      </w:pPr>
      <w:r w:rsidRPr="00E578DD">
        <w:rPr>
          <w:rFonts w:ascii="Times New Roman" w:eastAsia="Times New Roman" w:hAnsi="Times New Roman"/>
          <w:sz w:val="24"/>
          <w:szCs w:val="24"/>
          <w:lang w:eastAsia="en-AU"/>
        </w:rPr>
        <w:t xml:space="preserve">A Statement of compatibility prepared in accordance with Part 3 of the </w:t>
      </w:r>
      <w:r w:rsidRPr="00E578DD">
        <w:rPr>
          <w:rFonts w:ascii="Times New Roman" w:eastAsia="Times New Roman" w:hAnsi="Times New Roman"/>
          <w:i/>
          <w:sz w:val="24"/>
          <w:szCs w:val="24"/>
          <w:lang w:eastAsia="en-AU"/>
        </w:rPr>
        <w:t xml:space="preserve">Human Rights (Parliamentary Scrutiny) Act 2011 </w:t>
      </w:r>
      <w:r w:rsidRPr="00E578DD">
        <w:rPr>
          <w:rFonts w:ascii="Times New Roman" w:eastAsia="Times New Roman" w:hAnsi="Times New Roman"/>
          <w:sz w:val="24"/>
          <w:szCs w:val="24"/>
          <w:lang w:eastAsia="en-AU"/>
        </w:rPr>
        <w:t xml:space="preserve">is provided at Appendix </w:t>
      </w:r>
      <w:r w:rsidR="00582C59" w:rsidRPr="00634C4B">
        <w:rPr>
          <w:rFonts w:ascii="Times New Roman" w:eastAsia="Times New Roman" w:hAnsi="Times New Roman"/>
          <w:sz w:val="24"/>
          <w:szCs w:val="24"/>
          <w:lang w:eastAsia="en-AU"/>
        </w:rPr>
        <w:t>A</w:t>
      </w:r>
      <w:r w:rsidRPr="00E578DD">
        <w:rPr>
          <w:rFonts w:ascii="Times New Roman" w:eastAsia="Times New Roman" w:hAnsi="Times New Roman"/>
          <w:sz w:val="24"/>
          <w:szCs w:val="24"/>
          <w:lang w:eastAsia="en-AU"/>
        </w:rPr>
        <w:t xml:space="preserve"> to this Explanatory Statement.</w:t>
      </w:r>
    </w:p>
    <w:p w:rsidR="00815FF6" w:rsidRDefault="00815FF6" w:rsidP="00612891">
      <w:pPr>
        <w:keepNext/>
        <w:spacing w:before="240" w:after="240" w:line="240" w:lineRule="auto"/>
        <w:outlineLvl w:val="0"/>
        <w:rPr>
          <w:rFonts w:ascii="Times New Roman" w:eastAsia="Times New Roman" w:hAnsi="Times New Roman"/>
          <w:b/>
          <w:kern w:val="32"/>
          <w:sz w:val="24"/>
          <w:szCs w:val="24"/>
        </w:rPr>
      </w:pPr>
      <w:r>
        <w:rPr>
          <w:rFonts w:ascii="Times New Roman" w:eastAsia="Times New Roman" w:hAnsi="Times New Roman"/>
          <w:b/>
          <w:kern w:val="32"/>
          <w:sz w:val="24"/>
          <w:szCs w:val="24"/>
        </w:rPr>
        <w:t>Appendix A</w:t>
      </w:r>
    </w:p>
    <w:p w:rsidR="002C347C" w:rsidRPr="002C347C" w:rsidRDefault="002C347C" w:rsidP="002C347C">
      <w:pPr>
        <w:keepNext/>
        <w:spacing w:before="240" w:after="240" w:line="240" w:lineRule="auto"/>
        <w:jc w:val="center"/>
        <w:outlineLvl w:val="0"/>
        <w:rPr>
          <w:rFonts w:ascii="Times New Roman" w:eastAsia="Times New Roman" w:hAnsi="Times New Roman"/>
          <w:b/>
          <w:kern w:val="32"/>
          <w:sz w:val="24"/>
          <w:szCs w:val="24"/>
        </w:rPr>
      </w:pPr>
      <w:r w:rsidRPr="002C347C">
        <w:rPr>
          <w:rFonts w:ascii="Times New Roman" w:eastAsia="Times New Roman" w:hAnsi="Times New Roman"/>
          <w:b/>
          <w:kern w:val="32"/>
          <w:sz w:val="24"/>
          <w:szCs w:val="24"/>
        </w:rPr>
        <w:t>Statement of Compatibility with Human Rights</w:t>
      </w:r>
    </w:p>
    <w:p w:rsidR="002C347C" w:rsidRPr="002C347C" w:rsidRDefault="002C347C" w:rsidP="002C347C">
      <w:pPr>
        <w:widowControl w:val="0"/>
        <w:spacing w:after="240" w:line="240" w:lineRule="auto"/>
        <w:jc w:val="center"/>
        <w:rPr>
          <w:rFonts w:ascii="Times New Roman" w:eastAsia="Times New Roman" w:hAnsi="Times New Roman"/>
          <w:b/>
          <w:sz w:val="24"/>
          <w:szCs w:val="24"/>
        </w:rPr>
      </w:pPr>
      <w:r w:rsidRPr="002C347C">
        <w:rPr>
          <w:rFonts w:ascii="Times New Roman" w:eastAsia="Times New Roman" w:hAnsi="Times New Roman"/>
          <w:sz w:val="24"/>
          <w:szCs w:val="24"/>
        </w:rPr>
        <w:t>Prepared in accordance with Part 3 of the Human Rights (Parliamentary Scrutiny) Act 2011</w:t>
      </w:r>
    </w:p>
    <w:p w:rsidR="002C347C" w:rsidRPr="002C347C" w:rsidRDefault="006F0351" w:rsidP="002C347C">
      <w:pPr>
        <w:spacing w:after="0" w:line="240" w:lineRule="auto"/>
        <w:jc w:val="center"/>
        <w:rPr>
          <w:rFonts w:ascii="Times New Roman" w:eastAsia="Times New Roman" w:hAnsi="Times New Roman"/>
          <w:sz w:val="24"/>
          <w:szCs w:val="24"/>
        </w:rPr>
      </w:pPr>
      <w:r w:rsidRPr="00612891">
        <w:rPr>
          <w:rFonts w:ascii="Times New Roman" w:eastAsia="Times New Roman" w:hAnsi="Times New Roman"/>
          <w:sz w:val="24"/>
          <w:szCs w:val="24"/>
          <w:lang w:eastAsia="en-AU"/>
        </w:rPr>
        <w:t>Australian Prudential Regulation Authority (confidentiality) determination No.</w:t>
      </w:r>
      <w:r w:rsidR="0062611E">
        <w:rPr>
          <w:rFonts w:ascii="Times New Roman" w:eastAsia="Times New Roman" w:hAnsi="Times New Roman"/>
          <w:sz w:val="24"/>
          <w:szCs w:val="24"/>
          <w:lang w:eastAsia="en-AU"/>
        </w:rPr>
        <w:t xml:space="preserve"> 11</w:t>
      </w:r>
      <w:r w:rsidRPr="00612891">
        <w:rPr>
          <w:rFonts w:ascii="Times New Roman" w:eastAsia="Times New Roman" w:hAnsi="Times New Roman"/>
          <w:sz w:val="24"/>
          <w:szCs w:val="24"/>
          <w:lang w:eastAsia="en-AU"/>
        </w:rPr>
        <w:t xml:space="preserve"> of 2015 </w:t>
      </w:r>
    </w:p>
    <w:p w:rsidR="002C347C" w:rsidRPr="002C347C" w:rsidRDefault="002C347C" w:rsidP="002C347C">
      <w:pPr>
        <w:widowControl w:val="0"/>
        <w:spacing w:after="240" w:line="240" w:lineRule="auto"/>
        <w:jc w:val="both"/>
        <w:rPr>
          <w:rFonts w:ascii="Times New Roman" w:eastAsia="Times New Roman" w:hAnsi="Times New Roman"/>
          <w:sz w:val="24"/>
          <w:szCs w:val="24"/>
        </w:rPr>
      </w:pPr>
      <w:r w:rsidRPr="002C347C">
        <w:rPr>
          <w:rFonts w:ascii="Times New Roman" w:eastAsia="Times New Roman" w:hAnsi="Times New Roman"/>
          <w:sz w:val="24"/>
          <w:szCs w:val="24"/>
        </w:rPr>
        <w:t xml:space="preserve">This Legislative Instrument is compatible with the human rights and freedoms recognised or declared in the international instrument listed in section 3 of the </w:t>
      </w:r>
      <w:r w:rsidRPr="002C347C">
        <w:rPr>
          <w:rFonts w:ascii="Times New Roman" w:eastAsia="Times New Roman" w:hAnsi="Times New Roman"/>
          <w:i/>
          <w:sz w:val="24"/>
          <w:szCs w:val="24"/>
        </w:rPr>
        <w:t>Human Rights (Parliamentary Scrutiny) Act 2011</w:t>
      </w:r>
      <w:r w:rsidRPr="002C347C">
        <w:rPr>
          <w:rFonts w:ascii="Times New Roman" w:eastAsia="Times New Roman" w:hAnsi="Times New Roman"/>
          <w:sz w:val="24"/>
          <w:szCs w:val="24"/>
        </w:rPr>
        <w:t xml:space="preserve"> (HRPS Act).</w:t>
      </w:r>
    </w:p>
    <w:p w:rsidR="002C347C" w:rsidRPr="002C347C" w:rsidRDefault="002C347C" w:rsidP="002C347C">
      <w:pPr>
        <w:spacing w:after="240" w:line="240" w:lineRule="auto"/>
        <w:jc w:val="both"/>
        <w:rPr>
          <w:rFonts w:ascii="Times New Roman" w:eastAsia="Times New Roman" w:hAnsi="Times New Roman"/>
          <w:sz w:val="24"/>
          <w:szCs w:val="24"/>
        </w:rPr>
      </w:pPr>
      <w:r w:rsidRPr="002C347C">
        <w:rPr>
          <w:rFonts w:ascii="Times New Roman" w:eastAsia="Times New Roman" w:hAnsi="Times New Roman"/>
          <w:b/>
          <w:sz w:val="24"/>
          <w:szCs w:val="24"/>
        </w:rPr>
        <w:t>Overview of the Legislative Instrument</w:t>
      </w:r>
    </w:p>
    <w:p w:rsidR="002C347C" w:rsidRPr="002C347C" w:rsidRDefault="002C347C" w:rsidP="002C347C">
      <w:pPr>
        <w:widowControl w:val="0"/>
        <w:spacing w:after="240" w:line="240" w:lineRule="auto"/>
        <w:jc w:val="both"/>
        <w:rPr>
          <w:rFonts w:ascii="Times New Roman" w:eastAsia="Times New Roman" w:hAnsi="Times New Roman"/>
          <w:sz w:val="24"/>
          <w:szCs w:val="24"/>
        </w:rPr>
      </w:pPr>
      <w:r w:rsidRPr="002C347C">
        <w:rPr>
          <w:rFonts w:ascii="Times New Roman" w:eastAsia="Times New Roman" w:hAnsi="Times New Roman"/>
          <w:sz w:val="24"/>
          <w:szCs w:val="24"/>
        </w:rPr>
        <w:t>The purpose of making this Legislative Instrument is to enable APRA to disclose, including by way of publication</w:t>
      </w:r>
      <w:r>
        <w:rPr>
          <w:rFonts w:ascii="Times New Roman" w:eastAsia="Times New Roman" w:hAnsi="Times New Roman"/>
          <w:sz w:val="24"/>
          <w:szCs w:val="24"/>
        </w:rPr>
        <w:t xml:space="preserve"> in industry bulletins</w:t>
      </w:r>
      <w:r w:rsidRPr="002C347C">
        <w:rPr>
          <w:rFonts w:ascii="Times New Roman" w:eastAsia="Times New Roman" w:hAnsi="Times New Roman"/>
          <w:sz w:val="24"/>
          <w:szCs w:val="24"/>
        </w:rPr>
        <w:t xml:space="preserve">, certain information provided to APRA by </w:t>
      </w:r>
      <w:r w:rsidR="0096273C">
        <w:rPr>
          <w:rFonts w:ascii="Times New Roman" w:eastAsia="Times New Roman" w:hAnsi="Times New Roman"/>
          <w:sz w:val="24"/>
          <w:szCs w:val="24"/>
        </w:rPr>
        <w:t>general insurance</w:t>
      </w:r>
      <w:r w:rsidRPr="002C347C">
        <w:rPr>
          <w:rFonts w:ascii="Times New Roman" w:eastAsia="Times New Roman" w:hAnsi="Times New Roman"/>
          <w:sz w:val="24"/>
          <w:szCs w:val="24"/>
        </w:rPr>
        <w:t xml:space="preserve"> entities. </w:t>
      </w:r>
      <w:proofErr w:type="gramStart"/>
      <w:r w:rsidR="00606A83" w:rsidRPr="00606A83">
        <w:rPr>
          <w:rFonts w:ascii="Times New Roman" w:eastAsia="Times New Roman" w:hAnsi="Times New Roman"/>
          <w:sz w:val="24"/>
          <w:szCs w:val="24"/>
        </w:rPr>
        <w:t>under</w:t>
      </w:r>
      <w:proofErr w:type="gramEnd"/>
      <w:r w:rsidR="00606A83" w:rsidRPr="00606A83">
        <w:rPr>
          <w:rFonts w:ascii="Times New Roman" w:eastAsia="Times New Roman" w:hAnsi="Times New Roman"/>
          <w:sz w:val="24"/>
          <w:szCs w:val="24"/>
        </w:rPr>
        <w:t xml:space="preserve"> certain reporting standards.  This information will be of use to inter alia, regulators, policymakers, industry, researchers and analysts.</w:t>
      </w:r>
    </w:p>
    <w:p w:rsidR="002C347C" w:rsidRPr="002C347C" w:rsidRDefault="002C347C" w:rsidP="002C347C">
      <w:pPr>
        <w:spacing w:after="240" w:line="240" w:lineRule="auto"/>
        <w:jc w:val="both"/>
        <w:rPr>
          <w:rFonts w:ascii="Times New Roman" w:eastAsia="Times New Roman" w:hAnsi="Times New Roman"/>
          <w:sz w:val="24"/>
          <w:szCs w:val="24"/>
        </w:rPr>
      </w:pPr>
      <w:r w:rsidRPr="002C347C">
        <w:rPr>
          <w:rFonts w:ascii="Times New Roman" w:eastAsia="Times New Roman" w:hAnsi="Times New Roman"/>
          <w:b/>
          <w:sz w:val="24"/>
          <w:szCs w:val="24"/>
        </w:rPr>
        <w:t>Human rights implications</w:t>
      </w:r>
    </w:p>
    <w:p w:rsidR="002C347C" w:rsidRPr="002C347C" w:rsidRDefault="002C347C" w:rsidP="002C347C">
      <w:pPr>
        <w:widowControl w:val="0"/>
        <w:spacing w:after="240" w:line="240" w:lineRule="auto"/>
        <w:jc w:val="both"/>
        <w:rPr>
          <w:rFonts w:ascii="Times New Roman" w:eastAsia="Times New Roman" w:hAnsi="Times New Roman"/>
          <w:sz w:val="24"/>
          <w:szCs w:val="24"/>
        </w:rPr>
      </w:pPr>
      <w:r w:rsidRPr="002C347C">
        <w:rPr>
          <w:rFonts w:ascii="Times New Roman" w:eastAsia="Times New Roman" w:hAnsi="Times New Roman"/>
          <w:sz w:val="24"/>
          <w:szCs w:val="24"/>
        </w:rPr>
        <w:t>APRA has assessed the Legislative Instrument against the international instruments listed in section 3 of the HRPS Act and determined that only Article 17 of the International Covenant on Civil and Political Rights (ICCPR) is conceivably of relevance to the Legislative Instrument.</w:t>
      </w:r>
    </w:p>
    <w:p w:rsidR="002C347C" w:rsidRPr="002C347C" w:rsidRDefault="002C347C" w:rsidP="002C347C">
      <w:pPr>
        <w:widowControl w:val="0"/>
        <w:spacing w:after="240" w:line="240" w:lineRule="auto"/>
        <w:jc w:val="both"/>
        <w:rPr>
          <w:rFonts w:ascii="Times New Roman" w:eastAsia="Times New Roman" w:hAnsi="Times New Roman"/>
          <w:sz w:val="24"/>
          <w:szCs w:val="24"/>
        </w:rPr>
      </w:pPr>
      <w:r w:rsidRPr="002C347C">
        <w:rPr>
          <w:rFonts w:ascii="Times New Roman" w:eastAsia="Times New Roman" w:hAnsi="Times New Roman"/>
          <w:sz w:val="24"/>
          <w:szCs w:val="24"/>
        </w:rPr>
        <w:t>Article 17 of the ICCPR prohibits the arbitrary or unlawful interference with a person’s privacy, family, home and correspondence, and attacks on reputation. Article 17 is exclusively concerned with prohibiting interference with the privacy and/or reputation of individual persons. It does not extend to the privacy and/or reputation of corporate entities.</w:t>
      </w:r>
    </w:p>
    <w:p w:rsidR="002C347C" w:rsidRPr="002C347C" w:rsidRDefault="002C347C" w:rsidP="002C347C">
      <w:pPr>
        <w:widowControl w:val="0"/>
        <w:spacing w:after="240" w:line="240" w:lineRule="auto"/>
        <w:jc w:val="both"/>
        <w:rPr>
          <w:rFonts w:ascii="Times New Roman" w:eastAsia="Times New Roman" w:hAnsi="Times New Roman"/>
          <w:sz w:val="24"/>
          <w:szCs w:val="24"/>
        </w:rPr>
      </w:pPr>
      <w:r w:rsidRPr="002C347C">
        <w:rPr>
          <w:rFonts w:ascii="Times New Roman" w:eastAsia="Times New Roman" w:hAnsi="Times New Roman"/>
          <w:sz w:val="24"/>
          <w:szCs w:val="24"/>
        </w:rPr>
        <w:t xml:space="preserve">The Legislative Instrument will facilitate the disclosure of specific information provided to APRA by </w:t>
      </w:r>
      <w:r w:rsidR="004655A9">
        <w:rPr>
          <w:rFonts w:ascii="Times New Roman" w:eastAsia="Times New Roman" w:hAnsi="Times New Roman"/>
          <w:sz w:val="24"/>
          <w:szCs w:val="24"/>
        </w:rPr>
        <w:t>general insurance entities</w:t>
      </w:r>
      <w:r w:rsidRPr="002C347C">
        <w:rPr>
          <w:rFonts w:ascii="Times New Roman" w:eastAsia="Times New Roman" w:hAnsi="Times New Roman"/>
          <w:sz w:val="24"/>
          <w:szCs w:val="24"/>
        </w:rPr>
        <w:t xml:space="preserve"> in accordance with </w:t>
      </w:r>
      <w:r w:rsidR="00606A83">
        <w:rPr>
          <w:rFonts w:ascii="Times New Roman" w:eastAsia="Times New Roman" w:hAnsi="Times New Roman"/>
          <w:sz w:val="24"/>
          <w:szCs w:val="24"/>
        </w:rPr>
        <w:t>certain</w:t>
      </w:r>
      <w:r w:rsidRPr="002C347C">
        <w:rPr>
          <w:rFonts w:ascii="Times New Roman" w:eastAsia="Times New Roman" w:hAnsi="Times New Roman"/>
          <w:sz w:val="24"/>
          <w:szCs w:val="24"/>
        </w:rPr>
        <w:t xml:space="preserve"> reporting standard</w:t>
      </w:r>
      <w:r w:rsidR="00606A83">
        <w:rPr>
          <w:rFonts w:ascii="Times New Roman" w:eastAsia="Times New Roman" w:hAnsi="Times New Roman"/>
          <w:sz w:val="24"/>
          <w:szCs w:val="24"/>
        </w:rPr>
        <w:t>s</w:t>
      </w:r>
      <w:r w:rsidRPr="002C347C">
        <w:rPr>
          <w:rFonts w:ascii="Times New Roman" w:eastAsia="Times New Roman" w:hAnsi="Times New Roman"/>
          <w:sz w:val="24"/>
          <w:szCs w:val="24"/>
        </w:rPr>
        <w:t xml:space="preserve">. </w:t>
      </w:r>
      <w:r w:rsidR="00606A83" w:rsidRPr="00606A83">
        <w:rPr>
          <w:rFonts w:ascii="Times New Roman" w:eastAsia="Times New Roman" w:hAnsi="Times New Roman"/>
          <w:sz w:val="24"/>
          <w:szCs w:val="24"/>
        </w:rPr>
        <w:t>It does not involve the disclosure of information directly relating to individual persons. Further, APRA reviews all releases of data received under reporting standards to ensure that no information pertaining to an individual person can be deduced from the data.</w:t>
      </w:r>
      <w:r w:rsidRPr="002C347C">
        <w:rPr>
          <w:rFonts w:ascii="Times New Roman" w:eastAsia="Times New Roman" w:hAnsi="Times New Roman"/>
          <w:sz w:val="24"/>
          <w:szCs w:val="24"/>
        </w:rPr>
        <w:t xml:space="preserve"> </w:t>
      </w:r>
    </w:p>
    <w:p w:rsidR="002C347C" w:rsidRPr="002C347C" w:rsidRDefault="002C347C" w:rsidP="002C347C">
      <w:pPr>
        <w:widowControl w:val="0"/>
        <w:spacing w:after="240" w:line="240" w:lineRule="auto"/>
        <w:jc w:val="both"/>
        <w:rPr>
          <w:rFonts w:ascii="Times New Roman" w:eastAsia="Times New Roman" w:hAnsi="Times New Roman"/>
          <w:sz w:val="24"/>
          <w:szCs w:val="24"/>
        </w:rPr>
      </w:pPr>
      <w:r w:rsidRPr="002C347C">
        <w:rPr>
          <w:rFonts w:ascii="Times New Roman" w:eastAsia="Times New Roman" w:hAnsi="Times New Roman"/>
          <w:sz w:val="24"/>
          <w:szCs w:val="24"/>
        </w:rPr>
        <w:t>Consequently, the Legislative Instrument does not engage any of the applicable rights or freedoms recognised or declared in the international instruments listed in section 3 of the HRPS Act. Accordingly, in APRA’s assessment, the Legislative Instrument is compatible with human rights.</w:t>
      </w:r>
    </w:p>
    <w:p w:rsidR="002C347C" w:rsidRPr="00E578DD" w:rsidRDefault="002C347C" w:rsidP="00E578DD">
      <w:pPr>
        <w:autoSpaceDE w:val="0"/>
        <w:autoSpaceDN w:val="0"/>
        <w:adjustRightInd w:val="0"/>
        <w:spacing w:after="200" w:line="276" w:lineRule="auto"/>
        <w:jc w:val="both"/>
        <w:rPr>
          <w:rFonts w:ascii="Times New Roman" w:eastAsia="Times New Roman" w:hAnsi="Times New Roman"/>
          <w:sz w:val="24"/>
          <w:szCs w:val="24"/>
          <w:lang w:eastAsia="en-AU"/>
        </w:rPr>
      </w:pPr>
    </w:p>
    <w:p w:rsidR="00EF5EE9" w:rsidRPr="00634C4B" w:rsidRDefault="00EF5EE9" w:rsidP="00612891">
      <w:pPr>
        <w:autoSpaceDE w:val="0"/>
        <w:autoSpaceDN w:val="0"/>
        <w:adjustRightInd w:val="0"/>
        <w:spacing w:after="200" w:line="276" w:lineRule="auto"/>
        <w:jc w:val="both"/>
        <w:rPr>
          <w:sz w:val="24"/>
          <w:szCs w:val="24"/>
        </w:rPr>
      </w:pPr>
    </w:p>
    <w:sectPr w:rsidR="00EF5EE9" w:rsidRPr="00634C4B" w:rsidSect="004D7117">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73F" w:rsidRDefault="0039473F" w:rsidP="007A463E">
      <w:pPr>
        <w:spacing w:after="0" w:line="240" w:lineRule="auto"/>
      </w:pPr>
      <w:r>
        <w:separator/>
      </w:r>
    </w:p>
    <w:p w:rsidR="0039473F" w:rsidRDefault="0039473F"/>
  </w:endnote>
  <w:endnote w:type="continuationSeparator" w:id="0">
    <w:p w:rsidR="0039473F" w:rsidRDefault="0039473F" w:rsidP="007A463E">
      <w:pPr>
        <w:spacing w:after="0" w:line="240" w:lineRule="auto"/>
      </w:pPr>
      <w:r>
        <w:continuationSeparator/>
      </w:r>
    </w:p>
    <w:p w:rsidR="0039473F" w:rsidRDefault="003947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C42" w:rsidRDefault="00986C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727" w:rsidRDefault="00665727">
    <w:pPr>
      <w:pStyle w:val="Footer"/>
    </w:pPr>
    <w:r w:rsidRPr="003C6CBE">
      <w:br/>
      <w:t xml:space="preserve">Page </w:t>
    </w:r>
    <w:r w:rsidRPr="00665727">
      <w:rPr>
        <w:bCs/>
      </w:rPr>
      <w:fldChar w:fldCharType="begin"/>
    </w:r>
    <w:r w:rsidRPr="00665727">
      <w:rPr>
        <w:bCs/>
      </w:rPr>
      <w:instrText xml:space="preserve"> PAGE </w:instrText>
    </w:r>
    <w:r w:rsidRPr="00665727">
      <w:rPr>
        <w:bCs/>
      </w:rPr>
      <w:fldChar w:fldCharType="separate"/>
    </w:r>
    <w:r w:rsidR="00115A5C">
      <w:rPr>
        <w:bCs/>
        <w:noProof/>
      </w:rPr>
      <w:t>2</w:t>
    </w:r>
    <w:r w:rsidRPr="00665727">
      <w:rPr>
        <w:bCs/>
      </w:rPr>
      <w:fldChar w:fldCharType="end"/>
    </w:r>
    <w:r w:rsidRPr="003C6CBE">
      <w:t xml:space="preserve"> of </w:t>
    </w:r>
    <w:r w:rsidRPr="000A1A18">
      <w:rPr>
        <w:rStyle w:val="Strong"/>
        <w:b w:val="0"/>
        <w:sz w:val="18"/>
        <w:szCs w:val="18"/>
      </w:rPr>
      <w:fldChar w:fldCharType="begin"/>
    </w:r>
    <w:r w:rsidRPr="000A1A18">
      <w:rPr>
        <w:rStyle w:val="Strong"/>
        <w:b w:val="0"/>
        <w:sz w:val="18"/>
        <w:szCs w:val="18"/>
      </w:rPr>
      <w:instrText xml:space="preserve"> NUMPAGES  </w:instrText>
    </w:r>
    <w:r w:rsidRPr="000A1A18">
      <w:rPr>
        <w:rStyle w:val="Strong"/>
        <w:b w:val="0"/>
        <w:sz w:val="18"/>
        <w:szCs w:val="18"/>
      </w:rPr>
      <w:fldChar w:fldCharType="separate"/>
    </w:r>
    <w:r w:rsidR="00115A5C">
      <w:rPr>
        <w:rStyle w:val="Strong"/>
        <w:b w:val="0"/>
        <w:noProof/>
        <w:sz w:val="18"/>
        <w:szCs w:val="18"/>
      </w:rPr>
      <w:t>4</w:t>
    </w:r>
    <w:r w:rsidRPr="000A1A18">
      <w:rPr>
        <w:rStyle w:val="Strong"/>
        <w:b w:val="0"/>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C42" w:rsidRDefault="00986C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73F" w:rsidRDefault="0039473F" w:rsidP="007A463E">
      <w:pPr>
        <w:spacing w:after="0" w:line="240" w:lineRule="auto"/>
      </w:pPr>
      <w:r>
        <w:separator/>
      </w:r>
    </w:p>
    <w:p w:rsidR="0039473F" w:rsidRDefault="0039473F"/>
  </w:footnote>
  <w:footnote w:type="continuationSeparator" w:id="0">
    <w:p w:rsidR="0039473F" w:rsidRDefault="0039473F" w:rsidP="007A463E">
      <w:pPr>
        <w:spacing w:after="0" w:line="240" w:lineRule="auto"/>
      </w:pPr>
      <w:r>
        <w:continuationSeparator/>
      </w:r>
    </w:p>
    <w:p w:rsidR="0039473F" w:rsidRDefault="0039473F"/>
  </w:footnote>
  <w:footnote w:id="1">
    <w:p w:rsidR="00BF6D1D" w:rsidRDefault="00BF6D1D">
      <w:pPr>
        <w:pStyle w:val="FootnoteText"/>
      </w:pPr>
      <w:r>
        <w:rPr>
          <w:rStyle w:val="FootnoteReference"/>
        </w:rPr>
        <w:footnoteRef/>
      </w:r>
      <w:r>
        <w:t xml:space="preserve"> </w:t>
      </w:r>
      <w:r w:rsidRPr="00BF6D1D">
        <w:rPr>
          <w:rFonts w:ascii="Times New Roman" w:hAnsi="Times New Roman"/>
        </w:rPr>
        <w:t xml:space="preserve">Defined in </w:t>
      </w:r>
      <w:proofErr w:type="gramStart"/>
      <w:r w:rsidRPr="00BF6D1D">
        <w:rPr>
          <w:rFonts w:ascii="Times New Roman" w:hAnsi="Times New Roman"/>
        </w:rPr>
        <w:t>s.56(</w:t>
      </w:r>
      <w:proofErr w:type="gramEnd"/>
      <w:r w:rsidRPr="00BF6D1D">
        <w:rPr>
          <w:rFonts w:ascii="Times New Roman" w:hAnsi="Times New Roman"/>
        </w:rPr>
        <w:t>1) of the Act</w:t>
      </w:r>
      <w:r>
        <w:rPr>
          <w:rFonts w:ascii="Times New Roman" w:hAnsi="Times New Roman"/>
        </w:rPr>
        <w:t>.</w:t>
      </w:r>
    </w:p>
  </w:footnote>
  <w:footnote w:id="2">
    <w:p w:rsidR="00BF6D1D" w:rsidRPr="00BF6D1D" w:rsidRDefault="00BF6D1D">
      <w:pPr>
        <w:pStyle w:val="FootnoteText"/>
        <w:rPr>
          <w:rFonts w:ascii="Times New Roman" w:hAnsi="Times New Roman"/>
        </w:rPr>
      </w:pPr>
      <w:r w:rsidRPr="00BF6D1D">
        <w:rPr>
          <w:rStyle w:val="FootnoteReference"/>
          <w:rFonts w:ascii="Times New Roman" w:hAnsi="Times New Roman"/>
        </w:rPr>
        <w:footnoteRef/>
      </w:r>
      <w:r w:rsidRPr="00BF6D1D">
        <w:rPr>
          <w:rFonts w:ascii="Times New Roman" w:hAnsi="Times New Roman"/>
        </w:rPr>
        <w:t xml:space="preserve"> Defined in </w:t>
      </w:r>
      <w:proofErr w:type="gramStart"/>
      <w:r w:rsidRPr="00BF6D1D">
        <w:rPr>
          <w:rFonts w:ascii="Times New Roman" w:hAnsi="Times New Roman"/>
        </w:rPr>
        <w:t>s.56(</w:t>
      </w:r>
      <w:proofErr w:type="gramEnd"/>
      <w:r w:rsidRPr="00BF6D1D">
        <w:rPr>
          <w:rFonts w:ascii="Times New Roman" w:hAnsi="Times New Roman"/>
        </w:rPr>
        <w:t>1) of the Act.</w:t>
      </w:r>
    </w:p>
  </w:footnote>
  <w:footnote w:id="3">
    <w:p w:rsidR="00BF6D1D" w:rsidRDefault="00BF6D1D">
      <w:pPr>
        <w:pStyle w:val="FootnoteText"/>
      </w:pPr>
      <w:r w:rsidRPr="00612891">
        <w:rPr>
          <w:rStyle w:val="FootnoteReference"/>
          <w:rFonts w:ascii="Times New Roman" w:hAnsi="Times New Roman"/>
        </w:rPr>
        <w:footnoteRef/>
      </w:r>
      <w:r w:rsidRPr="00612891">
        <w:rPr>
          <w:rFonts w:ascii="Times New Roman" w:hAnsi="Times New Roman"/>
        </w:rPr>
        <w:t xml:space="preserve"> Defined in </w:t>
      </w:r>
      <w:proofErr w:type="gramStart"/>
      <w:r w:rsidRPr="00612891">
        <w:rPr>
          <w:rFonts w:ascii="Times New Roman" w:hAnsi="Times New Roman"/>
        </w:rPr>
        <w:t>s.3(</w:t>
      </w:r>
      <w:proofErr w:type="gramEnd"/>
      <w:r w:rsidRPr="00612891">
        <w:rPr>
          <w:rFonts w:ascii="Times New Roman" w:hAnsi="Times New Roman"/>
        </w:rPr>
        <w:t>1) of the Act.</w:t>
      </w:r>
    </w:p>
  </w:footnote>
  <w:footnote w:id="4">
    <w:p w:rsidR="00E578DD" w:rsidRPr="00612891" w:rsidRDefault="00E578DD" w:rsidP="00E578DD">
      <w:pPr>
        <w:pStyle w:val="FootnoteText"/>
        <w:rPr>
          <w:rFonts w:ascii="Times New Roman" w:hAnsi="Times New Roman"/>
        </w:rPr>
      </w:pPr>
      <w:r w:rsidRPr="00612891">
        <w:rPr>
          <w:rStyle w:val="FootnoteReference"/>
          <w:rFonts w:ascii="Times New Roman" w:hAnsi="Times New Roman"/>
        </w:rPr>
        <w:footnoteRef/>
      </w:r>
      <w:r w:rsidRPr="00612891">
        <w:rPr>
          <w:rFonts w:ascii="Times New Roman" w:hAnsi="Times New Roman"/>
        </w:rPr>
        <w:t xml:space="preserve">   Where data are provided under the </w:t>
      </w:r>
      <w:r w:rsidRPr="00612891">
        <w:rPr>
          <w:rFonts w:ascii="Times New Roman" w:hAnsi="Times New Roman"/>
          <w:i/>
        </w:rPr>
        <w:t>Financial Sector (Collection of Data) Act 2001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C42" w:rsidRDefault="00986C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727" w:rsidRPr="00665727" w:rsidRDefault="00665727" w:rsidP="00665727">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0CF" w:rsidRDefault="000F20CF" w:rsidP="000F20C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692F6"/>
    <w:lvl w:ilvl="0">
      <w:start w:val="1"/>
      <w:numFmt w:val="lowerLetter"/>
      <w:pStyle w:val="ListNumber5"/>
      <w:lvlText w:val="%1."/>
      <w:lvlJc w:val="left"/>
      <w:pPr>
        <w:ind w:left="1492" w:hanging="360"/>
      </w:pPr>
    </w:lvl>
  </w:abstractNum>
  <w:abstractNum w:abstractNumId="1">
    <w:nsid w:val="FFFFFF7D"/>
    <w:multiLevelType w:val="singleLevel"/>
    <w:tmpl w:val="E4901F6C"/>
    <w:lvl w:ilvl="0">
      <w:start w:val="1"/>
      <w:numFmt w:val="lowerRoman"/>
      <w:pStyle w:val="ListNumber4"/>
      <w:lvlText w:val="%1."/>
      <w:lvlJc w:val="right"/>
      <w:pPr>
        <w:ind w:left="1209" w:hanging="360"/>
      </w:pPr>
    </w:lvl>
  </w:abstractNum>
  <w:abstractNum w:abstractNumId="2">
    <w:nsid w:val="FFFFFF7E"/>
    <w:multiLevelType w:val="singleLevel"/>
    <w:tmpl w:val="335CDAA6"/>
    <w:lvl w:ilvl="0">
      <w:start w:val="1"/>
      <w:numFmt w:val="decimal"/>
      <w:pStyle w:val="ListNumber3"/>
      <w:lvlText w:val="%1.1.1"/>
      <w:lvlJc w:val="left"/>
      <w:pPr>
        <w:ind w:left="926" w:hanging="360"/>
      </w:pPr>
      <w:rPr>
        <w:rFonts w:ascii="Trebuchet MS" w:hAnsi="Trebuchet MS" w:hint="default"/>
      </w:rPr>
    </w:lvl>
  </w:abstractNum>
  <w:abstractNum w:abstractNumId="3">
    <w:nsid w:val="FFFFFF7F"/>
    <w:multiLevelType w:val="singleLevel"/>
    <w:tmpl w:val="297E4934"/>
    <w:lvl w:ilvl="0">
      <w:start w:val="1"/>
      <w:numFmt w:val="decimal"/>
      <w:pStyle w:val="ListNumber2"/>
      <w:lvlText w:val="%1.1"/>
      <w:lvlJc w:val="left"/>
      <w:pPr>
        <w:ind w:left="643" w:hanging="360"/>
      </w:pPr>
      <w:rPr>
        <w:rFonts w:ascii="Trebuchet MS" w:hAnsi="Trebuchet MS" w:hint="default"/>
      </w:rPr>
    </w:lvl>
  </w:abstractNum>
  <w:abstractNum w:abstractNumId="4">
    <w:nsid w:val="FFFFFF80"/>
    <w:multiLevelType w:val="singleLevel"/>
    <w:tmpl w:val="A07AE4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4D8A46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B48873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4BAE3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multilevel"/>
    <w:tmpl w:val="1AB4E9FC"/>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9">
    <w:nsid w:val="FFFFFF89"/>
    <w:multiLevelType w:val="singleLevel"/>
    <w:tmpl w:val="0C09000F"/>
    <w:lvl w:ilvl="0">
      <w:start w:val="1"/>
      <w:numFmt w:val="decimal"/>
      <w:lvlText w:val="%1."/>
      <w:lvlJc w:val="left"/>
      <w:pPr>
        <w:ind w:left="360" w:hanging="360"/>
      </w:pPr>
      <w:rPr>
        <w:rFonts w:hint="default"/>
      </w:rPr>
    </w:lvl>
  </w:abstractNum>
  <w:abstractNum w:abstractNumId="10">
    <w:nsid w:val="04BB1D97"/>
    <w:multiLevelType w:val="hybridMultilevel"/>
    <w:tmpl w:val="CEF4D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47803E8"/>
    <w:multiLevelType w:val="multilevel"/>
    <w:tmpl w:val="0C09001F"/>
    <w:numStyleLink w:val="111111"/>
  </w:abstractNum>
  <w:abstractNum w:abstractNumId="12">
    <w:nsid w:val="1E1409B1"/>
    <w:multiLevelType w:val="multilevel"/>
    <w:tmpl w:val="0C09001F"/>
    <w:numStyleLink w:val="111111"/>
  </w:abstractNum>
  <w:abstractNum w:abstractNumId="13">
    <w:nsid w:val="255444F2"/>
    <w:multiLevelType w:val="multilevel"/>
    <w:tmpl w:val="0C09001F"/>
    <w:styleLink w:val="111111"/>
    <w:lvl w:ilvl="0">
      <w:start w:val="1"/>
      <w:numFmt w:val="decimal"/>
      <w:pStyle w:val="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EA24224"/>
    <w:multiLevelType w:val="hybridMultilevel"/>
    <w:tmpl w:val="4DDC5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73F2167"/>
    <w:multiLevelType w:val="hybridMultilevel"/>
    <w:tmpl w:val="57282F2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9B47CE9"/>
    <w:multiLevelType w:val="hybridMultilevel"/>
    <w:tmpl w:val="135CF526"/>
    <w:lvl w:ilvl="0" w:tplc="5706FFF6">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400E1983"/>
    <w:multiLevelType w:val="multilevel"/>
    <w:tmpl w:val="0C09001F"/>
    <w:numStyleLink w:val="111111"/>
  </w:abstractNum>
  <w:abstractNum w:abstractNumId="18">
    <w:nsid w:val="562E7D13"/>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5EA072EC"/>
    <w:multiLevelType w:val="multilevel"/>
    <w:tmpl w:val="331866B0"/>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0">
    <w:nsid w:val="70776594"/>
    <w:multiLevelType w:val="multilevel"/>
    <w:tmpl w:val="961E74C2"/>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20"/>
  </w:num>
  <w:num w:numId="2">
    <w:abstractNumId w:val="20"/>
  </w:num>
  <w:num w:numId="3">
    <w:abstractNumId w:val="20"/>
  </w:num>
  <w:num w:numId="4">
    <w:abstractNumId w:val="18"/>
  </w:num>
  <w:num w:numId="5">
    <w:abstractNumId w:val="18"/>
  </w:num>
  <w:num w:numId="6">
    <w:abstractNumId w:val="18"/>
  </w:num>
  <w:num w:numId="7">
    <w:abstractNumId w:val="18"/>
  </w:num>
  <w:num w:numId="8">
    <w:abstractNumId w:val="18"/>
  </w:num>
  <w:num w:numId="9">
    <w:abstractNumId w:val="18"/>
  </w:num>
  <w:num w:numId="10">
    <w:abstractNumId w:val="18"/>
  </w:num>
  <w:num w:numId="11">
    <w:abstractNumId w:val="20"/>
  </w:num>
  <w:num w:numId="12">
    <w:abstractNumId w:val="20"/>
  </w:num>
  <w:num w:numId="13">
    <w:abstractNumId w:val="2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17"/>
  </w:num>
  <w:num w:numId="26">
    <w:abstractNumId w:val="12"/>
  </w:num>
  <w:num w:numId="27">
    <w:abstractNumId w:val="11"/>
  </w:num>
  <w:num w:numId="28">
    <w:abstractNumId w:val="12"/>
  </w:num>
  <w:num w:numId="29">
    <w:abstractNumId w:val="19"/>
  </w:num>
  <w:num w:numId="30">
    <w:abstractNumId w:val="12"/>
    <w:lvlOverride w:ilvl="0">
      <w:startOverride w:val="1"/>
    </w:lvlOverride>
  </w:num>
  <w:num w:numId="31">
    <w:abstractNumId w:val="8"/>
    <w:lvlOverride w:ilvl="0">
      <w:startOverride w:val="2"/>
    </w:lvlOverride>
    <w:lvlOverride w:ilvl="1">
      <w:startOverride w:val="1"/>
    </w:lvlOverride>
  </w:num>
  <w:num w:numId="32">
    <w:abstractNumId w:val="8"/>
    <w:lvlOverride w:ilvl="0">
      <w:startOverride w:val="2"/>
    </w:lvlOverride>
    <w:lvlOverride w:ilvl="1">
      <w:startOverride w:val="1"/>
    </w:lvlOverride>
  </w:num>
  <w:num w:numId="33">
    <w:abstractNumId w:val="15"/>
  </w:num>
  <w:num w:numId="34">
    <w:abstractNumId w:val="16"/>
  </w:num>
  <w:num w:numId="35">
    <w:abstractNumId w:val="14"/>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8DD"/>
    <w:rsid w:val="00003065"/>
    <w:rsid w:val="00011B0A"/>
    <w:rsid w:val="00022A11"/>
    <w:rsid w:val="00053F0B"/>
    <w:rsid w:val="00063BDC"/>
    <w:rsid w:val="00064C43"/>
    <w:rsid w:val="000A1A18"/>
    <w:rsid w:val="000C170D"/>
    <w:rsid w:val="000C3FBD"/>
    <w:rsid w:val="000D2D92"/>
    <w:rsid w:val="000E7027"/>
    <w:rsid w:val="000F20CF"/>
    <w:rsid w:val="00115A5C"/>
    <w:rsid w:val="00115A8B"/>
    <w:rsid w:val="00122E07"/>
    <w:rsid w:val="001502F1"/>
    <w:rsid w:val="00156AB9"/>
    <w:rsid w:val="001D3046"/>
    <w:rsid w:val="001D505A"/>
    <w:rsid w:val="001E00D2"/>
    <w:rsid w:val="001F71DC"/>
    <w:rsid w:val="00200E7D"/>
    <w:rsid w:val="0021143E"/>
    <w:rsid w:val="00230E14"/>
    <w:rsid w:val="002329A8"/>
    <w:rsid w:val="002403C8"/>
    <w:rsid w:val="00257E33"/>
    <w:rsid w:val="0026542C"/>
    <w:rsid w:val="00267EBC"/>
    <w:rsid w:val="002767C9"/>
    <w:rsid w:val="00276B5A"/>
    <w:rsid w:val="00295D02"/>
    <w:rsid w:val="002B0B89"/>
    <w:rsid w:val="002B5482"/>
    <w:rsid w:val="002B6F5E"/>
    <w:rsid w:val="002C347C"/>
    <w:rsid w:val="002F5035"/>
    <w:rsid w:val="003178F7"/>
    <w:rsid w:val="00353DE2"/>
    <w:rsid w:val="003553F5"/>
    <w:rsid w:val="00356B85"/>
    <w:rsid w:val="00367A5D"/>
    <w:rsid w:val="003707EE"/>
    <w:rsid w:val="00373B0D"/>
    <w:rsid w:val="0039473F"/>
    <w:rsid w:val="00395114"/>
    <w:rsid w:val="003C6CBE"/>
    <w:rsid w:val="003D6738"/>
    <w:rsid w:val="003F610C"/>
    <w:rsid w:val="00404DA2"/>
    <w:rsid w:val="00416E30"/>
    <w:rsid w:val="004211E3"/>
    <w:rsid w:val="0043440F"/>
    <w:rsid w:val="00444BF0"/>
    <w:rsid w:val="004655A9"/>
    <w:rsid w:val="00465B2F"/>
    <w:rsid w:val="004C2EC4"/>
    <w:rsid w:val="004C4A61"/>
    <w:rsid w:val="004D7117"/>
    <w:rsid w:val="004E7E09"/>
    <w:rsid w:val="00547263"/>
    <w:rsid w:val="00555790"/>
    <w:rsid w:val="00582C59"/>
    <w:rsid w:val="00582FA2"/>
    <w:rsid w:val="005D416C"/>
    <w:rsid w:val="005E1E5D"/>
    <w:rsid w:val="00606A83"/>
    <w:rsid w:val="00606F5A"/>
    <w:rsid w:val="0060742D"/>
    <w:rsid w:val="00612891"/>
    <w:rsid w:val="006128BA"/>
    <w:rsid w:val="0061410E"/>
    <w:rsid w:val="0062513A"/>
    <w:rsid w:val="0062611E"/>
    <w:rsid w:val="00634C4B"/>
    <w:rsid w:val="006352A2"/>
    <w:rsid w:val="00643A21"/>
    <w:rsid w:val="00646C7A"/>
    <w:rsid w:val="00665727"/>
    <w:rsid w:val="00677A36"/>
    <w:rsid w:val="006A5169"/>
    <w:rsid w:val="006C1429"/>
    <w:rsid w:val="006E4003"/>
    <w:rsid w:val="006F0351"/>
    <w:rsid w:val="00706180"/>
    <w:rsid w:val="007123A1"/>
    <w:rsid w:val="007236E2"/>
    <w:rsid w:val="007250D2"/>
    <w:rsid w:val="007403DD"/>
    <w:rsid w:val="0074761E"/>
    <w:rsid w:val="00764256"/>
    <w:rsid w:val="00781FF4"/>
    <w:rsid w:val="00786B63"/>
    <w:rsid w:val="007A2435"/>
    <w:rsid w:val="007A463E"/>
    <w:rsid w:val="007D1D55"/>
    <w:rsid w:val="007E44CA"/>
    <w:rsid w:val="007E742F"/>
    <w:rsid w:val="007F6BB6"/>
    <w:rsid w:val="00810AA7"/>
    <w:rsid w:val="00815FF6"/>
    <w:rsid w:val="00816255"/>
    <w:rsid w:val="008204C0"/>
    <w:rsid w:val="00857706"/>
    <w:rsid w:val="00857979"/>
    <w:rsid w:val="00867796"/>
    <w:rsid w:val="00870FFC"/>
    <w:rsid w:val="00872E1D"/>
    <w:rsid w:val="008731CD"/>
    <w:rsid w:val="008C4B9B"/>
    <w:rsid w:val="0090186B"/>
    <w:rsid w:val="009118C6"/>
    <w:rsid w:val="00921341"/>
    <w:rsid w:val="0092635A"/>
    <w:rsid w:val="0096273C"/>
    <w:rsid w:val="00970A4C"/>
    <w:rsid w:val="0097242F"/>
    <w:rsid w:val="00973EBF"/>
    <w:rsid w:val="0098213D"/>
    <w:rsid w:val="00983285"/>
    <w:rsid w:val="00985F74"/>
    <w:rsid w:val="00986C42"/>
    <w:rsid w:val="0098743D"/>
    <w:rsid w:val="009F1036"/>
    <w:rsid w:val="00A00652"/>
    <w:rsid w:val="00A06EE8"/>
    <w:rsid w:val="00A077E2"/>
    <w:rsid w:val="00A17687"/>
    <w:rsid w:val="00A30827"/>
    <w:rsid w:val="00A35C0E"/>
    <w:rsid w:val="00A37017"/>
    <w:rsid w:val="00A54292"/>
    <w:rsid w:val="00A66ADC"/>
    <w:rsid w:val="00A84282"/>
    <w:rsid w:val="00AA701F"/>
    <w:rsid w:val="00AD6C14"/>
    <w:rsid w:val="00AF470F"/>
    <w:rsid w:val="00B202BF"/>
    <w:rsid w:val="00B21A37"/>
    <w:rsid w:val="00B44A29"/>
    <w:rsid w:val="00B66A86"/>
    <w:rsid w:val="00B86EF7"/>
    <w:rsid w:val="00BD5CEC"/>
    <w:rsid w:val="00BF6D1D"/>
    <w:rsid w:val="00C614C0"/>
    <w:rsid w:val="00C824DE"/>
    <w:rsid w:val="00CA247C"/>
    <w:rsid w:val="00CC05EA"/>
    <w:rsid w:val="00CE0F02"/>
    <w:rsid w:val="00CE3987"/>
    <w:rsid w:val="00CF1FC4"/>
    <w:rsid w:val="00D02242"/>
    <w:rsid w:val="00D04818"/>
    <w:rsid w:val="00D14049"/>
    <w:rsid w:val="00D3332F"/>
    <w:rsid w:val="00D74134"/>
    <w:rsid w:val="00D94B82"/>
    <w:rsid w:val="00D95999"/>
    <w:rsid w:val="00DC771B"/>
    <w:rsid w:val="00DC7EF3"/>
    <w:rsid w:val="00E01084"/>
    <w:rsid w:val="00E1430F"/>
    <w:rsid w:val="00E32CE9"/>
    <w:rsid w:val="00E36C9E"/>
    <w:rsid w:val="00E453BF"/>
    <w:rsid w:val="00E55A7E"/>
    <w:rsid w:val="00E578DD"/>
    <w:rsid w:val="00E6235E"/>
    <w:rsid w:val="00E63012"/>
    <w:rsid w:val="00E81F89"/>
    <w:rsid w:val="00E83D82"/>
    <w:rsid w:val="00E96618"/>
    <w:rsid w:val="00EB2516"/>
    <w:rsid w:val="00EB722E"/>
    <w:rsid w:val="00ED3926"/>
    <w:rsid w:val="00EE08D5"/>
    <w:rsid w:val="00EF496F"/>
    <w:rsid w:val="00EF5EE9"/>
    <w:rsid w:val="00F11BC9"/>
    <w:rsid w:val="00F327CB"/>
    <w:rsid w:val="00F678CF"/>
    <w:rsid w:val="00F74E58"/>
    <w:rsid w:val="00F77F5D"/>
    <w:rsid w:val="00F865EB"/>
    <w:rsid w:val="00FA2F99"/>
    <w:rsid w:val="00FC7C63"/>
    <w:rsid w:val="00FD6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imes New Roman"/>
        <w:sz w:val="22"/>
        <w:szCs w:val="22"/>
        <w:lang w:val="en-AU" w:eastAsia="en-US" w:bidi="ar-SA"/>
      </w:rPr>
    </w:rPrDefault>
    <w:pPrDefault>
      <w:pPr>
        <w:spacing w:after="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EF3"/>
  </w:style>
  <w:style w:type="paragraph" w:styleId="Heading1">
    <w:name w:val="heading 1"/>
    <w:next w:val="Normal"/>
    <w:link w:val="Heading1Char"/>
    <w:uiPriority w:val="9"/>
    <w:qFormat/>
    <w:rsid w:val="00DC7EF3"/>
    <w:pPr>
      <w:keepNext/>
      <w:keepLines/>
      <w:spacing w:before="480" w:after="600" w:line="360" w:lineRule="auto"/>
      <w:contextualSpacing/>
      <w:outlineLvl w:val="0"/>
    </w:pPr>
    <w:rPr>
      <w:rFonts w:eastAsiaTheme="majorEastAsia" w:cstheme="majorBidi"/>
      <w:b/>
      <w:bCs/>
      <w:kern w:val="28"/>
      <w:sz w:val="56"/>
      <w:szCs w:val="32"/>
    </w:rPr>
  </w:style>
  <w:style w:type="paragraph" w:styleId="Heading2">
    <w:name w:val="heading 2"/>
    <w:basedOn w:val="Heading1"/>
    <w:next w:val="Normal"/>
    <w:link w:val="Heading2Char"/>
    <w:uiPriority w:val="9"/>
    <w:unhideWhenUsed/>
    <w:qFormat/>
    <w:rsid w:val="00444BF0"/>
    <w:pPr>
      <w:spacing w:before="240" w:after="360"/>
      <w:outlineLvl w:val="1"/>
    </w:pPr>
    <w:rPr>
      <w:bCs w:val="0"/>
      <w:sz w:val="36"/>
      <w:szCs w:val="26"/>
    </w:rPr>
  </w:style>
  <w:style w:type="paragraph" w:styleId="Heading3">
    <w:name w:val="heading 3"/>
    <w:basedOn w:val="Heading2"/>
    <w:next w:val="Normal"/>
    <w:link w:val="Heading3Char"/>
    <w:uiPriority w:val="9"/>
    <w:unhideWhenUsed/>
    <w:qFormat/>
    <w:rsid w:val="00444BF0"/>
    <w:pPr>
      <w:spacing w:after="240"/>
      <w:outlineLvl w:val="2"/>
    </w:pPr>
    <w:rPr>
      <w:bCs/>
      <w:sz w:val="32"/>
    </w:rPr>
  </w:style>
  <w:style w:type="paragraph" w:styleId="Heading4">
    <w:name w:val="heading 4"/>
    <w:basedOn w:val="Heading3"/>
    <w:next w:val="Normal"/>
    <w:link w:val="Heading4Char"/>
    <w:uiPriority w:val="9"/>
    <w:unhideWhenUsed/>
    <w:qFormat/>
    <w:rsid w:val="00444BF0"/>
    <w:pPr>
      <w:spacing w:before="200" w:after="200"/>
      <w:outlineLvl w:val="3"/>
    </w:pPr>
    <w:rPr>
      <w:bCs w:val="0"/>
      <w:iCs/>
      <w:sz w:val="28"/>
    </w:rPr>
  </w:style>
  <w:style w:type="paragraph" w:styleId="Heading5">
    <w:name w:val="heading 5"/>
    <w:basedOn w:val="Heading4"/>
    <w:next w:val="Normal"/>
    <w:link w:val="Heading5Char"/>
    <w:uiPriority w:val="9"/>
    <w:unhideWhenUsed/>
    <w:qFormat/>
    <w:rsid w:val="00444BF0"/>
    <w:pPr>
      <w:spacing w:before="120"/>
      <w:outlineLvl w:val="4"/>
    </w:pPr>
    <w:rPr>
      <w:sz w:val="24"/>
    </w:rPr>
  </w:style>
  <w:style w:type="paragraph" w:styleId="Heading6">
    <w:name w:val="heading 6"/>
    <w:basedOn w:val="Heading5"/>
    <w:next w:val="Normal"/>
    <w:link w:val="Heading6Char"/>
    <w:uiPriority w:val="9"/>
    <w:unhideWhenUsed/>
    <w:qFormat/>
    <w:rsid w:val="00677A36"/>
    <w:pPr>
      <w:outlineLvl w:val="5"/>
    </w:pPr>
    <w:rPr>
      <w:b w:val="0"/>
      <w:i/>
    </w:rPr>
  </w:style>
  <w:style w:type="paragraph" w:styleId="Heading7">
    <w:name w:val="heading 7"/>
    <w:basedOn w:val="Heading6"/>
    <w:next w:val="Normal"/>
    <w:link w:val="Heading7Char"/>
    <w:uiPriority w:val="9"/>
    <w:semiHidden/>
    <w:unhideWhenUsed/>
    <w:rsid w:val="00444BF0"/>
    <w:pPr>
      <w:spacing w:before="200" w:after="120" w:line="288" w:lineRule="auto"/>
      <w:contextualSpacing w:val="0"/>
      <w:outlineLvl w:val="6"/>
    </w:pPr>
    <w:rPr>
      <w:b/>
      <w:i w:val="0"/>
      <w:color w:val="404040"/>
      <w:kern w:val="0"/>
      <w:sz w:val="22"/>
      <w:szCs w:val="22"/>
    </w:rPr>
  </w:style>
  <w:style w:type="paragraph" w:styleId="Heading8">
    <w:name w:val="heading 8"/>
    <w:basedOn w:val="Normal"/>
    <w:next w:val="Normal"/>
    <w:link w:val="Heading8Char"/>
    <w:uiPriority w:val="9"/>
    <w:semiHidden/>
    <w:unhideWhenUsed/>
    <w:qFormat/>
    <w:rsid w:val="00677A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77A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7A36"/>
    <w:pPr>
      <w:spacing w:line="240" w:lineRule="auto"/>
    </w:pPr>
  </w:style>
  <w:style w:type="character" w:customStyle="1" w:styleId="Heading1Char">
    <w:name w:val="Heading 1 Char"/>
    <w:link w:val="Heading1"/>
    <w:uiPriority w:val="9"/>
    <w:rsid w:val="00DC7EF3"/>
    <w:rPr>
      <w:rFonts w:eastAsiaTheme="majorEastAsia" w:cstheme="majorBidi"/>
      <w:b/>
      <w:bCs/>
      <w:kern w:val="28"/>
      <w:sz w:val="56"/>
      <w:szCs w:val="32"/>
    </w:rPr>
  </w:style>
  <w:style w:type="character" w:customStyle="1" w:styleId="Heading2Char">
    <w:name w:val="Heading 2 Char"/>
    <w:link w:val="Heading2"/>
    <w:uiPriority w:val="9"/>
    <w:rsid w:val="00444BF0"/>
    <w:rPr>
      <w:rFonts w:eastAsiaTheme="majorEastAsia" w:cstheme="majorBidi"/>
      <w:b/>
      <w:kern w:val="28"/>
      <w:sz w:val="36"/>
      <w:szCs w:val="26"/>
    </w:rPr>
  </w:style>
  <w:style w:type="character" w:customStyle="1" w:styleId="Heading4Char">
    <w:name w:val="Heading 4 Char"/>
    <w:link w:val="Heading4"/>
    <w:uiPriority w:val="9"/>
    <w:rsid w:val="00444BF0"/>
    <w:rPr>
      <w:rFonts w:eastAsiaTheme="majorEastAsia" w:cstheme="majorBidi"/>
      <w:iCs/>
      <w:kern w:val="28"/>
      <w:sz w:val="28"/>
      <w:szCs w:val="26"/>
    </w:rPr>
  </w:style>
  <w:style w:type="paragraph" w:customStyle="1" w:styleId="Bullet">
    <w:name w:val="Bullet"/>
    <w:basedOn w:val="Normal"/>
    <w:link w:val="BulletChar"/>
    <w:rsid w:val="006E4003"/>
    <w:pPr>
      <w:numPr>
        <w:numId w:val="13"/>
      </w:numPr>
      <w:tabs>
        <w:tab w:val="left" w:pos="1935"/>
      </w:tabs>
      <w:spacing w:before="120" w:line="240" w:lineRule="auto"/>
    </w:pPr>
    <w:rPr>
      <w:sz w:val="24"/>
    </w:rPr>
  </w:style>
  <w:style w:type="character" w:customStyle="1" w:styleId="BulletChar">
    <w:name w:val="Bullet Char"/>
    <w:link w:val="Bullet"/>
    <w:rsid w:val="006E4003"/>
    <w:rPr>
      <w:rFonts w:ascii="Trebuchet MS" w:eastAsia="Times New Roman" w:hAnsi="Trebuchet MS" w:cs="Times New Roman"/>
      <w:sz w:val="24"/>
      <w:lang w:eastAsia="en-AU"/>
    </w:rPr>
  </w:style>
  <w:style w:type="paragraph" w:customStyle="1" w:styleId="Nonchapterheading">
    <w:name w:val="Non chapter heading"/>
    <w:basedOn w:val="Heading5"/>
    <w:link w:val="NonchapterheadingChar"/>
    <w:rsid w:val="006E4003"/>
    <w:pPr>
      <w:spacing w:after="120" w:line="288" w:lineRule="auto"/>
      <w:ind w:left="360" w:hanging="360"/>
    </w:pPr>
    <w:rPr>
      <w:rFonts w:eastAsia="Times New Roman" w:cs="Times New Roman"/>
      <w:iCs w:val="0"/>
      <w:kern w:val="0"/>
      <w:szCs w:val="22"/>
    </w:rPr>
  </w:style>
  <w:style w:type="character" w:customStyle="1" w:styleId="NonchapterheadingChar">
    <w:name w:val="Non chapter heading Char"/>
    <w:basedOn w:val="Heading5Char"/>
    <w:link w:val="Nonchapterheading"/>
    <w:rsid w:val="006E4003"/>
    <w:rPr>
      <w:rFonts w:eastAsia="Times New Roman" w:cs="Times New Roman"/>
      <w:b/>
      <w:iCs/>
      <w:kern w:val="28"/>
      <w:sz w:val="24"/>
      <w:szCs w:val="26"/>
    </w:rPr>
  </w:style>
  <w:style w:type="character" w:customStyle="1" w:styleId="Heading5Char">
    <w:name w:val="Heading 5 Char"/>
    <w:link w:val="Heading5"/>
    <w:uiPriority w:val="9"/>
    <w:rsid w:val="00444BF0"/>
    <w:rPr>
      <w:rFonts w:eastAsiaTheme="majorEastAsia" w:cstheme="majorBidi"/>
      <w:b/>
      <w:iCs/>
      <w:kern w:val="28"/>
      <w:sz w:val="24"/>
      <w:szCs w:val="26"/>
    </w:rPr>
  </w:style>
  <w:style w:type="paragraph" w:customStyle="1" w:styleId="Non-numberedchapterheading">
    <w:name w:val="Non-numbered chapter heading"/>
    <w:basedOn w:val="Heading5"/>
    <w:link w:val="Non-numberedchapterheadingChar"/>
    <w:rsid w:val="006E4003"/>
    <w:pPr>
      <w:spacing w:after="120" w:line="288" w:lineRule="auto"/>
      <w:ind w:left="360" w:hanging="360"/>
    </w:pPr>
    <w:rPr>
      <w:rFonts w:eastAsia="Times New Roman" w:cs="Times New Roman"/>
      <w:iCs w:val="0"/>
      <w:kern w:val="0"/>
      <w:szCs w:val="22"/>
    </w:rPr>
  </w:style>
  <w:style w:type="character" w:customStyle="1" w:styleId="Non-numberedchapterheadingChar">
    <w:name w:val="Non-numbered chapter heading Char"/>
    <w:basedOn w:val="Heading5Char"/>
    <w:link w:val="Non-numberedchapterheading"/>
    <w:rsid w:val="006E4003"/>
    <w:rPr>
      <w:rFonts w:eastAsia="Times New Roman" w:cs="Times New Roman"/>
      <w:b/>
      <w:iCs/>
      <w:kern w:val="28"/>
      <w:sz w:val="24"/>
      <w:szCs w:val="26"/>
    </w:rPr>
  </w:style>
  <w:style w:type="character" w:customStyle="1" w:styleId="Heading3Char">
    <w:name w:val="Heading 3 Char"/>
    <w:link w:val="Heading3"/>
    <w:uiPriority w:val="9"/>
    <w:rsid w:val="00444BF0"/>
    <w:rPr>
      <w:rFonts w:eastAsiaTheme="majorEastAsia" w:cstheme="majorBidi"/>
      <w:bCs/>
      <w:kern w:val="28"/>
      <w:sz w:val="32"/>
      <w:szCs w:val="26"/>
    </w:rPr>
  </w:style>
  <w:style w:type="character" w:customStyle="1" w:styleId="Heading6Char">
    <w:name w:val="Heading 6 Char"/>
    <w:link w:val="Heading6"/>
    <w:uiPriority w:val="9"/>
    <w:rsid w:val="003D6738"/>
    <w:rPr>
      <w:rFonts w:eastAsiaTheme="majorEastAsia" w:cstheme="majorBidi"/>
      <w:i/>
      <w:iCs/>
      <w:kern w:val="28"/>
      <w:sz w:val="24"/>
      <w:szCs w:val="26"/>
    </w:rPr>
  </w:style>
  <w:style w:type="character" w:customStyle="1" w:styleId="Heading7Char">
    <w:name w:val="Heading 7 Char"/>
    <w:link w:val="Heading7"/>
    <w:uiPriority w:val="9"/>
    <w:semiHidden/>
    <w:rsid w:val="00444BF0"/>
    <w:rPr>
      <w:rFonts w:eastAsiaTheme="majorEastAsia" w:cstheme="majorBidi"/>
      <w:b/>
      <w:iCs/>
      <w:color w:val="404040"/>
    </w:rPr>
  </w:style>
  <w:style w:type="paragraph" w:styleId="TOC1">
    <w:name w:val="toc 1"/>
    <w:basedOn w:val="Normal"/>
    <w:next w:val="Normal"/>
    <w:autoRedefine/>
    <w:uiPriority w:val="39"/>
    <w:unhideWhenUsed/>
    <w:rsid w:val="006E4003"/>
    <w:pPr>
      <w:tabs>
        <w:tab w:val="right" w:leader="dot" w:pos="9016"/>
      </w:tabs>
    </w:pPr>
    <w:rPr>
      <w:b/>
      <w:noProof/>
    </w:rPr>
  </w:style>
  <w:style w:type="paragraph" w:styleId="TOC2">
    <w:name w:val="toc 2"/>
    <w:basedOn w:val="Normal"/>
    <w:next w:val="Normal"/>
    <w:autoRedefine/>
    <w:uiPriority w:val="39"/>
    <w:unhideWhenUsed/>
    <w:rsid w:val="002F5035"/>
    <w:pPr>
      <w:ind w:left="220"/>
    </w:pPr>
    <w:rPr>
      <w:b/>
    </w:rPr>
  </w:style>
  <w:style w:type="paragraph" w:styleId="TOC3">
    <w:name w:val="toc 3"/>
    <w:basedOn w:val="Normal"/>
    <w:next w:val="Normal"/>
    <w:autoRedefine/>
    <w:uiPriority w:val="39"/>
    <w:unhideWhenUsed/>
    <w:rsid w:val="006E4003"/>
    <w:pPr>
      <w:ind w:left="440"/>
    </w:pPr>
  </w:style>
  <w:style w:type="paragraph" w:styleId="TOC4">
    <w:name w:val="toc 4"/>
    <w:basedOn w:val="Normal"/>
    <w:next w:val="Normal"/>
    <w:autoRedefine/>
    <w:uiPriority w:val="39"/>
    <w:unhideWhenUsed/>
    <w:rsid w:val="006E4003"/>
    <w:pPr>
      <w:ind w:left="660"/>
    </w:pPr>
  </w:style>
  <w:style w:type="paragraph" w:styleId="FootnoteText">
    <w:name w:val="footnote text"/>
    <w:basedOn w:val="Normal"/>
    <w:link w:val="FootnoteTextChar"/>
    <w:uiPriority w:val="99"/>
    <w:unhideWhenUsed/>
    <w:rsid w:val="006E4003"/>
    <w:pPr>
      <w:spacing w:line="240" w:lineRule="auto"/>
    </w:pPr>
    <w:rPr>
      <w:sz w:val="18"/>
    </w:rPr>
  </w:style>
  <w:style w:type="character" w:customStyle="1" w:styleId="FootnoteTextChar">
    <w:name w:val="Footnote Text Char"/>
    <w:link w:val="FootnoteText"/>
    <w:uiPriority w:val="99"/>
    <w:rsid w:val="006E4003"/>
    <w:rPr>
      <w:rFonts w:ascii="Trebuchet MS" w:eastAsia="Times New Roman" w:hAnsi="Trebuchet MS" w:cs="Times New Roman"/>
      <w:sz w:val="18"/>
      <w:lang w:eastAsia="en-AU"/>
    </w:rPr>
  </w:style>
  <w:style w:type="paragraph" w:styleId="Header">
    <w:name w:val="header"/>
    <w:basedOn w:val="Normal"/>
    <w:link w:val="HeaderChar"/>
    <w:unhideWhenUsed/>
    <w:rsid w:val="006E4003"/>
    <w:pPr>
      <w:tabs>
        <w:tab w:val="center" w:pos="4513"/>
        <w:tab w:val="right" w:pos="9026"/>
      </w:tabs>
    </w:pPr>
  </w:style>
  <w:style w:type="character" w:customStyle="1" w:styleId="HeaderChar">
    <w:name w:val="Header Char"/>
    <w:link w:val="Header"/>
    <w:rsid w:val="006E4003"/>
    <w:rPr>
      <w:rFonts w:ascii="Trebuchet MS" w:eastAsia="Times New Roman" w:hAnsi="Trebuchet MS" w:cs="Times New Roman"/>
      <w:lang w:eastAsia="en-AU"/>
    </w:rPr>
  </w:style>
  <w:style w:type="paragraph" w:styleId="Footer">
    <w:name w:val="footer"/>
    <w:basedOn w:val="Normal"/>
    <w:link w:val="FooterChar"/>
    <w:uiPriority w:val="99"/>
    <w:unhideWhenUsed/>
    <w:rsid w:val="0021143E"/>
    <w:pPr>
      <w:tabs>
        <w:tab w:val="center" w:pos="4513"/>
        <w:tab w:val="right" w:pos="9026"/>
      </w:tabs>
      <w:spacing w:before="120" w:line="240" w:lineRule="auto"/>
      <w:jc w:val="right"/>
    </w:pPr>
    <w:rPr>
      <w:sz w:val="18"/>
    </w:rPr>
  </w:style>
  <w:style w:type="character" w:customStyle="1" w:styleId="FooterChar">
    <w:name w:val="Footer Char"/>
    <w:link w:val="Footer"/>
    <w:uiPriority w:val="99"/>
    <w:rsid w:val="0021143E"/>
    <w:rPr>
      <w:rFonts w:asciiTheme="minorHAnsi" w:hAnsiTheme="minorHAnsi"/>
      <w:sz w:val="18"/>
    </w:rPr>
  </w:style>
  <w:style w:type="character" w:styleId="FootnoteReference">
    <w:name w:val="footnote reference"/>
    <w:uiPriority w:val="99"/>
    <w:unhideWhenUsed/>
    <w:rsid w:val="006E4003"/>
    <w:rPr>
      <w:rFonts w:ascii="Trebuchet MS" w:hAnsi="Trebuchet MS"/>
      <w:i w:val="0"/>
      <w:color w:val="595959" w:themeColor="text1" w:themeTint="A6"/>
      <w:sz w:val="18"/>
      <w:vertAlign w:val="superscript"/>
    </w:rPr>
  </w:style>
  <w:style w:type="paragraph" w:styleId="Subtitle">
    <w:name w:val="Subtitle"/>
    <w:basedOn w:val="Normal"/>
    <w:next w:val="Normal"/>
    <w:link w:val="SubtitleChar"/>
    <w:uiPriority w:val="11"/>
    <w:qFormat/>
    <w:rsid w:val="00677A36"/>
    <w:pPr>
      <w:numPr>
        <w:ilvl w:val="1"/>
      </w:numPr>
    </w:pPr>
    <w:rPr>
      <w:rFonts w:eastAsiaTheme="majorEastAsia" w:cstheme="majorBidi"/>
      <w:i/>
      <w:iCs/>
      <w:spacing w:val="15"/>
      <w:szCs w:val="24"/>
    </w:rPr>
  </w:style>
  <w:style w:type="character" w:customStyle="1" w:styleId="SubtitleChar">
    <w:name w:val="Subtitle Char"/>
    <w:link w:val="Subtitle"/>
    <w:uiPriority w:val="11"/>
    <w:rsid w:val="00677A36"/>
    <w:rPr>
      <w:rFonts w:eastAsiaTheme="majorEastAsia" w:cstheme="majorBidi"/>
      <w:i/>
      <w:iCs/>
      <w:spacing w:val="15"/>
      <w:szCs w:val="24"/>
    </w:rPr>
  </w:style>
  <w:style w:type="character" w:styleId="Hyperlink">
    <w:name w:val="Hyperlink"/>
    <w:uiPriority w:val="99"/>
    <w:rsid w:val="006E4003"/>
    <w:rPr>
      <w:rFonts w:ascii="Trebuchet MS" w:hAnsi="Trebuchet MS"/>
      <w:color w:val="0000FF"/>
      <w:sz w:val="22"/>
      <w:u w:val="single"/>
    </w:rPr>
  </w:style>
  <w:style w:type="character" w:styleId="Strong">
    <w:name w:val="Strong"/>
    <w:uiPriority w:val="22"/>
    <w:qFormat/>
    <w:rsid w:val="00677A36"/>
    <w:rPr>
      <w:rFonts w:ascii="Trebuchet MS" w:hAnsi="Trebuchet MS"/>
      <w:b/>
      <w:bCs/>
      <w:sz w:val="22"/>
    </w:rPr>
  </w:style>
  <w:style w:type="character" w:styleId="Emphasis">
    <w:name w:val="Emphasis"/>
    <w:uiPriority w:val="20"/>
    <w:qFormat/>
    <w:rsid w:val="00677A36"/>
    <w:rPr>
      <w:rFonts w:ascii="Trebuchet MS" w:hAnsi="Trebuchet MS"/>
      <w:i/>
      <w:iCs/>
      <w:sz w:val="22"/>
    </w:rPr>
  </w:style>
  <w:style w:type="table" w:styleId="TableGrid">
    <w:name w:val="Table Grid"/>
    <w:basedOn w:val="TableNormal"/>
    <w:uiPriority w:val="59"/>
    <w:rsid w:val="006E4003"/>
    <w:pPr>
      <w:spacing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Number3"/>
    <w:link w:val="NumberedListChar"/>
    <w:rsid w:val="00373B0D"/>
    <w:pPr>
      <w:numPr>
        <w:numId w:val="26"/>
      </w:numPr>
    </w:pPr>
  </w:style>
  <w:style w:type="paragraph" w:styleId="ListParagraph">
    <w:name w:val="List Paragraph"/>
    <w:basedOn w:val="Normal"/>
    <w:link w:val="ListParagraphChar"/>
    <w:uiPriority w:val="34"/>
    <w:qFormat/>
    <w:rsid w:val="00677A36"/>
    <w:pPr>
      <w:ind w:left="720"/>
      <w:contextualSpacing/>
    </w:pPr>
  </w:style>
  <w:style w:type="paragraph" w:styleId="Quote">
    <w:name w:val="Quote"/>
    <w:basedOn w:val="Normal"/>
    <w:next w:val="Normal"/>
    <w:link w:val="QuoteChar"/>
    <w:uiPriority w:val="29"/>
    <w:qFormat/>
    <w:rsid w:val="00677A36"/>
    <w:rPr>
      <w:i/>
      <w:iCs/>
      <w:color w:val="000000"/>
    </w:rPr>
  </w:style>
  <w:style w:type="character" w:customStyle="1" w:styleId="QuoteChar">
    <w:name w:val="Quote Char"/>
    <w:link w:val="Quote"/>
    <w:uiPriority w:val="29"/>
    <w:rsid w:val="00677A36"/>
    <w:rPr>
      <w:i/>
      <w:iCs/>
      <w:color w:val="000000"/>
    </w:rPr>
  </w:style>
  <w:style w:type="paragraph" w:styleId="TOAHeading">
    <w:name w:val="toa heading"/>
    <w:basedOn w:val="Normal"/>
    <w:next w:val="Normal"/>
    <w:uiPriority w:val="99"/>
    <w:semiHidden/>
    <w:unhideWhenUsed/>
    <w:rsid w:val="002F5035"/>
    <w:pPr>
      <w:spacing w:before="120"/>
    </w:pPr>
    <w:rPr>
      <w:rFonts w:eastAsiaTheme="majorEastAsia" w:cstheme="majorBidi"/>
      <w:b/>
      <w:bCs/>
      <w:sz w:val="28"/>
      <w:szCs w:val="24"/>
    </w:rPr>
  </w:style>
  <w:style w:type="character" w:styleId="IntenseEmphasis">
    <w:name w:val="Intense Emphasis"/>
    <w:uiPriority w:val="21"/>
    <w:qFormat/>
    <w:rsid w:val="00677A36"/>
    <w:rPr>
      <w:rFonts w:ascii="Trebuchet MS" w:hAnsi="Trebuchet MS"/>
      <w:b/>
      <w:bCs/>
      <w:i/>
      <w:iCs/>
      <w:color w:val="000000" w:themeColor="text1"/>
      <w:sz w:val="22"/>
    </w:rPr>
  </w:style>
  <w:style w:type="paragraph" w:styleId="ListBullet">
    <w:name w:val="List Bullet"/>
    <w:basedOn w:val="List"/>
    <w:uiPriority w:val="99"/>
    <w:unhideWhenUsed/>
    <w:qFormat/>
    <w:rsid w:val="00677A36"/>
    <w:pPr>
      <w:numPr>
        <w:numId w:val="33"/>
      </w:numPr>
      <w:contextualSpacing w:val="0"/>
    </w:pPr>
  </w:style>
  <w:style w:type="paragraph" w:styleId="ListNumber2">
    <w:name w:val="List Number 2"/>
    <w:basedOn w:val="Normal"/>
    <w:uiPriority w:val="99"/>
    <w:unhideWhenUsed/>
    <w:rsid w:val="0026542C"/>
    <w:pPr>
      <w:numPr>
        <w:numId w:val="20"/>
      </w:numPr>
      <w:contextualSpacing/>
    </w:pPr>
  </w:style>
  <w:style w:type="paragraph" w:styleId="ListNumber3">
    <w:name w:val="List Number 3"/>
    <w:basedOn w:val="Normal"/>
    <w:link w:val="ListNumber3Char"/>
    <w:uiPriority w:val="99"/>
    <w:unhideWhenUsed/>
    <w:rsid w:val="0026542C"/>
    <w:pPr>
      <w:numPr>
        <w:numId w:val="21"/>
      </w:numPr>
      <w:contextualSpacing/>
    </w:pPr>
  </w:style>
  <w:style w:type="paragraph" w:styleId="ListNumber4">
    <w:name w:val="List Number 4"/>
    <w:basedOn w:val="Normal"/>
    <w:uiPriority w:val="99"/>
    <w:semiHidden/>
    <w:unhideWhenUsed/>
    <w:rsid w:val="0026542C"/>
    <w:pPr>
      <w:numPr>
        <w:numId w:val="22"/>
      </w:numPr>
      <w:contextualSpacing/>
    </w:pPr>
  </w:style>
  <w:style w:type="paragraph" w:styleId="ListNumber5">
    <w:name w:val="List Number 5"/>
    <w:basedOn w:val="Normal"/>
    <w:uiPriority w:val="99"/>
    <w:semiHidden/>
    <w:unhideWhenUsed/>
    <w:rsid w:val="0026542C"/>
    <w:pPr>
      <w:numPr>
        <w:numId w:val="23"/>
      </w:numPr>
      <w:contextualSpacing/>
    </w:pPr>
  </w:style>
  <w:style w:type="paragraph" w:styleId="ListNumber">
    <w:name w:val="List Number"/>
    <w:basedOn w:val="Normal"/>
    <w:uiPriority w:val="99"/>
    <w:unhideWhenUsed/>
    <w:rsid w:val="0026542C"/>
    <w:pPr>
      <w:numPr>
        <w:numId w:val="19"/>
      </w:numPr>
      <w:contextualSpacing/>
    </w:pPr>
  </w:style>
  <w:style w:type="paragraph" w:styleId="List">
    <w:name w:val="List"/>
    <w:basedOn w:val="Normal"/>
    <w:uiPriority w:val="99"/>
    <w:unhideWhenUsed/>
    <w:rsid w:val="006C1429"/>
    <w:pPr>
      <w:ind w:left="283" w:hanging="283"/>
      <w:contextualSpacing/>
    </w:pPr>
  </w:style>
  <w:style w:type="paragraph" w:styleId="List2">
    <w:name w:val="List 2"/>
    <w:basedOn w:val="Normal"/>
    <w:uiPriority w:val="99"/>
    <w:unhideWhenUsed/>
    <w:rsid w:val="006C1429"/>
    <w:pPr>
      <w:ind w:left="566" w:hanging="283"/>
      <w:contextualSpacing/>
    </w:pPr>
  </w:style>
  <w:style w:type="paragraph" w:styleId="List3">
    <w:name w:val="List 3"/>
    <w:basedOn w:val="Normal"/>
    <w:uiPriority w:val="99"/>
    <w:unhideWhenUsed/>
    <w:rsid w:val="006C1429"/>
    <w:pPr>
      <w:ind w:left="849" w:hanging="283"/>
      <w:contextualSpacing/>
    </w:pPr>
  </w:style>
  <w:style w:type="paragraph" w:styleId="List4">
    <w:name w:val="List 4"/>
    <w:basedOn w:val="Normal"/>
    <w:uiPriority w:val="99"/>
    <w:unhideWhenUsed/>
    <w:rsid w:val="006C1429"/>
    <w:pPr>
      <w:ind w:left="1132" w:hanging="283"/>
      <w:contextualSpacing/>
    </w:pPr>
  </w:style>
  <w:style w:type="numbering" w:styleId="111111">
    <w:name w:val="Outline List 2"/>
    <w:basedOn w:val="NoList"/>
    <w:uiPriority w:val="99"/>
    <w:semiHidden/>
    <w:unhideWhenUsed/>
    <w:rsid w:val="006A5169"/>
    <w:pPr>
      <w:numPr>
        <w:numId w:val="24"/>
      </w:numPr>
    </w:pPr>
  </w:style>
  <w:style w:type="character" w:customStyle="1" w:styleId="ListNumber3Char">
    <w:name w:val="List Number 3 Char"/>
    <w:basedOn w:val="DefaultParagraphFont"/>
    <w:link w:val="ListNumber3"/>
    <w:uiPriority w:val="99"/>
    <w:rsid w:val="00373B0D"/>
  </w:style>
  <w:style w:type="character" w:customStyle="1" w:styleId="NumberedListChar">
    <w:name w:val="Numbered List Char"/>
    <w:basedOn w:val="ListNumber3Char"/>
    <w:link w:val="NumberedList"/>
    <w:rsid w:val="00373B0D"/>
  </w:style>
  <w:style w:type="paragraph" w:styleId="BodyText">
    <w:name w:val="Body Text"/>
    <w:basedOn w:val="Normal"/>
    <w:link w:val="BodyTextChar"/>
    <w:uiPriority w:val="99"/>
    <w:semiHidden/>
    <w:unhideWhenUsed/>
    <w:rsid w:val="002F5035"/>
  </w:style>
  <w:style w:type="character" w:customStyle="1" w:styleId="BodyTextChar">
    <w:name w:val="Body Text Char"/>
    <w:basedOn w:val="DefaultParagraphFont"/>
    <w:link w:val="BodyText"/>
    <w:uiPriority w:val="99"/>
    <w:semiHidden/>
    <w:rsid w:val="002F5035"/>
  </w:style>
  <w:style w:type="character" w:customStyle="1" w:styleId="Heading8Char">
    <w:name w:val="Heading 8 Char"/>
    <w:basedOn w:val="DefaultParagraphFont"/>
    <w:link w:val="Heading8"/>
    <w:uiPriority w:val="9"/>
    <w:semiHidden/>
    <w:rsid w:val="00677A3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77A36"/>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unhideWhenUsed/>
    <w:qFormat/>
    <w:rsid w:val="00677A36"/>
    <w:pPr>
      <w:spacing w:after="0"/>
      <w:outlineLvl w:val="9"/>
    </w:pPr>
    <w:rPr>
      <w:rFonts w:asciiTheme="majorHAnsi" w:hAnsiTheme="majorHAnsi"/>
      <w:kern w:val="0"/>
      <w:sz w:val="36"/>
      <w:szCs w:val="28"/>
    </w:rPr>
  </w:style>
  <w:style w:type="paragraph" w:customStyle="1" w:styleId="TableColumnHeading">
    <w:name w:val="Table Column Heading"/>
    <w:basedOn w:val="Normal"/>
    <w:rsid w:val="00677A36"/>
    <w:pPr>
      <w:widowControl w:val="0"/>
      <w:spacing w:before="120" w:line="240" w:lineRule="auto"/>
    </w:pPr>
    <w:rPr>
      <w:rFonts w:eastAsia="Times" w:cstheme="majorBidi"/>
      <w:b/>
      <w:iCs/>
      <w:color w:val="000000" w:themeColor="text1"/>
      <w:szCs w:val="20"/>
    </w:rPr>
  </w:style>
  <w:style w:type="paragraph" w:customStyle="1" w:styleId="TableColumnSub-Heading">
    <w:name w:val="Table Column Sub-Heading"/>
    <w:basedOn w:val="Normal"/>
    <w:rsid w:val="00677A36"/>
    <w:pPr>
      <w:keepNext/>
      <w:widowControl w:val="0"/>
      <w:spacing w:before="60" w:after="60" w:line="240" w:lineRule="auto"/>
    </w:pPr>
    <w:rPr>
      <w:rFonts w:cstheme="minorBidi"/>
      <w:b/>
      <w:sz w:val="20"/>
    </w:rPr>
  </w:style>
  <w:style w:type="paragraph" w:customStyle="1" w:styleId="TableRowHeading">
    <w:name w:val="Table Row Heading"/>
    <w:basedOn w:val="Normal"/>
    <w:rsid w:val="00677A36"/>
    <w:pPr>
      <w:keepNext/>
      <w:widowControl w:val="0"/>
      <w:spacing w:before="120" w:line="240" w:lineRule="auto"/>
    </w:pPr>
    <w:rPr>
      <w:b/>
      <w:i/>
      <w:sz w:val="20"/>
      <w:lang w:eastAsia="en-AU"/>
    </w:rPr>
  </w:style>
  <w:style w:type="table" w:customStyle="1" w:styleId="APRAWorkingPaperTable">
    <w:name w:val="APRA Working Paper Table"/>
    <w:basedOn w:val="TableNormal"/>
    <w:uiPriority w:val="99"/>
    <w:rsid w:val="00677A36"/>
    <w:pPr>
      <w:spacing w:after="0" w:line="240" w:lineRule="auto"/>
    </w:pPr>
    <w:rPr>
      <w:sz w:val="20"/>
      <w:lang w:eastAsia="en-A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Trebuchet MS" w:hAnsi="Trebuchet MS"/>
        <w:b w:val="0"/>
        <w:i w:val="0"/>
        <w:sz w:val="22"/>
      </w:rPr>
      <w:tblPr/>
      <w:tcPr>
        <w:shd w:val="clear" w:color="auto" w:fill="FBD4B4" w:themeFill="accent6" w:themeFillTint="66"/>
        <w:vAlign w:val="center"/>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alloonText">
    <w:name w:val="Balloon Text"/>
    <w:basedOn w:val="Normal"/>
    <w:link w:val="BalloonTextChar"/>
    <w:uiPriority w:val="99"/>
    <w:semiHidden/>
    <w:unhideWhenUsed/>
    <w:rsid w:val="000F2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0CF"/>
    <w:rPr>
      <w:rFonts w:ascii="Tahoma" w:hAnsi="Tahoma" w:cs="Tahoma"/>
      <w:sz w:val="16"/>
      <w:szCs w:val="16"/>
    </w:rPr>
  </w:style>
  <w:style w:type="character" w:styleId="FollowedHyperlink">
    <w:name w:val="FollowedHyperlink"/>
    <w:basedOn w:val="DefaultParagraphFont"/>
    <w:uiPriority w:val="99"/>
    <w:semiHidden/>
    <w:unhideWhenUsed/>
    <w:rsid w:val="000C170D"/>
    <w:rPr>
      <w:color w:val="800080" w:themeColor="followedHyperlink"/>
      <w:u w:val="single"/>
    </w:rPr>
  </w:style>
  <w:style w:type="paragraph" w:styleId="Title">
    <w:name w:val="Title"/>
    <w:basedOn w:val="Normal"/>
    <w:next w:val="Normal"/>
    <w:link w:val="TitleChar"/>
    <w:uiPriority w:val="10"/>
    <w:qFormat/>
    <w:rsid w:val="00DC7EF3"/>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7EF3"/>
    <w:rPr>
      <w:rFonts w:eastAsiaTheme="majorEastAsia" w:cstheme="majorBidi"/>
      <w:color w:val="17365D" w:themeColor="text2" w:themeShade="BF"/>
      <w:spacing w:val="5"/>
      <w:kern w:val="28"/>
      <w:sz w:val="52"/>
      <w:szCs w:val="52"/>
    </w:rPr>
  </w:style>
  <w:style w:type="character" w:styleId="SubtleEmphasis">
    <w:name w:val="Subtle Emphasis"/>
    <w:basedOn w:val="DefaultParagraphFont"/>
    <w:uiPriority w:val="19"/>
    <w:qFormat/>
    <w:rsid w:val="00DC7EF3"/>
    <w:rPr>
      <w:i/>
      <w:iCs/>
      <w:color w:val="808080" w:themeColor="text1" w:themeTint="7F"/>
    </w:rPr>
  </w:style>
  <w:style w:type="character" w:styleId="PlaceholderText">
    <w:name w:val="Placeholder Text"/>
    <w:basedOn w:val="DefaultParagraphFont"/>
    <w:uiPriority w:val="99"/>
    <w:semiHidden/>
    <w:rsid w:val="0043440F"/>
    <w:rPr>
      <w:color w:val="808080"/>
    </w:rPr>
  </w:style>
  <w:style w:type="paragraph" w:styleId="Revision">
    <w:name w:val="Revision"/>
    <w:hidden/>
    <w:uiPriority w:val="99"/>
    <w:semiHidden/>
    <w:rsid w:val="00F678CF"/>
    <w:pPr>
      <w:spacing w:after="0" w:line="240" w:lineRule="auto"/>
    </w:pPr>
  </w:style>
  <w:style w:type="character" w:styleId="CommentReference">
    <w:name w:val="annotation reference"/>
    <w:basedOn w:val="DefaultParagraphFont"/>
    <w:uiPriority w:val="99"/>
    <w:semiHidden/>
    <w:unhideWhenUsed/>
    <w:rsid w:val="00F327CB"/>
    <w:rPr>
      <w:sz w:val="16"/>
      <w:szCs w:val="16"/>
    </w:rPr>
  </w:style>
  <w:style w:type="paragraph" w:styleId="CommentText">
    <w:name w:val="annotation text"/>
    <w:basedOn w:val="Normal"/>
    <w:link w:val="CommentTextChar"/>
    <w:uiPriority w:val="99"/>
    <w:semiHidden/>
    <w:unhideWhenUsed/>
    <w:rsid w:val="00F327CB"/>
    <w:pPr>
      <w:spacing w:line="240" w:lineRule="auto"/>
    </w:pPr>
    <w:rPr>
      <w:sz w:val="20"/>
      <w:szCs w:val="20"/>
    </w:rPr>
  </w:style>
  <w:style w:type="character" w:customStyle="1" w:styleId="CommentTextChar">
    <w:name w:val="Comment Text Char"/>
    <w:basedOn w:val="DefaultParagraphFont"/>
    <w:link w:val="CommentText"/>
    <w:uiPriority w:val="99"/>
    <w:semiHidden/>
    <w:rsid w:val="00F327CB"/>
    <w:rPr>
      <w:sz w:val="20"/>
      <w:szCs w:val="20"/>
    </w:rPr>
  </w:style>
  <w:style w:type="paragraph" w:styleId="CommentSubject">
    <w:name w:val="annotation subject"/>
    <w:basedOn w:val="CommentText"/>
    <w:next w:val="CommentText"/>
    <w:link w:val="CommentSubjectChar"/>
    <w:uiPriority w:val="99"/>
    <w:semiHidden/>
    <w:unhideWhenUsed/>
    <w:rsid w:val="00F327CB"/>
    <w:rPr>
      <w:b/>
      <w:bCs/>
    </w:rPr>
  </w:style>
  <w:style w:type="character" w:customStyle="1" w:styleId="CommentSubjectChar">
    <w:name w:val="Comment Subject Char"/>
    <w:basedOn w:val="CommentTextChar"/>
    <w:link w:val="CommentSubject"/>
    <w:uiPriority w:val="99"/>
    <w:semiHidden/>
    <w:rsid w:val="00F327CB"/>
    <w:rPr>
      <w:b/>
      <w:bCs/>
      <w:sz w:val="20"/>
      <w:szCs w:val="20"/>
    </w:rPr>
  </w:style>
  <w:style w:type="character" w:customStyle="1" w:styleId="ListParagraphChar">
    <w:name w:val="List Paragraph Char"/>
    <w:basedOn w:val="DefaultParagraphFont"/>
    <w:link w:val="ListParagraph"/>
    <w:uiPriority w:val="34"/>
    <w:rsid w:val="00064C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imes New Roman"/>
        <w:sz w:val="22"/>
        <w:szCs w:val="22"/>
        <w:lang w:val="en-AU" w:eastAsia="en-US" w:bidi="ar-SA"/>
      </w:rPr>
    </w:rPrDefault>
    <w:pPrDefault>
      <w:pPr>
        <w:spacing w:after="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EF3"/>
  </w:style>
  <w:style w:type="paragraph" w:styleId="Heading1">
    <w:name w:val="heading 1"/>
    <w:next w:val="Normal"/>
    <w:link w:val="Heading1Char"/>
    <w:uiPriority w:val="9"/>
    <w:qFormat/>
    <w:rsid w:val="00DC7EF3"/>
    <w:pPr>
      <w:keepNext/>
      <w:keepLines/>
      <w:spacing w:before="480" w:after="600" w:line="360" w:lineRule="auto"/>
      <w:contextualSpacing/>
      <w:outlineLvl w:val="0"/>
    </w:pPr>
    <w:rPr>
      <w:rFonts w:eastAsiaTheme="majorEastAsia" w:cstheme="majorBidi"/>
      <w:b/>
      <w:bCs/>
      <w:kern w:val="28"/>
      <w:sz w:val="56"/>
      <w:szCs w:val="32"/>
    </w:rPr>
  </w:style>
  <w:style w:type="paragraph" w:styleId="Heading2">
    <w:name w:val="heading 2"/>
    <w:basedOn w:val="Heading1"/>
    <w:next w:val="Normal"/>
    <w:link w:val="Heading2Char"/>
    <w:uiPriority w:val="9"/>
    <w:unhideWhenUsed/>
    <w:qFormat/>
    <w:rsid w:val="00444BF0"/>
    <w:pPr>
      <w:spacing w:before="240" w:after="360"/>
      <w:outlineLvl w:val="1"/>
    </w:pPr>
    <w:rPr>
      <w:bCs w:val="0"/>
      <w:sz w:val="36"/>
      <w:szCs w:val="26"/>
    </w:rPr>
  </w:style>
  <w:style w:type="paragraph" w:styleId="Heading3">
    <w:name w:val="heading 3"/>
    <w:basedOn w:val="Heading2"/>
    <w:next w:val="Normal"/>
    <w:link w:val="Heading3Char"/>
    <w:uiPriority w:val="9"/>
    <w:unhideWhenUsed/>
    <w:qFormat/>
    <w:rsid w:val="00444BF0"/>
    <w:pPr>
      <w:spacing w:after="240"/>
      <w:outlineLvl w:val="2"/>
    </w:pPr>
    <w:rPr>
      <w:bCs/>
      <w:sz w:val="32"/>
    </w:rPr>
  </w:style>
  <w:style w:type="paragraph" w:styleId="Heading4">
    <w:name w:val="heading 4"/>
    <w:basedOn w:val="Heading3"/>
    <w:next w:val="Normal"/>
    <w:link w:val="Heading4Char"/>
    <w:uiPriority w:val="9"/>
    <w:unhideWhenUsed/>
    <w:qFormat/>
    <w:rsid w:val="00444BF0"/>
    <w:pPr>
      <w:spacing w:before="200" w:after="200"/>
      <w:outlineLvl w:val="3"/>
    </w:pPr>
    <w:rPr>
      <w:bCs w:val="0"/>
      <w:iCs/>
      <w:sz w:val="28"/>
    </w:rPr>
  </w:style>
  <w:style w:type="paragraph" w:styleId="Heading5">
    <w:name w:val="heading 5"/>
    <w:basedOn w:val="Heading4"/>
    <w:next w:val="Normal"/>
    <w:link w:val="Heading5Char"/>
    <w:uiPriority w:val="9"/>
    <w:unhideWhenUsed/>
    <w:qFormat/>
    <w:rsid w:val="00444BF0"/>
    <w:pPr>
      <w:spacing w:before="120"/>
      <w:outlineLvl w:val="4"/>
    </w:pPr>
    <w:rPr>
      <w:sz w:val="24"/>
    </w:rPr>
  </w:style>
  <w:style w:type="paragraph" w:styleId="Heading6">
    <w:name w:val="heading 6"/>
    <w:basedOn w:val="Heading5"/>
    <w:next w:val="Normal"/>
    <w:link w:val="Heading6Char"/>
    <w:uiPriority w:val="9"/>
    <w:unhideWhenUsed/>
    <w:qFormat/>
    <w:rsid w:val="00677A36"/>
    <w:pPr>
      <w:outlineLvl w:val="5"/>
    </w:pPr>
    <w:rPr>
      <w:b w:val="0"/>
      <w:i/>
    </w:rPr>
  </w:style>
  <w:style w:type="paragraph" w:styleId="Heading7">
    <w:name w:val="heading 7"/>
    <w:basedOn w:val="Heading6"/>
    <w:next w:val="Normal"/>
    <w:link w:val="Heading7Char"/>
    <w:uiPriority w:val="9"/>
    <w:semiHidden/>
    <w:unhideWhenUsed/>
    <w:rsid w:val="00444BF0"/>
    <w:pPr>
      <w:spacing w:before="200" w:after="120" w:line="288" w:lineRule="auto"/>
      <w:contextualSpacing w:val="0"/>
      <w:outlineLvl w:val="6"/>
    </w:pPr>
    <w:rPr>
      <w:b/>
      <w:i w:val="0"/>
      <w:color w:val="404040"/>
      <w:kern w:val="0"/>
      <w:sz w:val="22"/>
      <w:szCs w:val="22"/>
    </w:rPr>
  </w:style>
  <w:style w:type="paragraph" w:styleId="Heading8">
    <w:name w:val="heading 8"/>
    <w:basedOn w:val="Normal"/>
    <w:next w:val="Normal"/>
    <w:link w:val="Heading8Char"/>
    <w:uiPriority w:val="9"/>
    <w:semiHidden/>
    <w:unhideWhenUsed/>
    <w:qFormat/>
    <w:rsid w:val="00677A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77A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7A36"/>
    <w:pPr>
      <w:spacing w:line="240" w:lineRule="auto"/>
    </w:pPr>
  </w:style>
  <w:style w:type="character" w:customStyle="1" w:styleId="Heading1Char">
    <w:name w:val="Heading 1 Char"/>
    <w:link w:val="Heading1"/>
    <w:uiPriority w:val="9"/>
    <w:rsid w:val="00DC7EF3"/>
    <w:rPr>
      <w:rFonts w:eastAsiaTheme="majorEastAsia" w:cstheme="majorBidi"/>
      <w:b/>
      <w:bCs/>
      <w:kern w:val="28"/>
      <w:sz w:val="56"/>
      <w:szCs w:val="32"/>
    </w:rPr>
  </w:style>
  <w:style w:type="character" w:customStyle="1" w:styleId="Heading2Char">
    <w:name w:val="Heading 2 Char"/>
    <w:link w:val="Heading2"/>
    <w:uiPriority w:val="9"/>
    <w:rsid w:val="00444BF0"/>
    <w:rPr>
      <w:rFonts w:eastAsiaTheme="majorEastAsia" w:cstheme="majorBidi"/>
      <w:b/>
      <w:kern w:val="28"/>
      <w:sz w:val="36"/>
      <w:szCs w:val="26"/>
    </w:rPr>
  </w:style>
  <w:style w:type="character" w:customStyle="1" w:styleId="Heading4Char">
    <w:name w:val="Heading 4 Char"/>
    <w:link w:val="Heading4"/>
    <w:uiPriority w:val="9"/>
    <w:rsid w:val="00444BF0"/>
    <w:rPr>
      <w:rFonts w:eastAsiaTheme="majorEastAsia" w:cstheme="majorBidi"/>
      <w:iCs/>
      <w:kern w:val="28"/>
      <w:sz w:val="28"/>
      <w:szCs w:val="26"/>
    </w:rPr>
  </w:style>
  <w:style w:type="paragraph" w:customStyle="1" w:styleId="Bullet">
    <w:name w:val="Bullet"/>
    <w:basedOn w:val="Normal"/>
    <w:link w:val="BulletChar"/>
    <w:rsid w:val="006E4003"/>
    <w:pPr>
      <w:numPr>
        <w:numId w:val="13"/>
      </w:numPr>
      <w:tabs>
        <w:tab w:val="left" w:pos="1935"/>
      </w:tabs>
      <w:spacing w:before="120" w:line="240" w:lineRule="auto"/>
    </w:pPr>
    <w:rPr>
      <w:sz w:val="24"/>
    </w:rPr>
  </w:style>
  <w:style w:type="character" w:customStyle="1" w:styleId="BulletChar">
    <w:name w:val="Bullet Char"/>
    <w:link w:val="Bullet"/>
    <w:rsid w:val="006E4003"/>
    <w:rPr>
      <w:rFonts w:ascii="Trebuchet MS" w:eastAsia="Times New Roman" w:hAnsi="Trebuchet MS" w:cs="Times New Roman"/>
      <w:sz w:val="24"/>
      <w:lang w:eastAsia="en-AU"/>
    </w:rPr>
  </w:style>
  <w:style w:type="paragraph" w:customStyle="1" w:styleId="Nonchapterheading">
    <w:name w:val="Non chapter heading"/>
    <w:basedOn w:val="Heading5"/>
    <w:link w:val="NonchapterheadingChar"/>
    <w:rsid w:val="006E4003"/>
    <w:pPr>
      <w:spacing w:after="120" w:line="288" w:lineRule="auto"/>
      <w:ind w:left="360" w:hanging="360"/>
    </w:pPr>
    <w:rPr>
      <w:rFonts w:eastAsia="Times New Roman" w:cs="Times New Roman"/>
      <w:iCs w:val="0"/>
      <w:kern w:val="0"/>
      <w:szCs w:val="22"/>
    </w:rPr>
  </w:style>
  <w:style w:type="character" w:customStyle="1" w:styleId="NonchapterheadingChar">
    <w:name w:val="Non chapter heading Char"/>
    <w:basedOn w:val="Heading5Char"/>
    <w:link w:val="Nonchapterheading"/>
    <w:rsid w:val="006E4003"/>
    <w:rPr>
      <w:rFonts w:eastAsia="Times New Roman" w:cs="Times New Roman"/>
      <w:b/>
      <w:iCs/>
      <w:kern w:val="28"/>
      <w:sz w:val="24"/>
      <w:szCs w:val="26"/>
    </w:rPr>
  </w:style>
  <w:style w:type="character" w:customStyle="1" w:styleId="Heading5Char">
    <w:name w:val="Heading 5 Char"/>
    <w:link w:val="Heading5"/>
    <w:uiPriority w:val="9"/>
    <w:rsid w:val="00444BF0"/>
    <w:rPr>
      <w:rFonts w:eastAsiaTheme="majorEastAsia" w:cstheme="majorBidi"/>
      <w:b/>
      <w:iCs/>
      <w:kern w:val="28"/>
      <w:sz w:val="24"/>
      <w:szCs w:val="26"/>
    </w:rPr>
  </w:style>
  <w:style w:type="paragraph" w:customStyle="1" w:styleId="Non-numberedchapterheading">
    <w:name w:val="Non-numbered chapter heading"/>
    <w:basedOn w:val="Heading5"/>
    <w:link w:val="Non-numberedchapterheadingChar"/>
    <w:rsid w:val="006E4003"/>
    <w:pPr>
      <w:spacing w:after="120" w:line="288" w:lineRule="auto"/>
      <w:ind w:left="360" w:hanging="360"/>
    </w:pPr>
    <w:rPr>
      <w:rFonts w:eastAsia="Times New Roman" w:cs="Times New Roman"/>
      <w:iCs w:val="0"/>
      <w:kern w:val="0"/>
      <w:szCs w:val="22"/>
    </w:rPr>
  </w:style>
  <w:style w:type="character" w:customStyle="1" w:styleId="Non-numberedchapterheadingChar">
    <w:name w:val="Non-numbered chapter heading Char"/>
    <w:basedOn w:val="Heading5Char"/>
    <w:link w:val="Non-numberedchapterheading"/>
    <w:rsid w:val="006E4003"/>
    <w:rPr>
      <w:rFonts w:eastAsia="Times New Roman" w:cs="Times New Roman"/>
      <w:b/>
      <w:iCs/>
      <w:kern w:val="28"/>
      <w:sz w:val="24"/>
      <w:szCs w:val="26"/>
    </w:rPr>
  </w:style>
  <w:style w:type="character" w:customStyle="1" w:styleId="Heading3Char">
    <w:name w:val="Heading 3 Char"/>
    <w:link w:val="Heading3"/>
    <w:uiPriority w:val="9"/>
    <w:rsid w:val="00444BF0"/>
    <w:rPr>
      <w:rFonts w:eastAsiaTheme="majorEastAsia" w:cstheme="majorBidi"/>
      <w:bCs/>
      <w:kern w:val="28"/>
      <w:sz w:val="32"/>
      <w:szCs w:val="26"/>
    </w:rPr>
  </w:style>
  <w:style w:type="character" w:customStyle="1" w:styleId="Heading6Char">
    <w:name w:val="Heading 6 Char"/>
    <w:link w:val="Heading6"/>
    <w:uiPriority w:val="9"/>
    <w:rsid w:val="003D6738"/>
    <w:rPr>
      <w:rFonts w:eastAsiaTheme="majorEastAsia" w:cstheme="majorBidi"/>
      <w:i/>
      <w:iCs/>
      <w:kern w:val="28"/>
      <w:sz w:val="24"/>
      <w:szCs w:val="26"/>
    </w:rPr>
  </w:style>
  <w:style w:type="character" w:customStyle="1" w:styleId="Heading7Char">
    <w:name w:val="Heading 7 Char"/>
    <w:link w:val="Heading7"/>
    <w:uiPriority w:val="9"/>
    <w:semiHidden/>
    <w:rsid w:val="00444BF0"/>
    <w:rPr>
      <w:rFonts w:eastAsiaTheme="majorEastAsia" w:cstheme="majorBidi"/>
      <w:b/>
      <w:iCs/>
      <w:color w:val="404040"/>
    </w:rPr>
  </w:style>
  <w:style w:type="paragraph" w:styleId="TOC1">
    <w:name w:val="toc 1"/>
    <w:basedOn w:val="Normal"/>
    <w:next w:val="Normal"/>
    <w:autoRedefine/>
    <w:uiPriority w:val="39"/>
    <w:unhideWhenUsed/>
    <w:rsid w:val="006E4003"/>
    <w:pPr>
      <w:tabs>
        <w:tab w:val="right" w:leader="dot" w:pos="9016"/>
      </w:tabs>
    </w:pPr>
    <w:rPr>
      <w:b/>
      <w:noProof/>
    </w:rPr>
  </w:style>
  <w:style w:type="paragraph" w:styleId="TOC2">
    <w:name w:val="toc 2"/>
    <w:basedOn w:val="Normal"/>
    <w:next w:val="Normal"/>
    <w:autoRedefine/>
    <w:uiPriority w:val="39"/>
    <w:unhideWhenUsed/>
    <w:rsid w:val="002F5035"/>
    <w:pPr>
      <w:ind w:left="220"/>
    </w:pPr>
    <w:rPr>
      <w:b/>
    </w:rPr>
  </w:style>
  <w:style w:type="paragraph" w:styleId="TOC3">
    <w:name w:val="toc 3"/>
    <w:basedOn w:val="Normal"/>
    <w:next w:val="Normal"/>
    <w:autoRedefine/>
    <w:uiPriority w:val="39"/>
    <w:unhideWhenUsed/>
    <w:rsid w:val="006E4003"/>
    <w:pPr>
      <w:ind w:left="440"/>
    </w:pPr>
  </w:style>
  <w:style w:type="paragraph" w:styleId="TOC4">
    <w:name w:val="toc 4"/>
    <w:basedOn w:val="Normal"/>
    <w:next w:val="Normal"/>
    <w:autoRedefine/>
    <w:uiPriority w:val="39"/>
    <w:unhideWhenUsed/>
    <w:rsid w:val="006E4003"/>
    <w:pPr>
      <w:ind w:left="660"/>
    </w:pPr>
  </w:style>
  <w:style w:type="paragraph" w:styleId="FootnoteText">
    <w:name w:val="footnote text"/>
    <w:basedOn w:val="Normal"/>
    <w:link w:val="FootnoteTextChar"/>
    <w:uiPriority w:val="99"/>
    <w:unhideWhenUsed/>
    <w:rsid w:val="006E4003"/>
    <w:pPr>
      <w:spacing w:line="240" w:lineRule="auto"/>
    </w:pPr>
    <w:rPr>
      <w:sz w:val="18"/>
    </w:rPr>
  </w:style>
  <w:style w:type="character" w:customStyle="1" w:styleId="FootnoteTextChar">
    <w:name w:val="Footnote Text Char"/>
    <w:link w:val="FootnoteText"/>
    <w:uiPriority w:val="99"/>
    <w:rsid w:val="006E4003"/>
    <w:rPr>
      <w:rFonts w:ascii="Trebuchet MS" w:eastAsia="Times New Roman" w:hAnsi="Trebuchet MS" w:cs="Times New Roman"/>
      <w:sz w:val="18"/>
      <w:lang w:eastAsia="en-AU"/>
    </w:rPr>
  </w:style>
  <w:style w:type="paragraph" w:styleId="Header">
    <w:name w:val="header"/>
    <w:basedOn w:val="Normal"/>
    <w:link w:val="HeaderChar"/>
    <w:unhideWhenUsed/>
    <w:rsid w:val="006E4003"/>
    <w:pPr>
      <w:tabs>
        <w:tab w:val="center" w:pos="4513"/>
        <w:tab w:val="right" w:pos="9026"/>
      </w:tabs>
    </w:pPr>
  </w:style>
  <w:style w:type="character" w:customStyle="1" w:styleId="HeaderChar">
    <w:name w:val="Header Char"/>
    <w:link w:val="Header"/>
    <w:rsid w:val="006E4003"/>
    <w:rPr>
      <w:rFonts w:ascii="Trebuchet MS" w:eastAsia="Times New Roman" w:hAnsi="Trebuchet MS" w:cs="Times New Roman"/>
      <w:lang w:eastAsia="en-AU"/>
    </w:rPr>
  </w:style>
  <w:style w:type="paragraph" w:styleId="Footer">
    <w:name w:val="footer"/>
    <w:basedOn w:val="Normal"/>
    <w:link w:val="FooterChar"/>
    <w:uiPriority w:val="99"/>
    <w:unhideWhenUsed/>
    <w:rsid w:val="0021143E"/>
    <w:pPr>
      <w:tabs>
        <w:tab w:val="center" w:pos="4513"/>
        <w:tab w:val="right" w:pos="9026"/>
      </w:tabs>
      <w:spacing w:before="120" w:line="240" w:lineRule="auto"/>
      <w:jc w:val="right"/>
    </w:pPr>
    <w:rPr>
      <w:sz w:val="18"/>
    </w:rPr>
  </w:style>
  <w:style w:type="character" w:customStyle="1" w:styleId="FooterChar">
    <w:name w:val="Footer Char"/>
    <w:link w:val="Footer"/>
    <w:uiPriority w:val="99"/>
    <w:rsid w:val="0021143E"/>
    <w:rPr>
      <w:rFonts w:asciiTheme="minorHAnsi" w:hAnsiTheme="minorHAnsi"/>
      <w:sz w:val="18"/>
    </w:rPr>
  </w:style>
  <w:style w:type="character" w:styleId="FootnoteReference">
    <w:name w:val="footnote reference"/>
    <w:uiPriority w:val="99"/>
    <w:unhideWhenUsed/>
    <w:rsid w:val="006E4003"/>
    <w:rPr>
      <w:rFonts w:ascii="Trebuchet MS" w:hAnsi="Trebuchet MS"/>
      <w:i w:val="0"/>
      <w:color w:val="595959" w:themeColor="text1" w:themeTint="A6"/>
      <w:sz w:val="18"/>
      <w:vertAlign w:val="superscript"/>
    </w:rPr>
  </w:style>
  <w:style w:type="paragraph" w:styleId="Subtitle">
    <w:name w:val="Subtitle"/>
    <w:basedOn w:val="Normal"/>
    <w:next w:val="Normal"/>
    <w:link w:val="SubtitleChar"/>
    <w:uiPriority w:val="11"/>
    <w:qFormat/>
    <w:rsid w:val="00677A36"/>
    <w:pPr>
      <w:numPr>
        <w:ilvl w:val="1"/>
      </w:numPr>
    </w:pPr>
    <w:rPr>
      <w:rFonts w:eastAsiaTheme="majorEastAsia" w:cstheme="majorBidi"/>
      <w:i/>
      <w:iCs/>
      <w:spacing w:val="15"/>
      <w:szCs w:val="24"/>
    </w:rPr>
  </w:style>
  <w:style w:type="character" w:customStyle="1" w:styleId="SubtitleChar">
    <w:name w:val="Subtitle Char"/>
    <w:link w:val="Subtitle"/>
    <w:uiPriority w:val="11"/>
    <w:rsid w:val="00677A36"/>
    <w:rPr>
      <w:rFonts w:eastAsiaTheme="majorEastAsia" w:cstheme="majorBidi"/>
      <w:i/>
      <w:iCs/>
      <w:spacing w:val="15"/>
      <w:szCs w:val="24"/>
    </w:rPr>
  </w:style>
  <w:style w:type="character" w:styleId="Hyperlink">
    <w:name w:val="Hyperlink"/>
    <w:uiPriority w:val="99"/>
    <w:rsid w:val="006E4003"/>
    <w:rPr>
      <w:rFonts w:ascii="Trebuchet MS" w:hAnsi="Trebuchet MS"/>
      <w:color w:val="0000FF"/>
      <w:sz w:val="22"/>
      <w:u w:val="single"/>
    </w:rPr>
  </w:style>
  <w:style w:type="character" w:styleId="Strong">
    <w:name w:val="Strong"/>
    <w:uiPriority w:val="22"/>
    <w:qFormat/>
    <w:rsid w:val="00677A36"/>
    <w:rPr>
      <w:rFonts w:ascii="Trebuchet MS" w:hAnsi="Trebuchet MS"/>
      <w:b/>
      <w:bCs/>
      <w:sz w:val="22"/>
    </w:rPr>
  </w:style>
  <w:style w:type="character" w:styleId="Emphasis">
    <w:name w:val="Emphasis"/>
    <w:uiPriority w:val="20"/>
    <w:qFormat/>
    <w:rsid w:val="00677A36"/>
    <w:rPr>
      <w:rFonts w:ascii="Trebuchet MS" w:hAnsi="Trebuchet MS"/>
      <w:i/>
      <w:iCs/>
      <w:sz w:val="22"/>
    </w:rPr>
  </w:style>
  <w:style w:type="table" w:styleId="TableGrid">
    <w:name w:val="Table Grid"/>
    <w:basedOn w:val="TableNormal"/>
    <w:uiPriority w:val="59"/>
    <w:rsid w:val="006E4003"/>
    <w:pPr>
      <w:spacing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Number3"/>
    <w:link w:val="NumberedListChar"/>
    <w:rsid w:val="00373B0D"/>
    <w:pPr>
      <w:numPr>
        <w:numId w:val="26"/>
      </w:numPr>
    </w:pPr>
  </w:style>
  <w:style w:type="paragraph" w:styleId="ListParagraph">
    <w:name w:val="List Paragraph"/>
    <w:basedOn w:val="Normal"/>
    <w:link w:val="ListParagraphChar"/>
    <w:uiPriority w:val="34"/>
    <w:qFormat/>
    <w:rsid w:val="00677A36"/>
    <w:pPr>
      <w:ind w:left="720"/>
      <w:contextualSpacing/>
    </w:pPr>
  </w:style>
  <w:style w:type="paragraph" w:styleId="Quote">
    <w:name w:val="Quote"/>
    <w:basedOn w:val="Normal"/>
    <w:next w:val="Normal"/>
    <w:link w:val="QuoteChar"/>
    <w:uiPriority w:val="29"/>
    <w:qFormat/>
    <w:rsid w:val="00677A36"/>
    <w:rPr>
      <w:i/>
      <w:iCs/>
      <w:color w:val="000000"/>
    </w:rPr>
  </w:style>
  <w:style w:type="character" w:customStyle="1" w:styleId="QuoteChar">
    <w:name w:val="Quote Char"/>
    <w:link w:val="Quote"/>
    <w:uiPriority w:val="29"/>
    <w:rsid w:val="00677A36"/>
    <w:rPr>
      <w:i/>
      <w:iCs/>
      <w:color w:val="000000"/>
    </w:rPr>
  </w:style>
  <w:style w:type="paragraph" w:styleId="TOAHeading">
    <w:name w:val="toa heading"/>
    <w:basedOn w:val="Normal"/>
    <w:next w:val="Normal"/>
    <w:uiPriority w:val="99"/>
    <w:semiHidden/>
    <w:unhideWhenUsed/>
    <w:rsid w:val="002F5035"/>
    <w:pPr>
      <w:spacing w:before="120"/>
    </w:pPr>
    <w:rPr>
      <w:rFonts w:eastAsiaTheme="majorEastAsia" w:cstheme="majorBidi"/>
      <w:b/>
      <w:bCs/>
      <w:sz w:val="28"/>
      <w:szCs w:val="24"/>
    </w:rPr>
  </w:style>
  <w:style w:type="character" w:styleId="IntenseEmphasis">
    <w:name w:val="Intense Emphasis"/>
    <w:uiPriority w:val="21"/>
    <w:qFormat/>
    <w:rsid w:val="00677A36"/>
    <w:rPr>
      <w:rFonts w:ascii="Trebuchet MS" w:hAnsi="Trebuchet MS"/>
      <w:b/>
      <w:bCs/>
      <w:i/>
      <w:iCs/>
      <w:color w:val="000000" w:themeColor="text1"/>
      <w:sz w:val="22"/>
    </w:rPr>
  </w:style>
  <w:style w:type="paragraph" w:styleId="ListBullet">
    <w:name w:val="List Bullet"/>
    <w:basedOn w:val="List"/>
    <w:uiPriority w:val="99"/>
    <w:unhideWhenUsed/>
    <w:qFormat/>
    <w:rsid w:val="00677A36"/>
    <w:pPr>
      <w:numPr>
        <w:numId w:val="33"/>
      </w:numPr>
      <w:contextualSpacing w:val="0"/>
    </w:pPr>
  </w:style>
  <w:style w:type="paragraph" w:styleId="ListNumber2">
    <w:name w:val="List Number 2"/>
    <w:basedOn w:val="Normal"/>
    <w:uiPriority w:val="99"/>
    <w:unhideWhenUsed/>
    <w:rsid w:val="0026542C"/>
    <w:pPr>
      <w:numPr>
        <w:numId w:val="20"/>
      </w:numPr>
      <w:contextualSpacing/>
    </w:pPr>
  </w:style>
  <w:style w:type="paragraph" w:styleId="ListNumber3">
    <w:name w:val="List Number 3"/>
    <w:basedOn w:val="Normal"/>
    <w:link w:val="ListNumber3Char"/>
    <w:uiPriority w:val="99"/>
    <w:unhideWhenUsed/>
    <w:rsid w:val="0026542C"/>
    <w:pPr>
      <w:numPr>
        <w:numId w:val="21"/>
      </w:numPr>
      <w:contextualSpacing/>
    </w:pPr>
  </w:style>
  <w:style w:type="paragraph" w:styleId="ListNumber4">
    <w:name w:val="List Number 4"/>
    <w:basedOn w:val="Normal"/>
    <w:uiPriority w:val="99"/>
    <w:semiHidden/>
    <w:unhideWhenUsed/>
    <w:rsid w:val="0026542C"/>
    <w:pPr>
      <w:numPr>
        <w:numId w:val="22"/>
      </w:numPr>
      <w:contextualSpacing/>
    </w:pPr>
  </w:style>
  <w:style w:type="paragraph" w:styleId="ListNumber5">
    <w:name w:val="List Number 5"/>
    <w:basedOn w:val="Normal"/>
    <w:uiPriority w:val="99"/>
    <w:semiHidden/>
    <w:unhideWhenUsed/>
    <w:rsid w:val="0026542C"/>
    <w:pPr>
      <w:numPr>
        <w:numId w:val="23"/>
      </w:numPr>
      <w:contextualSpacing/>
    </w:pPr>
  </w:style>
  <w:style w:type="paragraph" w:styleId="ListNumber">
    <w:name w:val="List Number"/>
    <w:basedOn w:val="Normal"/>
    <w:uiPriority w:val="99"/>
    <w:unhideWhenUsed/>
    <w:rsid w:val="0026542C"/>
    <w:pPr>
      <w:numPr>
        <w:numId w:val="19"/>
      </w:numPr>
      <w:contextualSpacing/>
    </w:pPr>
  </w:style>
  <w:style w:type="paragraph" w:styleId="List">
    <w:name w:val="List"/>
    <w:basedOn w:val="Normal"/>
    <w:uiPriority w:val="99"/>
    <w:unhideWhenUsed/>
    <w:rsid w:val="006C1429"/>
    <w:pPr>
      <w:ind w:left="283" w:hanging="283"/>
      <w:contextualSpacing/>
    </w:pPr>
  </w:style>
  <w:style w:type="paragraph" w:styleId="List2">
    <w:name w:val="List 2"/>
    <w:basedOn w:val="Normal"/>
    <w:uiPriority w:val="99"/>
    <w:unhideWhenUsed/>
    <w:rsid w:val="006C1429"/>
    <w:pPr>
      <w:ind w:left="566" w:hanging="283"/>
      <w:contextualSpacing/>
    </w:pPr>
  </w:style>
  <w:style w:type="paragraph" w:styleId="List3">
    <w:name w:val="List 3"/>
    <w:basedOn w:val="Normal"/>
    <w:uiPriority w:val="99"/>
    <w:unhideWhenUsed/>
    <w:rsid w:val="006C1429"/>
    <w:pPr>
      <w:ind w:left="849" w:hanging="283"/>
      <w:contextualSpacing/>
    </w:pPr>
  </w:style>
  <w:style w:type="paragraph" w:styleId="List4">
    <w:name w:val="List 4"/>
    <w:basedOn w:val="Normal"/>
    <w:uiPriority w:val="99"/>
    <w:unhideWhenUsed/>
    <w:rsid w:val="006C1429"/>
    <w:pPr>
      <w:ind w:left="1132" w:hanging="283"/>
      <w:contextualSpacing/>
    </w:pPr>
  </w:style>
  <w:style w:type="numbering" w:styleId="111111">
    <w:name w:val="Outline List 2"/>
    <w:basedOn w:val="NoList"/>
    <w:uiPriority w:val="99"/>
    <w:semiHidden/>
    <w:unhideWhenUsed/>
    <w:rsid w:val="006A5169"/>
    <w:pPr>
      <w:numPr>
        <w:numId w:val="24"/>
      </w:numPr>
    </w:pPr>
  </w:style>
  <w:style w:type="character" w:customStyle="1" w:styleId="ListNumber3Char">
    <w:name w:val="List Number 3 Char"/>
    <w:basedOn w:val="DefaultParagraphFont"/>
    <w:link w:val="ListNumber3"/>
    <w:uiPriority w:val="99"/>
    <w:rsid w:val="00373B0D"/>
  </w:style>
  <w:style w:type="character" w:customStyle="1" w:styleId="NumberedListChar">
    <w:name w:val="Numbered List Char"/>
    <w:basedOn w:val="ListNumber3Char"/>
    <w:link w:val="NumberedList"/>
    <w:rsid w:val="00373B0D"/>
  </w:style>
  <w:style w:type="paragraph" w:styleId="BodyText">
    <w:name w:val="Body Text"/>
    <w:basedOn w:val="Normal"/>
    <w:link w:val="BodyTextChar"/>
    <w:uiPriority w:val="99"/>
    <w:semiHidden/>
    <w:unhideWhenUsed/>
    <w:rsid w:val="002F5035"/>
  </w:style>
  <w:style w:type="character" w:customStyle="1" w:styleId="BodyTextChar">
    <w:name w:val="Body Text Char"/>
    <w:basedOn w:val="DefaultParagraphFont"/>
    <w:link w:val="BodyText"/>
    <w:uiPriority w:val="99"/>
    <w:semiHidden/>
    <w:rsid w:val="002F5035"/>
  </w:style>
  <w:style w:type="character" w:customStyle="1" w:styleId="Heading8Char">
    <w:name w:val="Heading 8 Char"/>
    <w:basedOn w:val="DefaultParagraphFont"/>
    <w:link w:val="Heading8"/>
    <w:uiPriority w:val="9"/>
    <w:semiHidden/>
    <w:rsid w:val="00677A3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77A36"/>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unhideWhenUsed/>
    <w:qFormat/>
    <w:rsid w:val="00677A36"/>
    <w:pPr>
      <w:spacing w:after="0"/>
      <w:outlineLvl w:val="9"/>
    </w:pPr>
    <w:rPr>
      <w:rFonts w:asciiTheme="majorHAnsi" w:hAnsiTheme="majorHAnsi"/>
      <w:kern w:val="0"/>
      <w:sz w:val="36"/>
      <w:szCs w:val="28"/>
    </w:rPr>
  </w:style>
  <w:style w:type="paragraph" w:customStyle="1" w:styleId="TableColumnHeading">
    <w:name w:val="Table Column Heading"/>
    <w:basedOn w:val="Normal"/>
    <w:rsid w:val="00677A36"/>
    <w:pPr>
      <w:widowControl w:val="0"/>
      <w:spacing w:before="120" w:line="240" w:lineRule="auto"/>
    </w:pPr>
    <w:rPr>
      <w:rFonts w:eastAsia="Times" w:cstheme="majorBidi"/>
      <w:b/>
      <w:iCs/>
      <w:color w:val="000000" w:themeColor="text1"/>
      <w:szCs w:val="20"/>
    </w:rPr>
  </w:style>
  <w:style w:type="paragraph" w:customStyle="1" w:styleId="TableColumnSub-Heading">
    <w:name w:val="Table Column Sub-Heading"/>
    <w:basedOn w:val="Normal"/>
    <w:rsid w:val="00677A36"/>
    <w:pPr>
      <w:keepNext/>
      <w:widowControl w:val="0"/>
      <w:spacing w:before="60" w:after="60" w:line="240" w:lineRule="auto"/>
    </w:pPr>
    <w:rPr>
      <w:rFonts w:cstheme="minorBidi"/>
      <w:b/>
      <w:sz w:val="20"/>
    </w:rPr>
  </w:style>
  <w:style w:type="paragraph" w:customStyle="1" w:styleId="TableRowHeading">
    <w:name w:val="Table Row Heading"/>
    <w:basedOn w:val="Normal"/>
    <w:rsid w:val="00677A36"/>
    <w:pPr>
      <w:keepNext/>
      <w:widowControl w:val="0"/>
      <w:spacing w:before="120" w:line="240" w:lineRule="auto"/>
    </w:pPr>
    <w:rPr>
      <w:b/>
      <w:i/>
      <w:sz w:val="20"/>
      <w:lang w:eastAsia="en-AU"/>
    </w:rPr>
  </w:style>
  <w:style w:type="table" w:customStyle="1" w:styleId="APRAWorkingPaperTable">
    <w:name w:val="APRA Working Paper Table"/>
    <w:basedOn w:val="TableNormal"/>
    <w:uiPriority w:val="99"/>
    <w:rsid w:val="00677A36"/>
    <w:pPr>
      <w:spacing w:after="0" w:line="240" w:lineRule="auto"/>
    </w:pPr>
    <w:rPr>
      <w:sz w:val="20"/>
      <w:lang w:eastAsia="en-A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Trebuchet MS" w:hAnsi="Trebuchet MS"/>
        <w:b w:val="0"/>
        <w:i w:val="0"/>
        <w:sz w:val="22"/>
      </w:rPr>
      <w:tblPr/>
      <w:tcPr>
        <w:shd w:val="clear" w:color="auto" w:fill="FBD4B4" w:themeFill="accent6" w:themeFillTint="66"/>
        <w:vAlign w:val="center"/>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alloonText">
    <w:name w:val="Balloon Text"/>
    <w:basedOn w:val="Normal"/>
    <w:link w:val="BalloonTextChar"/>
    <w:uiPriority w:val="99"/>
    <w:semiHidden/>
    <w:unhideWhenUsed/>
    <w:rsid w:val="000F2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0CF"/>
    <w:rPr>
      <w:rFonts w:ascii="Tahoma" w:hAnsi="Tahoma" w:cs="Tahoma"/>
      <w:sz w:val="16"/>
      <w:szCs w:val="16"/>
    </w:rPr>
  </w:style>
  <w:style w:type="character" w:styleId="FollowedHyperlink">
    <w:name w:val="FollowedHyperlink"/>
    <w:basedOn w:val="DefaultParagraphFont"/>
    <w:uiPriority w:val="99"/>
    <w:semiHidden/>
    <w:unhideWhenUsed/>
    <w:rsid w:val="000C170D"/>
    <w:rPr>
      <w:color w:val="800080" w:themeColor="followedHyperlink"/>
      <w:u w:val="single"/>
    </w:rPr>
  </w:style>
  <w:style w:type="paragraph" w:styleId="Title">
    <w:name w:val="Title"/>
    <w:basedOn w:val="Normal"/>
    <w:next w:val="Normal"/>
    <w:link w:val="TitleChar"/>
    <w:uiPriority w:val="10"/>
    <w:qFormat/>
    <w:rsid w:val="00DC7EF3"/>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7EF3"/>
    <w:rPr>
      <w:rFonts w:eastAsiaTheme="majorEastAsia" w:cstheme="majorBidi"/>
      <w:color w:val="17365D" w:themeColor="text2" w:themeShade="BF"/>
      <w:spacing w:val="5"/>
      <w:kern w:val="28"/>
      <w:sz w:val="52"/>
      <w:szCs w:val="52"/>
    </w:rPr>
  </w:style>
  <w:style w:type="character" w:styleId="SubtleEmphasis">
    <w:name w:val="Subtle Emphasis"/>
    <w:basedOn w:val="DefaultParagraphFont"/>
    <w:uiPriority w:val="19"/>
    <w:qFormat/>
    <w:rsid w:val="00DC7EF3"/>
    <w:rPr>
      <w:i/>
      <w:iCs/>
      <w:color w:val="808080" w:themeColor="text1" w:themeTint="7F"/>
    </w:rPr>
  </w:style>
  <w:style w:type="character" w:styleId="PlaceholderText">
    <w:name w:val="Placeholder Text"/>
    <w:basedOn w:val="DefaultParagraphFont"/>
    <w:uiPriority w:val="99"/>
    <w:semiHidden/>
    <w:rsid w:val="0043440F"/>
    <w:rPr>
      <w:color w:val="808080"/>
    </w:rPr>
  </w:style>
  <w:style w:type="paragraph" w:styleId="Revision">
    <w:name w:val="Revision"/>
    <w:hidden/>
    <w:uiPriority w:val="99"/>
    <w:semiHidden/>
    <w:rsid w:val="00F678CF"/>
    <w:pPr>
      <w:spacing w:after="0" w:line="240" w:lineRule="auto"/>
    </w:pPr>
  </w:style>
  <w:style w:type="character" w:styleId="CommentReference">
    <w:name w:val="annotation reference"/>
    <w:basedOn w:val="DefaultParagraphFont"/>
    <w:uiPriority w:val="99"/>
    <w:semiHidden/>
    <w:unhideWhenUsed/>
    <w:rsid w:val="00F327CB"/>
    <w:rPr>
      <w:sz w:val="16"/>
      <w:szCs w:val="16"/>
    </w:rPr>
  </w:style>
  <w:style w:type="paragraph" w:styleId="CommentText">
    <w:name w:val="annotation text"/>
    <w:basedOn w:val="Normal"/>
    <w:link w:val="CommentTextChar"/>
    <w:uiPriority w:val="99"/>
    <w:semiHidden/>
    <w:unhideWhenUsed/>
    <w:rsid w:val="00F327CB"/>
    <w:pPr>
      <w:spacing w:line="240" w:lineRule="auto"/>
    </w:pPr>
    <w:rPr>
      <w:sz w:val="20"/>
      <w:szCs w:val="20"/>
    </w:rPr>
  </w:style>
  <w:style w:type="character" w:customStyle="1" w:styleId="CommentTextChar">
    <w:name w:val="Comment Text Char"/>
    <w:basedOn w:val="DefaultParagraphFont"/>
    <w:link w:val="CommentText"/>
    <w:uiPriority w:val="99"/>
    <w:semiHidden/>
    <w:rsid w:val="00F327CB"/>
    <w:rPr>
      <w:sz w:val="20"/>
      <w:szCs w:val="20"/>
    </w:rPr>
  </w:style>
  <w:style w:type="paragraph" w:styleId="CommentSubject">
    <w:name w:val="annotation subject"/>
    <w:basedOn w:val="CommentText"/>
    <w:next w:val="CommentText"/>
    <w:link w:val="CommentSubjectChar"/>
    <w:uiPriority w:val="99"/>
    <w:semiHidden/>
    <w:unhideWhenUsed/>
    <w:rsid w:val="00F327CB"/>
    <w:rPr>
      <w:b/>
      <w:bCs/>
    </w:rPr>
  </w:style>
  <w:style w:type="character" w:customStyle="1" w:styleId="CommentSubjectChar">
    <w:name w:val="Comment Subject Char"/>
    <w:basedOn w:val="CommentTextChar"/>
    <w:link w:val="CommentSubject"/>
    <w:uiPriority w:val="99"/>
    <w:semiHidden/>
    <w:rsid w:val="00F327CB"/>
    <w:rPr>
      <w:b/>
      <w:bCs/>
      <w:sz w:val="20"/>
      <w:szCs w:val="20"/>
    </w:rPr>
  </w:style>
  <w:style w:type="character" w:customStyle="1" w:styleId="ListParagraphChar">
    <w:name w:val="List Paragraph Char"/>
    <w:basedOn w:val="DefaultParagraphFont"/>
    <w:link w:val="ListParagraph"/>
    <w:uiPriority w:val="34"/>
    <w:rsid w:val="00064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08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APRA">
  <a:themeElements>
    <a:clrScheme name="APRA">
      <a:dk1>
        <a:sysClr val="windowText" lastClr="000000"/>
      </a:dk1>
      <a:lt1>
        <a:sysClr val="window" lastClr="FFFFFF"/>
      </a:lt1>
      <a:dk2>
        <a:srgbClr val="1F497D"/>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RA">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004BE-0F74-4743-90AD-5A5BC1CB7B23}">
  <ds:schemaRefs>
    <ds:schemaRef ds:uri="http://schemas.microsoft.com/office/2006/customDocumentInformationPanel"/>
  </ds:schemaRefs>
</ds:datastoreItem>
</file>

<file path=customXml/itemProps2.xml><?xml version="1.0" encoding="utf-8"?>
<ds:datastoreItem xmlns:ds="http://schemas.openxmlformats.org/officeDocument/2006/customXml" ds:itemID="{B29A6B04-21AA-40E5-AF3B-FEDBF1F11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1690</Words>
  <Characters>9633</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please enter a title</vt:lpstr>
    </vt:vector>
  </TitlesOfParts>
  <Company>APRA</Company>
  <LinksUpToDate>false</LinksUpToDate>
  <CharactersWithSpaces>11301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enter a title</dc:title>
  <dc:creator>Sullivan, David</dc:creator>
  <cp:lastModifiedBy>Antonietta Michalis</cp:lastModifiedBy>
  <cp:revision>2</cp:revision>
  <cp:lastPrinted>2015-05-12T05:27:00Z</cp:lastPrinted>
  <dcterms:created xsi:type="dcterms:W3CDTF">2015-06-15T20:58:00Z</dcterms:created>
  <dcterms:modified xsi:type="dcterms:W3CDTF">2015-06-15T20:58:00Z</dcterms:modified>
</cp:coreProperties>
</file>