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776" w:rsidRPr="0001674D" w:rsidRDefault="00EC0776" w:rsidP="00E669A7">
      <w:pPr>
        <w:spacing w:after="120"/>
        <w:contextualSpacing/>
        <w:jc w:val="center"/>
        <w:rPr>
          <w:rFonts w:ascii="Times New Roman" w:hAnsi="Times New Roman"/>
          <w:sz w:val="24"/>
          <w:szCs w:val="24"/>
        </w:rPr>
      </w:pPr>
      <w:r w:rsidRPr="0001674D">
        <w:rPr>
          <w:rFonts w:ascii="Times New Roman" w:hAnsi="Times New Roman"/>
          <w:b/>
          <w:sz w:val="24"/>
          <w:szCs w:val="24"/>
          <w:u w:val="single"/>
        </w:rPr>
        <w:t>EXPLANATORY STATEMENT</w:t>
      </w:r>
    </w:p>
    <w:p w:rsidR="00EC0776" w:rsidRPr="0001674D" w:rsidRDefault="00EC0776" w:rsidP="00E669A7">
      <w:pPr>
        <w:spacing w:after="120"/>
        <w:contextualSpacing/>
        <w:jc w:val="center"/>
        <w:rPr>
          <w:rFonts w:ascii="Times New Roman" w:hAnsi="Times New Roman"/>
          <w:sz w:val="24"/>
          <w:szCs w:val="24"/>
        </w:rPr>
      </w:pPr>
    </w:p>
    <w:p w:rsidR="00EC0776" w:rsidRPr="0001674D" w:rsidRDefault="00EC0776" w:rsidP="00E669A7">
      <w:pPr>
        <w:spacing w:after="120"/>
        <w:contextualSpacing/>
        <w:jc w:val="center"/>
        <w:rPr>
          <w:rFonts w:ascii="Times New Roman" w:hAnsi="Times New Roman"/>
          <w:b/>
          <w:color w:val="000000" w:themeColor="text1"/>
          <w:sz w:val="24"/>
          <w:szCs w:val="24"/>
        </w:rPr>
      </w:pPr>
      <w:r w:rsidRPr="0001674D">
        <w:rPr>
          <w:rFonts w:ascii="Times New Roman" w:hAnsi="Times New Roman"/>
          <w:b/>
          <w:color w:val="000000" w:themeColor="text1"/>
          <w:sz w:val="24"/>
          <w:szCs w:val="24"/>
        </w:rPr>
        <w:t xml:space="preserve">Select Legislative Instrument </w:t>
      </w:r>
      <w:r w:rsidRPr="00714220">
        <w:rPr>
          <w:rFonts w:ascii="Times New Roman" w:hAnsi="Times New Roman"/>
          <w:b/>
          <w:color w:val="000000" w:themeColor="text1"/>
          <w:sz w:val="24"/>
          <w:szCs w:val="24"/>
        </w:rPr>
        <w:t>No.</w:t>
      </w:r>
      <w:r w:rsidRPr="0001674D">
        <w:rPr>
          <w:rFonts w:ascii="Times New Roman" w:hAnsi="Times New Roman"/>
          <w:b/>
          <w:color w:val="000000" w:themeColor="text1"/>
          <w:sz w:val="24"/>
          <w:szCs w:val="24"/>
        </w:rPr>
        <w:t xml:space="preserve"> </w:t>
      </w:r>
      <w:bookmarkStart w:id="0" w:name="_GoBack"/>
      <w:bookmarkEnd w:id="0"/>
      <w:r w:rsidR="005A7435">
        <w:rPr>
          <w:rFonts w:ascii="Times New Roman" w:hAnsi="Times New Roman"/>
          <w:b/>
          <w:color w:val="000000" w:themeColor="text1"/>
          <w:sz w:val="24"/>
          <w:szCs w:val="24"/>
        </w:rPr>
        <w:t>99, 2015</w:t>
      </w:r>
    </w:p>
    <w:p w:rsidR="00EC0776" w:rsidRPr="0001674D" w:rsidRDefault="00EC0776" w:rsidP="00E669A7">
      <w:pPr>
        <w:spacing w:after="120"/>
        <w:contextualSpacing/>
        <w:jc w:val="center"/>
        <w:rPr>
          <w:rFonts w:ascii="Times New Roman" w:hAnsi="Times New Roman"/>
          <w:b/>
          <w:color w:val="000000" w:themeColor="text1"/>
          <w:sz w:val="24"/>
          <w:szCs w:val="24"/>
        </w:rPr>
      </w:pPr>
    </w:p>
    <w:p w:rsidR="00EC0776" w:rsidRPr="0001674D" w:rsidRDefault="00EC0776" w:rsidP="00E669A7">
      <w:pPr>
        <w:spacing w:after="120"/>
        <w:contextualSpacing/>
        <w:jc w:val="center"/>
        <w:rPr>
          <w:rFonts w:ascii="Times New Roman" w:hAnsi="Times New Roman"/>
          <w:b/>
          <w:color w:val="000000" w:themeColor="text1"/>
          <w:sz w:val="24"/>
          <w:szCs w:val="24"/>
        </w:rPr>
      </w:pPr>
      <w:r w:rsidRPr="0001674D">
        <w:rPr>
          <w:rFonts w:ascii="Times New Roman" w:hAnsi="Times New Roman"/>
          <w:b/>
          <w:color w:val="000000" w:themeColor="text1"/>
          <w:sz w:val="24"/>
          <w:szCs w:val="24"/>
        </w:rPr>
        <w:t>Issued by the Authority of the Minister for Finance</w:t>
      </w:r>
    </w:p>
    <w:p w:rsidR="00EC0776" w:rsidRPr="0001674D" w:rsidRDefault="00EC0776" w:rsidP="00E669A7">
      <w:pPr>
        <w:tabs>
          <w:tab w:val="left" w:pos="1701"/>
        </w:tabs>
        <w:spacing w:after="120"/>
        <w:contextualSpacing/>
        <w:jc w:val="center"/>
        <w:rPr>
          <w:rFonts w:ascii="Times New Roman" w:hAnsi="Times New Roman"/>
          <w:sz w:val="24"/>
          <w:szCs w:val="24"/>
        </w:rPr>
      </w:pPr>
    </w:p>
    <w:p w:rsidR="00EC0776" w:rsidRPr="0001674D" w:rsidRDefault="00EC0776" w:rsidP="00E669A7">
      <w:pPr>
        <w:spacing w:after="120"/>
        <w:contextualSpacing/>
        <w:jc w:val="center"/>
        <w:rPr>
          <w:rFonts w:ascii="Times New Roman" w:hAnsi="Times New Roman"/>
          <w:i/>
          <w:sz w:val="24"/>
          <w:szCs w:val="24"/>
        </w:rPr>
      </w:pPr>
      <w:r w:rsidRPr="0001674D">
        <w:rPr>
          <w:rFonts w:ascii="Times New Roman" w:hAnsi="Times New Roman"/>
          <w:i/>
          <w:sz w:val="24"/>
          <w:szCs w:val="24"/>
        </w:rPr>
        <w:t>Financial Framework (Supplementary Powers) Act 1997</w:t>
      </w:r>
    </w:p>
    <w:p w:rsidR="00EC0776" w:rsidRPr="0001674D" w:rsidRDefault="00EC0776" w:rsidP="00E669A7">
      <w:pPr>
        <w:tabs>
          <w:tab w:val="left" w:pos="1701"/>
        </w:tabs>
        <w:spacing w:after="120"/>
        <w:contextualSpacing/>
        <w:jc w:val="center"/>
        <w:rPr>
          <w:rFonts w:ascii="Times New Roman" w:hAnsi="Times New Roman"/>
          <w:sz w:val="24"/>
          <w:szCs w:val="24"/>
        </w:rPr>
      </w:pPr>
    </w:p>
    <w:p w:rsidR="00EC0776" w:rsidRPr="0001674D" w:rsidRDefault="00EC0776" w:rsidP="00E669A7">
      <w:pPr>
        <w:tabs>
          <w:tab w:val="left" w:pos="1701"/>
        </w:tabs>
        <w:spacing w:after="120"/>
        <w:contextualSpacing/>
        <w:jc w:val="center"/>
        <w:rPr>
          <w:rFonts w:ascii="Times New Roman" w:hAnsi="Times New Roman"/>
          <w:i/>
          <w:sz w:val="24"/>
          <w:szCs w:val="24"/>
        </w:rPr>
      </w:pPr>
      <w:r w:rsidRPr="0001674D">
        <w:rPr>
          <w:rFonts w:ascii="Times New Roman" w:hAnsi="Times New Roman"/>
          <w:i/>
          <w:sz w:val="24"/>
          <w:szCs w:val="24"/>
        </w:rPr>
        <w:t xml:space="preserve">Financial Framework (Supplementary Powers) Amendment </w:t>
      </w:r>
    </w:p>
    <w:p w:rsidR="00EC0776" w:rsidRPr="0001674D" w:rsidRDefault="00430A86" w:rsidP="00E669A7">
      <w:pPr>
        <w:tabs>
          <w:tab w:val="left" w:pos="1701"/>
        </w:tabs>
        <w:spacing w:after="120"/>
        <w:contextualSpacing/>
        <w:jc w:val="center"/>
        <w:rPr>
          <w:rFonts w:ascii="Times New Roman" w:hAnsi="Times New Roman"/>
          <w:sz w:val="24"/>
          <w:szCs w:val="24"/>
        </w:rPr>
      </w:pPr>
      <w:r w:rsidRPr="0001674D">
        <w:rPr>
          <w:rFonts w:ascii="Times New Roman" w:hAnsi="Times New Roman"/>
          <w:i/>
          <w:iCs/>
          <w:sz w:val="24"/>
          <w:szCs w:val="24"/>
        </w:rPr>
        <w:t>(2015 Measures No. 6</w:t>
      </w:r>
      <w:r w:rsidR="00EC0776" w:rsidRPr="0001674D">
        <w:rPr>
          <w:rFonts w:ascii="Times New Roman" w:hAnsi="Times New Roman"/>
          <w:i/>
          <w:iCs/>
          <w:sz w:val="24"/>
          <w:szCs w:val="24"/>
        </w:rPr>
        <w:t xml:space="preserve">) </w:t>
      </w:r>
      <w:r w:rsidR="00EC0776" w:rsidRPr="0001674D">
        <w:rPr>
          <w:rFonts w:ascii="Times New Roman" w:hAnsi="Times New Roman"/>
          <w:i/>
          <w:sz w:val="24"/>
          <w:szCs w:val="24"/>
        </w:rPr>
        <w:t>Regulation 2015</w:t>
      </w:r>
    </w:p>
    <w:p w:rsidR="00EC0776" w:rsidRPr="0001674D" w:rsidRDefault="00EC0776" w:rsidP="00C95943">
      <w:pPr>
        <w:spacing w:after="120"/>
        <w:contextualSpacing/>
        <w:rPr>
          <w:rFonts w:ascii="Times New Roman" w:hAnsi="Times New Roman"/>
          <w:sz w:val="24"/>
          <w:szCs w:val="24"/>
        </w:rPr>
      </w:pPr>
    </w:p>
    <w:p w:rsidR="00EC0776" w:rsidRPr="0001674D" w:rsidRDefault="00EC0776" w:rsidP="00C95943">
      <w:pPr>
        <w:spacing w:after="120"/>
        <w:contextualSpacing/>
        <w:rPr>
          <w:rFonts w:ascii="Times New Roman" w:hAnsi="Times New Roman"/>
          <w:sz w:val="24"/>
          <w:szCs w:val="24"/>
        </w:rPr>
      </w:pPr>
      <w:r w:rsidRPr="0001674D">
        <w:rPr>
          <w:rFonts w:ascii="Times New Roman" w:hAnsi="Times New Roman"/>
          <w:sz w:val="24"/>
          <w:szCs w:val="24"/>
        </w:rPr>
        <w:t xml:space="preserve">The </w:t>
      </w:r>
      <w:r w:rsidRPr="0001674D">
        <w:rPr>
          <w:rFonts w:ascii="Times New Roman" w:hAnsi="Times New Roman"/>
          <w:i/>
          <w:sz w:val="24"/>
          <w:szCs w:val="24"/>
        </w:rPr>
        <w:t>Financial Framework (Supplementary Powers) Act 1997</w:t>
      </w:r>
      <w:r w:rsidRPr="0001674D">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programmes and companies (or classes of arrangements or grants in relation to which the powers are conferred) are specified in the </w:t>
      </w:r>
      <w:r w:rsidRPr="0001674D">
        <w:rPr>
          <w:rFonts w:ascii="Times New Roman" w:hAnsi="Times New Roman"/>
          <w:i/>
          <w:sz w:val="24"/>
          <w:szCs w:val="24"/>
        </w:rPr>
        <w:t xml:space="preserve">Financial Framework (Supplementary Powers) Regulations 1997 </w:t>
      </w:r>
      <w:r w:rsidRPr="0001674D">
        <w:rPr>
          <w:rFonts w:ascii="Times New Roman" w:hAnsi="Times New Roman"/>
          <w:sz w:val="24"/>
          <w:szCs w:val="24"/>
        </w:rPr>
        <w:t>(the Principal Regulations).  The FF(SP) Act applies to Ministers and the accountable authorities of non</w:t>
      </w:r>
      <w:r w:rsidRPr="0001674D">
        <w:rPr>
          <w:rFonts w:ascii="Times New Roman" w:hAnsi="Times New Roman"/>
          <w:sz w:val="24"/>
          <w:szCs w:val="24"/>
        </w:rPr>
        <w:noBreakHyphen/>
        <w:t xml:space="preserve">corporate Commonwealth entities, as defined under section 12 of the </w:t>
      </w:r>
      <w:r w:rsidRPr="0001674D">
        <w:rPr>
          <w:rFonts w:ascii="Times New Roman" w:hAnsi="Times New Roman"/>
          <w:i/>
          <w:sz w:val="24"/>
          <w:szCs w:val="24"/>
        </w:rPr>
        <w:t>Public Governance, Performance and Accountability Act 2013</w:t>
      </w:r>
      <w:r w:rsidRPr="0001674D">
        <w:rPr>
          <w:rFonts w:ascii="Times New Roman" w:hAnsi="Times New Roman"/>
          <w:sz w:val="24"/>
          <w:szCs w:val="24"/>
        </w:rPr>
        <w:t xml:space="preserve">.  </w:t>
      </w:r>
    </w:p>
    <w:p w:rsidR="00EC0776" w:rsidRPr="0001674D" w:rsidRDefault="00EC0776" w:rsidP="00C95943">
      <w:pPr>
        <w:spacing w:after="120"/>
        <w:contextualSpacing/>
        <w:rPr>
          <w:rFonts w:ascii="Times New Roman" w:hAnsi="Times New Roman"/>
          <w:sz w:val="24"/>
          <w:szCs w:val="24"/>
        </w:rPr>
      </w:pPr>
    </w:p>
    <w:p w:rsidR="00EC0776" w:rsidRPr="0001674D" w:rsidRDefault="00EC0776" w:rsidP="00C95943">
      <w:pPr>
        <w:pStyle w:val="ParaNumbering"/>
        <w:tabs>
          <w:tab w:val="clear" w:pos="360"/>
          <w:tab w:val="clear" w:pos="567"/>
        </w:tabs>
        <w:spacing w:after="0" w:line="240" w:lineRule="auto"/>
        <w:contextualSpacing/>
        <w:rPr>
          <w:szCs w:val="24"/>
        </w:rPr>
      </w:pPr>
      <w:r w:rsidRPr="0001674D">
        <w:rPr>
          <w:szCs w:val="24"/>
        </w:rPr>
        <w:t>Section 65 of the FF(SP) Act provides that the Governor-General may make regulations prescribing matters required or permitted by that Act to be prescribed, or necessary or convenient to be prescribed for carrying out or giving effect to that Act.</w:t>
      </w:r>
    </w:p>
    <w:p w:rsidR="00EC0776" w:rsidRPr="0001674D" w:rsidRDefault="00EC0776" w:rsidP="00C95943">
      <w:pPr>
        <w:contextualSpacing/>
        <w:rPr>
          <w:rFonts w:ascii="Times New Roman" w:hAnsi="Times New Roman"/>
          <w:sz w:val="24"/>
          <w:szCs w:val="24"/>
        </w:rPr>
      </w:pPr>
    </w:p>
    <w:p w:rsidR="00EC0776" w:rsidRPr="0001674D" w:rsidRDefault="00EC0776" w:rsidP="00C95943">
      <w:pPr>
        <w:spacing w:after="120"/>
        <w:contextualSpacing/>
        <w:rPr>
          <w:rFonts w:ascii="Times New Roman" w:hAnsi="Times New Roman"/>
          <w:sz w:val="24"/>
          <w:szCs w:val="24"/>
        </w:rPr>
      </w:pPr>
      <w:r w:rsidRPr="0001674D">
        <w:rPr>
          <w:rFonts w:ascii="Times New Roman" w:hAnsi="Times New Roman"/>
          <w:sz w:val="24"/>
          <w:szCs w:val="24"/>
        </w:rPr>
        <w:t xml:space="preserve">Section 32B of the FF(SP) Act authorises the Commonwealth to make, vary and administer arrangements and grants specified in the Principal Regulations.  Section 32B also authorises the Commonwealth to make, vary and administer arrangements for the purposes of programmes specified in the Principal Regulations.  Schedule 1AA and Schedule 1AB to the Principal Regulations specify the arrangements, grants and programmes.  </w:t>
      </w:r>
    </w:p>
    <w:p w:rsidR="00EC0776" w:rsidRPr="0001674D" w:rsidRDefault="00EC0776" w:rsidP="00C95943">
      <w:pPr>
        <w:spacing w:after="120"/>
        <w:contextualSpacing/>
        <w:rPr>
          <w:rFonts w:ascii="Times New Roman" w:hAnsi="Times New Roman"/>
          <w:sz w:val="24"/>
          <w:szCs w:val="24"/>
        </w:rPr>
      </w:pPr>
    </w:p>
    <w:p w:rsidR="00EC0776" w:rsidRPr="0001674D" w:rsidRDefault="00EC0776" w:rsidP="00C95943">
      <w:pPr>
        <w:contextualSpacing/>
        <w:rPr>
          <w:rFonts w:ascii="Times New Roman" w:hAnsi="Times New Roman"/>
          <w:sz w:val="24"/>
          <w:szCs w:val="24"/>
        </w:rPr>
      </w:pPr>
      <w:r w:rsidRPr="0001674D">
        <w:rPr>
          <w:rFonts w:ascii="Times New Roman" w:hAnsi="Times New Roman"/>
          <w:sz w:val="24"/>
          <w:szCs w:val="24"/>
        </w:rPr>
        <w:t>Schedule 1 to the Regulation amends the Principal Regulations to establish legislative authority in Schedule 1AB for spending by the Government</w:t>
      </w:r>
      <w:r w:rsidR="00C3411C">
        <w:rPr>
          <w:rFonts w:ascii="Times New Roman" w:hAnsi="Times New Roman"/>
          <w:sz w:val="24"/>
          <w:szCs w:val="24"/>
        </w:rPr>
        <w:t xml:space="preserve"> </w:t>
      </w:r>
      <w:r w:rsidR="00BB5E38">
        <w:rPr>
          <w:rFonts w:ascii="Times New Roman" w:hAnsi="Times New Roman"/>
          <w:sz w:val="24"/>
          <w:szCs w:val="24"/>
        </w:rPr>
        <w:t>on 22 activities across seven portfolios.</w:t>
      </w:r>
      <w:r w:rsidR="00BB5E38" w:rsidRPr="00BB5E38">
        <w:rPr>
          <w:rFonts w:ascii="Times New Roman" w:hAnsi="Times New Roman"/>
          <w:sz w:val="24"/>
          <w:szCs w:val="24"/>
        </w:rPr>
        <w:t xml:space="preserve">  Many of the activities were announced in the 2015-16 Budget and relate to</w:t>
      </w:r>
      <w:r w:rsidRPr="0001674D">
        <w:rPr>
          <w:rFonts w:ascii="Times New Roman" w:hAnsi="Times New Roman"/>
          <w:sz w:val="24"/>
          <w:szCs w:val="24"/>
        </w:rPr>
        <w:t>:</w:t>
      </w:r>
    </w:p>
    <w:p w:rsidR="00430A86" w:rsidRPr="0001674D" w:rsidRDefault="00430A86" w:rsidP="00C95943">
      <w:pPr>
        <w:pStyle w:val="ListParagraph"/>
        <w:numPr>
          <w:ilvl w:val="0"/>
          <w:numId w:val="2"/>
        </w:numPr>
        <w:rPr>
          <w:rFonts w:cs="Times New Roman"/>
          <w:szCs w:val="24"/>
        </w:rPr>
      </w:pPr>
      <w:r w:rsidRPr="0001674D">
        <w:rPr>
          <w:rFonts w:cs="Times New Roman"/>
          <w:szCs w:val="24"/>
        </w:rPr>
        <w:t>the Community Legal Services Programme to provide access to legal assistance services for vulnerable and disadvantaged members of the community; the establishment of the National Programme for Excellence in the Arts to support participation in, and access to, Australia’s arts and cultural sector; and funding the matched funding programme, to be administered by Creative Partnerships Australia, to support projects that develop the arts sector’s capacity to use innovative fundraising strategies and build partnerships with the corporate and philanthropic sectors (Attorney</w:t>
      </w:r>
      <w:r w:rsidRPr="0001674D">
        <w:rPr>
          <w:rFonts w:cs="Times New Roman"/>
          <w:szCs w:val="24"/>
        </w:rPr>
        <w:noBreakHyphen/>
        <w:t>General’s portfolio);</w:t>
      </w:r>
    </w:p>
    <w:p w:rsidR="00430A86" w:rsidRPr="0001674D" w:rsidRDefault="00430A86" w:rsidP="00C95943">
      <w:pPr>
        <w:pStyle w:val="ListParagraph"/>
        <w:numPr>
          <w:ilvl w:val="0"/>
          <w:numId w:val="2"/>
        </w:numPr>
        <w:spacing w:after="120"/>
        <w:rPr>
          <w:rFonts w:cs="Times New Roman"/>
          <w:szCs w:val="24"/>
        </w:rPr>
      </w:pPr>
      <w:r w:rsidRPr="0001674D">
        <w:rPr>
          <w:rFonts w:cs="Times New Roman"/>
          <w:szCs w:val="24"/>
        </w:rPr>
        <w:t>public access to national geocoded address data (Communications portfolio);</w:t>
      </w:r>
    </w:p>
    <w:p w:rsidR="00C3411C" w:rsidRDefault="00430A86" w:rsidP="00C95943">
      <w:pPr>
        <w:pStyle w:val="ListParagraph"/>
        <w:numPr>
          <w:ilvl w:val="0"/>
          <w:numId w:val="2"/>
        </w:numPr>
        <w:spacing w:after="120"/>
        <w:rPr>
          <w:rFonts w:cs="Times New Roman"/>
          <w:szCs w:val="24"/>
        </w:rPr>
      </w:pPr>
      <w:r w:rsidRPr="0001674D">
        <w:rPr>
          <w:rFonts w:cs="Times New Roman"/>
          <w:szCs w:val="24"/>
        </w:rPr>
        <w:t>the Australian Apprenticeship Support Network to deliver support services nationally to assist apprentices and their employers to engage with, participate in, and complete Australian apprenticeships (Education and Training portfolio);</w:t>
      </w:r>
    </w:p>
    <w:p w:rsidR="00430A86" w:rsidRPr="00C3411C" w:rsidRDefault="00430A86" w:rsidP="00C95943">
      <w:pPr>
        <w:pStyle w:val="ListParagraph"/>
        <w:numPr>
          <w:ilvl w:val="0"/>
          <w:numId w:val="2"/>
        </w:numPr>
        <w:spacing w:after="120"/>
        <w:rPr>
          <w:rFonts w:cs="Times New Roman"/>
          <w:szCs w:val="24"/>
        </w:rPr>
      </w:pPr>
      <w:r w:rsidRPr="00C3411C">
        <w:rPr>
          <w:rFonts w:cs="Times New Roman"/>
          <w:szCs w:val="24"/>
        </w:rPr>
        <w:t>the development of a coordinated data platform on energy to help all users of energy data understand and forecast changes in energy demand (Industry and Science portfolio);</w:t>
      </w:r>
    </w:p>
    <w:p w:rsidR="00430A86" w:rsidRPr="0001674D" w:rsidRDefault="00430A86" w:rsidP="00C95943">
      <w:pPr>
        <w:pStyle w:val="ListParagraph"/>
        <w:numPr>
          <w:ilvl w:val="0"/>
          <w:numId w:val="2"/>
        </w:numPr>
        <w:spacing w:after="120"/>
        <w:rPr>
          <w:rFonts w:cs="Times New Roman"/>
          <w:szCs w:val="24"/>
        </w:rPr>
      </w:pPr>
      <w:r w:rsidRPr="0001674D">
        <w:rPr>
          <w:rFonts w:cs="Times New Roman"/>
          <w:szCs w:val="24"/>
        </w:rPr>
        <w:lastRenderedPageBreak/>
        <w:t xml:space="preserve">supporting land transport infrastructure projects by providing loans to support project delivery; the Stronger Communities Programme which is designed to deliver social benefits in Australia’s regions by funding small capital projects in local communities in each of the 150 federal electorates; and the Drought Communities Programme that will fund local infrastructure initiatives in selected local government areas (Infrastructure and Regional Development portfolio); </w:t>
      </w:r>
    </w:p>
    <w:p w:rsidR="00430A86" w:rsidRDefault="00430A86" w:rsidP="00C95943">
      <w:pPr>
        <w:pStyle w:val="ListParagraph"/>
        <w:numPr>
          <w:ilvl w:val="0"/>
          <w:numId w:val="2"/>
        </w:numPr>
        <w:spacing w:after="120"/>
        <w:rPr>
          <w:rFonts w:cs="Times New Roman"/>
          <w:szCs w:val="24"/>
        </w:rPr>
      </w:pPr>
      <w:r w:rsidRPr="0001674D">
        <w:rPr>
          <w:rFonts w:cs="Times New Roman"/>
          <w:szCs w:val="24"/>
          <w:lang w:eastAsia="en-AU"/>
        </w:rPr>
        <w:t>the Individual Placement and Support Trial to assist young people with mental illness to remain in education or employment, or to transition to employment</w:t>
      </w:r>
      <w:r w:rsidR="00C3411C">
        <w:rPr>
          <w:rFonts w:cs="Times New Roman"/>
          <w:szCs w:val="24"/>
        </w:rPr>
        <w:t xml:space="preserve"> </w:t>
      </w:r>
      <w:r w:rsidR="005D2186">
        <w:rPr>
          <w:rFonts w:cs="Times New Roman"/>
          <w:szCs w:val="24"/>
        </w:rPr>
        <w:t>(</w:t>
      </w:r>
      <w:r w:rsidR="00C3411C">
        <w:rPr>
          <w:rFonts w:cs="Times New Roman"/>
          <w:szCs w:val="24"/>
        </w:rPr>
        <w:t>Social Services portfolio); and</w:t>
      </w:r>
    </w:p>
    <w:p w:rsidR="00C3411C" w:rsidRDefault="002A0567" w:rsidP="00C95943">
      <w:pPr>
        <w:pStyle w:val="ListParagraph"/>
        <w:numPr>
          <w:ilvl w:val="0"/>
          <w:numId w:val="2"/>
        </w:numPr>
        <w:spacing w:after="120"/>
        <w:rPr>
          <w:rFonts w:cs="Times New Roman"/>
          <w:szCs w:val="24"/>
        </w:rPr>
      </w:pPr>
      <w:r>
        <w:rPr>
          <w:rFonts w:cs="Times New Roman"/>
          <w:szCs w:val="24"/>
        </w:rPr>
        <w:t>t</w:t>
      </w:r>
      <w:r w:rsidR="00C3411C">
        <w:rPr>
          <w:rFonts w:cs="Times New Roman"/>
          <w:szCs w:val="24"/>
        </w:rPr>
        <w:t>welve items from the Health portfolio including:</w:t>
      </w:r>
    </w:p>
    <w:p w:rsidR="00C3411C" w:rsidRDefault="00C3411C" w:rsidP="00C95943">
      <w:pPr>
        <w:pStyle w:val="ListParagraph"/>
        <w:numPr>
          <w:ilvl w:val="1"/>
          <w:numId w:val="12"/>
        </w:numPr>
        <w:spacing w:after="120"/>
        <w:rPr>
          <w:rFonts w:cs="Times New Roman"/>
          <w:szCs w:val="24"/>
        </w:rPr>
      </w:pPr>
      <w:r w:rsidRPr="0001674D">
        <w:rPr>
          <w:rFonts w:cs="Times New Roman"/>
          <w:szCs w:val="24"/>
        </w:rPr>
        <w:t xml:space="preserve">supporting the delivery of medical services to people living in rural, regional and remote communities in Australia by providing targeted financial support to encourage doctors to practise in areas that experience the greatest difficulty in attracting and retaining the medical workforce; </w:t>
      </w:r>
    </w:p>
    <w:p w:rsidR="00C3411C" w:rsidRDefault="00C3411C" w:rsidP="00C95943">
      <w:pPr>
        <w:pStyle w:val="ListParagraph"/>
        <w:numPr>
          <w:ilvl w:val="1"/>
          <w:numId w:val="12"/>
        </w:numPr>
        <w:spacing w:after="120"/>
        <w:rPr>
          <w:rFonts w:cs="Times New Roman"/>
          <w:szCs w:val="24"/>
        </w:rPr>
      </w:pPr>
      <w:r w:rsidRPr="0001674D">
        <w:rPr>
          <w:rFonts w:cs="Times New Roman"/>
          <w:szCs w:val="24"/>
        </w:rPr>
        <w:t>the Haemopoietic Progenitor Cells Programme to provide Australian patients with better access to life-saving tissue transplants used to restore stem cells destroyed by cancer therapies and other life-threatening conditions;</w:t>
      </w:r>
    </w:p>
    <w:p w:rsidR="00C3411C" w:rsidRDefault="00C3411C" w:rsidP="00C95943">
      <w:pPr>
        <w:pStyle w:val="ListParagraph"/>
        <w:numPr>
          <w:ilvl w:val="1"/>
          <w:numId w:val="12"/>
        </w:numPr>
        <w:spacing w:after="120"/>
        <w:rPr>
          <w:rFonts w:cs="Times New Roman"/>
          <w:szCs w:val="24"/>
        </w:rPr>
      </w:pPr>
      <w:r w:rsidRPr="0001674D">
        <w:rPr>
          <w:rFonts w:cs="Times New Roman"/>
          <w:szCs w:val="24"/>
        </w:rPr>
        <w:t xml:space="preserve">the establishment and maintenance of clinical quality registries for the purpose of assessing and improving the quality of health care; </w:t>
      </w:r>
    </w:p>
    <w:p w:rsidR="00C3411C" w:rsidRDefault="00C3411C" w:rsidP="00C95943">
      <w:pPr>
        <w:pStyle w:val="ListParagraph"/>
        <w:numPr>
          <w:ilvl w:val="1"/>
          <w:numId w:val="12"/>
        </w:numPr>
        <w:spacing w:after="120"/>
        <w:rPr>
          <w:rFonts w:cs="Times New Roman"/>
          <w:szCs w:val="24"/>
        </w:rPr>
      </w:pPr>
      <w:r w:rsidRPr="0001674D">
        <w:rPr>
          <w:rFonts w:cs="Times New Roman"/>
          <w:szCs w:val="24"/>
        </w:rPr>
        <w:t xml:space="preserve">the Junior Medical Officer Programme to support clinical training positions for junior medical practitioners prior to the commencement of specialist training; </w:t>
      </w:r>
    </w:p>
    <w:p w:rsidR="00BC2243" w:rsidRDefault="00C3411C" w:rsidP="00C95943">
      <w:pPr>
        <w:pStyle w:val="ListParagraph"/>
        <w:numPr>
          <w:ilvl w:val="1"/>
          <w:numId w:val="12"/>
        </w:numPr>
        <w:spacing w:after="120"/>
        <w:rPr>
          <w:rFonts w:cs="Times New Roman"/>
          <w:szCs w:val="24"/>
        </w:rPr>
      </w:pPr>
      <w:r w:rsidRPr="0001674D">
        <w:rPr>
          <w:rFonts w:cs="Times New Roman"/>
          <w:szCs w:val="24"/>
        </w:rPr>
        <w:t xml:space="preserve">the National Bowel Cancer Screening Programme that supports the prevention and early detection of bowel cancer to reduce morbidity and mortality from the disease; </w:t>
      </w:r>
    </w:p>
    <w:p w:rsidR="00C3411C" w:rsidRDefault="00C3411C" w:rsidP="00C95943">
      <w:pPr>
        <w:pStyle w:val="ListParagraph"/>
        <w:numPr>
          <w:ilvl w:val="1"/>
          <w:numId w:val="12"/>
        </w:numPr>
        <w:spacing w:after="120"/>
        <w:rPr>
          <w:rFonts w:cs="Times New Roman"/>
          <w:szCs w:val="24"/>
        </w:rPr>
      </w:pPr>
      <w:r w:rsidRPr="0001674D">
        <w:rPr>
          <w:rFonts w:cs="Times New Roman"/>
          <w:szCs w:val="24"/>
        </w:rPr>
        <w:t xml:space="preserve">improving the uptake of vaccines under the National Immunisation Programme; </w:t>
      </w:r>
    </w:p>
    <w:p w:rsidR="00C3411C" w:rsidRDefault="00C3411C" w:rsidP="00C95943">
      <w:pPr>
        <w:pStyle w:val="ListParagraph"/>
        <w:numPr>
          <w:ilvl w:val="1"/>
          <w:numId w:val="12"/>
        </w:numPr>
        <w:spacing w:after="120"/>
        <w:rPr>
          <w:rFonts w:cs="Times New Roman"/>
          <w:szCs w:val="24"/>
        </w:rPr>
      </w:pPr>
      <w:r w:rsidRPr="0001674D">
        <w:rPr>
          <w:rFonts w:cs="Times New Roman"/>
          <w:szCs w:val="24"/>
        </w:rPr>
        <w:t xml:space="preserve">the Health Workforce Scholarship Programme to increase participation in, and promote better distribution of, health workforces; </w:t>
      </w:r>
    </w:p>
    <w:p w:rsidR="00C30D11" w:rsidRDefault="00C3411C" w:rsidP="00C95943">
      <w:pPr>
        <w:pStyle w:val="ListParagraph"/>
        <w:numPr>
          <w:ilvl w:val="1"/>
          <w:numId w:val="12"/>
        </w:numPr>
        <w:spacing w:after="120"/>
        <w:rPr>
          <w:rFonts w:cs="Times New Roman"/>
          <w:szCs w:val="24"/>
        </w:rPr>
      </w:pPr>
      <w:r w:rsidRPr="0001674D">
        <w:rPr>
          <w:rFonts w:cs="Times New Roman"/>
          <w:szCs w:val="24"/>
        </w:rPr>
        <w:t xml:space="preserve">the establishment and ongoing maintenance of a National Cancer Screening Register; </w:t>
      </w:r>
    </w:p>
    <w:p w:rsidR="00C30D11" w:rsidRDefault="00C3411C" w:rsidP="00C95943">
      <w:pPr>
        <w:pStyle w:val="ListParagraph"/>
        <w:numPr>
          <w:ilvl w:val="1"/>
          <w:numId w:val="12"/>
        </w:numPr>
        <w:spacing w:after="120"/>
        <w:rPr>
          <w:rFonts w:cs="Times New Roman"/>
          <w:szCs w:val="24"/>
        </w:rPr>
      </w:pPr>
      <w:r w:rsidRPr="0001674D">
        <w:rPr>
          <w:rFonts w:cs="Times New Roman"/>
          <w:szCs w:val="24"/>
        </w:rPr>
        <w:t xml:space="preserve">measures to improve organ and tissue donation rates and access to organ and tissue transplantation support; </w:t>
      </w:r>
    </w:p>
    <w:p w:rsidR="00C3411C" w:rsidRDefault="00C3411C" w:rsidP="00C95943">
      <w:pPr>
        <w:pStyle w:val="ListParagraph"/>
        <w:numPr>
          <w:ilvl w:val="1"/>
          <w:numId w:val="12"/>
        </w:numPr>
        <w:spacing w:after="120"/>
        <w:rPr>
          <w:rFonts w:cs="Times New Roman"/>
          <w:szCs w:val="24"/>
        </w:rPr>
      </w:pPr>
      <w:r w:rsidRPr="0001674D">
        <w:rPr>
          <w:rFonts w:cs="Times New Roman"/>
          <w:szCs w:val="24"/>
        </w:rPr>
        <w:t>funding professional pharmacy programmes and services under the Sixth Community Pharmacy Agreement;</w:t>
      </w:r>
      <w:r>
        <w:rPr>
          <w:rFonts w:cs="Times New Roman"/>
          <w:szCs w:val="24"/>
        </w:rPr>
        <w:t xml:space="preserve"> </w:t>
      </w:r>
    </w:p>
    <w:p w:rsidR="00B46175" w:rsidRPr="00C95943" w:rsidRDefault="00C3411C" w:rsidP="00C95943">
      <w:pPr>
        <w:pStyle w:val="ListParagraph"/>
        <w:numPr>
          <w:ilvl w:val="1"/>
          <w:numId w:val="12"/>
        </w:numPr>
        <w:spacing w:after="120"/>
        <w:rPr>
          <w:rFonts w:cs="Times New Roman"/>
          <w:szCs w:val="24"/>
        </w:rPr>
      </w:pPr>
      <w:r w:rsidRPr="00C3411C">
        <w:rPr>
          <w:rFonts w:cs="Times New Roman"/>
          <w:szCs w:val="24"/>
        </w:rPr>
        <w:t xml:space="preserve"> funding the Australian Men’s Shed Association to promote and provide medical services for the treatment and management of physical and mental health conditions; and </w:t>
      </w:r>
    </w:p>
    <w:p w:rsidR="00B652BC" w:rsidRPr="00C95943" w:rsidRDefault="00C3411C" w:rsidP="00C95943">
      <w:pPr>
        <w:pStyle w:val="ListParagraph"/>
        <w:numPr>
          <w:ilvl w:val="1"/>
          <w:numId w:val="12"/>
        </w:numPr>
        <w:rPr>
          <w:rFonts w:cs="Times New Roman"/>
          <w:szCs w:val="24"/>
        </w:rPr>
      </w:pPr>
      <w:r w:rsidRPr="00C3411C">
        <w:rPr>
          <w:rFonts w:cs="Times New Roman"/>
          <w:szCs w:val="24"/>
        </w:rPr>
        <w:t>funding health peak and advisory bodies for activities that focus on informing and supporting the Government’s health agenda.</w:t>
      </w:r>
    </w:p>
    <w:p w:rsidR="00C3411C" w:rsidRDefault="00C3411C" w:rsidP="00C95943">
      <w:pPr>
        <w:pStyle w:val="ParaNumbering"/>
        <w:tabs>
          <w:tab w:val="clear" w:pos="360"/>
          <w:tab w:val="clear" w:pos="567"/>
        </w:tabs>
        <w:spacing w:after="0" w:line="240" w:lineRule="auto"/>
        <w:contextualSpacing/>
        <w:rPr>
          <w:color w:val="000000" w:themeColor="text1"/>
          <w:szCs w:val="24"/>
        </w:rPr>
      </w:pPr>
    </w:p>
    <w:p w:rsidR="00EC0776" w:rsidRPr="0001674D" w:rsidRDefault="00EC0776" w:rsidP="00C95943">
      <w:pPr>
        <w:pStyle w:val="ParaNumbering"/>
        <w:tabs>
          <w:tab w:val="clear" w:pos="360"/>
          <w:tab w:val="clear" w:pos="567"/>
        </w:tabs>
        <w:spacing w:after="120" w:line="240" w:lineRule="auto"/>
        <w:contextualSpacing/>
        <w:rPr>
          <w:bCs/>
          <w:color w:val="000000" w:themeColor="text1"/>
          <w:szCs w:val="24"/>
        </w:rPr>
      </w:pPr>
      <w:r w:rsidRPr="0001674D">
        <w:rPr>
          <w:color w:val="000000" w:themeColor="text1"/>
          <w:szCs w:val="24"/>
        </w:rPr>
        <w:t xml:space="preserve">Details of the Regulation are set out at </w:t>
      </w:r>
      <w:r w:rsidRPr="0001674D">
        <w:rPr>
          <w:color w:val="000000" w:themeColor="text1"/>
          <w:szCs w:val="24"/>
          <w:u w:val="single"/>
        </w:rPr>
        <w:t>Attachment A</w:t>
      </w:r>
      <w:r w:rsidRPr="0001674D">
        <w:rPr>
          <w:color w:val="000000" w:themeColor="text1"/>
          <w:szCs w:val="24"/>
        </w:rPr>
        <w:t xml:space="preserve">.  A </w:t>
      </w:r>
      <w:r w:rsidRPr="0001674D">
        <w:rPr>
          <w:bCs/>
          <w:color w:val="000000" w:themeColor="text1"/>
          <w:szCs w:val="24"/>
        </w:rPr>
        <w:t xml:space="preserve">Statement of Compatibility with Human Rights is at </w:t>
      </w:r>
      <w:r w:rsidRPr="0001674D">
        <w:rPr>
          <w:bCs/>
          <w:color w:val="000000" w:themeColor="text1"/>
          <w:szCs w:val="24"/>
          <w:u w:val="single"/>
        </w:rPr>
        <w:t>Attachment B</w:t>
      </w:r>
      <w:r w:rsidRPr="0001674D">
        <w:rPr>
          <w:bCs/>
          <w:color w:val="000000" w:themeColor="text1"/>
          <w:szCs w:val="24"/>
        </w:rPr>
        <w:t xml:space="preserve">.  </w:t>
      </w:r>
    </w:p>
    <w:p w:rsidR="00EC0776" w:rsidRPr="0001674D" w:rsidRDefault="00EC0776" w:rsidP="00C95943">
      <w:pPr>
        <w:pStyle w:val="ParaNumbering"/>
        <w:tabs>
          <w:tab w:val="clear" w:pos="360"/>
          <w:tab w:val="clear" w:pos="567"/>
        </w:tabs>
        <w:spacing w:after="120" w:line="240" w:lineRule="auto"/>
        <w:contextualSpacing/>
        <w:rPr>
          <w:bCs/>
          <w:color w:val="000000" w:themeColor="text1"/>
          <w:szCs w:val="24"/>
        </w:rPr>
      </w:pPr>
    </w:p>
    <w:p w:rsidR="00EC0776" w:rsidRPr="0001674D" w:rsidRDefault="00EC0776" w:rsidP="00C95943">
      <w:pPr>
        <w:pStyle w:val="ParaNumbering"/>
        <w:tabs>
          <w:tab w:val="clear" w:pos="360"/>
          <w:tab w:val="clear" w:pos="567"/>
        </w:tabs>
        <w:spacing w:after="0" w:line="240" w:lineRule="auto"/>
        <w:contextualSpacing/>
        <w:rPr>
          <w:color w:val="000000" w:themeColor="text1"/>
          <w:szCs w:val="24"/>
        </w:rPr>
      </w:pPr>
      <w:r w:rsidRPr="0001674D">
        <w:rPr>
          <w:color w:val="000000" w:themeColor="text1"/>
          <w:szCs w:val="24"/>
        </w:rPr>
        <w:t>The Regulation is a legislative instrument for the purposes of the</w:t>
      </w:r>
      <w:r w:rsidRPr="0001674D">
        <w:rPr>
          <w:i/>
          <w:color w:val="000000" w:themeColor="text1"/>
          <w:szCs w:val="24"/>
        </w:rPr>
        <w:t xml:space="preserve"> Legislative Instruments Act 2003.  </w:t>
      </w:r>
    </w:p>
    <w:p w:rsidR="00EC0776" w:rsidRPr="0001674D" w:rsidRDefault="00EC0776" w:rsidP="00C95943">
      <w:pPr>
        <w:contextualSpacing/>
        <w:rPr>
          <w:rFonts w:ascii="Times New Roman" w:hAnsi="Times New Roman"/>
          <w:color w:val="000000" w:themeColor="text1"/>
          <w:sz w:val="24"/>
          <w:szCs w:val="24"/>
        </w:rPr>
      </w:pPr>
    </w:p>
    <w:p w:rsidR="00EC0776" w:rsidRPr="0001674D" w:rsidRDefault="00EC0776" w:rsidP="00C95943">
      <w:pPr>
        <w:spacing w:after="120"/>
        <w:contextualSpacing/>
        <w:rPr>
          <w:rFonts w:ascii="Times New Roman" w:hAnsi="Times New Roman"/>
          <w:color w:val="000000" w:themeColor="text1"/>
          <w:sz w:val="24"/>
          <w:szCs w:val="24"/>
        </w:rPr>
      </w:pPr>
      <w:r w:rsidRPr="0001674D">
        <w:rPr>
          <w:rFonts w:ascii="Times New Roman" w:hAnsi="Times New Roman"/>
          <w:color w:val="000000" w:themeColor="text1"/>
          <w:sz w:val="24"/>
          <w:szCs w:val="24"/>
        </w:rPr>
        <w:t xml:space="preserve">The Regulation commences on the day after registration on the Federal Register of Legislative Instruments.  </w:t>
      </w:r>
    </w:p>
    <w:p w:rsidR="00EC0776" w:rsidRDefault="00EC0776" w:rsidP="00C95943">
      <w:pPr>
        <w:spacing w:after="120"/>
        <w:contextualSpacing/>
        <w:rPr>
          <w:rFonts w:ascii="Times New Roman" w:hAnsi="Times New Roman"/>
          <w:color w:val="000000" w:themeColor="text1"/>
          <w:sz w:val="24"/>
          <w:szCs w:val="24"/>
        </w:rPr>
      </w:pPr>
    </w:p>
    <w:p w:rsidR="005D2186" w:rsidRDefault="005D2186">
      <w:pPr>
        <w:spacing w:after="200" w:line="276" w:lineRule="auto"/>
        <w:rPr>
          <w:rFonts w:ascii="Times New Roman" w:hAnsi="Times New Roman"/>
          <w:b/>
          <w:bCs/>
          <w:sz w:val="24"/>
          <w:szCs w:val="24"/>
        </w:rPr>
      </w:pPr>
      <w:r>
        <w:rPr>
          <w:rFonts w:ascii="Times New Roman" w:hAnsi="Times New Roman"/>
          <w:b/>
          <w:bCs/>
          <w:sz w:val="24"/>
          <w:szCs w:val="24"/>
        </w:rPr>
        <w:br w:type="page"/>
      </w:r>
    </w:p>
    <w:p w:rsidR="00EC0776" w:rsidRPr="0001674D" w:rsidRDefault="00EC0776" w:rsidP="00C95943">
      <w:pPr>
        <w:spacing w:after="120"/>
        <w:contextualSpacing/>
        <w:rPr>
          <w:rFonts w:ascii="Times New Roman" w:hAnsi="Times New Roman"/>
          <w:b/>
          <w:bCs/>
          <w:sz w:val="24"/>
          <w:szCs w:val="24"/>
        </w:rPr>
      </w:pPr>
      <w:r w:rsidRPr="0001674D">
        <w:rPr>
          <w:rFonts w:ascii="Times New Roman" w:hAnsi="Times New Roman"/>
          <w:b/>
          <w:bCs/>
          <w:sz w:val="24"/>
          <w:szCs w:val="24"/>
        </w:rPr>
        <w:t>Consultation</w:t>
      </w:r>
    </w:p>
    <w:p w:rsidR="00EC0776" w:rsidRPr="0001674D" w:rsidRDefault="00EC0776" w:rsidP="00C95943">
      <w:pPr>
        <w:spacing w:after="120"/>
        <w:contextualSpacing/>
        <w:rPr>
          <w:rFonts w:ascii="Times New Roman" w:hAnsi="Times New Roman"/>
          <w:color w:val="000000" w:themeColor="text1"/>
          <w:sz w:val="24"/>
          <w:szCs w:val="24"/>
        </w:rPr>
      </w:pPr>
    </w:p>
    <w:p w:rsidR="00EC0776" w:rsidRPr="0001674D" w:rsidRDefault="00EC0776" w:rsidP="00C95943">
      <w:pPr>
        <w:spacing w:after="120"/>
        <w:contextualSpacing/>
        <w:rPr>
          <w:rFonts w:ascii="Times New Roman" w:hAnsi="Times New Roman"/>
          <w:color w:val="000000" w:themeColor="text1"/>
          <w:sz w:val="24"/>
          <w:szCs w:val="24"/>
        </w:rPr>
      </w:pPr>
      <w:r w:rsidRPr="0001674D">
        <w:rPr>
          <w:rFonts w:ascii="Times New Roman" w:hAnsi="Times New Roman"/>
          <w:color w:val="000000" w:themeColor="text1"/>
          <w:sz w:val="24"/>
          <w:szCs w:val="24"/>
        </w:rPr>
        <w:t xml:space="preserve">In accordance with section 17 of the </w:t>
      </w:r>
      <w:r w:rsidRPr="0001674D">
        <w:rPr>
          <w:rFonts w:ascii="Times New Roman" w:hAnsi="Times New Roman"/>
          <w:i/>
          <w:iCs/>
          <w:color w:val="000000" w:themeColor="text1"/>
          <w:sz w:val="24"/>
          <w:szCs w:val="24"/>
        </w:rPr>
        <w:t>Legislative Instruments Act 2003</w:t>
      </w:r>
      <w:r w:rsidRPr="0001674D">
        <w:rPr>
          <w:rFonts w:ascii="Times New Roman" w:hAnsi="Times New Roman"/>
          <w:color w:val="000000" w:themeColor="text1"/>
          <w:sz w:val="24"/>
          <w:szCs w:val="24"/>
        </w:rPr>
        <w:t xml:space="preserve">, consultation has taken place with the </w:t>
      </w:r>
      <w:r w:rsidR="00C3411C" w:rsidRPr="0001674D">
        <w:rPr>
          <w:rFonts w:ascii="Times New Roman" w:hAnsi="Times New Roman"/>
          <w:color w:val="000000" w:themeColor="text1"/>
          <w:sz w:val="24"/>
          <w:szCs w:val="24"/>
        </w:rPr>
        <w:t>Attorney-General’s Department</w:t>
      </w:r>
      <w:r w:rsidR="00C3411C">
        <w:rPr>
          <w:rFonts w:ascii="Times New Roman" w:hAnsi="Times New Roman"/>
          <w:color w:val="000000" w:themeColor="text1"/>
          <w:sz w:val="24"/>
          <w:szCs w:val="24"/>
        </w:rPr>
        <w:t xml:space="preserve">, </w:t>
      </w:r>
      <w:r w:rsidR="005D2186">
        <w:rPr>
          <w:rFonts w:ascii="Times New Roman" w:hAnsi="Times New Roman"/>
          <w:color w:val="000000" w:themeColor="text1"/>
          <w:sz w:val="24"/>
          <w:szCs w:val="24"/>
        </w:rPr>
        <w:t xml:space="preserve">the </w:t>
      </w:r>
      <w:r w:rsidR="00C3411C" w:rsidRPr="0001674D">
        <w:rPr>
          <w:rFonts w:ascii="Times New Roman" w:hAnsi="Times New Roman"/>
          <w:color w:val="000000" w:themeColor="text1"/>
          <w:sz w:val="24"/>
          <w:szCs w:val="24"/>
        </w:rPr>
        <w:t>Department of Communications</w:t>
      </w:r>
      <w:r w:rsidR="00C3411C">
        <w:rPr>
          <w:rFonts w:ascii="Times New Roman" w:hAnsi="Times New Roman"/>
          <w:color w:val="000000" w:themeColor="text1"/>
          <w:sz w:val="24"/>
          <w:szCs w:val="24"/>
        </w:rPr>
        <w:t xml:space="preserve">, </w:t>
      </w:r>
      <w:r w:rsidR="005D2186">
        <w:rPr>
          <w:rFonts w:ascii="Times New Roman" w:hAnsi="Times New Roman"/>
          <w:color w:val="000000" w:themeColor="text1"/>
          <w:sz w:val="24"/>
          <w:szCs w:val="24"/>
        </w:rPr>
        <w:t xml:space="preserve">the </w:t>
      </w:r>
      <w:r w:rsidRPr="0001674D">
        <w:rPr>
          <w:rFonts w:ascii="Times New Roman" w:hAnsi="Times New Roman"/>
          <w:color w:val="000000" w:themeColor="text1"/>
          <w:sz w:val="24"/>
          <w:szCs w:val="24"/>
        </w:rPr>
        <w:t>Department of Education and Training</w:t>
      </w:r>
      <w:r w:rsidR="008D613F" w:rsidRPr="0001674D">
        <w:rPr>
          <w:rFonts w:ascii="Times New Roman" w:hAnsi="Times New Roman"/>
          <w:color w:val="000000" w:themeColor="text1"/>
          <w:sz w:val="24"/>
          <w:szCs w:val="24"/>
        </w:rPr>
        <w:t xml:space="preserve">, </w:t>
      </w:r>
      <w:r w:rsidR="005D2186">
        <w:rPr>
          <w:rFonts w:ascii="Times New Roman" w:hAnsi="Times New Roman"/>
          <w:color w:val="000000" w:themeColor="text1"/>
          <w:sz w:val="24"/>
          <w:szCs w:val="24"/>
        </w:rPr>
        <w:t xml:space="preserve">the </w:t>
      </w:r>
      <w:r w:rsidR="00C3411C" w:rsidRPr="0001674D">
        <w:rPr>
          <w:rFonts w:ascii="Times New Roman" w:hAnsi="Times New Roman"/>
          <w:color w:val="000000" w:themeColor="text1"/>
          <w:sz w:val="24"/>
          <w:szCs w:val="24"/>
        </w:rPr>
        <w:t xml:space="preserve">Department of Health, </w:t>
      </w:r>
      <w:r w:rsidR="005D2186">
        <w:rPr>
          <w:rFonts w:ascii="Times New Roman" w:hAnsi="Times New Roman"/>
          <w:color w:val="000000" w:themeColor="text1"/>
          <w:sz w:val="24"/>
          <w:szCs w:val="24"/>
        </w:rPr>
        <w:t xml:space="preserve">the </w:t>
      </w:r>
      <w:r w:rsidR="00C3411C" w:rsidRPr="0001674D">
        <w:rPr>
          <w:rFonts w:ascii="Times New Roman" w:hAnsi="Times New Roman"/>
          <w:color w:val="000000" w:themeColor="text1"/>
          <w:sz w:val="24"/>
          <w:szCs w:val="24"/>
        </w:rPr>
        <w:t xml:space="preserve">Department of Industry and Science, </w:t>
      </w:r>
      <w:r w:rsidR="005D2186">
        <w:rPr>
          <w:rFonts w:ascii="Times New Roman" w:hAnsi="Times New Roman"/>
          <w:color w:val="000000" w:themeColor="text1"/>
          <w:sz w:val="24"/>
          <w:szCs w:val="24"/>
        </w:rPr>
        <w:t xml:space="preserve">the </w:t>
      </w:r>
      <w:r w:rsidR="008D613F" w:rsidRPr="0001674D">
        <w:rPr>
          <w:rFonts w:ascii="Times New Roman" w:hAnsi="Times New Roman"/>
          <w:color w:val="000000" w:themeColor="text1"/>
          <w:sz w:val="24"/>
          <w:szCs w:val="24"/>
        </w:rPr>
        <w:t xml:space="preserve">Department of Infrastructure and </w:t>
      </w:r>
      <w:r w:rsidR="00B51BD4" w:rsidRPr="0001674D">
        <w:rPr>
          <w:rFonts w:ascii="Times New Roman" w:hAnsi="Times New Roman"/>
          <w:color w:val="000000" w:themeColor="text1"/>
          <w:sz w:val="24"/>
          <w:szCs w:val="24"/>
        </w:rPr>
        <w:t>R</w:t>
      </w:r>
      <w:r w:rsidR="00C3411C">
        <w:rPr>
          <w:rFonts w:ascii="Times New Roman" w:hAnsi="Times New Roman"/>
          <w:color w:val="000000" w:themeColor="text1"/>
          <w:sz w:val="24"/>
          <w:szCs w:val="24"/>
        </w:rPr>
        <w:t xml:space="preserve">egional Development and </w:t>
      </w:r>
      <w:r w:rsidR="005D2186">
        <w:rPr>
          <w:rFonts w:ascii="Times New Roman" w:hAnsi="Times New Roman"/>
          <w:color w:val="000000" w:themeColor="text1"/>
          <w:sz w:val="24"/>
          <w:szCs w:val="24"/>
        </w:rPr>
        <w:t xml:space="preserve">the </w:t>
      </w:r>
      <w:r w:rsidR="00C3411C">
        <w:rPr>
          <w:rFonts w:ascii="Times New Roman" w:hAnsi="Times New Roman"/>
          <w:color w:val="000000" w:themeColor="text1"/>
          <w:sz w:val="24"/>
          <w:szCs w:val="24"/>
        </w:rPr>
        <w:t>Department of Social Service</w:t>
      </w:r>
      <w:r w:rsidR="008D1B60">
        <w:rPr>
          <w:rFonts w:ascii="Times New Roman" w:hAnsi="Times New Roman"/>
          <w:color w:val="000000" w:themeColor="text1"/>
          <w:sz w:val="24"/>
          <w:szCs w:val="24"/>
        </w:rPr>
        <w:t>s</w:t>
      </w:r>
      <w:r w:rsidRPr="0001674D">
        <w:rPr>
          <w:rFonts w:ascii="Times New Roman" w:hAnsi="Times New Roman"/>
          <w:color w:val="000000" w:themeColor="text1"/>
          <w:sz w:val="24"/>
          <w:szCs w:val="24"/>
        </w:rPr>
        <w:t>.</w:t>
      </w:r>
    </w:p>
    <w:p w:rsidR="00EC0776" w:rsidRPr="0001674D" w:rsidRDefault="00EC0776" w:rsidP="00C95943">
      <w:pPr>
        <w:spacing w:after="120"/>
        <w:contextualSpacing/>
        <w:rPr>
          <w:rFonts w:ascii="Times New Roman" w:hAnsi="Times New Roman"/>
          <w:color w:val="000000" w:themeColor="text1"/>
          <w:sz w:val="24"/>
          <w:szCs w:val="24"/>
        </w:rPr>
      </w:pPr>
    </w:p>
    <w:p w:rsidR="00EC0776" w:rsidRPr="0001674D" w:rsidRDefault="00EC0776" w:rsidP="00C95943">
      <w:pPr>
        <w:spacing w:after="120"/>
        <w:contextualSpacing/>
        <w:rPr>
          <w:rFonts w:ascii="Times New Roman" w:hAnsi="Times New Roman"/>
          <w:iCs/>
          <w:sz w:val="24"/>
          <w:szCs w:val="24"/>
        </w:rPr>
      </w:pPr>
      <w:r w:rsidRPr="0001674D">
        <w:rPr>
          <w:rFonts w:ascii="Times New Roman" w:hAnsi="Times New Roman"/>
          <w:iCs/>
          <w:sz w:val="24"/>
          <w:szCs w:val="24"/>
        </w:rPr>
        <w:t>A regulation impact statement is not required as the Regulation only applies to non</w:t>
      </w:r>
      <w:r w:rsidRPr="0001674D">
        <w:rPr>
          <w:rFonts w:ascii="Times New Roman" w:hAnsi="Times New Roman"/>
          <w:iCs/>
          <w:sz w:val="24"/>
          <w:szCs w:val="24"/>
        </w:rPr>
        <w:noBreakHyphen/>
        <w:t xml:space="preserve">corporate Commonwealth entities and does not adversely affect the private sector.  </w:t>
      </w:r>
    </w:p>
    <w:p w:rsidR="000D2CFD" w:rsidRPr="0001674D" w:rsidRDefault="000D2CFD" w:rsidP="00C95943">
      <w:pPr>
        <w:spacing w:after="120"/>
        <w:contextualSpacing/>
        <w:rPr>
          <w:rFonts w:ascii="Times New Roman" w:hAnsi="Times New Roman"/>
          <w:iCs/>
          <w:sz w:val="24"/>
          <w:szCs w:val="24"/>
        </w:rPr>
      </w:pPr>
    </w:p>
    <w:p w:rsidR="00EC0776" w:rsidRPr="0001674D" w:rsidRDefault="00EC0776" w:rsidP="00C95943">
      <w:pPr>
        <w:spacing w:after="120"/>
        <w:contextualSpacing/>
        <w:rPr>
          <w:rFonts w:ascii="Times New Roman" w:hAnsi="Times New Roman"/>
          <w:color w:val="000000" w:themeColor="text1"/>
          <w:sz w:val="24"/>
          <w:szCs w:val="24"/>
        </w:rPr>
      </w:pPr>
    </w:p>
    <w:p w:rsidR="00EC0776" w:rsidRPr="0001674D" w:rsidRDefault="00EC0776" w:rsidP="00C95943">
      <w:pPr>
        <w:spacing w:after="120"/>
        <w:contextualSpacing/>
        <w:rPr>
          <w:rFonts w:ascii="Times New Roman" w:hAnsi="Times New Roman"/>
          <w:color w:val="000000" w:themeColor="text1"/>
          <w:sz w:val="24"/>
          <w:szCs w:val="24"/>
        </w:rPr>
        <w:sectPr w:rsidR="00EC0776" w:rsidRPr="0001674D" w:rsidSect="000F04E7">
          <w:headerReference w:type="default" r:id="rId9"/>
          <w:headerReference w:type="first" r:id="rId10"/>
          <w:pgSz w:w="11906" w:h="16838"/>
          <w:pgMar w:top="1418" w:right="1440" w:bottom="1332" w:left="1440" w:header="709" w:footer="709" w:gutter="0"/>
          <w:pgNumType w:start="1"/>
          <w:cols w:space="708"/>
          <w:titlePg/>
          <w:docGrid w:linePitch="360"/>
        </w:sectPr>
      </w:pPr>
    </w:p>
    <w:p w:rsidR="00EC0776" w:rsidRPr="0001674D" w:rsidRDefault="00EC0776" w:rsidP="00E669A7">
      <w:pPr>
        <w:spacing w:after="120"/>
        <w:contextualSpacing/>
        <w:rPr>
          <w:rFonts w:ascii="Times New Roman" w:hAnsi="Times New Roman"/>
          <w:b/>
          <w:bCs/>
          <w:i/>
          <w:color w:val="000000" w:themeColor="text1"/>
          <w:sz w:val="24"/>
          <w:szCs w:val="24"/>
          <w:u w:val="single"/>
        </w:rPr>
      </w:pPr>
      <w:r w:rsidRPr="0001674D">
        <w:rPr>
          <w:rFonts w:ascii="Times New Roman" w:hAnsi="Times New Roman"/>
          <w:b/>
          <w:bCs/>
          <w:color w:val="000000" w:themeColor="text1"/>
          <w:sz w:val="24"/>
          <w:szCs w:val="24"/>
          <w:u w:val="single"/>
        </w:rPr>
        <w:t xml:space="preserve">Details of the </w:t>
      </w:r>
      <w:r w:rsidRPr="0001674D">
        <w:rPr>
          <w:rFonts w:ascii="Times New Roman" w:hAnsi="Times New Roman"/>
          <w:b/>
          <w:bCs/>
          <w:i/>
          <w:color w:val="000000" w:themeColor="text1"/>
          <w:sz w:val="24"/>
          <w:szCs w:val="24"/>
          <w:u w:val="single"/>
        </w:rPr>
        <w:t>Financial Framework (Supplementary Powers) Amendment (2015 Measures No. </w:t>
      </w:r>
      <w:r w:rsidR="00430A86" w:rsidRPr="0001674D">
        <w:rPr>
          <w:rFonts w:ascii="Times New Roman" w:hAnsi="Times New Roman"/>
          <w:b/>
          <w:bCs/>
          <w:i/>
          <w:color w:val="000000" w:themeColor="text1"/>
          <w:sz w:val="24"/>
          <w:szCs w:val="24"/>
          <w:u w:val="single"/>
        </w:rPr>
        <w:t>6</w:t>
      </w:r>
      <w:r w:rsidRPr="0001674D">
        <w:rPr>
          <w:rFonts w:ascii="Times New Roman" w:hAnsi="Times New Roman"/>
          <w:b/>
          <w:bCs/>
          <w:i/>
          <w:color w:val="000000" w:themeColor="text1"/>
          <w:sz w:val="24"/>
          <w:szCs w:val="24"/>
          <w:u w:val="single"/>
        </w:rPr>
        <w:t>) Regulation 2015</w:t>
      </w:r>
    </w:p>
    <w:p w:rsidR="00EC0776" w:rsidRPr="0001674D" w:rsidRDefault="00EC0776" w:rsidP="00E669A7">
      <w:pPr>
        <w:spacing w:after="120"/>
        <w:contextualSpacing/>
        <w:rPr>
          <w:rFonts w:ascii="Times New Roman" w:hAnsi="Times New Roman"/>
          <w:color w:val="000000" w:themeColor="text1"/>
          <w:sz w:val="24"/>
          <w:szCs w:val="24"/>
          <w:u w:val="single"/>
        </w:rPr>
      </w:pPr>
    </w:p>
    <w:p w:rsidR="00EC0776" w:rsidRPr="0001674D" w:rsidRDefault="00EC0776" w:rsidP="00E669A7">
      <w:pPr>
        <w:spacing w:after="120"/>
        <w:contextualSpacing/>
        <w:rPr>
          <w:rFonts w:ascii="Times New Roman" w:hAnsi="Times New Roman"/>
          <w:b/>
          <w:color w:val="000000" w:themeColor="text1"/>
          <w:sz w:val="24"/>
          <w:szCs w:val="24"/>
        </w:rPr>
      </w:pPr>
      <w:r w:rsidRPr="0001674D">
        <w:rPr>
          <w:rFonts w:ascii="Times New Roman" w:hAnsi="Times New Roman"/>
          <w:b/>
          <w:color w:val="000000" w:themeColor="text1"/>
          <w:sz w:val="24"/>
          <w:szCs w:val="24"/>
        </w:rPr>
        <w:t xml:space="preserve">Section 1 – Name </w:t>
      </w:r>
    </w:p>
    <w:p w:rsidR="00EC0776" w:rsidRPr="0001674D" w:rsidRDefault="00EC0776" w:rsidP="00E669A7">
      <w:pPr>
        <w:spacing w:after="120"/>
        <w:contextualSpacing/>
        <w:rPr>
          <w:rFonts w:ascii="Times New Roman" w:hAnsi="Times New Roman"/>
          <w:color w:val="000000" w:themeColor="text1"/>
          <w:sz w:val="24"/>
          <w:szCs w:val="24"/>
        </w:rPr>
      </w:pPr>
    </w:p>
    <w:p w:rsidR="00EC0776" w:rsidRPr="0001674D" w:rsidRDefault="00EC0776" w:rsidP="00E669A7">
      <w:pPr>
        <w:spacing w:after="120"/>
        <w:contextualSpacing/>
        <w:rPr>
          <w:rFonts w:ascii="Times New Roman" w:hAnsi="Times New Roman"/>
          <w:color w:val="000000" w:themeColor="text1"/>
          <w:sz w:val="24"/>
          <w:szCs w:val="24"/>
        </w:rPr>
      </w:pPr>
      <w:r w:rsidRPr="0001674D">
        <w:rPr>
          <w:rFonts w:ascii="Times New Roman" w:hAnsi="Times New Roman"/>
          <w:color w:val="000000" w:themeColor="text1"/>
          <w:sz w:val="24"/>
          <w:szCs w:val="24"/>
        </w:rPr>
        <w:t xml:space="preserve">This section provides that the title of the Regulation </w:t>
      </w:r>
      <w:r w:rsidRPr="0001674D">
        <w:rPr>
          <w:rFonts w:ascii="Times New Roman" w:hAnsi="Times New Roman"/>
          <w:sz w:val="24"/>
          <w:szCs w:val="24"/>
        </w:rPr>
        <w:t>is</w:t>
      </w:r>
      <w:r w:rsidRPr="0001674D">
        <w:rPr>
          <w:rFonts w:ascii="Times New Roman" w:hAnsi="Times New Roman"/>
          <w:color w:val="000000" w:themeColor="text1"/>
          <w:sz w:val="24"/>
          <w:szCs w:val="24"/>
        </w:rPr>
        <w:t xml:space="preserve"> the </w:t>
      </w:r>
      <w:r w:rsidRPr="0001674D">
        <w:rPr>
          <w:rFonts w:ascii="Times New Roman" w:hAnsi="Times New Roman"/>
          <w:bCs/>
          <w:i/>
          <w:sz w:val="24"/>
          <w:szCs w:val="24"/>
        </w:rPr>
        <w:t>Financial Framework (Supplementary Powers</w:t>
      </w:r>
      <w:r w:rsidR="00430A86" w:rsidRPr="0001674D">
        <w:rPr>
          <w:rFonts w:ascii="Times New Roman" w:hAnsi="Times New Roman"/>
          <w:bCs/>
          <w:i/>
          <w:sz w:val="24"/>
          <w:szCs w:val="24"/>
        </w:rPr>
        <w:t>) Amendment (2015 Measures No. 6</w:t>
      </w:r>
      <w:r w:rsidRPr="0001674D">
        <w:rPr>
          <w:rFonts w:ascii="Times New Roman" w:hAnsi="Times New Roman"/>
          <w:bCs/>
          <w:i/>
          <w:sz w:val="24"/>
          <w:szCs w:val="24"/>
        </w:rPr>
        <w:t>) Regulation 2015</w:t>
      </w:r>
      <w:r w:rsidRPr="0001674D">
        <w:rPr>
          <w:rFonts w:ascii="Times New Roman" w:hAnsi="Times New Roman"/>
          <w:bCs/>
          <w:sz w:val="24"/>
          <w:szCs w:val="24"/>
        </w:rPr>
        <w:t>.</w:t>
      </w:r>
    </w:p>
    <w:p w:rsidR="00EC0776" w:rsidRPr="0001674D" w:rsidRDefault="00EC0776" w:rsidP="00E669A7">
      <w:pPr>
        <w:spacing w:after="120"/>
        <w:contextualSpacing/>
        <w:rPr>
          <w:rFonts w:ascii="Times New Roman" w:hAnsi="Times New Roman"/>
          <w:color w:val="000000" w:themeColor="text1"/>
          <w:sz w:val="24"/>
          <w:szCs w:val="24"/>
        </w:rPr>
      </w:pPr>
    </w:p>
    <w:p w:rsidR="00EC0776" w:rsidRPr="0001674D" w:rsidRDefault="00EC0776" w:rsidP="00E669A7">
      <w:pPr>
        <w:spacing w:after="120"/>
        <w:contextualSpacing/>
        <w:rPr>
          <w:rFonts w:ascii="Times New Roman" w:hAnsi="Times New Roman"/>
          <w:b/>
          <w:color w:val="000000" w:themeColor="text1"/>
          <w:sz w:val="24"/>
          <w:szCs w:val="24"/>
        </w:rPr>
      </w:pPr>
      <w:r w:rsidRPr="0001674D">
        <w:rPr>
          <w:rFonts w:ascii="Times New Roman" w:hAnsi="Times New Roman"/>
          <w:b/>
          <w:color w:val="000000" w:themeColor="text1"/>
          <w:sz w:val="24"/>
          <w:szCs w:val="24"/>
        </w:rPr>
        <w:t xml:space="preserve">Section 2 – Commencement </w:t>
      </w:r>
    </w:p>
    <w:p w:rsidR="00EC0776" w:rsidRPr="0001674D" w:rsidRDefault="00EC0776" w:rsidP="00E669A7">
      <w:pPr>
        <w:spacing w:after="120"/>
        <w:contextualSpacing/>
        <w:rPr>
          <w:rFonts w:ascii="Times New Roman" w:hAnsi="Times New Roman"/>
          <w:color w:val="000000" w:themeColor="text1"/>
          <w:sz w:val="24"/>
          <w:szCs w:val="24"/>
        </w:rPr>
      </w:pPr>
    </w:p>
    <w:p w:rsidR="00EC0776" w:rsidRPr="0001674D" w:rsidRDefault="00EC0776" w:rsidP="00E669A7">
      <w:pPr>
        <w:spacing w:after="120"/>
        <w:contextualSpacing/>
        <w:rPr>
          <w:rFonts w:ascii="Times New Roman" w:hAnsi="Times New Roman"/>
          <w:color w:val="000000" w:themeColor="text1"/>
          <w:sz w:val="24"/>
          <w:szCs w:val="24"/>
        </w:rPr>
      </w:pPr>
      <w:r w:rsidRPr="0001674D">
        <w:rPr>
          <w:rFonts w:ascii="Times New Roman" w:hAnsi="Times New Roman"/>
          <w:color w:val="000000" w:themeColor="text1"/>
          <w:sz w:val="24"/>
          <w:szCs w:val="24"/>
        </w:rPr>
        <w:t xml:space="preserve">This section provides that the Regulation commences on the day after it is registered on the Federal Register of Legislative Instruments.  </w:t>
      </w:r>
    </w:p>
    <w:p w:rsidR="00EC0776" w:rsidRPr="0001674D" w:rsidRDefault="00EC0776" w:rsidP="00E669A7">
      <w:pPr>
        <w:spacing w:after="120"/>
        <w:contextualSpacing/>
        <w:rPr>
          <w:rFonts w:ascii="Times New Roman" w:hAnsi="Times New Roman"/>
          <w:color w:val="000000" w:themeColor="text1"/>
          <w:sz w:val="24"/>
          <w:szCs w:val="24"/>
        </w:rPr>
      </w:pPr>
    </w:p>
    <w:p w:rsidR="00EC0776" w:rsidRPr="0001674D" w:rsidRDefault="00EC0776" w:rsidP="00E669A7">
      <w:pPr>
        <w:spacing w:after="120"/>
        <w:contextualSpacing/>
        <w:rPr>
          <w:rFonts w:ascii="Times New Roman" w:hAnsi="Times New Roman"/>
          <w:b/>
          <w:i/>
          <w:color w:val="000000" w:themeColor="text1"/>
          <w:sz w:val="24"/>
          <w:szCs w:val="24"/>
        </w:rPr>
      </w:pPr>
      <w:r w:rsidRPr="0001674D">
        <w:rPr>
          <w:rFonts w:ascii="Times New Roman" w:hAnsi="Times New Roman"/>
          <w:b/>
          <w:color w:val="000000" w:themeColor="text1"/>
          <w:sz w:val="24"/>
          <w:szCs w:val="24"/>
        </w:rPr>
        <w:t>Section 3 – Authority</w:t>
      </w:r>
      <w:r w:rsidRPr="0001674D">
        <w:rPr>
          <w:rFonts w:ascii="Times New Roman" w:hAnsi="Times New Roman"/>
          <w:b/>
          <w:i/>
          <w:color w:val="000000" w:themeColor="text1"/>
          <w:sz w:val="24"/>
          <w:szCs w:val="24"/>
        </w:rPr>
        <w:t xml:space="preserve"> </w:t>
      </w:r>
    </w:p>
    <w:p w:rsidR="00EC0776" w:rsidRPr="0001674D" w:rsidRDefault="00EC0776" w:rsidP="00E669A7">
      <w:pPr>
        <w:spacing w:after="120"/>
        <w:contextualSpacing/>
        <w:rPr>
          <w:rFonts w:ascii="Times New Roman" w:hAnsi="Times New Roman"/>
          <w:color w:val="000000" w:themeColor="text1"/>
          <w:sz w:val="24"/>
          <w:szCs w:val="24"/>
        </w:rPr>
      </w:pPr>
    </w:p>
    <w:p w:rsidR="00EC0776" w:rsidRPr="0001674D" w:rsidRDefault="00EC0776" w:rsidP="00E669A7">
      <w:pPr>
        <w:spacing w:after="120"/>
        <w:contextualSpacing/>
        <w:rPr>
          <w:rFonts w:ascii="Times New Roman" w:hAnsi="Times New Roman"/>
          <w:color w:val="000000" w:themeColor="text1"/>
          <w:sz w:val="24"/>
          <w:szCs w:val="24"/>
        </w:rPr>
      </w:pPr>
      <w:r w:rsidRPr="0001674D">
        <w:rPr>
          <w:rFonts w:ascii="Times New Roman" w:hAnsi="Times New Roman"/>
          <w:color w:val="000000" w:themeColor="text1"/>
          <w:sz w:val="24"/>
          <w:szCs w:val="24"/>
        </w:rPr>
        <w:t xml:space="preserve">This section provides that the Regulation is made under the </w:t>
      </w:r>
      <w:r w:rsidRPr="0001674D">
        <w:rPr>
          <w:rFonts w:ascii="Times New Roman" w:hAnsi="Times New Roman"/>
          <w:i/>
          <w:color w:val="000000" w:themeColor="text1"/>
          <w:sz w:val="24"/>
          <w:szCs w:val="24"/>
        </w:rPr>
        <w:t xml:space="preserve">Financial </w:t>
      </w:r>
      <w:r w:rsidRPr="0001674D">
        <w:rPr>
          <w:rFonts w:ascii="Times New Roman" w:hAnsi="Times New Roman"/>
          <w:bCs/>
          <w:i/>
          <w:sz w:val="24"/>
          <w:szCs w:val="24"/>
        </w:rPr>
        <w:t xml:space="preserve">Framework (Supplementary Powers) </w:t>
      </w:r>
      <w:r w:rsidRPr="0001674D">
        <w:rPr>
          <w:rFonts w:ascii="Times New Roman" w:hAnsi="Times New Roman"/>
          <w:i/>
          <w:color w:val="000000" w:themeColor="text1"/>
          <w:sz w:val="24"/>
          <w:szCs w:val="24"/>
        </w:rPr>
        <w:t>Act 1997</w:t>
      </w:r>
      <w:r w:rsidRPr="0001674D">
        <w:rPr>
          <w:rFonts w:ascii="Times New Roman" w:hAnsi="Times New Roman"/>
          <w:color w:val="000000" w:themeColor="text1"/>
          <w:sz w:val="24"/>
          <w:szCs w:val="24"/>
        </w:rPr>
        <w:t>.</w:t>
      </w:r>
    </w:p>
    <w:p w:rsidR="00EC0776" w:rsidRPr="0001674D" w:rsidRDefault="00EC0776" w:rsidP="00E669A7">
      <w:pPr>
        <w:spacing w:after="120"/>
        <w:contextualSpacing/>
        <w:rPr>
          <w:rFonts w:ascii="Times New Roman" w:hAnsi="Times New Roman"/>
          <w:color w:val="000000" w:themeColor="text1"/>
          <w:sz w:val="24"/>
          <w:szCs w:val="24"/>
        </w:rPr>
      </w:pPr>
    </w:p>
    <w:p w:rsidR="00EC0776" w:rsidRPr="0001674D" w:rsidRDefault="00EC0776" w:rsidP="00E669A7">
      <w:pPr>
        <w:spacing w:after="120"/>
        <w:contextualSpacing/>
        <w:rPr>
          <w:rFonts w:ascii="Times New Roman" w:hAnsi="Times New Roman"/>
          <w:b/>
          <w:i/>
          <w:color w:val="000000" w:themeColor="text1"/>
          <w:sz w:val="24"/>
          <w:szCs w:val="24"/>
        </w:rPr>
      </w:pPr>
      <w:r w:rsidRPr="0001674D">
        <w:rPr>
          <w:rFonts w:ascii="Times New Roman" w:hAnsi="Times New Roman"/>
          <w:b/>
          <w:color w:val="000000" w:themeColor="text1"/>
          <w:sz w:val="24"/>
          <w:szCs w:val="24"/>
        </w:rPr>
        <w:t>Section 4 – Schedules</w:t>
      </w:r>
      <w:r w:rsidRPr="0001674D">
        <w:rPr>
          <w:rFonts w:ascii="Times New Roman" w:hAnsi="Times New Roman"/>
          <w:b/>
          <w:i/>
          <w:color w:val="000000" w:themeColor="text1"/>
          <w:sz w:val="24"/>
          <w:szCs w:val="24"/>
        </w:rPr>
        <w:t xml:space="preserve"> </w:t>
      </w:r>
    </w:p>
    <w:p w:rsidR="00EC0776" w:rsidRPr="0001674D" w:rsidRDefault="00EC0776" w:rsidP="00E669A7">
      <w:pPr>
        <w:spacing w:after="120"/>
        <w:contextualSpacing/>
        <w:rPr>
          <w:rFonts w:ascii="Times New Roman" w:hAnsi="Times New Roman"/>
          <w:color w:val="000000" w:themeColor="text1"/>
          <w:sz w:val="24"/>
          <w:szCs w:val="24"/>
        </w:rPr>
      </w:pPr>
    </w:p>
    <w:p w:rsidR="00EC0776" w:rsidRPr="0001674D" w:rsidRDefault="00EC0776" w:rsidP="00E669A7">
      <w:pPr>
        <w:spacing w:after="120"/>
        <w:contextualSpacing/>
        <w:rPr>
          <w:rFonts w:ascii="Times New Roman" w:hAnsi="Times New Roman"/>
          <w:color w:val="000000" w:themeColor="text1"/>
          <w:sz w:val="24"/>
          <w:szCs w:val="24"/>
        </w:rPr>
      </w:pPr>
      <w:r w:rsidRPr="0001674D">
        <w:rPr>
          <w:rFonts w:ascii="Times New Roman" w:hAnsi="Times New Roman"/>
          <w:color w:val="000000" w:themeColor="text1"/>
          <w:sz w:val="24"/>
          <w:szCs w:val="24"/>
        </w:rPr>
        <w:t xml:space="preserve">This section provides that the </w:t>
      </w:r>
      <w:r w:rsidRPr="0001674D">
        <w:rPr>
          <w:rFonts w:ascii="Times New Roman" w:hAnsi="Times New Roman"/>
          <w:i/>
          <w:color w:val="000000" w:themeColor="text1"/>
          <w:sz w:val="24"/>
          <w:szCs w:val="24"/>
        </w:rPr>
        <w:t xml:space="preserve">Financial </w:t>
      </w:r>
      <w:r w:rsidRPr="0001674D">
        <w:rPr>
          <w:rFonts w:ascii="Times New Roman" w:hAnsi="Times New Roman"/>
          <w:bCs/>
          <w:i/>
          <w:sz w:val="24"/>
          <w:szCs w:val="24"/>
        </w:rPr>
        <w:t xml:space="preserve">Framework (Supplementary Powers) </w:t>
      </w:r>
      <w:r w:rsidRPr="0001674D">
        <w:rPr>
          <w:rFonts w:ascii="Times New Roman" w:hAnsi="Times New Roman"/>
          <w:i/>
          <w:color w:val="000000" w:themeColor="text1"/>
          <w:sz w:val="24"/>
          <w:szCs w:val="24"/>
        </w:rPr>
        <w:t>Regulations 1997</w:t>
      </w:r>
      <w:r w:rsidRPr="0001674D">
        <w:rPr>
          <w:rFonts w:ascii="Times New Roman" w:hAnsi="Times New Roman"/>
          <w:color w:val="000000" w:themeColor="text1"/>
          <w:sz w:val="24"/>
          <w:szCs w:val="24"/>
        </w:rPr>
        <w:t xml:space="preserve"> </w:t>
      </w:r>
      <w:r w:rsidR="00267859" w:rsidRPr="0001674D">
        <w:rPr>
          <w:rFonts w:ascii="Times New Roman" w:hAnsi="Times New Roman"/>
          <w:color w:val="000000" w:themeColor="text1"/>
          <w:sz w:val="24"/>
          <w:szCs w:val="24"/>
        </w:rPr>
        <w:t>are</w:t>
      </w:r>
      <w:r w:rsidRPr="0001674D">
        <w:rPr>
          <w:rFonts w:ascii="Times New Roman" w:hAnsi="Times New Roman"/>
          <w:color w:val="000000" w:themeColor="text1"/>
          <w:sz w:val="24"/>
          <w:szCs w:val="24"/>
        </w:rPr>
        <w:t xml:space="preserve"> amended as set out in the Schedules to the Regulation. </w:t>
      </w:r>
    </w:p>
    <w:p w:rsidR="00EC0776" w:rsidRPr="0001674D" w:rsidRDefault="00EC0776" w:rsidP="00E669A7">
      <w:pPr>
        <w:spacing w:after="120"/>
        <w:contextualSpacing/>
        <w:rPr>
          <w:rFonts w:ascii="Times New Roman" w:hAnsi="Times New Roman"/>
          <w:color w:val="000000" w:themeColor="text1"/>
          <w:sz w:val="24"/>
          <w:szCs w:val="24"/>
        </w:rPr>
      </w:pPr>
    </w:p>
    <w:p w:rsidR="00EC0776" w:rsidRPr="0001674D" w:rsidRDefault="00EC0776" w:rsidP="00E669A7">
      <w:pPr>
        <w:spacing w:after="120"/>
        <w:contextualSpacing/>
        <w:rPr>
          <w:rFonts w:ascii="Times New Roman" w:hAnsi="Times New Roman"/>
          <w:b/>
          <w:color w:val="000000" w:themeColor="text1"/>
          <w:sz w:val="24"/>
          <w:szCs w:val="24"/>
        </w:rPr>
      </w:pPr>
      <w:r w:rsidRPr="0001674D">
        <w:rPr>
          <w:rFonts w:ascii="Times New Roman" w:hAnsi="Times New Roman"/>
          <w:b/>
          <w:color w:val="000000" w:themeColor="text1"/>
          <w:sz w:val="24"/>
          <w:szCs w:val="24"/>
        </w:rPr>
        <w:t>Schedule 1 – Amendments</w:t>
      </w:r>
    </w:p>
    <w:p w:rsidR="00EC0776" w:rsidRPr="0001674D" w:rsidRDefault="00EC0776" w:rsidP="00E669A7">
      <w:pPr>
        <w:spacing w:after="120"/>
        <w:contextualSpacing/>
        <w:rPr>
          <w:rFonts w:ascii="Times New Roman" w:hAnsi="Times New Roman"/>
          <w:b/>
          <w:color w:val="000000" w:themeColor="text1"/>
          <w:sz w:val="24"/>
          <w:szCs w:val="24"/>
        </w:rPr>
      </w:pPr>
    </w:p>
    <w:p w:rsidR="00430A86" w:rsidRPr="0001674D" w:rsidRDefault="00430A86" w:rsidP="00E669A7">
      <w:pPr>
        <w:spacing w:after="120"/>
        <w:contextualSpacing/>
        <w:rPr>
          <w:rFonts w:ascii="Times New Roman" w:hAnsi="Times New Roman"/>
          <w:b/>
          <w:color w:val="000000" w:themeColor="text1"/>
          <w:sz w:val="24"/>
          <w:szCs w:val="24"/>
        </w:rPr>
      </w:pPr>
      <w:r w:rsidRPr="0001674D">
        <w:rPr>
          <w:rFonts w:ascii="Times New Roman" w:hAnsi="Times New Roman"/>
          <w:b/>
          <w:color w:val="000000" w:themeColor="text1"/>
          <w:sz w:val="24"/>
          <w:szCs w:val="24"/>
        </w:rPr>
        <w:t>Item 1 – Part 3 of Schedule 1AB (at the end of the table)</w:t>
      </w:r>
    </w:p>
    <w:p w:rsidR="00C3411C" w:rsidRDefault="00C3411C" w:rsidP="00E669A7">
      <w:pPr>
        <w:spacing w:after="120"/>
        <w:contextualSpacing/>
        <w:rPr>
          <w:rFonts w:ascii="Times New Roman" w:eastAsia="Times New Roman" w:hAnsi="Times New Roman"/>
          <w:color w:val="000000" w:themeColor="text1"/>
          <w:sz w:val="24"/>
          <w:szCs w:val="24"/>
        </w:rPr>
      </w:pPr>
    </w:p>
    <w:p w:rsidR="00430A86" w:rsidRPr="0001674D" w:rsidRDefault="00430A86" w:rsidP="00E669A7">
      <w:pPr>
        <w:spacing w:after="120"/>
        <w:contextualSpacing/>
        <w:rPr>
          <w:rFonts w:ascii="Times New Roman" w:hAnsi="Times New Roman"/>
          <w:color w:val="000000" w:themeColor="text1"/>
          <w:sz w:val="24"/>
          <w:szCs w:val="24"/>
        </w:rPr>
      </w:pPr>
      <w:r w:rsidRPr="0001674D">
        <w:rPr>
          <w:rFonts w:ascii="Times New Roman" w:eastAsia="Times New Roman" w:hAnsi="Times New Roman"/>
          <w:color w:val="000000" w:themeColor="text1"/>
          <w:sz w:val="24"/>
          <w:szCs w:val="24"/>
        </w:rPr>
        <w:t xml:space="preserve">This item adds one new item to Part 3 of Schedule 1AB to establish legislative authority for </w:t>
      </w:r>
      <w:r w:rsidR="00BB5E38">
        <w:rPr>
          <w:rFonts w:ascii="Times New Roman" w:eastAsia="Times New Roman" w:hAnsi="Times New Roman"/>
          <w:color w:val="000000" w:themeColor="text1"/>
          <w:sz w:val="24"/>
          <w:szCs w:val="24"/>
        </w:rPr>
        <w:t>g</w:t>
      </w:r>
      <w:r w:rsidRPr="0001674D">
        <w:rPr>
          <w:rFonts w:ascii="Times New Roman" w:eastAsia="Times New Roman" w:hAnsi="Times New Roman"/>
          <w:color w:val="000000" w:themeColor="text1"/>
          <w:sz w:val="24"/>
          <w:szCs w:val="24"/>
        </w:rPr>
        <w:t xml:space="preserve">overnment spending for an activity administered by </w:t>
      </w:r>
      <w:r w:rsidR="008D1B60">
        <w:rPr>
          <w:rFonts w:ascii="Times New Roman" w:eastAsia="Times New Roman" w:hAnsi="Times New Roman"/>
          <w:color w:val="000000" w:themeColor="text1"/>
          <w:sz w:val="24"/>
          <w:szCs w:val="24"/>
        </w:rPr>
        <w:t xml:space="preserve">the </w:t>
      </w:r>
      <w:r w:rsidRPr="0001674D">
        <w:rPr>
          <w:rFonts w:ascii="Times New Roman" w:hAnsi="Times New Roman"/>
          <w:color w:val="000000" w:themeColor="text1"/>
          <w:sz w:val="24"/>
          <w:szCs w:val="24"/>
        </w:rPr>
        <w:t xml:space="preserve">Department of Industry and Science. </w:t>
      </w:r>
    </w:p>
    <w:p w:rsidR="00430A86" w:rsidRPr="0001674D" w:rsidRDefault="00430A86" w:rsidP="00E669A7">
      <w:pPr>
        <w:spacing w:after="120"/>
        <w:contextualSpacing/>
        <w:rPr>
          <w:rFonts w:ascii="Times New Roman" w:hAnsi="Times New Roman"/>
          <w:color w:val="000000" w:themeColor="text1"/>
          <w:sz w:val="24"/>
          <w:szCs w:val="24"/>
        </w:rPr>
      </w:pPr>
    </w:p>
    <w:p w:rsidR="00A25D0F" w:rsidRPr="0001674D" w:rsidRDefault="00430A86" w:rsidP="00E669A7">
      <w:pPr>
        <w:spacing w:after="120"/>
        <w:contextualSpacing/>
        <w:rPr>
          <w:rFonts w:ascii="Times New Roman" w:eastAsia="Times New Roman" w:hAnsi="Times New Roman"/>
          <w:color w:val="000000" w:themeColor="text1"/>
          <w:sz w:val="24"/>
          <w:szCs w:val="24"/>
        </w:rPr>
      </w:pPr>
      <w:r w:rsidRPr="0001674D">
        <w:rPr>
          <w:rFonts w:ascii="Times New Roman" w:eastAsia="Times New Roman" w:hAnsi="Times New Roman"/>
          <w:color w:val="000000" w:themeColor="text1"/>
          <w:sz w:val="24"/>
          <w:szCs w:val="24"/>
        </w:rPr>
        <w:t xml:space="preserve">New </w:t>
      </w:r>
      <w:r w:rsidRPr="0001674D">
        <w:rPr>
          <w:rFonts w:ascii="Times New Roman" w:eastAsia="Times New Roman" w:hAnsi="Times New Roman"/>
          <w:b/>
          <w:color w:val="000000" w:themeColor="text1"/>
          <w:sz w:val="24"/>
          <w:szCs w:val="24"/>
        </w:rPr>
        <w:t xml:space="preserve">table item 7 </w:t>
      </w:r>
      <w:r w:rsidR="00A25D0F" w:rsidRPr="0001674D">
        <w:rPr>
          <w:rFonts w:ascii="Times New Roman" w:eastAsia="Times New Roman" w:hAnsi="Times New Roman"/>
          <w:color w:val="000000" w:themeColor="text1"/>
          <w:sz w:val="24"/>
          <w:szCs w:val="24"/>
        </w:rPr>
        <w:t>establishes legislative authority for the Government to fund the development of a coordinated data platform on energy to help all users of energy data, including industry, research groups and government, understand and forecast changes in energy demand.  The item will be administered by the Department of Industry and Science.</w:t>
      </w:r>
    </w:p>
    <w:p w:rsidR="00A25D0F" w:rsidRPr="0001674D" w:rsidRDefault="00A25D0F" w:rsidP="00E669A7">
      <w:pPr>
        <w:spacing w:after="120"/>
        <w:contextualSpacing/>
        <w:rPr>
          <w:rFonts w:ascii="Times New Roman" w:hAnsi="Times New Roman"/>
          <w:sz w:val="24"/>
          <w:szCs w:val="24"/>
        </w:rPr>
      </w:pPr>
    </w:p>
    <w:p w:rsidR="00A25D0F" w:rsidRPr="0001674D" w:rsidRDefault="00A25D0F" w:rsidP="00E669A7">
      <w:pPr>
        <w:spacing w:after="120"/>
        <w:contextualSpacing/>
        <w:rPr>
          <w:rFonts w:ascii="Times New Roman" w:hAnsi="Times New Roman"/>
          <w:sz w:val="24"/>
          <w:szCs w:val="24"/>
        </w:rPr>
      </w:pPr>
      <w:r w:rsidRPr="0001674D">
        <w:rPr>
          <w:rFonts w:ascii="Times New Roman" w:hAnsi="Times New Roman"/>
          <w:sz w:val="24"/>
          <w:szCs w:val="24"/>
        </w:rPr>
        <w:t xml:space="preserve">Energy use data is a key input to planning, policy and market development for governments, market bodies and industry.  Currently, there are significant gaps in the understanding of energy use and how energy use is changing, including the use of all fuels, electricity, gas and transport.  </w:t>
      </w:r>
    </w:p>
    <w:p w:rsidR="00A25D0F" w:rsidRPr="0001674D" w:rsidRDefault="00A25D0F" w:rsidP="00E669A7">
      <w:pPr>
        <w:spacing w:after="120"/>
        <w:contextualSpacing/>
        <w:rPr>
          <w:rFonts w:ascii="Times New Roman" w:eastAsia="Times New Roman" w:hAnsi="Times New Roman"/>
          <w:color w:val="000000" w:themeColor="text1"/>
          <w:sz w:val="24"/>
          <w:szCs w:val="24"/>
        </w:rPr>
      </w:pPr>
    </w:p>
    <w:p w:rsidR="00A25D0F" w:rsidRPr="0001674D" w:rsidRDefault="00A25D0F" w:rsidP="00E669A7">
      <w:pPr>
        <w:spacing w:after="120"/>
        <w:contextualSpacing/>
        <w:rPr>
          <w:rFonts w:ascii="Times New Roman" w:hAnsi="Times New Roman"/>
          <w:sz w:val="24"/>
          <w:szCs w:val="24"/>
        </w:rPr>
      </w:pPr>
      <w:r w:rsidRPr="0001674D">
        <w:rPr>
          <w:rFonts w:ascii="Times New Roman" w:eastAsia="Times New Roman" w:hAnsi="Times New Roman"/>
          <w:color w:val="000000" w:themeColor="text1"/>
          <w:sz w:val="24"/>
          <w:szCs w:val="24"/>
        </w:rPr>
        <w:t xml:space="preserve">The coordinated data platform on energy will, through a selected organisation, coordinate data aggregation and build a greater understanding of how energy use and trends at the consumer level relate to energy use and trends economy-wide.  The data will inform the development of policies, programmes and effective business planning to improve Australia’s energy productivity, including </w:t>
      </w:r>
      <w:r w:rsidRPr="0001674D">
        <w:rPr>
          <w:rFonts w:ascii="Times New Roman" w:hAnsi="Times New Roman"/>
          <w:sz w:val="24"/>
          <w:szCs w:val="24"/>
        </w:rPr>
        <w:t>how to overcome the technical and regulatory issues with combining separate data sets</w:t>
      </w:r>
      <w:r w:rsidRPr="0001674D">
        <w:rPr>
          <w:rFonts w:ascii="Times New Roman" w:eastAsia="Times New Roman" w:hAnsi="Times New Roman"/>
          <w:color w:val="000000" w:themeColor="text1"/>
          <w:sz w:val="24"/>
          <w:szCs w:val="24"/>
        </w:rPr>
        <w:t xml:space="preserve">.  </w:t>
      </w:r>
      <w:r w:rsidRPr="0001674D">
        <w:rPr>
          <w:rFonts w:ascii="Times New Roman" w:hAnsi="Times New Roman"/>
          <w:sz w:val="24"/>
          <w:szCs w:val="24"/>
        </w:rPr>
        <w:t xml:space="preserve">The platform is part of a wider body of work on the National Energy Productivity Plan, which was announced in the Government’s </w:t>
      </w:r>
      <w:r w:rsidRPr="0001674D">
        <w:rPr>
          <w:rFonts w:ascii="Times New Roman" w:hAnsi="Times New Roman"/>
          <w:i/>
          <w:sz w:val="24"/>
          <w:szCs w:val="24"/>
        </w:rPr>
        <w:t>2015 Energy White Paper</w:t>
      </w:r>
      <w:r w:rsidR="00C95943">
        <w:rPr>
          <w:rFonts w:ascii="Times New Roman" w:hAnsi="Times New Roman"/>
          <w:sz w:val="24"/>
          <w:szCs w:val="24"/>
        </w:rPr>
        <w:t>, released on 8 April 2015.</w:t>
      </w:r>
    </w:p>
    <w:p w:rsidR="00A25D0F" w:rsidRPr="0001674D" w:rsidRDefault="00A25D0F" w:rsidP="00E669A7">
      <w:pPr>
        <w:spacing w:after="120"/>
        <w:contextualSpacing/>
        <w:rPr>
          <w:rFonts w:ascii="Times New Roman" w:hAnsi="Times New Roman"/>
          <w:sz w:val="24"/>
          <w:szCs w:val="24"/>
        </w:rPr>
      </w:pPr>
    </w:p>
    <w:p w:rsidR="00A25D0F" w:rsidRPr="0001674D" w:rsidRDefault="00A25D0F" w:rsidP="00E669A7">
      <w:pPr>
        <w:spacing w:after="120"/>
        <w:contextualSpacing/>
        <w:rPr>
          <w:rFonts w:ascii="Times New Roman" w:hAnsi="Times New Roman"/>
          <w:sz w:val="24"/>
          <w:szCs w:val="24"/>
        </w:rPr>
      </w:pPr>
      <w:r w:rsidRPr="0001674D">
        <w:rPr>
          <w:rFonts w:ascii="Times New Roman" w:hAnsi="Times New Roman"/>
          <w:sz w:val="24"/>
          <w:szCs w:val="24"/>
        </w:rPr>
        <w:t xml:space="preserve">The Department of Industry and Science will award a grant to a selected organisation to facilitate the design and implementation of the platform in order to improve Australia’s national capacity to collect, organise, analyse and communicate energy use data.  The grant will allow research and investigation into energy use in Australia, and dissemination of the results of the research and investigation.  It will further allow the development, implementation and operation of a range of supporting systems for energy use data and put in place governance arrangements for the platform. </w:t>
      </w:r>
    </w:p>
    <w:p w:rsidR="00A25D0F" w:rsidRPr="0001674D" w:rsidRDefault="00A25D0F" w:rsidP="00E669A7">
      <w:pPr>
        <w:spacing w:after="120"/>
        <w:contextualSpacing/>
        <w:rPr>
          <w:rFonts w:ascii="Times New Roman" w:hAnsi="Times New Roman"/>
          <w:sz w:val="24"/>
          <w:szCs w:val="24"/>
        </w:rPr>
      </w:pPr>
    </w:p>
    <w:p w:rsidR="00A25D0F" w:rsidRPr="0001674D" w:rsidRDefault="00A25D0F" w:rsidP="00E669A7">
      <w:pPr>
        <w:spacing w:after="120"/>
        <w:contextualSpacing/>
        <w:rPr>
          <w:rFonts w:ascii="Times New Roman" w:hAnsi="Times New Roman"/>
          <w:sz w:val="24"/>
          <w:szCs w:val="24"/>
        </w:rPr>
      </w:pPr>
      <w:r w:rsidRPr="0001674D">
        <w:rPr>
          <w:rFonts w:ascii="Times New Roman" w:hAnsi="Times New Roman"/>
          <w:sz w:val="24"/>
          <w:szCs w:val="24"/>
        </w:rPr>
        <w:t xml:space="preserve">Energy use data is currently collected and managed by a range of organisations, including, but not limited to, the Australian Energy Market Operator, the Clean Energy Regulator, </w:t>
      </w:r>
      <w:r w:rsidR="00C30D11">
        <w:rPr>
          <w:rFonts w:ascii="Times New Roman" w:hAnsi="Times New Roman"/>
          <w:sz w:val="24"/>
          <w:szCs w:val="24"/>
        </w:rPr>
        <w:br/>
      </w:r>
      <w:r w:rsidRPr="0001674D">
        <w:rPr>
          <w:rFonts w:ascii="Times New Roman" w:hAnsi="Times New Roman"/>
          <w:sz w:val="24"/>
          <w:szCs w:val="24"/>
        </w:rPr>
        <w:t>the Australian Energy Regulator, the Australian Bureau of Statistics, the Department of Industry and Science, the Department of the Environment and the Commonwealth Scientific and Industrial Research Organisation.  As the controls placed around these different data collections (for example, privacy considerations) are complex, the development of the platform will require the involvement of many organisations.  It is proposed that the grant will be managed by a steering committee made up of data holding bodies.  This steering committee will track progress, agree budgets and resourcing, review consultation documents and reports and make related management decisions for the administration of funds under the grant.</w:t>
      </w:r>
    </w:p>
    <w:p w:rsidR="00A25D0F" w:rsidRPr="0001674D" w:rsidRDefault="00A25D0F" w:rsidP="00E669A7">
      <w:pPr>
        <w:spacing w:after="120"/>
        <w:contextualSpacing/>
        <w:rPr>
          <w:rFonts w:ascii="Times New Roman" w:hAnsi="Times New Roman"/>
          <w:sz w:val="24"/>
          <w:szCs w:val="24"/>
        </w:rPr>
      </w:pPr>
    </w:p>
    <w:p w:rsidR="00A25D0F" w:rsidRPr="0001674D" w:rsidRDefault="00A25D0F" w:rsidP="00E669A7">
      <w:pPr>
        <w:spacing w:after="120"/>
        <w:contextualSpacing/>
        <w:rPr>
          <w:rFonts w:ascii="Times New Roman" w:hAnsi="Times New Roman"/>
          <w:sz w:val="24"/>
          <w:szCs w:val="24"/>
        </w:rPr>
      </w:pPr>
      <w:r w:rsidRPr="0001674D">
        <w:rPr>
          <w:rFonts w:ascii="Times New Roman" w:hAnsi="Times New Roman"/>
          <w:sz w:val="24"/>
          <w:szCs w:val="24"/>
        </w:rPr>
        <w:t xml:space="preserve">Funding decisions will be made by a senior departmental official from the Department of Industry and Science.  All expenditure will be made in accordance with the </w:t>
      </w:r>
      <w:r w:rsidRPr="0001674D">
        <w:rPr>
          <w:rFonts w:ascii="Times New Roman" w:hAnsi="Times New Roman"/>
          <w:i/>
          <w:iCs/>
          <w:sz w:val="24"/>
          <w:szCs w:val="24"/>
        </w:rPr>
        <w:t xml:space="preserve">Public Governance, Performance and Accountability Act </w:t>
      </w:r>
      <w:r w:rsidRPr="0001674D">
        <w:rPr>
          <w:rFonts w:ascii="Times New Roman" w:hAnsi="Times New Roman"/>
          <w:i/>
          <w:sz w:val="24"/>
          <w:szCs w:val="24"/>
        </w:rPr>
        <w:t>2013</w:t>
      </w:r>
      <w:r w:rsidRPr="0001674D">
        <w:rPr>
          <w:rFonts w:ascii="Times New Roman" w:hAnsi="Times New Roman"/>
          <w:sz w:val="24"/>
          <w:szCs w:val="24"/>
        </w:rPr>
        <w:t xml:space="preserve"> and the </w:t>
      </w:r>
      <w:r w:rsidRPr="0001674D">
        <w:rPr>
          <w:rFonts w:ascii="Times New Roman" w:hAnsi="Times New Roman"/>
          <w:i/>
          <w:sz w:val="24"/>
          <w:szCs w:val="24"/>
        </w:rPr>
        <w:t>Commonwealth Grants Rules and Guidelines</w:t>
      </w:r>
      <w:r w:rsidRPr="0001674D">
        <w:rPr>
          <w:rFonts w:ascii="Times New Roman" w:hAnsi="Times New Roman"/>
          <w:sz w:val="24"/>
          <w:szCs w:val="24"/>
        </w:rPr>
        <w:t xml:space="preserve">.  </w:t>
      </w:r>
    </w:p>
    <w:p w:rsidR="00A25D0F" w:rsidRPr="0001674D" w:rsidRDefault="00A25D0F" w:rsidP="00E669A7">
      <w:pPr>
        <w:spacing w:after="120"/>
        <w:contextualSpacing/>
        <w:rPr>
          <w:rFonts w:ascii="Times New Roman" w:hAnsi="Times New Roman"/>
          <w:sz w:val="24"/>
          <w:szCs w:val="24"/>
        </w:rPr>
      </w:pPr>
    </w:p>
    <w:p w:rsidR="00A25D0F" w:rsidRPr="0001674D" w:rsidRDefault="00A25D0F" w:rsidP="00E669A7">
      <w:pPr>
        <w:spacing w:after="120"/>
        <w:contextualSpacing/>
        <w:rPr>
          <w:rFonts w:ascii="Times New Roman" w:hAnsi="Times New Roman"/>
          <w:sz w:val="24"/>
          <w:szCs w:val="24"/>
        </w:rPr>
      </w:pPr>
      <w:r w:rsidRPr="0001674D">
        <w:rPr>
          <w:rFonts w:ascii="Times New Roman" w:hAnsi="Times New Roman"/>
          <w:sz w:val="24"/>
          <w:szCs w:val="24"/>
        </w:rPr>
        <w:t>Due to the targeted, ad hoc nature of this grant, there is no mechanism for appealing funding or expenditure decisions.</w:t>
      </w:r>
    </w:p>
    <w:p w:rsidR="00A25D0F" w:rsidRPr="0001674D" w:rsidRDefault="00A25D0F" w:rsidP="00E669A7">
      <w:pPr>
        <w:spacing w:after="120"/>
        <w:contextualSpacing/>
        <w:rPr>
          <w:rFonts w:ascii="Times New Roman" w:hAnsi="Times New Roman"/>
          <w:sz w:val="24"/>
          <w:szCs w:val="24"/>
        </w:rPr>
      </w:pPr>
    </w:p>
    <w:p w:rsidR="00A25D0F" w:rsidRPr="0001674D" w:rsidRDefault="00A25D0F" w:rsidP="00E669A7">
      <w:pPr>
        <w:spacing w:after="120"/>
        <w:contextualSpacing/>
        <w:rPr>
          <w:rFonts w:ascii="Times New Roman" w:hAnsi="Times New Roman"/>
          <w:sz w:val="24"/>
          <w:szCs w:val="24"/>
        </w:rPr>
      </w:pPr>
      <w:r w:rsidRPr="0001674D">
        <w:rPr>
          <w:rFonts w:ascii="Times New Roman" w:hAnsi="Times New Roman"/>
          <w:sz w:val="24"/>
          <w:szCs w:val="24"/>
        </w:rPr>
        <w:t>Funding for the programme will come from</w:t>
      </w:r>
      <w:r w:rsidR="00C3411C">
        <w:rPr>
          <w:rFonts w:ascii="Times New Roman" w:hAnsi="Times New Roman"/>
          <w:sz w:val="24"/>
          <w:szCs w:val="24"/>
        </w:rPr>
        <w:t xml:space="preserve"> Programme 4: Programme Support</w:t>
      </w:r>
      <w:r w:rsidRPr="0001674D">
        <w:rPr>
          <w:rFonts w:ascii="Times New Roman" w:hAnsi="Times New Roman"/>
          <w:sz w:val="24"/>
          <w:szCs w:val="24"/>
        </w:rPr>
        <w:t xml:space="preserve">, which is part of Outcome 1: </w:t>
      </w:r>
      <w:r w:rsidRPr="0001674D">
        <w:rPr>
          <w:rFonts w:ascii="Times New Roman" w:hAnsi="Times New Roman"/>
          <w:iCs/>
          <w:sz w:val="24"/>
          <w:szCs w:val="24"/>
        </w:rPr>
        <w:t>Enabling growth and productivity for globally competitive industries through building skills and capability, supporting science and innovation, encouraging investment and improving regulation</w:t>
      </w:r>
      <w:r w:rsidRPr="0001674D">
        <w:rPr>
          <w:rFonts w:ascii="Times New Roman" w:hAnsi="Times New Roman"/>
          <w:sz w:val="24"/>
          <w:szCs w:val="24"/>
        </w:rPr>
        <w:t xml:space="preserve">, as set out in the </w:t>
      </w:r>
      <w:r w:rsidRPr="0001674D">
        <w:rPr>
          <w:rFonts w:ascii="Times New Roman" w:hAnsi="Times New Roman"/>
          <w:i/>
          <w:sz w:val="24"/>
          <w:szCs w:val="24"/>
        </w:rPr>
        <w:t>Portfolio Budget Statements 2014-15, Budget Related Paper No. 1.12, Industry Portfolio</w:t>
      </w:r>
      <w:r w:rsidRPr="0001674D">
        <w:rPr>
          <w:rFonts w:ascii="Times New Roman" w:hAnsi="Times New Roman"/>
          <w:sz w:val="24"/>
          <w:szCs w:val="24"/>
        </w:rPr>
        <w:t xml:space="preserve"> at page 66.</w:t>
      </w:r>
    </w:p>
    <w:p w:rsidR="00A25D0F" w:rsidRPr="0001674D" w:rsidRDefault="00A25D0F" w:rsidP="00E669A7">
      <w:pPr>
        <w:spacing w:after="120"/>
        <w:contextualSpacing/>
        <w:rPr>
          <w:rFonts w:ascii="Times New Roman" w:hAnsi="Times New Roman"/>
          <w:sz w:val="24"/>
          <w:szCs w:val="24"/>
        </w:rPr>
      </w:pPr>
    </w:p>
    <w:p w:rsidR="00A25D0F" w:rsidRPr="0001674D" w:rsidRDefault="00A25D0F" w:rsidP="00E669A7">
      <w:pPr>
        <w:contextualSpacing/>
        <w:rPr>
          <w:rFonts w:ascii="Times New Roman" w:hAnsi="Times New Roman"/>
          <w:sz w:val="24"/>
          <w:szCs w:val="24"/>
        </w:rPr>
      </w:pPr>
      <w:r w:rsidRPr="0001674D">
        <w:rPr>
          <w:rFonts w:ascii="Times New Roman" w:hAnsi="Times New Roman"/>
          <w:sz w:val="24"/>
          <w:szCs w:val="24"/>
        </w:rPr>
        <w:t>Noting that it is not a comprehensive statement of relevant constitutional considerations, the purpose of the item references the following powers of the Constitution:</w:t>
      </w:r>
    </w:p>
    <w:p w:rsidR="00A25D0F" w:rsidRPr="0001674D" w:rsidRDefault="00A25D0F" w:rsidP="00E669A7">
      <w:pPr>
        <w:pStyle w:val="ListParagraph"/>
        <w:numPr>
          <w:ilvl w:val="0"/>
          <w:numId w:val="3"/>
        </w:numPr>
        <w:rPr>
          <w:rFonts w:cs="Times New Roman"/>
          <w:szCs w:val="24"/>
        </w:rPr>
      </w:pPr>
      <w:r w:rsidRPr="0001674D">
        <w:rPr>
          <w:rFonts w:cs="Times New Roman"/>
          <w:szCs w:val="24"/>
        </w:rPr>
        <w:t>the census and statistics power (section 51(xi));</w:t>
      </w:r>
    </w:p>
    <w:p w:rsidR="00A25D0F" w:rsidRPr="0001674D" w:rsidRDefault="00A25D0F" w:rsidP="00E669A7">
      <w:pPr>
        <w:pStyle w:val="ListParagraph"/>
        <w:numPr>
          <w:ilvl w:val="0"/>
          <w:numId w:val="3"/>
        </w:numPr>
        <w:spacing w:after="120"/>
        <w:rPr>
          <w:rFonts w:cs="Times New Roman"/>
          <w:szCs w:val="24"/>
        </w:rPr>
      </w:pPr>
      <w:r w:rsidRPr="0001674D">
        <w:rPr>
          <w:rFonts w:cs="Times New Roman"/>
          <w:szCs w:val="24"/>
        </w:rPr>
        <w:t>the external affairs power (section 51(xxix)); and</w:t>
      </w:r>
    </w:p>
    <w:p w:rsidR="00A25D0F" w:rsidRPr="0001674D" w:rsidRDefault="00A25D0F" w:rsidP="00E669A7">
      <w:pPr>
        <w:pStyle w:val="ListParagraph"/>
        <w:numPr>
          <w:ilvl w:val="0"/>
          <w:numId w:val="3"/>
        </w:numPr>
        <w:rPr>
          <w:rFonts w:cs="Times New Roman"/>
          <w:szCs w:val="24"/>
        </w:rPr>
      </w:pPr>
      <w:r w:rsidRPr="0001674D">
        <w:rPr>
          <w:rFonts w:cs="Times New Roman"/>
          <w:szCs w:val="24"/>
        </w:rPr>
        <w:t>the Commonwealth executive and express incidental powers (sections 61 and 51(xxxix)).</w:t>
      </w:r>
    </w:p>
    <w:p w:rsidR="00430A86" w:rsidRPr="00CB7458" w:rsidRDefault="00430A86" w:rsidP="00E669A7">
      <w:pPr>
        <w:contextualSpacing/>
        <w:rPr>
          <w:rFonts w:ascii="Times New Roman" w:hAnsi="Times New Roman"/>
          <w:color w:val="000000" w:themeColor="text1"/>
          <w:sz w:val="24"/>
          <w:szCs w:val="24"/>
        </w:rPr>
      </w:pPr>
    </w:p>
    <w:p w:rsidR="00EC0776" w:rsidRPr="0001674D" w:rsidRDefault="00D618A8" w:rsidP="00E669A7">
      <w:pPr>
        <w:spacing w:after="120"/>
        <w:contextualSpacing/>
        <w:rPr>
          <w:rFonts w:ascii="Times New Roman" w:hAnsi="Times New Roman"/>
          <w:b/>
          <w:color w:val="000000" w:themeColor="text1"/>
          <w:sz w:val="24"/>
          <w:szCs w:val="24"/>
        </w:rPr>
      </w:pPr>
      <w:r>
        <w:rPr>
          <w:rFonts w:ascii="Times New Roman" w:hAnsi="Times New Roman"/>
          <w:b/>
          <w:color w:val="000000" w:themeColor="text1"/>
          <w:sz w:val="24"/>
          <w:szCs w:val="24"/>
        </w:rPr>
        <w:t>Item 2</w:t>
      </w:r>
      <w:r w:rsidR="00EC0776" w:rsidRPr="0001674D">
        <w:rPr>
          <w:rFonts w:ascii="Times New Roman" w:hAnsi="Times New Roman"/>
          <w:b/>
          <w:color w:val="000000" w:themeColor="text1"/>
          <w:sz w:val="24"/>
          <w:szCs w:val="24"/>
        </w:rPr>
        <w:t xml:space="preserve"> – Part 4 of Schedule 1AB (at the end of the table)</w:t>
      </w:r>
    </w:p>
    <w:p w:rsidR="00EC0776" w:rsidRPr="0001674D" w:rsidRDefault="00EC0776" w:rsidP="00E669A7">
      <w:pPr>
        <w:spacing w:after="120"/>
        <w:contextualSpacing/>
        <w:rPr>
          <w:rFonts w:ascii="Times New Roman" w:hAnsi="Times New Roman"/>
          <w:sz w:val="24"/>
          <w:szCs w:val="24"/>
        </w:rPr>
      </w:pPr>
    </w:p>
    <w:p w:rsidR="00430A86" w:rsidRPr="0001674D" w:rsidRDefault="00755B9A" w:rsidP="00E669A7">
      <w:pPr>
        <w:spacing w:after="120"/>
        <w:contextualSpacing/>
        <w:rPr>
          <w:rFonts w:ascii="Times New Roman" w:hAnsi="Times New Roman"/>
          <w:color w:val="000000" w:themeColor="text1"/>
          <w:sz w:val="24"/>
          <w:szCs w:val="24"/>
        </w:rPr>
      </w:pPr>
      <w:r w:rsidRPr="0001674D">
        <w:rPr>
          <w:rFonts w:ascii="Times New Roman" w:eastAsia="Times New Roman" w:hAnsi="Times New Roman"/>
          <w:color w:val="000000" w:themeColor="text1"/>
          <w:sz w:val="24"/>
          <w:szCs w:val="24"/>
        </w:rPr>
        <w:t xml:space="preserve">This item </w:t>
      </w:r>
      <w:r w:rsidRPr="00380DE4">
        <w:rPr>
          <w:rFonts w:ascii="Times New Roman" w:eastAsia="Times New Roman" w:hAnsi="Times New Roman"/>
          <w:color w:val="000000" w:themeColor="text1"/>
          <w:sz w:val="24"/>
          <w:szCs w:val="24"/>
        </w:rPr>
        <w:t>add</w:t>
      </w:r>
      <w:r w:rsidR="0088288F" w:rsidRPr="00380DE4">
        <w:rPr>
          <w:rFonts w:ascii="Times New Roman" w:eastAsia="Times New Roman" w:hAnsi="Times New Roman"/>
          <w:color w:val="000000" w:themeColor="text1"/>
          <w:sz w:val="24"/>
          <w:szCs w:val="24"/>
        </w:rPr>
        <w:t xml:space="preserve">s </w:t>
      </w:r>
      <w:r w:rsidR="00A25D0F" w:rsidRPr="00380DE4">
        <w:rPr>
          <w:rFonts w:ascii="Times New Roman" w:eastAsia="Times New Roman" w:hAnsi="Times New Roman"/>
          <w:color w:val="000000" w:themeColor="text1"/>
          <w:sz w:val="24"/>
          <w:szCs w:val="24"/>
        </w:rPr>
        <w:t>21</w:t>
      </w:r>
      <w:r w:rsidRPr="00380DE4">
        <w:rPr>
          <w:rFonts w:ascii="Times New Roman" w:eastAsia="Times New Roman" w:hAnsi="Times New Roman"/>
          <w:color w:val="000000" w:themeColor="text1"/>
          <w:sz w:val="24"/>
          <w:szCs w:val="24"/>
        </w:rPr>
        <w:t xml:space="preserve"> new item</w:t>
      </w:r>
      <w:r w:rsidR="0088288F" w:rsidRPr="00380DE4">
        <w:rPr>
          <w:rFonts w:ascii="Times New Roman" w:eastAsia="Times New Roman" w:hAnsi="Times New Roman"/>
          <w:color w:val="000000" w:themeColor="text1"/>
          <w:sz w:val="24"/>
          <w:szCs w:val="24"/>
        </w:rPr>
        <w:t>s</w:t>
      </w:r>
      <w:r w:rsidRPr="00380DE4">
        <w:rPr>
          <w:rFonts w:ascii="Times New Roman" w:eastAsia="Times New Roman" w:hAnsi="Times New Roman"/>
          <w:color w:val="000000" w:themeColor="text1"/>
          <w:sz w:val="24"/>
          <w:szCs w:val="24"/>
        </w:rPr>
        <w:t xml:space="preserve"> to</w:t>
      </w:r>
      <w:r w:rsidRPr="0001674D">
        <w:rPr>
          <w:rFonts w:ascii="Times New Roman" w:eastAsia="Times New Roman" w:hAnsi="Times New Roman"/>
          <w:color w:val="000000" w:themeColor="text1"/>
          <w:sz w:val="24"/>
          <w:szCs w:val="24"/>
        </w:rPr>
        <w:t xml:space="preserve"> </w:t>
      </w:r>
      <w:r w:rsidR="005E78E2" w:rsidRPr="0001674D">
        <w:rPr>
          <w:rFonts w:ascii="Times New Roman" w:eastAsia="Times New Roman" w:hAnsi="Times New Roman"/>
          <w:color w:val="000000" w:themeColor="text1"/>
          <w:sz w:val="24"/>
          <w:szCs w:val="24"/>
        </w:rPr>
        <w:t xml:space="preserve">Part 4 of </w:t>
      </w:r>
      <w:r w:rsidRPr="0001674D">
        <w:rPr>
          <w:rFonts w:ascii="Times New Roman" w:eastAsia="Times New Roman" w:hAnsi="Times New Roman"/>
          <w:color w:val="000000" w:themeColor="text1"/>
          <w:sz w:val="24"/>
          <w:szCs w:val="24"/>
        </w:rPr>
        <w:t xml:space="preserve">Schedule 1AB </w:t>
      </w:r>
      <w:r w:rsidR="00196BE2" w:rsidRPr="0001674D">
        <w:rPr>
          <w:rFonts w:ascii="Times New Roman" w:eastAsia="Times New Roman" w:hAnsi="Times New Roman"/>
          <w:color w:val="000000" w:themeColor="text1"/>
          <w:sz w:val="24"/>
          <w:szCs w:val="24"/>
        </w:rPr>
        <w:t>to estab</w:t>
      </w:r>
      <w:r w:rsidR="00BB5E38">
        <w:rPr>
          <w:rFonts w:ascii="Times New Roman" w:eastAsia="Times New Roman" w:hAnsi="Times New Roman"/>
          <w:color w:val="000000" w:themeColor="text1"/>
          <w:sz w:val="24"/>
          <w:szCs w:val="24"/>
        </w:rPr>
        <w:t>lish legislative authority for g</w:t>
      </w:r>
      <w:r w:rsidR="00196BE2" w:rsidRPr="0001674D">
        <w:rPr>
          <w:rFonts w:ascii="Times New Roman" w:eastAsia="Times New Roman" w:hAnsi="Times New Roman"/>
          <w:color w:val="000000" w:themeColor="text1"/>
          <w:sz w:val="24"/>
          <w:szCs w:val="24"/>
        </w:rPr>
        <w:t xml:space="preserve">overnment spending for certain activities administered by </w:t>
      </w:r>
      <w:r w:rsidR="00C3411C" w:rsidRPr="0001674D">
        <w:rPr>
          <w:rFonts w:ascii="Times New Roman" w:hAnsi="Times New Roman"/>
          <w:color w:val="000000" w:themeColor="text1"/>
          <w:sz w:val="24"/>
          <w:szCs w:val="24"/>
        </w:rPr>
        <w:t>the Attorney-General’s Department</w:t>
      </w:r>
      <w:r w:rsidR="00C3411C">
        <w:rPr>
          <w:rFonts w:ascii="Times New Roman" w:hAnsi="Times New Roman"/>
          <w:color w:val="000000" w:themeColor="text1"/>
          <w:sz w:val="24"/>
          <w:szCs w:val="24"/>
        </w:rPr>
        <w:t xml:space="preserve">, </w:t>
      </w:r>
      <w:r w:rsidR="00CB7458">
        <w:rPr>
          <w:rFonts w:ascii="Times New Roman" w:hAnsi="Times New Roman"/>
          <w:color w:val="000000" w:themeColor="text1"/>
          <w:sz w:val="24"/>
          <w:szCs w:val="24"/>
        </w:rPr>
        <w:t xml:space="preserve">the </w:t>
      </w:r>
      <w:r w:rsidR="00C3411C" w:rsidRPr="0001674D">
        <w:rPr>
          <w:rFonts w:ascii="Times New Roman" w:hAnsi="Times New Roman"/>
          <w:color w:val="000000" w:themeColor="text1"/>
          <w:sz w:val="24"/>
          <w:szCs w:val="24"/>
        </w:rPr>
        <w:t>Department of Communications</w:t>
      </w:r>
      <w:r w:rsidR="00C3411C">
        <w:rPr>
          <w:rFonts w:ascii="Times New Roman" w:hAnsi="Times New Roman"/>
          <w:color w:val="000000" w:themeColor="text1"/>
          <w:sz w:val="24"/>
          <w:szCs w:val="24"/>
        </w:rPr>
        <w:t xml:space="preserve">, </w:t>
      </w:r>
      <w:r w:rsidR="00CB7458">
        <w:rPr>
          <w:rFonts w:ascii="Times New Roman" w:hAnsi="Times New Roman"/>
          <w:color w:val="000000" w:themeColor="text1"/>
          <w:sz w:val="24"/>
          <w:szCs w:val="24"/>
        </w:rPr>
        <w:t xml:space="preserve">the </w:t>
      </w:r>
      <w:r w:rsidR="00C3411C" w:rsidRPr="0001674D">
        <w:rPr>
          <w:rFonts w:ascii="Times New Roman" w:hAnsi="Times New Roman"/>
          <w:color w:val="000000" w:themeColor="text1"/>
          <w:sz w:val="24"/>
          <w:szCs w:val="24"/>
        </w:rPr>
        <w:t xml:space="preserve">Department of Education and Training, </w:t>
      </w:r>
      <w:r w:rsidR="00CB7458">
        <w:rPr>
          <w:rFonts w:ascii="Times New Roman" w:hAnsi="Times New Roman"/>
          <w:color w:val="000000" w:themeColor="text1"/>
          <w:sz w:val="24"/>
          <w:szCs w:val="24"/>
        </w:rPr>
        <w:t xml:space="preserve">the </w:t>
      </w:r>
      <w:r w:rsidR="00C3411C" w:rsidRPr="0001674D">
        <w:rPr>
          <w:rFonts w:ascii="Times New Roman" w:hAnsi="Times New Roman"/>
          <w:color w:val="000000" w:themeColor="text1"/>
          <w:sz w:val="24"/>
          <w:szCs w:val="24"/>
        </w:rPr>
        <w:t xml:space="preserve">Department of Health, </w:t>
      </w:r>
      <w:r w:rsidR="00CB7458">
        <w:rPr>
          <w:rFonts w:ascii="Times New Roman" w:hAnsi="Times New Roman"/>
          <w:color w:val="000000" w:themeColor="text1"/>
          <w:sz w:val="24"/>
          <w:szCs w:val="24"/>
        </w:rPr>
        <w:t xml:space="preserve">the </w:t>
      </w:r>
      <w:r w:rsidR="00C3411C" w:rsidRPr="0001674D">
        <w:rPr>
          <w:rFonts w:ascii="Times New Roman" w:hAnsi="Times New Roman"/>
          <w:color w:val="000000" w:themeColor="text1"/>
          <w:sz w:val="24"/>
          <w:szCs w:val="24"/>
        </w:rPr>
        <w:t xml:space="preserve">Department of </w:t>
      </w:r>
      <w:r w:rsidR="00CB7458">
        <w:rPr>
          <w:rFonts w:ascii="Times New Roman" w:hAnsi="Times New Roman"/>
          <w:color w:val="000000" w:themeColor="text1"/>
          <w:sz w:val="24"/>
          <w:szCs w:val="24"/>
        </w:rPr>
        <w:t xml:space="preserve">Industry and Science, the Department of </w:t>
      </w:r>
      <w:r w:rsidR="00C3411C" w:rsidRPr="0001674D">
        <w:rPr>
          <w:rFonts w:ascii="Times New Roman" w:hAnsi="Times New Roman"/>
          <w:color w:val="000000" w:themeColor="text1"/>
          <w:sz w:val="24"/>
          <w:szCs w:val="24"/>
        </w:rPr>
        <w:t>Infrastructure and R</w:t>
      </w:r>
      <w:r w:rsidR="00C3411C">
        <w:rPr>
          <w:rFonts w:ascii="Times New Roman" w:hAnsi="Times New Roman"/>
          <w:color w:val="000000" w:themeColor="text1"/>
          <w:sz w:val="24"/>
          <w:szCs w:val="24"/>
        </w:rPr>
        <w:t>egional Development and Department of Social Service</w:t>
      </w:r>
      <w:r w:rsidR="008D1B60">
        <w:rPr>
          <w:rFonts w:ascii="Times New Roman" w:hAnsi="Times New Roman"/>
          <w:color w:val="000000" w:themeColor="text1"/>
          <w:sz w:val="24"/>
          <w:szCs w:val="24"/>
        </w:rPr>
        <w:t>s</w:t>
      </w:r>
      <w:r w:rsidR="00430A86" w:rsidRPr="0001674D">
        <w:rPr>
          <w:rFonts w:ascii="Times New Roman" w:hAnsi="Times New Roman"/>
          <w:color w:val="000000" w:themeColor="text1"/>
          <w:sz w:val="24"/>
          <w:szCs w:val="24"/>
        </w:rPr>
        <w:t>.</w:t>
      </w:r>
    </w:p>
    <w:p w:rsidR="00B51BD4" w:rsidRPr="0001674D" w:rsidRDefault="00B51BD4" w:rsidP="00E669A7">
      <w:pPr>
        <w:spacing w:after="120"/>
        <w:contextualSpacing/>
        <w:rPr>
          <w:rFonts w:ascii="Times New Roman" w:eastAsia="Times New Roman" w:hAnsi="Times New Roman"/>
          <w:color w:val="000000" w:themeColor="text1"/>
          <w:sz w:val="24"/>
          <w:szCs w:val="24"/>
        </w:rPr>
      </w:pPr>
    </w:p>
    <w:p w:rsidR="008F20AC" w:rsidRDefault="008F20AC">
      <w:pPr>
        <w:spacing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A25D0F" w:rsidRPr="0001674D" w:rsidRDefault="00A25D0F" w:rsidP="00C95943">
      <w:pPr>
        <w:spacing w:after="120"/>
        <w:contextualSpacing/>
        <w:rPr>
          <w:rFonts w:ascii="Times New Roman" w:hAnsi="Times New Roman"/>
          <w:sz w:val="24"/>
          <w:szCs w:val="24"/>
        </w:rPr>
      </w:pPr>
      <w:r w:rsidRPr="0001674D">
        <w:rPr>
          <w:rFonts w:ascii="Times New Roman" w:hAnsi="Times New Roman"/>
          <w:color w:val="000000" w:themeColor="text1"/>
          <w:sz w:val="24"/>
          <w:szCs w:val="24"/>
        </w:rPr>
        <w:t xml:space="preserve">New </w:t>
      </w:r>
      <w:r w:rsidRPr="0001674D">
        <w:rPr>
          <w:rFonts w:ascii="Times New Roman" w:hAnsi="Times New Roman"/>
          <w:b/>
          <w:color w:val="000000" w:themeColor="text1"/>
          <w:sz w:val="24"/>
          <w:szCs w:val="24"/>
        </w:rPr>
        <w:t>table item 85</w:t>
      </w:r>
      <w:r w:rsidRPr="0001674D">
        <w:rPr>
          <w:rFonts w:ascii="Times New Roman" w:hAnsi="Times New Roman"/>
          <w:color w:val="000000" w:themeColor="text1"/>
          <w:sz w:val="24"/>
          <w:szCs w:val="24"/>
        </w:rPr>
        <w:t xml:space="preserve"> </w:t>
      </w:r>
      <w:r w:rsidRPr="0001674D">
        <w:rPr>
          <w:rFonts w:ascii="Times New Roman" w:eastAsia="Times New Roman" w:hAnsi="Times New Roman"/>
          <w:color w:val="000000" w:themeColor="text1"/>
          <w:sz w:val="24"/>
          <w:szCs w:val="24"/>
        </w:rPr>
        <w:t xml:space="preserve">establishes legislative authority for the Government to fund the </w:t>
      </w:r>
      <w:r w:rsidR="008F20AC">
        <w:rPr>
          <w:rFonts w:ascii="Times New Roman" w:eastAsia="Times New Roman" w:hAnsi="Times New Roman"/>
          <w:color w:val="000000" w:themeColor="text1"/>
          <w:sz w:val="24"/>
          <w:szCs w:val="24"/>
        </w:rPr>
        <w:t>Australian </w:t>
      </w:r>
      <w:r w:rsidRPr="0001674D">
        <w:rPr>
          <w:rFonts w:ascii="Times New Roman" w:eastAsia="Times New Roman" w:hAnsi="Times New Roman"/>
          <w:color w:val="000000" w:themeColor="text1"/>
          <w:sz w:val="24"/>
          <w:szCs w:val="24"/>
        </w:rPr>
        <w:t>Apprenticeship Support Network (AASN) to deliver support services nationally to assist apprentices and their employers to engage with, participate in, and complete Australian apprenticeships.</w:t>
      </w:r>
      <w:r w:rsidRPr="0001674D">
        <w:rPr>
          <w:rFonts w:ascii="Times New Roman" w:hAnsi="Times New Roman"/>
          <w:sz w:val="24"/>
          <w:szCs w:val="24"/>
        </w:rPr>
        <w:t xml:space="preserve">  The AASN will be administered by the Department of Education and Training.</w:t>
      </w:r>
    </w:p>
    <w:p w:rsidR="00A25D0F" w:rsidRPr="0001674D" w:rsidRDefault="00A25D0F" w:rsidP="00C95943">
      <w:pPr>
        <w:spacing w:after="120"/>
        <w:contextualSpacing/>
        <w:rPr>
          <w:rFonts w:ascii="Times New Roman" w:hAnsi="Times New Roman"/>
          <w:sz w:val="24"/>
          <w:szCs w:val="24"/>
        </w:rPr>
      </w:pPr>
    </w:p>
    <w:p w:rsidR="00A25D0F" w:rsidRPr="0001674D" w:rsidRDefault="00A25D0F" w:rsidP="00C95943">
      <w:pPr>
        <w:spacing w:after="120"/>
        <w:contextualSpacing/>
        <w:rPr>
          <w:rFonts w:ascii="Times New Roman" w:hAnsi="Times New Roman"/>
          <w:sz w:val="24"/>
          <w:szCs w:val="24"/>
        </w:rPr>
      </w:pPr>
      <w:r w:rsidRPr="0001674D">
        <w:rPr>
          <w:rFonts w:ascii="Times New Roman" w:eastAsia="Times New Roman" w:hAnsi="Times New Roman"/>
          <w:color w:val="000000" w:themeColor="text1"/>
          <w:sz w:val="24"/>
          <w:szCs w:val="24"/>
        </w:rPr>
        <w:t>The</w:t>
      </w:r>
      <w:r w:rsidR="005D2186">
        <w:rPr>
          <w:rFonts w:ascii="Times New Roman" w:eastAsia="Times New Roman" w:hAnsi="Times New Roman"/>
          <w:color w:val="000000" w:themeColor="text1"/>
          <w:sz w:val="24"/>
          <w:szCs w:val="24"/>
        </w:rPr>
        <w:t xml:space="preserve"> Government has allocated $768</w:t>
      </w:r>
      <w:r w:rsidRPr="0001674D">
        <w:rPr>
          <w:rFonts w:ascii="Times New Roman" w:eastAsia="Times New Roman" w:hAnsi="Times New Roman"/>
          <w:color w:val="000000" w:themeColor="text1"/>
          <w:sz w:val="24"/>
          <w:szCs w:val="24"/>
        </w:rPr>
        <w:t xml:space="preserve"> million over four years from 2015-16 for this programme.  O</w:t>
      </w:r>
      <w:r w:rsidRPr="0001674D">
        <w:rPr>
          <w:rFonts w:ascii="Times New Roman" w:hAnsi="Times New Roman"/>
          <w:sz w:val="24"/>
          <w:szCs w:val="24"/>
        </w:rPr>
        <w:t>n 27 April 2015, the Assistant Minister for Education and Training, Senator the Hon Simon Birmingham, announced the 11 organisations which will make up the network.  A list of the organisations is available on the Department of Education and Training’s website (http://docs.education.gov.au/node/37759).</w:t>
      </w:r>
    </w:p>
    <w:p w:rsidR="00A25D0F" w:rsidRPr="0001674D" w:rsidRDefault="00A25D0F" w:rsidP="00C95943">
      <w:pPr>
        <w:spacing w:after="120"/>
        <w:contextualSpacing/>
        <w:rPr>
          <w:rFonts w:ascii="Times New Roman" w:eastAsia="Times New Roman" w:hAnsi="Times New Roman"/>
          <w:color w:val="000000" w:themeColor="text1"/>
          <w:sz w:val="24"/>
          <w:szCs w:val="24"/>
        </w:rPr>
      </w:pPr>
    </w:p>
    <w:p w:rsidR="00A25D0F" w:rsidRPr="0001674D" w:rsidRDefault="00A25D0F" w:rsidP="00C95943">
      <w:pPr>
        <w:spacing w:after="120"/>
        <w:contextualSpacing/>
        <w:rPr>
          <w:rFonts w:ascii="Times New Roman" w:hAnsi="Times New Roman"/>
          <w:sz w:val="24"/>
          <w:szCs w:val="24"/>
        </w:rPr>
      </w:pPr>
      <w:r w:rsidRPr="0001674D">
        <w:rPr>
          <w:rFonts w:ascii="Times New Roman" w:eastAsia="Times New Roman" w:hAnsi="Times New Roman"/>
          <w:color w:val="000000" w:themeColor="text1"/>
          <w:sz w:val="24"/>
          <w:szCs w:val="24"/>
        </w:rPr>
        <w:t>The AASN providers</w:t>
      </w:r>
      <w:r w:rsidRPr="0001674D">
        <w:rPr>
          <w:rFonts w:ascii="Times New Roman" w:hAnsi="Times New Roman"/>
          <w:sz w:val="24"/>
          <w:szCs w:val="24"/>
        </w:rPr>
        <w:t xml:space="preserve"> will deliver a range of support services to apprentices and their employers with the aim of: </w:t>
      </w:r>
    </w:p>
    <w:p w:rsidR="00A25D0F" w:rsidRPr="0001674D" w:rsidRDefault="00A25D0F" w:rsidP="00C95943">
      <w:pPr>
        <w:pStyle w:val="ListParagraph"/>
        <w:numPr>
          <w:ilvl w:val="0"/>
          <w:numId w:val="6"/>
        </w:numPr>
        <w:spacing w:after="120"/>
        <w:rPr>
          <w:rFonts w:cs="Times New Roman"/>
          <w:szCs w:val="24"/>
        </w:rPr>
      </w:pPr>
      <w:r w:rsidRPr="0001674D">
        <w:rPr>
          <w:rFonts w:cs="Times New Roman"/>
          <w:szCs w:val="24"/>
        </w:rPr>
        <w:t>simplifying and improving user access to, and engagement with, the Australian apprenticeships system by establishing AASN providers as hubs for the delivery of quality end-to-end advice and support services for apprentices and their employers</w:t>
      </w:r>
      <w:r w:rsidR="00C3411C">
        <w:rPr>
          <w:rFonts w:cs="Times New Roman"/>
          <w:szCs w:val="24"/>
        </w:rPr>
        <w:t>;</w:t>
      </w:r>
      <w:r w:rsidRPr="0001674D">
        <w:rPr>
          <w:rFonts w:cs="Times New Roman"/>
          <w:szCs w:val="24"/>
        </w:rPr>
        <w:t xml:space="preserve"> </w:t>
      </w:r>
    </w:p>
    <w:p w:rsidR="00A25D0F" w:rsidRPr="0001674D" w:rsidRDefault="00A25D0F" w:rsidP="00C95943">
      <w:pPr>
        <w:pStyle w:val="ListParagraph"/>
        <w:numPr>
          <w:ilvl w:val="0"/>
          <w:numId w:val="6"/>
        </w:numPr>
        <w:spacing w:after="120"/>
        <w:rPr>
          <w:rFonts w:cs="Times New Roman"/>
          <w:szCs w:val="24"/>
        </w:rPr>
      </w:pPr>
      <w:r w:rsidRPr="0001674D">
        <w:rPr>
          <w:rFonts w:cs="Times New Roman"/>
          <w:szCs w:val="24"/>
        </w:rPr>
        <w:t>improving apprenticeship retention, completion and satisfaction rates through the provision of new services designed to deliver targeted support to apprentices and employers prior to commencement and in-training</w:t>
      </w:r>
      <w:r w:rsidR="00C3411C">
        <w:rPr>
          <w:rFonts w:cs="Times New Roman"/>
          <w:szCs w:val="24"/>
        </w:rPr>
        <w:t>;</w:t>
      </w:r>
    </w:p>
    <w:p w:rsidR="00A25D0F" w:rsidRPr="0001674D" w:rsidRDefault="00A25D0F" w:rsidP="00C95943">
      <w:pPr>
        <w:pStyle w:val="ListParagraph"/>
        <w:numPr>
          <w:ilvl w:val="0"/>
          <w:numId w:val="6"/>
        </w:numPr>
        <w:spacing w:after="120"/>
        <w:rPr>
          <w:rFonts w:cs="Times New Roman"/>
          <w:szCs w:val="24"/>
        </w:rPr>
      </w:pPr>
      <w:r w:rsidRPr="0001674D">
        <w:rPr>
          <w:rFonts w:cs="Times New Roman"/>
          <w:szCs w:val="24"/>
        </w:rPr>
        <w:t>providing services to assist individuals to find the right vocational education and training (VET) or employment pathway for them</w:t>
      </w:r>
      <w:r w:rsidR="00C3411C">
        <w:rPr>
          <w:rFonts w:cs="Times New Roman"/>
          <w:szCs w:val="24"/>
        </w:rPr>
        <w:t>; and</w:t>
      </w:r>
    </w:p>
    <w:p w:rsidR="00A25D0F" w:rsidRPr="0001674D" w:rsidRDefault="00A25D0F" w:rsidP="00C95943">
      <w:pPr>
        <w:pStyle w:val="ListParagraph"/>
        <w:numPr>
          <w:ilvl w:val="0"/>
          <w:numId w:val="6"/>
        </w:numPr>
        <w:rPr>
          <w:rFonts w:cs="Times New Roman"/>
          <w:szCs w:val="24"/>
        </w:rPr>
      </w:pPr>
      <w:r w:rsidRPr="0001674D">
        <w:rPr>
          <w:rFonts w:cs="Times New Roman"/>
          <w:szCs w:val="24"/>
        </w:rPr>
        <w:t>reducing red tape and the administrative burden on apprentices, providers, stakeholders and system users.</w:t>
      </w:r>
    </w:p>
    <w:p w:rsidR="00A25D0F" w:rsidRPr="0001674D" w:rsidRDefault="00A25D0F" w:rsidP="00C95943">
      <w:pPr>
        <w:contextualSpacing/>
        <w:rPr>
          <w:rFonts w:ascii="Times New Roman" w:hAnsi="Times New Roman"/>
          <w:sz w:val="24"/>
          <w:szCs w:val="24"/>
        </w:rPr>
      </w:pPr>
    </w:p>
    <w:p w:rsidR="00A25D0F" w:rsidRPr="0001674D" w:rsidRDefault="00A25D0F" w:rsidP="00C95943">
      <w:pPr>
        <w:spacing w:after="120"/>
        <w:contextualSpacing/>
        <w:rPr>
          <w:rFonts w:ascii="Times New Roman" w:hAnsi="Times New Roman"/>
          <w:sz w:val="24"/>
          <w:szCs w:val="24"/>
        </w:rPr>
      </w:pPr>
      <w:r w:rsidRPr="0001674D">
        <w:rPr>
          <w:rFonts w:ascii="Times New Roman" w:hAnsi="Times New Roman"/>
          <w:sz w:val="24"/>
          <w:szCs w:val="24"/>
        </w:rPr>
        <w:t xml:space="preserve">The Department is purchasing a range of services through the AASN to better support apprentices from pre-commencement to completion.  A number of universal services will be available to all clients, while targeted services will support apprentices in need of greater support to enter and complete an apprenticeship.  </w:t>
      </w:r>
    </w:p>
    <w:p w:rsidR="00A25D0F" w:rsidRPr="0001674D" w:rsidRDefault="00A25D0F" w:rsidP="00C95943">
      <w:pPr>
        <w:spacing w:after="120"/>
        <w:contextualSpacing/>
        <w:rPr>
          <w:rFonts w:ascii="Times New Roman" w:hAnsi="Times New Roman"/>
          <w:sz w:val="24"/>
          <w:szCs w:val="24"/>
        </w:rPr>
      </w:pPr>
    </w:p>
    <w:p w:rsidR="00A25D0F" w:rsidRPr="0001674D" w:rsidRDefault="00A25D0F" w:rsidP="00C95943">
      <w:pPr>
        <w:spacing w:after="120"/>
        <w:contextualSpacing/>
        <w:rPr>
          <w:rFonts w:ascii="Times New Roman" w:hAnsi="Times New Roman"/>
          <w:sz w:val="24"/>
          <w:szCs w:val="24"/>
        </w:rPr>
      </w:pPr>
      <w:r w:rsidRPr="0001674D">
        <w:rPr>
          <w:rFonts w:ascii="Times New Roman" w:hAnsi="Times New Roman"/>
          <w:sz w:val="24"/>
          <w:szCs w:val="24"/>
        </w:rPr>
        <w:t>Universal services will be available to all clients at no cost and will include:</w:t>
      </w:r>
    </w:p>
    <w:p w:rsidR="00A25D0F" w:rsidRPr="0001674D" w:rsidRDefault="00A25D0F" w:rsidP="00C95943">
      <w:pPr>
        <w:pStyle w:val="ListParagraph"/>
        <w:numPr>
          <w:ilvl w:val="0"/>
          <w:numId w:val="5"/>
        </w:numPr>
        <w:spacing w:after="120"/>
        <w:rPr>
          <w:rFonts w:cs="Times New Roman"/>
          <w:szCs w:val="24"/>
        </w:rPr>
      </w:pPr>
      <w:r w:rsidRPr="0001674D">
        <w:rPr>
          <w:rFonts w:cs="Times New Roman"/>
          <w:szCs w:val="24"/>
        </w:rPr>
        <w:t>marketing, information and advice about Australian apprenticeships</w:t>
      </w:r>
      <w:r w:rsidR="00C3411C">
        <w:rPr>
          <w:rFonts w:cs="Times New Roman"/>
          <w:szCs w:val="24"/>
        </w:rPr>
        <w:t>;</w:t>
      </w:r>
    </w:p>
    <w:p w:rsidR="00A25D0F" w:rsidRPr="0001674D" w:rsidRDefault="00A25D0F" w:rsidP="00C95943">
      <w:pPr>
        <w:pStyle w:val="ListParagraph"/>
        <w:numPr>
          <w:ilvl w:val="0"/>
          <w:numId w:val="5"/>
        </w:numPr>
        <w:spacing w:after="120"/>
        <w:rPr>
          <w:rFonts w:cs="Times New Roman"/>
          <w:szCs w:val="24"/>
        </w:rPr>
      </w:pPr>
      <w:r w:rsidRPr="0001674D">
        <w:rPr>
          <w:rFonts w:cs="Times New Roman"/>
          <w:szCs w:val="24"/>
        </w:rPr>
        <w:t>training, contract sign-up and administration</w:t>
      </w:r>
      <w:r w:rsidR="00C3411C">
        <w:rPr>
          <w:rFonts w:cs="Times New Roman"/>
          <w:szCs w:val="24"/>
        </w:rPr>
        <w:t>;</w:t>
      </w:r>
    </w:p>
    <w:p w:rsidR="00A25D0F" w:rsidRPr="0001674D" w:rsidRDefault="00A25D0F" w:rsidP="00C95943">
      <w:pPr>
        <w:pStyle w:val="ListParagraph"/>
        <w:numPr>
          <w:ilvl w:val="0"/>
          <w:numId w:val="5"/>
        </w:numPr>
        <w:spacing w:after="120"/>
        <w:rPr>
          <w:rFonts w:cs="Times New Roman"/>
          <w:szCs w:val="24"/>
        </w:rPr>
      </w:pPr>
      <w:r w:rsidRPr="0001674D">
        <w:rPr>
          <w:rFonts w:cs="Times New Roman"/>
          <w:szCs w:val="24"/>
        </w:rPr>
        <w:t>eligibility assessments for the Australian Apprenticeships Incentives Pr</w:t>
      </w:r>
      <w:r w:rsidR="00C3411C">
        <w:rPr>
          <w:rFonts w:cs="Times New Roman"/>
          <w:szCs w:val="24"/>
        </w:rPr>
        <w:t xml:space="preserve">ogramme and Trade Support Loans; </w:t>
      </w:r>
    </w:p>
    <w:p w:rsidR="00A25D0F" w:rsidRPr="0001674D" w:rsidRDefault="00A25D0F" w:rsidP="00C95943">
      <w:pPr>
        <w:pStyle w:val="ListParagraph"/>
        <w:numPr>
          <w:ilvl w:val="0"/>
          <w:numId w:val="5"/>
        </w:numPr>
        <w:spacing w:after="120"/>
        <w:rPr>
          <w:rFonts w:cs="Times New Roman"/>
          <w:szCs w:val="24"/>
        </w:rPr>
      </w:pPr>
      <w:r w:rsidRPr="0001674D">
        <w:rPr>
          <w:rFonts w:cs="Times New Roman"/>
          <w:szCs w:val="24"/>
        </w:rPr>
        <w:t>client progress contacts and visits for the duration of the training contract and payment of incentives and loans</w:t>
      </w:r>
      <w:r w:rsidR="00C3411C">
        <w:rPr>
          <w:rFonts w:cs="Times New Roman"/>
          <w:szCs w:val="24"/>
        </w:rPr>
        <w:t>; and</w:t>
      </w:r>
      <w:r w:rsidRPr="0001674D">
        <w:rPr>
          <w:rFonts w:cs="Times New Roman"/>
          <w:szCs w:val="24"/>
        </w:rPr>
        <w:t xml:space="preserve"> </w:t>
      </w:r>
    </w:p>
    <w:p w:rsidR="00A25D0F" w:rsidRPr="0001674D" w:rsidRDefault="00A25D0F" w:rsidP="00C95943">
      <w:pPr>
        <w:pStyle w:val="ListParagraph"/>
        <w:numPr>
          <w:ilvl w:val="0"/>
          <w:numId w:val="5"/>
        </w:numPr>
        <w:rPr>
          <w:rFonts w:cs="Times New Roman"/>
          <w:szCs w:val="24"/>
        </w:rPr>
      </w:pPr>
      <w:r w:rsidRPr="0001674D">
        <w:rPr>
          <w:rFonts w:cs="Times New Roman"/>
          <w:szCs w:val="24"/>
        </w:rPr>
        <w:t>engagement with State Training Authorities through the apprenticeship lifecycle.</w:t>
      </w:r>
    </w:p>
    <w:p w:rsidR="00A25D0F" w:rsidRPr="0001674D" w:rsidRDefault="00A25D0F" w:rsidP="00C95943">
      <w:pPr>
        <w:contextualSpacing/>
        <w:rPr>
          <w:rFonts w:ascii="Times New Roman" w:hAnsi="Times New Roman"/>
          <w:sz w:val="24"/>
          <w:szCs w:val="24"/>
        </w:rPr>
      </w:pPr>
    </w:p>
    <w:p w:rsidR="00A25D0F" w:rsidRPr="0001674D" w:rsidRDefault="00A25D0F" w:rsidP="00C95943">
      <w:pPr>
        <w:spacing w:after="120"/>
        <w:contextualSpacing/>
        <w:rPr>
          <w:rFonts w:ascii="Times New Roman" w:hAnsi="Times New Roman"/>
          <w:sz w:val="24"/>
          <w:szCs w:val="24"/>
        </w:rPr>
      </w:pPr>
      <w:r w:rsidRPr="0001674D">
        <w:rPr>
          <w:rFonts w:ascii="Times New Roman" w:hAnsi="Times New Roman"/>
          <w:sz w:val="24"/>
          <w:szCs w:val="24"/>
        </w:rPr>
        <w:t>As part of universal services delivery, AASN providers are expected to maintain ongoing and regular engagement with apprentices and their employers to ensure the apprenticeship arrangement is operating effectively from sign-up to completion.</w:t>
      </w:r>
    </w:p>
    <w:p w:rsidR="00A25D0F" w:rsidRPr="0001674D" w:rsidRDefault="00A25D0F" w:rsidP="00C95943">
      <w:pPr>
        <w:spacing w:after="120"/>
        <w:contextualSpacing/>
        <w:rPr>
          <w:rFonts w:ascii="Times New Roman" w:hAnsi="Times New Roman"/>
          <w:sz w:val="24"/>
          <w:szCs w:val="24"/>
        </w:rPr>
      </w:pPr>
    </w:p>
    <w:p w:rsidR="00A25D0F" w:rsidRPr="0001674D" w:rsidRDefault="00A25D0F" w:rsidP="00C95943">
      <w:pPr>
        <w:spacing w:after="120"/>
        <w:contextualSpacing/>
        <w:rPr>
          <w:rFonts w:ascii="Times New Roman" w:hAnsi="Times New Roman"/>
          <w:sz w:val="24"/>
          <w:szCs w:val="24"/>
        </w:rPr>
      </w:pPr>
      <w:r w:rsidRPr="0001674D">
        <w:rPr>
          <w:rFonts w:ascii="Times New Roman" w:hAnsi="Times New Roman"/>
          <w:sz w:val="24"/>
          <w:szCs w:val="24"/>
        </w:rPr>
        <w:t xml:space="preserve">Targeted services have been designed to complement universal servicing where there is a need for additional support to apprentices and their employers with the overarching aim of improving completion rates.  Targeted services comprise </w:t>
      </w:r>
      <w:r w:rsidR="00C3411C">
        <w:rPr>
          <w:rFonts w:ascii="Times New Roman" w:hAnsi="Times New Roman"/>
          <w:sz w:val="24"/>
          <w:szCs w:val="24"/>
        </w:rPr>
        <w:t xml:space="preserve">two streams of service delivery, </w:t>
      </w:r>
      <w:r w:rsidRPr="0001674D">
        <w:rPr>
          <w:rFonts w:ascii="Times New Roman" w:hAnsi="Times New Roman"/>
          <w:sz w:val="24"/>
          <w:szCs w:val="24"/>
        </w:rPr>
        <w:t>gateway s</w:t>
      </w:r>
      <w:r w:rsidR="00C3411C">
        <w:rPr>
          <w:rFonts w:ascii="Times New Roman" w:hAnsi="Times New Roman"/>
          <w:sz w:val="24"/>
          <w:szCs w:val="24"/>
        </w:rPr>
        <w:t xml:space="preserve">ervices and in-training support, </w:t>
      </w:r>
      <w:r w:rsidRPr="0001674D">
        <w:rPr>
          <w:rFonts w:ascii="Times New Roman" w:hAnsi="Times New Roman"/>
          <w:sz w:val="24"/>
          <w:szCs w:val="24"/>
        </w:rPr>
        <w:t xml:space="preserve">which will be provided at no cost to clients. </w:t>
      </w:r>
    </w:p>
    <w:p w:rsidR="00A25D0F" w:rsidRPr="0001674D" w:rsidRDefault="00A25D0F" w:rsidP="00C95943">
      <w:pPr>
        <w:spacing w:after="120"/>
        <w:contextualSpacing/>
        <w:rPr>
          <w:rFonts w:ascii="Times New Roman" w:hAnsi="Times New Roman"/>
          <w:sz w:val="24"/>
          <w:szCs w:val="24"/>
        </w:rPr>
      </w:pPr>
    </w:p>
    <w:p w:rsidR="00A25D0F" w:rsidRPr="0001674D" w:rsidRDefault="00A25D0F" w:rsidP="00C95943">
      <w:pPr>
        <w:spacing w:after="120"/>
        <w:contextualSpacing/>
        <w:rPr>
          <w:rFonts w:ascii="Times New Roman" w:hAnsi="Times New Roman"/>
          <w:sz w:val="24"/>
          <w:szCs w:val="24"/>
        </w:rPr>
      </w:pPr>
      <w:r w:rsidRPr="0001674D">
        <w:rPr>
          <w:rFonts w:ascii="Times New Roman" w:hAnsi="Times New Roman"/>
          <w:sz w:val="24"/>
          <w:szCs w:val="24"/>
        </w:rPr>
        <w:t xml:space="preserve">Gateway services will provide customised pre-commencement services to individuals and employers seeking assistance to find the “right fit” apprenticeship or apprentice.  These services also will assist individuals who require additional foundation skills or training prior to commencing an apprenticeship to identify an appropriate up-skilling pathway.  In addition, gateway services will provide individuals interested in undertaking non-apprenticeship VET pathways with advice and guidance on options available to them.  </w:t>
      </w:r>
    </w:p>
    <w:p w:rsidR="00A25D0F" w:rsidRPr="0001674D" w:rsidRDefault="00A25D0F" w:rsidP="00C95943">
      <w:pPr>
        <w:spacing w:after="120"/>
        <w:contextualSpacing/>
        <w:rPr>
          <w:rFonts w:ascii="Times New Roman" w:hAnsi="Times New Roman"/>
          <w:sz w:val="24"/>
          <w:szCs w:val="24"/>
        </w:rPr>
      </w:pPr>
    </w:p>
    <w:p w:rsidR="00A25D0F" w:rsidRPr="0001674D" w:rsidRDefault="00A25D0F" w:rsidP="00C95943">
      <w:pPr>
        <w:spacing w:after="120"/>
        <w:contextualSpacing/>
        <w:rPr>
          <w:rFonts w:ascii="Times New Roman" w:hAnsi="Times New Roman"/>
          <w:sz w:val="24"/>
          <w:szCs w:val="24"/>
        </w:rPr>
      </w:pPr>
      <w:r w:rsidRPr="0001674D">
        <w:rPr>
          <w:rFonts w:ascii="Times New Roman" w:hAnsi="Times New Roman"/>
          <w:sz w:val="24"/>
          <w:szCs w:val="24"/>
        </w:rPr>
        <w:t>In-training support will comprise tailored services such as mentoring for individuals assessed as being at high-risk of non-completion.  Services also can be made available to employers who may be facing difficulties retaining an apprentice in training.</w:t>
      </w:r>
    </w:p>
    <w:p w:rsidR="00A25D0F" w:rsidRPr="0001674D" w:rsidRDefault="00A25D0F" w:rsidP="00C95943">
      <w:pPr>
        <w:spacing w:after="120"/>
        <w:contextualSpacing/>
        <w:rPr>
          <w:rFonts w:ascii="Times New Roman" w:eastAsia="Times New Roman" w:hAnsi="Times New Roman"/>
          <w:color w:val="000000" w:themeColor="text1"/>
          <w:sz w:val="24"/>
          <w:szCs w:val="24"/>
        </w:rPr>
      </w:pPr>
    </w:p>
    <w:p w:rsidR="00A25D0F" w:rsidRPr="0001674D" w:rsidRDefault="00A25D0F" w:rsidP="00C95943">
      <w:pPr>
        <w:spacing w:after="120"/>
        <w:contextualSpacing/>
        <w:rPr>
          <w:rFonts w:ascii="Times New Roman" w:hAnsi="Times New Roman"/>
          <w:color w:val="000000"/>
          <w:sz w:val="24"/>
          <w:szCs w:val="24"/>
        </w:rPr>
      </w:pPr>
      <w:r w:rsidRPr="0001674D">
        <w:rPr>
          <w:rFonts w:ascii="Times New Roman" w:hAnsi="Times New Roman"/>
          <w:color w:val="000000"/>
          <w:sz w:val="24"/>
          <w:szCs w:val="24"/>
        </w:rPr>
        <w:t>AASN providers we</w:t>
      </w:r>
      <w:r w:rsidR="00C3411C">
        <w:rPr>
          <w:rFonts w:ascii="Times New Roman" w:hAnsi="Times New Roman"/>
          <w:color w:val="000000"/>
          <w:sz w:val="24"/>
          <w:szCs w:val="24"/>
        </w:rPr>
        <w:t>re selected through a national r</w:t>
      </w:r>
      <w:r w:rsidRPr="0001674D">
        <w:rPr>
          <w:rFonts w:ascii="Times New Roman" w:hAnsi="Times New Roman"/>
          <w:color w:val="000000"/>
          <w:sz w:val="24"/>
          <w:szCs w:val="24"/>
        </w:rPr>
        <w:t xml:space="preserve">equest for </w:t>
      </w:r>
      <w:r w:rsidR="00C3411C">
        <w:rPr>
          <w:rFonts w:ascii="Times New Roman" w:hAnsi="Times New Roman"/>
          <w:color w:val="000000"/>
          <w:sz w:val="24"/>
          <w:szCs w:val="24"/>
        </w:rPr>
        <w:t>t</w:t>
      </w:r>
      <w:r w:rsidRPr="0001674D">
        <w:rPr>
          <w:rFonts w:ascii="Times New Roman" w:hAnsi="Times New Roman"/>
          <w:color w:val="000000"/>
          <w:sz w:val="24"/>
          <w:szCs w:val="24"/>
        </w:rPr>
        <w:t xml:space="preserve">ender process undertaken by the Department of Education and Training.  In line with the </w:t>
      </w:r>
      <w:r w:rsidRPr="0001674D">
        <w:rPr>
          <w:rFonts w:ascii="Times New Roman" w:hAnsi="Times New Roman"/>
          <w:i/>
          <w:color w:val="000000"/>
          <w:sz w:val="24"/>
          <w:szCs w:val="24"/>
        </w:rPr>
        <w:t>Commonwealth Procurement Rules</w:t>
      </w:r>
      <w:r w:rsidRPr="0001674D">
        <w:rPr>
          <w:rFonts w:ascii="Times New Roman" w:hAnsi="Times New Roman"/>
          <w:color w:val="000000"/>
          <w:sz w:val="24"/>
          <w:szCs w:val="24"/>
        </w:rPr>
        <w:t>, merit review mechanisms built in to the tender process included the appointment of an external, independent probity adviser and a multi-phase tender assessment process incorporating registration and compliance, initial assessment, re-assessment, value for money assessment and final review by a Tender Management Committee.  The decision to engage successful tenderers was taken by the delegate within the Department.  Successful providers are contracted for a period of three years from 1 July 2015, with an option to extend for up to a further three years.</w:t>
      </w:r>
      <w:r w:rsidRPr="0001674D">
        <w:rPr>
          <w:rFonts w:ascii="Times New Roman" w:hAnsi="Times New Roman"/>
          <w:color w:val="000000"/>
          <w:sz w:val="24"/>
          <w:szCs w:val="24"/>
          <w:highlight w:val="yellow"/>
        </w:rPr>
        <w:t xml:space="preserve"> </w:t>
      </w:r>
    </w:p>
    <w:p w:rsidR="00A25D0F" w:rsidRPr="0001674D" w:rsidRDefault="00A25D0F" w:rsidP="00C95943">
      <w:pPr>
        <w:spacing w:after="120"/>
        <w:contextualSpacing/>
        <w:rPr>
          <w:rFonts w:ascii="Times New Roman" w:hAnsi="Times New Roman"/>
          <w:color w:val="000000"/>
          <w:sz w:val="24"/>
          <w:szCs w:val="24"/>
        </w:rPr>
      </w:pPr>
    </w:p>
    <w:p w:rsidR="00A25D0F" w:rsidRPr="0001674D" w:rsidRDefault="00A25D0F" w:rsidP="00C95943">
      <w:pPr>
        <w:spacing w:after="120"/>
        <w:contextualSpacing/>
        <w:rPr>
          <w:rFonts w:ascii="Times New Roman" w:hAnsi="Times New Roman"/>
          <w:color w:val="000000"/>
          <w:sz w:val="24"/>
          <w:szCs w:val="24"/>
        </w:rPr>
      </w:pPr>
      <w:r w:rsidRPr="0001674D">
        <w:rPr>
          <w:rFonts w:ascii="Times New Roman" w:hAnsi="Times New Roman"/>
          <w:color w:val="000000"/>
          <w:sz w:val="24"/>
          <w:szCs w:val="24"/>
        </w:rPr>
        <w:t xml:space="preserve">As part of their </w:t>
      </w:r>
      <w:r w:rsidR="00C3411C">
        <w:rPr>
          <w:rFonts w:ascii="Times New Roman" w:hAnsi="Times New Roman"/>
          <w:color w:val="000000"/>
          <w:sz w:val="24"/>
          <w:szCs w:val="24"/>
        </w:rPr>
        <w:t>contractual</w:t>
      </w:r>
      <w:r w:rsidRPr="0001674D">
        <w:rPr>
          <w:rFonts w:ascii="Times New Roman" w:hAnsi="Times New Roman"/>
          <w:color w:val="000000"/>
          <w:sz w:val="24"/>
          <w:szCs w:val="24"/>
        </w:rPr>
        <w:t xml:space="preserve"> arrangements, AASN providers must have in place complaints resolution processes, including maintenance of a complaints and response register, to deal fairly with complaints.  If clients are not satisfied with the handling of their complaint, escalation processes are available.  Apprentices, employers and</w:t>
      </w:r>
      <w:r w:rsidR="00C3411C">
        <w:rPr>
          <w:rFonts w:ascii="Times New Roman" w:hAnsi="Times New Roman"/>
          <w:color w:val="000000"/>
          <w:sz w:val="24"/>
          <w:szCs w:val="24"/>
        </w:rPr>
        <w:t xml:space="preserve"> </w:t>
      </w:r>
      <w:r w:rsidRPr="0001674D">
        <w:rPr>
          <w:rFonts w:ascii="Times New Roman" w:hAnsi="Times New Roman"/>
          <w:color w:val="000000"/>
          <w:sz w:val="24"/>
          <w:szCs w:val="24"/>
        </w:rPr>
        <w:t>any other interested parties that wish to complain, query or provide feedback on services received may call the Australian Apprenticeships Referral Line.  The Department will provide information, investigate the concerns of callers and take action to resolve them.  Matters raised could include</w:t>
      </w:r>
      <w:r w:rsidR="00C3411C">
        <w:rPr>
          <w:rFonts w:ascii="Times New Roman" w:hAnsi="Times New Roman"/>
          <w:color w:val="000000"/>
          <w:sz w:val="24"/>
          <w:szCs w:val="24"/>
        </w:rPr>
        <w:t xml:space="preserve"> breaches of the AASN provider c</w:t>
      </w:r>
      <w:r w:rsidRPr="0001674D">
        <w:rPr>
          <w:rFonts w:ascii="Times New Roman" w:hAnsi="Times New Roman"/>
          <w:color w:val="000000"/>
          <w:sz w:val="24"/>
          <w:szCs w:val="24"/>
        </w:rPr>
        <w:t xml:space="preserve">ode of </w:t>
      </w:r>
      <w:r w:rsidR="00C3411C">
        <w:rPr>
          <w:rFonts w:ascii="Times New Roman" w:hAnsi="Times New Roman"/>
          <w:color w:val="000000"/>
          <w:sz w:val="24"/>
          <w:szCs w:val="24"/>
        </w:rPr>
        <w:t>c</w:t>
      </w:r>
      <w:r w:rsidRPr="0001674D">
        <w:rPr>
          <w:rFonts w:ascii="Times New Roman" w:hAnsi="Times New Roman"/>
          <w:color w:val="000000"/>
          <w:sz w:val="24"/>
          <w:szCs w:val="24"/>
        </w:rPr>
        <w:t>onduct</w:t>
      </w:r>
      <w:r w:rsidR="00C3411C">
        <w:rPr>
          <w:rFonts w:ascii="Times New Roman" w:hAnsi="Times New Roman"/>
          <w:color w:val="000000"/>
          <w:sz w:val="24"/>
          <w:szCs w:val="24"/>
        </w:rPr>
        <w:t>,</w:t>
      </w:r>
      <w:r w:rsidRPr="0001674D">
        <w:rPr>
          <w:rFonts w:ascii="Times New Roman" w:hAnsi="Times New Roman"/>
          <w:color w:val="000000"/>
          <w:sz w:val="24"/>
          <w:szCs w:val="24"/>
        </w:rPr>
        <w:t xml:space="preserve"> issues relating to the quality of services</w:t>
      </w:r>
      <w:r w:rsidR="00C3411C">
        <w:rPr>
          <w:rFonts w:ascii="Times New Roman" w:hAnsi="Times New Roman"/>
          <w:color w:val="000000"/>
          <w:sz w:val="24"/>
          <w:szCs w:val="24"/>
        </w:rPr>
        <w:t>,</w:t>
      </w:r>
      <w:r w:rsidRPr="0001674D">
        <w:rPr>
          <w:rFonts w:ascii="Times New Roman" w:hAnsi="Times New Roman"/>
          <w:color w:val="000000"/>
          <w:sz w:val="24"/>
          <w:szCs w:val="24"/>
        </w:rPr>
        <w:t xml:space="preserve"> or issues relating to conflicts of interest.</w:t>
      </w:r>
    </w:p>
    <w:p w:rsidR="00A25D0F" w:rsidRPr="0001674D" w:rsidRDefault="00A25D0F" w:rsidP="00C95943">
      <w:pPr>
        <w:spacing w:after="120"/>
        <w:contextualSpacing/>
        <w:rPr>
          <w:rFonts w:ascii="Times New Roman" w:eastAsia="Times New Roman" w:hAnsi="Times New Roman"/>
          <w:color w:val="000000"/>
          <w:sz w:val="24"/>
          <w:szCs w:val="24"/>
        </w:rPr>
      </w:pPr>
    </w:p>
    <w:p w:rsidR="00A25D0F" w:rsidRPr="0001674D" w:rsidRDefault="00A25D0F" w:rsidP="00C95943">
      <w:pPr>
        <w:spacing w:after="120"/>
        <w:contextualSpacing/>
        <w:rPr>
          <w:rFonts w:ascii="Times New Roman" w:hAnsi="Times New Roman"/>
          <w:sz w:val="24"/>
          <w:szCs w:val="24"/>
        </w:rPr>
      </w:pPr>
      <w:r w:rsidRPr="0001674D">
        <w:rPr>
          <w:rFonts w:ascii="Times New Roman" w:eastAsia="Times New Roman" w:hAnsi="Times New Roman"/>
          <w:color w:val="000000"/>
          <w:sz w:val="24"/>
          <w:szCs w:val="24"/>
        </w:rPr>
        <w:t xml:space="preserve">Apprenticeship Network provider performance will be managed through a comprehensive performance management framework, which will include monitoring and measurement of key performance indicators, quantitative and qualitative assessment of service delivery and regular auditing.  Providers will be required to report quarterly to the Department and mechanisms will be in place to manage underperformance, including the option to withhold full payment should agreed service benchmarks for particular services not be met.  </w:t>
      </w:r>
      <w:r w:rsidRPr="0001674D">
        <w:rPr>
          <w:rFonts w:ascii="Times New Roman" w:hAnsi="Times New Roman"/>
          <w:sz w:val="24"/>
          <w:szCs w:val="24"/>
        </w:rPr>
        <w:t>Further information about the AASN is available from the VET Reform website (http://www.vetreform.industry.gov.au/).</w:t>
      </w:r>
    </w:p>
    <w:p w:rsidR="00A25D0F" w:rsidRPr="0001674D" w:rsidRDefault="00A25D0F" w:rsidP="00C95943">
      <w:pPr>
        <w:spacing w:after="120"/>
        <w:contextualSpacing/>
        <w:rPr>
          <w:rFonts w:ascii="Times New Roman" w:hAnsi="Times New Roman"/>
          <w:sz w:val="24"/>
          <w:szCs w:val="24"/>
        </w:rPr>
      </w:pPr>
    </w:p>
    <w:p w:rsidR="00A25D0F" w:rsidRPr="0001674D" w:rsidRDefault="00A25D0F" w:rsidP="00C95943">
      <w:pPr>
        <w:spacing w:after="120"/>
        <w:contextualSpacing/>
        <w:rPr>
          <w:rFonts w:ascii="Times New Roman" w:eastAsia="Times New Roman" w:hAnsi="Times New Roman"/>
          <w:color w:val="000000" w:themeColor="text1"/>
          <w:sz w:val="24"/>
          <w:szCs w:val="24"/>
        </w:rPr>
      </w:pPr>
      <w:r w:rsidRPr="0001674D">
        <w:rPr>
          <w:rFonts w:ascii="Times New Roman" w:eastAsia="Times New Roman" w:hAnsi="Times New Roman"/>
          <w:color w:val="000000" w:themeColor="text1"/>
          <w:sz w:val="24"/>
          <w:szCs w:val="24"/>
        </w:rPr>
        <w:t>Funding will come from Programme 2.8: Building Skills and Capability, Sub</w:t>
      </w:r>
      <w:r w:rsidRPr="0001674D">
        <w:rPr>
          <w:rFonts w:ascii="Times New Roman" w:eastAsia="Times New Roman" w:hAnsi="Times New Roman"/>
          <w:color w:val="000000" w:themeColor="text1"/>
          <w:sz w:val="24"/>
          <w:szCs w:val="24"/>
        </w:rPr>
        <w:noBreakHyphen/>
        <w:t>programme 2.8.2: Skills Development.  Programme 2.8 is part of Outcome 2: Promote growth in economic productivity and social wellbeing through access to quality higher education, international education, and international quality research, skills and training.  Details are set out in</w:t>
      </w:r>
      <w:r w:rsidR="00C3411C">
        <w:rPr>
          <w:rFonts w:ascii="Times New Roman" w:eastAsia="Times New Roman" w:hAnsi="Times New Roman"/>
          <w:color w:val="000000" w:themeColor="text1"/>
          <w:sz w:val="24"/>
          <w:szCs w:val="24"/>
        </w:rPr>
        <w:t xml:space="preserve"> the</w:t>
      </w:r>
      <w:r w:rsidRPr="0001674D">
        <w:rPr>
          <w:rFonts w:ascii="Times New Roman" w:eastAsia="Times New Roman" w:hAnsi="Times New Roman"/>
          <w:color w:val="000000" w:themeColor="text1"/>
          <w:sz w:val="24"/>
          <w:szCs w:val="24"/>
        </w:rPr>
        <w:t xml:space="preserve"> </w:t>
      </w:r>
      <w:r w:rsidRPr="0001674D">
        <w:rPr>
          <w:rFonts w:ascii="Times New Roman" w:hAnsi="Times New Roman"/>
          <w:i/>
          <w:sz w:val="24"/>
          <w:szCs w:val="24"/>
        </w:rPr>
        <w:t xml:space="preserve">Portfolio Budget Statements 2015-16, Budget Related Paper No.1.5, Education and Training Portfolio </w:t>
      </w:r>
      <w:r w:rsidRPr="0001674D">
        <w:rPr>
          <w:rFonts w:ascii="Times New Roman" w:hAnsi="Times New Roman"/>
          <w:sz w:val="24"/>
          <w:szCs w:val="24"/>
        </w:rPr>
        <w:t xml:space="preserve">at page 61.   </w:t>
      </w:r>
    </w:p>
    <w:p w:rsidR="008F20AC" w:rsidRDefault="008F20AC" w:rsidP="00C95943">
      <w:pPr>
        <w:contextualSpacing/>
        <w:rPr>
          <w:rFonts w:ascii="Times New Roman" w:hAnsi="Times New Roman"/>
          <w:sz w:val="24"/>
          <w:szCs w:val="24"/>
        </w:rPr>
      </w:pPr>
    </w:p>
    <w:p w:rsidR="008F20AC" w:rsidRDefault="008F20AC">
      <w:pPr>
        <w:spacing w:after="200" w:line="276" w:lineRule="auto"/>
        <w:rPr>
          <w:rFonts w:ascii="Times New Roman" w:hAnsi="Times New Roman"/>
          <w:sz w:val="24"/>
          <w:szCs w:val="24"/>
        </w:rPr>
      </w:pPr>
      <w:r>
        <w:rPr>
          <w:rFonts w:ascii="Times New Roman" w:hAnsi="Times New Roman"/>
          <w:sz w:val="24"/>
          <w:szCs w:val="24"/>
        </w:rPr>
        <w:br w:type="page"/>
      </w:r>
    </w:p>
    <w:p w:rsidR="00A25D0F" w:rsidRPr="0001674D" w:rsidRDefault="00A25D0F" w:rsidP="00C95943">
      <w:pPr>
        <w:contextualSpacing/>
        <w:rPr>
          <w:rFonts w:ascii="Times New Roman" w:hAnsi="Times New Roman"/>
          <w:sz w:val="24"/>
          <w:szCs w:val="24"/>
        </w:rPr>
      </w:pPr>
      <w:r w:rsidRPr="0001674D">
        <w:rPr>
          <w:rFonts w:ascii="Times New Roman" w:hAnsi="Times New Roman"/>
          <w:sz w:val="24"/>
          <w:szCs w:val="24"/>
        </w:rPr>
        <w:t>Noting that this is not a comprehensive statement of relevant constitutional considerations, the objective of the item references the following powers of the Constitution:</w:t>
      </w:r>
    </w:p>
    <w:p w:rsidR="00A25D0F" w:rsidRPr="0001674D" w:rsidRDefault="00A25D0F" w:rsidP="00C95943">
      <w:pPr>
        <w:pStyle w:val="ListParagraph"/>
        <w:numPr>
          <w:ilvl w:val="0"/>
          <w:numId w:val="4"/>
        </w:numPr>
        <w:rPr>
          <w:rFonts w:cs="Times New Roman"/>
          <w:szCs w:val="24"/>
        </w:rPr>
      </w:pPr>
      <w:r w:rsidRPr="0001674D">
        <w:rPr>
          <w:rFonts w:cs="Times New Roman"/>
          <w:szCs w:val="24"/>
        </w:rPr>
        <w:t>the social welfare power (section 51(xxiiiA)); and</w:t>
      </w:r>
    </w:p>
    <w:p w:rsidR="00A25D0F" w:rsidRPr="0001674D" w:rsidRDefault="00A25D0F" w:rsidP="00C95943">
      <w:pPr>
        <w:pStyle w:val="ListParagraph"/>
        <w:numPr>
          <w:ilvl w:val="0"/>
          <w:numId w:val="4"/>
        </w:numPr>
        <w:rPr>
          <w:rFonts w:cs="Times New Roman"/>
          <w:szCs w:val="24"/>
        </w:rPr>
      </w:pPr>
      <w:r w:rsidRPr="0001674D">
        <w:rPr>
          <w:rFonts w:cs="Times New Roman"/>
          <w:szCs w:val="24"/>
        </w:rPr>
        <w:t>the external affairs power (section 51(xxix)).</w:t>
      </w:r>
    </w:p>
    <w:p w:rsidR="00117857" w:rsidRPr="0001674D" w:rsidRDefault="00117857" w:rsidP="00C95943">
      <w:pPr>
        <w:contextualSpacing/>
        <w:rPr>
          <w:rFonts w:ascii="Times New Roman" w:eastAsia="Times New Roman" w:hAnsi="Times New Roman"/>
          <w:color w:val="000000" w:themeColor="text1"/>
          <w:sz w:val="24"/>
          <w:szCs w:val="24"/>
        </w:rPr>
      </w:pPr>
    </w:p>
    <w:p w:rsidR="00A25D0F" w:rsidRPr="0001674D" w:rsidRDefault="00A25D0F" w:rsidP="00C95943">
      <w:pPr>
        <w:spacing w:after="120"/>
        <w:ind w:right="91"/>
        <w:contextualSpacing/>
        <w:rPr>
          <w:rFonts w:ascii="Times New Roman" w:hAnsi="Times New Roman"/>
          <w:iCs/>
          <w:sz w:val="24"/>
          <w:szCs w:val="24"/>
        </w:rPr>
      </w:pPr>
      <w:r w:rsidRPr="0001674D">
        <w:rPr>
          <w:rFonts w:ascii="Times New Roman" w:hAnsi="Times New Roman"/>
          <w:color w:val="000000" w:themeColor="text1"/>
          <w:sz w:val="24"/>
          <w:szCs w:val="24"/>
        </w:rPr>
        <w:t xml:space="preserve">New </w:t>
      </w:r>
      <w:r w:rsidRPr="0001674D">
        <w:rPr>
          <w:rFonts w:ascii="Times New Roman" w:hAnsi="Times New Roman"/>
          <w:b/>
          <w:color w:val="000000" w:themeColor="text1"/>
          <w:sz w:val="24"/>
          <w:szCs w:val="24"/>
        </w:rPr>
        <w:t>table item 86</w:t>
      </w:r>
      <w:r w:rsidRPr="0001674D">
        <w:rPr>
          <w:rFonts w:ascii="Times New Roman" w:hAnsi="Times New Roman"/>
          <w:color w:val="000000" w:themeColor="text1"/>
          <w:sz w:val="24"/>
          <w:szCs w:val="24"/>
        </w:rPr>
        <w:t xml:space="preserve"> </w:t>
      </w:r>
      <w:r w:rsidR="00861515" w:rsidRPr="0001674D">
        <w:rPr>
          <w:rFonts w:ascii="Times New Roman" w:eastAsia="Times New Roman" w:hAnsi="Times New Roman"/>
          <w:color w:val="000000" w:themeColor="text1"/>
          <w:sz w:val="24"/>
          <w:szCs w:val="24"/>
        </w:rPr>
        <w:t xml:space="preserve">establishes </w:t>
      </w:r>
      <w:r w:rsidRPr="0001674D">
        <w:rPr>
          <w:rFonts w:ascii="Times New Roman" w:eastAsia="Times New Roman" w:hAnsi="Times New Roman"/>
          <w:color w:val="000000" w:themeColor="text1"/>
          <w:sz w:val="24"/>
          <w:szCs w:val="24"/>
        </w:rPr>
        <w:t>legislative authority for the Government to support land transport infrastructure projects by providing loans to support project delivery</w:t>
      </w:r>
      <w:r w:rsidRPr="0001674D">
        <w:rPr>
          <w:rFonts w:ascii="Times New Roman" w:hAnsi="Times New Roman"/>
          <w:iCs/>
          <w:sz w:val="24"/>
          <w:szCs w:val="24"/>
        </w:rPr>
        <w:t>.  The item will be administered by the Department of Infrastructure and Regional Development.</w:t>
      </w:r>
    </w:p>
    <w:p w:rsidR="00A25D0F" w:rsidRPr="0001674D" w:rsidRDefault="00A25D0F" w:rsidP="00C95943">
      <w:pPr>
        <w:spacing w:after="120"/>
        <w:ind w:right="91"/>
        <w:contextualSpacing/>
        <w:rPr>
          <w:rFonts w:ascii="Times New Roman" w:hAnsi="Times New Roman"/>
          <w:iCs/>
          <w:sz w:val="24"/>
          <w:szCs w:val="24"/>
        </w:rPr>
      </w:pPr>
    </w:p>
    <w:p w:rsidR="00A25D0F" w:rsidRPr="0001674D" w:rsidRDefault="00A25D0F" w:rsidP="00C95943">
      <w:pPr>
        <w:spacing w:after="120"/>
        <w:ind w:right="91"/>
        <w:contextualSpacing/>
        <w:rPr>
          <w:rFonts w:ascii="Times New Roman" w:hAnsi="Times New Roman"/>
          <w:iCs/>
          <w:sz w:val="24"/>
          <w:szCs w:val="24"/>
        </w:rPr>
      </w:pPr>
      <w:r w:rsidRPr="0001674D">
        <w:rPr>
          <w:rFonts w:ascii="Times New Roman" w:hAnsi="Times New Roman"/>
          <w:iCs/>
          <w:sz w:val="24"/>
          <w:szCs w:val="24"/>
        </w:rPr>
        <w:t xml:space="preserve">The Government outlined its intention to use alternative financing arrangements, such as providing funds for the making of loans, in the </w:t>
      </w:r>
      <w:r w:rsidRPr="0001674D">
        <w:rPr>
          <w:rFonts w:ascii="Times New Roman" w:hAnsi="Times New Roman"/>
          <w:sz w:val="24"/>
          <w:szCs w:val="24"/>
        </w:rPr>
        <w:t xml:space="preserve">2014-15 Budget </w:t>
      </w:r>
      <w:r w:rsidR="00C3411C">
        <w:rPr>
          <w:rFonts w:ascii="Times New Roman" w:hAnsi="Times New Roman"/>
          <w:sz w:val="24"/>
          <w:szCs w:val="24"/>
        </w:rPr>
        <w:t>(</w:t>
      </w:r>
      <w:r w:rsidRPr="0001674D">
        <w:rPr>
          <w:rFonts w:ascii="Times New Roman" w:hAnsi="Times New Roman"/>
          <w:i/>
          <w:sz w:val="24"/>
          <w:szCs w:val="24"/>
        </w:rPr>
        <w:t xml:space="preserve">Budget 2014-15, Building Australia’s Infrastructure </w:t>
      </w:r>
      <w:r w:rsidRPr="0001674D">
        <w:rPr>
          <w:rFonts w:ascii="Times New Roman" w:hAnsi="Times New Roman"/>
          <w:sz w:val="24"/>
          <w:szCs w:val="24"/>
        </w:rPr>
        <w:t xml:space="preserve">at page 10).  The provision of alternative financing such as loans is intended to </w:t>
      </w:r>
      <w:r w:rsidRPr="0001674D">
        <w:rPr>
          <w:rFonts w:ascii="Times New Roman" w:hAnsi="Times New Roman"/>
          <w:iCs/>
          <w:sz w:val="24"/>
          <w:szCs w:val="24"/>
        </w:rPr>
        <w:t xml:space="preserve">complement traditional grant funding and enable the Government to more effectively use its balance sheet to support Australia’s infrastructure needs.  </w:t>
      </w:r>
    </w:p>
    <w:p w:rsidR="00A25D0F" w:rsidRPr="0001674D" w:rsidRDefault="00A25D0F" w:rsidP="00C95943">
      <w:pPr>
        <w:autoSpaceDE w:val="0"/>
        <w:autoSpaceDN w:val="0"/>
        <w:adjustRightInd w:val="0"/>
        <w:spacing w:after="120"/>
        <w:contextualSpacing/>
        <w:rPr>
          <w:rFonts w:ascii="Times New Roman" w:hAnsi="Times New Roman"/>
          <w:iCs/>
          <w:sz w:val="24"/>
          <w:szCs w:val="24"/>
        </w:rPr>
      </w:pPr>
    </w:p>
    <w:p w:rsidR="00A25D0F" w:rsidRPr="0001674D" w:rsidRDefault="00A25D0F" w:rsidP="00C95943">
      <w:pPr>
        <w:autoSpaceDE w:val="0"/>
        <w:autoSpaceDN w:val="0"/>
        <w:adjustRightInd w:val="0"/>
        <w:spacing w:after="120"/>
        <w:contextualSpacing/>
        <w:rPr>
          <w:rFonts w:ascii="Times New Roman" w:hAnsi="Times New Roman"/>
          <w:iCs/>
          <w:sz w:val="24"/>
          <w:szCs w:val="24"/>
        </w:rPr>
      </w:pPr>
      <w:r w:rsidRPr="0001674D">
        <w:rPr>
          <w:rFonts w:ascii="Times New Roman" w:hAnsi="Times New Roman"/>
          <w:iCs/>
          <w:sz w:val="24"/>
          <w:szCs w:val="24"/>
        </w:rPr>
        <w:t xml:space="preserve">Decisions to provide such loans will be made by the Government.  The specific terms under which such loans </w:t>
      </w:r>
      <w:r w:rsidR="008E0F8F">
        <w:rPr>
          <w:rFonts w:ascii="Times New Roman" w:hAnsi="Times New Roman"/>
          <w:iCs/>
          <w:sz w:val="24"/>
          <w:szCs w:val="24"/>
        </w:rPr>
        <w:t>will</w:t>
      </w:r>
      <w:r w:rsidRPr="0001674D">
        <w:rPr>
          <w:rFonts w:ascii="Times New Roman" w:hAnsi="Times New Roman"/>
          <w:iCs/>
          <w:sz w:val="24"/>
          <w:szCs w:val="24"/>
        </w:rPr>
        <w:t xml:space="preserve"> be provided will be negotiated between the proponent and the Commonwealth.  These agreements will form part of broader commercial transactions and while the detailed agreements will not be publicly available, high-level information on the agreements will be publicly announced.  </w:t>
      </w:r>
    </w:p>
    <w:p w:rsidR="00A25D0F" w:rsidRPr="0001674D" w:rsidRDefault="00A25D0F" w:rsidP="00C95943">
      <w:pPr>
        <w:autoSpaceDE w:val="0"/>
        <w:autoSpaceDN w:val="0"/>
        <w:adjustRightInd w:val="0"/>
        <w:spacing w:after="120"/>
        <w:contextualSpacing/>
        <w:rPr>
          <w:rFonts w:ascii="Times New Roman" w:hAnsi="Times New Roman"/>
          <w:iCs/>
          <w:sz w:val="24"/>
          <w:szCs w:val="24"/>
        </w:rPr>
      </w:pPr>
    </w:p>
    <w:p w:rsidR="00A25D0F" w:rsidRPr="0001674D" w:rsidRDefault="00A25D0F" w:rsidP="00C95943">
      <w:pPr>
        <w:autoSpaceDE w:val="0"/>
        <w:autoSpaceDN w:val="0"/>
        <w:adjustRightInd w:val="0"/>
        <w:spacing w:after="120"/>
        <w:contextualSpacing/>
        <w:rPr>
          <w:rFonts w:ascii="Times New Roman" w:hAnsi="Times New Roman"/>
          <w:sz w:val="24"/>
          <w:szCs w:val="24"/>
        </w:rPr>
      </w:pPr>
      <w:r w:rsidRPr="0001674D">
        <w:rPr>
          <w:rFonts w:ascii="Times New Roman" w:hAnsi="Times New Roman"/>
          <w:iCs/>
          <w:sz w:val="24"/>
          <w:szCs w:val="24"/>
        </w:rPr>
        <w:t xml:space="preserve">Given the targeted and non-competitive nature of this initiative, </w:t>
      </w:r>
      <w:r w:rsidRPr="0001674D">
        <w:rPr>
          <w:rFonts w:ascii="Times New Roman" w:hAnsi="Times New Roman"/>
          <w:sz w:val="24"/>
          <w:szCs w:val="24"/>
        </w:rPr>
        <w:t xml:space="preserve">internal merits review is not applicable.  </w:t>
      </w:r>
    </w:p>
    <w:p w:rsidR="00A25D0F" w:rsidRPr="0001674D" w:rsidRDefault="00A25D0F" w:rsidP="00C95943">
      <w:pPr>
        <w:autoSpaceDE w:val="0"/>
        <w:autoSpaceDN w:val="0"/>
        <w:adjustRightInd w:val="0"/>
        <w:spacing w:after="120"/>
        <w:contextualSpacing/>
        <w:rPr>
          <w:rFonts w:ascii="Times New Roman" w:hAnsi="Times New Roman"/>
          <w:sz w:val="24"/>
          <w:szCs w:val="24"/>
        </w:rPr>
      </w:pPr>
    </w:p>
    <w:p w:rsidR="00A25D0F" w:rsidRPr="0001674D" w:rsidRDefault="00A25D0F" w:rsidP="00C95943">
      <w:pPr>
        <w:spacing w:after="120"/>
        <w:ind w:right="91"/>
        <w:contextualSpacing/>
        <w:rPr>
          <w:rFonts w:ascii="Times New Roman" w:hAnsi="Times New Roman"/>
          <w:color w:val="000000" w:themeColor="text1"/>
          <w:sz w:val="24"/>
          <w:szCs w:val="24"/>
        </w:rPr>
      </w:pPr>
      <w:r w:rsidRPr="0001674D">
        <w:rPr>
          <w:rFonts w:ascii="Times New Roman" w:hAnsi="Times New Roman"/>
          <w:color w:val="000000" w:themeColor="text1"/>
          <w:sz w:val="24"/>
          <w:szCs w:val="24"/>
        </w:rPr>
        <w:t xml:space="preserve">Funding details for each loan will be announced publicly as they are approved.  For example, details for the concessional loan for Stage 2 of WestConnex are detailed in </w:t>
      </w:r>
      <w:r w:rsidRPr="0001674D">
        <w:rPr>
          <w:rFonts w:ascii="Times New Roman" w:hAnsi="Times New Roman"/>
          <w:i/>
          <w:color w:val="000000" w:themeColor="text1"/>
          <w:sz w:val="24"/>
          <w:szCs w:val="24"/>
        </w:rPr>
        <w:t>Budget Measures,</w:t>
      </w:r>
      <w:r w:rsidRPr="0001674D">
        <w:rPr>
          <w:rFonts w:ascii="Times New Roman" w:hAnsi="Times New Roman"/>
          <w:color w:val="000000" w:themeColor="text1"/>
          <w:sz w:val="24"/>
          <w:szCs w:val="24"/>
        </w:rPr>
        <w:t xml:space="preserve"> </w:t>
      </w:r>
      <w:r w:rsidRPr="0001674D">
        <w:rPr>
          <w:rFonts w:ascii="Times New Roman" w:hAnsi="Times New Roman"/>
          <w:i/>
          <w:color w:val="000000" w:themeColor="text1"/>
          <w:sz w:val="24"/>
          <w:szCs w:val="24"/>
        </w:rPr>
        <w:t>Budget Paper No. 2 2014-15</w:t>
      </w:r>
      <w:r w:rsidRPr="0001674D">
        <w:rPr>
          <w:rFonts w:ascii="Times New Roman" w:hAnsi="Times New Roman"/>
          <w:color w:val="000000" w:themeColor="text1"/>
          <w:sz w:val="24"/>
          <w:szCs w:val="24"/>
        </w:rPr>
        <w:t xml:space="preserve"> at page 176, and the Programme 1.1 Expenses table </w:t>
      </w:r>
      <w:r w:rsidR="00C3411C">
        <w:rPr>
          <w:rFonts w:ascii="Times New Roman" w:hAnsi="Times New Roman"/>
          <w:color w:val="000000" w:themeColor="text1"/>
          <w:sz w:val="24"/>
          <w:szCs w:val="24"/>
        </w:rPr>
        <w:t>in</w:t>
      </w:r>
      <w:r w:rsidRPr="0001674D">
        <w:rPr>
          <w:rFonts w:ascii="Times New Roman" w:hAnsi="Times New Roman"/>
          <w:color w:val="000000" w:themeColor="text1"/>
          <w:sz w:val="24"/>
          <w:szCs w:val="24"/>
        </w:rPr>
        <w:t xml:space="preserve"> </w:t>
      </w:r>
      <w:r w:rsidRPr="0001674D">
        <w:rPr>
          <w:rFonts w:ascii="Times New Roman" w:hAnsi="Times New Roman"/>
          <w:sz w:val="24"/>
          <w:szCs w:val="24"/>
        </w:rPr>
        <w:t xml:space="preserve">the </w:t>
      </w:r>
      <w:r w:rsidRPr="0001674D">
        <w:rPr>
          <w:rFonts w:ascii="Times New Roman" w:hAnsi="Times New Roman"/>
          <w:i/>
          <w:sz w:val="24"/>
          <w:szCs w:val="24"/>
        </w:rPr>
        <w:t xml:space="preserve">Portfolio Budget Statements 2015-16, Budget Related Paper No. 1.13, Infrastructure and Regional Development Portfolio </w:t>
      </w:r>
      <w:r w:rsidRPr="0001674D">
        <w:rPr>
          <w:rFonts w:ascii="Times New Roman" w:hAnsi="Times New Roman"/>
          <w:sz w:val="24"/>
          <w:szCs w:val="24"/>
        </w:rPr>
        <w:t>at page 34</w:t>
      </w:r>
      <w:r w:rsidRPr="0001674D">
        <w:rPr>
          <w:rFonts w:ascii="Times New Roman" w:hAnsi="Times New Roman"/>
          <w:i/>
          <w:sz w:val="24"/>
          <w:szCs w:val="24"/>
        </w:rPr>
        <w:t xml:space="preserve">. </w:t>
      </w:r>
    </w:p>
    <w:p w:rsidR="00A25D0F" w:rsidRPr="0001674D" w:rsidRDefault="00A25D0F" w:rsidP="00C95943">
      <w:pPr>
        <w:spacing w:after="120"/>
        <w:ind w:right="91"/>
        <w:contextualSpacing/>
        <w:rPr>
          <w:rFonts w:ascii="Times New Roman" w:hAnsi="Times New Roman"/>
          <w:sz w:val="24"/>
          <w:szCs w:val="24"/>
        </w:rPr>
      </w:pPr>
    </w:p>
    <w:p w:rsidR="00A25D0F" w:rsidRPr="0001674D" w:rsidRDefault="00C3411C" w:rsidP="00C95943">
      <w:pPr>
        <w:spacing w:after="120"/>
        <w:ind w:right="91"/>
        <w:contextualSpacing/>
        <w:rPr>
          <w:rFonts w:ascii="Times New Roman" w:hAnsi="Times New Roman"/>
          <w:sz w:val="24"/>
          <w:szCs w:val="24"/>
        </w:rPr>
      </w:pPr>
      <w:r>
        <w:rPr>
          <w:rFonts w:ascii="Times New Roman" w:hAnsi="Times New Roman"/>
          <w:sz w:val="24"/>
          <w:szCs w:val="24"/>
        </w:rPr>
        <w:t>Funding</w:t>
      </w:r>
      <w:r w:rsidR="00A25D0F" w:rsidRPr="0001674D">
        <w:rPr>
          <w:rFonts w:ascii="Times New Roman" w:hAnsi="Times New Roman"/>
          <w:sz w:val="24"/>
          <w:szCs w:val="24"/>
        </w:rPr>
        <w:t xml:space="preserve"> for these loans will come from Outcome 1: Improved infrastructure across Australia through investment in and coordination of transport and other infrastructure, as set out at page 30 in the </w:t>
      </w:r>
      <w:r w:rsidR="00A25D0F" w:rsidRPr="0001674D">
        <w:rPr>
          <w:rFonts w:ascii="Times New Roman" w:hAnsi="Times New Roman"/>
          <w:i/>
          <w:sz w:val="24"/>
          <w:szCs w:val="24"/>
        </w:rPr>
        <w:t xml:space="preserve">Portfolio Budget Statements 2015-16, Budget Related Paper No. 1.13, Infrastructure and Regional Development Portfolio.  </w:t>
      </w:r>
      <w:r w:rsidR="00A25D0F" w:rsidRPr="0001674D">
        <w:rPr>
          <w:rFonts w:ascii="Times New Roman" w:hAnsi="Times New Roman"/>
          <w:sz w:val="24"/>
          <w:szCs w:val="24"/>
        </w:rPr>
        <w:t xml:space="preserve">This Outcome is delivered through the Infrastructure Investment programme.  </w:t>
      </w:r>
    </w:p>
    <w:p w:rsidR="00A25D0F" w:rsidRPr="0001674D" w:rsidRDefault="00A25D0F" w:rsidP="00C95943">
      <w:pPr>
        <w:spacing w:after="120"/>
        <w:contextualSpacing/>
        <w:rPr>
          <w:rFonts w:ascii="Times New Roman" w:hAnsi="Times New Roman"/>
          <w:sz w:val="24"/>
          <w:szCs w:val="24"/>
        </w:rPr>
      </w:pPr>
    </w:p>
    <w:p w:rsidR="00A25D0F" w:rsidRPr="0001674D" w:rsidRDefault="00A25D0F" w:rsidP="00C95943">
      <w:pPr>
        <w:spacing w:after="120"/>
        <w:contextualSpacing/>
        <w:rPr>
          <w:rFonts w:ascii="Times New Roman" w:hAnsi="Times New Roman"/>
          <w:sz w:val="24"/>
          <w:szCs w:val="24"/>
        </w:rPr>
      </w:pPr>
      <w:r w:rsidRPr="0001674D">
        <w:rPr>
          <w:rFonts w:ascii="Times New Roman" w:hAnsi="Times New Roman"/>
          <w:sz w:val="24"/>
          <w:szCs w:val="24"/>
        </w:rPr>
        <w:t>Noting that it is not a comprehensive statement of relevant constitutional considerations, the objective of the item references the following powers of the Constitution:</w:t>
      </w:r>
    </w:p>
    <w:p w:rsidR="00A25D0F" w:rsidRPr="0001674D" w:rsidRDefault="00A25D0F" w:rsidP="00C95943">
      <w:pPr>
        <w:pStyle w:val="ListParagraph"/>
        <w:numPr>
          <w:ilvl w:val="0"/>
          <w:numId w:val="7"/>
        </w:numPr>
        <w:spacing w:after="120"/>
        <w:rPr>
          <w:rFonts w:cs="Times New Roman"/>
          <w:szCs w:val="24"/>
        </w:rPr>
      </w:pPr>
      <w:r w:rsidRPr="0001674D">
        <w:rPr>
          <w:rFonts w:cs="Times New Roman"/>
          <w:szCs w:val="24"/>
        </w:rPr>
        <w:t>the trade and commerce power (section 51(i));</w:t>
      </w:r>
    </w:p>
    <w:p w:rsidR="00A25D0F" w:rsidRPr="0001674D" w:rsidRDefault="00A25D0F" w:rsidP="00C95943">
      <w:pPr>
        <w:pStyle w:val="ListParagraph"/>
        <w:numPr>
          <w:ilvl w:val="0"/>
          <w:numId w:val="7"/>
        </w:numPr>
        <w:spacing w:after="120"/>
        <w:rPr>
          <w:rFonts w:cs="Times New Roman"/>
          <w:szCs w:val="24"/>
        </w:rPr>
      </w:pPr>
      <w:r w:rsidRPr="0001674D">
        <w:rPr>
          <w:rFonts w:cs="Times New Roman"/>
          <w:szCs w:val="24"/>
        </w:rPr>
        <w:t xml:space="preserve">the Commonwealth executive power and the express incidental power </w:t>
      </w:r>
      <w:r w:rsidR="00C30D11">
        <w:rPr>
          <w:rFonts w:cs="Times New Roman"/>
          <w:szCs w:val="24"/>
        </w:rPr>
        <w:br/>
      </w:r>
      <w:r w:rsidRPr="0001674D">
        <w:rPr>
          <w:rFonts w:cs="Times New Roman"/>
          <w:szCs w:val="24"/>
        </w:rPr>
        <w:t>(sections 61 and 51(xxxix)):</w:t>
      </w:r>
    </w:p>
    <w:p w:rsidR="00A25D0F" w:rsidRPr="0001674D" w:rsidRDefault="00A25D0F" w:rsidP="00C95943">
      <w:pPr>
        <w:pStyle w:val="ListParagraph"/>
        <w:numPr>
          <w:ilvl w:val="0"/>
          <w:numId w:val="7"/>
        </w:numPr>
        <w:spacing w:after="120"/>
        <w:rPr>
          <w:rFonts w:cs="Times New Roman"/>
          <w:szCs w:val="24"/>
        </w:rPr>
      </w:pPr>
      <w:r w:rsidRPr="0001674D">
        <w:rPr>
          <w:rFonts w:cs="Times New Roman"/>
          <w:szCs w:val="24"/>
        </w:rPr>
        <w:t>the territories power (section 122);</w:t>
      </w:r>
    </w:p>
    <w:p w:rsidR="00A25D0F" w:rsidRPr="0001674D" w:rsidRDefault="00A25D0F" w:rsidP="00C95943">
      <w:pPr>
        <w:pStyle w:val="ListParagraph"/>
        <w:numPr>
          <w:ilvl w:val="0"/>
          <w:numId w:val="7"/>
        </w:numPr>
        <w:spacing w:after="120"/>
        <w:rPr>
          <w:rFonts w:cs="Times New Roman"/>
          <w:szCs w:val="24"/>
        </w:rPr>
      </w:pPr>
      <w:r w:rsidRPr="0001674D">
        <w:rPr>
          <w:rFonts w:cs="Times New Roman"/>
          <w:szCs w:val="24"/>
        </w:rPr>
        <w:t>the railway construction power (section 51(xxxiv));</w:t>
      </w:r>
      <w:r w:rsidR="00C3411C">
        <w:rPr>
          <w:rFonts w:cs="Times New Roman"/>
          <w:szCs w:val="24"/>
        </w:rPr>
        <w:t xml:space="preserve"> and</w:t>
      </w:r>
    </w:p>
    <w:p w:rsidR="00A25D0F" w:rsidRPr="0001674D" w:rsidRDefault="00A25D0F" w:rsidP="00C95943">
      <w:pPr>
        <w:pStyle w:val="ListParagraph"/>
        <w:numPr>
          <w:ilvl w:val="0"/>
          <w:numId w:val="7"/>
        </w:numPr>
        <w:rPr>
          <w:rFonts w:cs="Times New Roman"/>
          <w:szCs w:val="24"/>
        </w:rPr>
      </w:pPr>
      <w:r w:rsidRPr="0001674D">
        <w:rPr>
          <w:rFonts w:cs="Times New Roman"/>
          <w:szCs w:val="24"/>
        </w:rPr>
        <w:t>grants to States/Territories (section 96).</w:t>
      </w:r>
    </w:p>
    <w:p w:rsidR="00B652BC" w:rsidRPr="0001674D" w:rsidRDefault="00B652BC" w:rsidP="00C95943">
      <w:pPr>
        <w:contextualSpacing/>
        <w:rPr>
          <w:rFonts w:ascii="Times New Roman" w:hAnsi="Times New Roman"/>
          <w:sz w:val="24"/>
          <w:szCs w:val="24"/>
        </w:rPr>
      </w:pPr>
    </w:p>
    <w:p w:rsidR="008F20AC" w:rsidRDefault="008F20AC">
      <w:pPr>
        <w:spacing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A25D0F" w:rsidRPr="0001674D" w:rsidRDefault="00A25D0F" w:rsidP="00C95943">
      <w:pPr>
        <w:spacing w:after="120"/>
        <w:contextualSpacing/>
        <w:rPr>
          <w:rFonts w:ascii="Times New Roman" w:eastAsia="Times New Roman" w:hAnsi="Times New Roman"/>
          <w:color w:val="000000" w:themeColor="text1"/>
          <w:sz w:val="24"/>
          <w:szCs w:val="24"/>
        </w:rPr>
      </w:pPr>
      <w:r w:rsidRPr="0001674D">
        <w:rPr>
          <w:rFonts w:ascii="Times New Roman" w:hAnsi="Times New Roman"/>
          <w:color w:val="000000" w:themeColor="text1"/>
          <w:sz w:val="24"/>
          <w:szCs w:val="24"/>
        </w:rPr>
        <w:t xml:space="preserve">New </w:t>
      </w:r>
      <w:r w:rsidRPr="0001674D">
        <w:rPr>
          <w:rFonts w:ascii="Times New Roman" w:hAnsi="Times New Roman"/>
          <w:b/>
          <w:color w:val="000000" w:themeColor="text1"/>
          <w:sz w:val="24"/>
          <w:szCs w:val="24"/>
        </w:rPr>
        <w:t xml:space="preserve">table item </w:t>
      </w:r>
      <w:r w:rsidRPr="0001674D">
        <w:rPr>
          <w:rFonts w:ascii="Times New Roman" w:hAnsi="Times New Roman"/>
          <w:b/>
          <w:sz w:val="24"/>
          <w:szCs w:val="24"/>
        </w:rPr>
        <w:t>87</w:t>
      </w:r>
      <w:r w:rsidRPr="0001674D">
        <w:rPr>
          <w:rFonts w:ascii="Times New Roman" w:hAnsi="Times New Roman"/>
          <w:color w:val="000000" w:themeColor="text1"/>
          <w:sz w:val="24"/>
          <w:szCs w:val="24"/>
        </w:rPr>
        <w:t xml:space="preserve"> </w:t>
      </w:r>
      <w:r w:rsidRPr="0001674D">
        <w:rPr>
          <w:rFonts w:ascii="Times New Roman" w:eastAsia="Times New Roman" w:hAnsi="Times New Roman"/>
          <w:color w:val="000000" w:themeColor="text1"/>
          <w:sz w:val="24"/>
          <w:szCs w:val="24"/>
        </w:rPr>
        <w:t>establishes legislative authority for the Government to fund the Community Legal Services Programme, which will be administered by the Attorney</w:t>
      </w:r>
      <w:r w:rsidRPr="0001674D">
        <w:rPr>
          <w:rFonts w:ascii="Times New Roman" w:eastAsia="Times New Roman" w:hAnsi="Times New Roman"/>
          <w:color w:val="000000" w:themeColor="text1"/>
          <w:sz w:val="24"/>
          <w:szCs w:val="24"/>
        </w:rPr>
        <w:noBreakHyphen/>
        <w:t xml:space="preserve">General’s Department.  </w:t>
      </w:r>
    </w:p>
    <w:p w:rsidR="00A25D0F" w:rsidRPr="0001674D" w:rsidRDefault="00A25D0F" w:rsidP="00C95943">
      <w:pPr>
        <w:spacing w:after="120"/>
        <w:contextualSpacing/>
        <w:rPr>
          <w:rFonts w:ascii="Times New Roman" w:hAnsi="Times New Roman"/>
          <w:sz w:val="24"/>
          <w:szCs w:val="24"/>
        </w:rPr>
      </w:pPr>
    </w:p>
    <w:p w:rsidR="00A25D0F" w:rsidRPr="0001674D" w:rsidRDefault="00A25D0F" w:rsidP="00C95943">
      <w:pPr>
        <w:spacing w:after="120"/>
        <w:contextualSpacing/>
        <w:rPr>
          <w:rFonts w:ascii="Times New Roman" w:eastAsia="Times New Roman" w:hAnsi="Times New Roman"/>
          <w:color w:val="000000" w:themeColor="text1"/>
          <w:sz w:val="24"/>
          <w:szCs w:val="24"/>
        </w:rPr>
      </w:pPr>
      <w:r w:rsidRPr="0001674D">
        <w:rPr>
          <w:rFonts w:ascii="Times New Roman" w:hAnsi="Times New Roman"/>
          <w:sz w:val="24"/>
          <w:szCs w:val="24"/>
        </w:rPr>
        <w:t xml:space="preserve">This programme will provide access to legal assistance services for vulnerable and disadvantaged members of the community by providing funding to eligible organisations for national service delivery projects and innovative pilot programmes, and for programme support activities, that complement the delivery of community legal services by the states and territories.  </w:t>
      </w:r>
      <w:r w:rsidRPr="0001674D">
        <w:rPr>
          <w:rFonts w:ascii="Times New Roman" w:eastAsia="Times New Roman" w:hAnsi="Times New Roman"/>
          <w:color w:val="000000" w:themeColor="text1"/>
          <w:sz w:val="24"/>
          <w:szCs w:val="24"/>
        </w:rPr>
        <w:t xml:space="preserve">The Government has committed $12.5 million over four years </w:t>
      </w:r>
      <w:r w:rsidRPr="0001674D">
        <w:rPr>
          <w:rFonts w:ascii="Times New Roman" w:eastAsia="Times New Roman" w:hAnsi="Times New Roman"/>
          <w:sz w:val="24"/>
          <w:szCs w:val="24"/>
        </w:rPr>
        <w:t>from 2015-16</w:t>
      </w:r>
      <w:r w:rsidRPr="0001674D">
        <w:rPr>
          <w:rFonts w:ascii="Times New Roman" w:eastAsia="Times New Roman" w:hAnsi="Times New Roman"/>
          <w:color w:val="000000" w:themeColor="text1"/>
          <w:sz w:val="24"/>
          <w:szCs w:val="24"/>
        </w:rPr>
        <w:t xml:space="preserve"> to fund the programme. </w:t>
      </w:r>
    </w:p>
    <w:p w:rsidR="00A25D0F" w:rsidRPr="0001674D" w:rsidRDefault="00A25D0F" w:rsidP="00C95943">
      <w:pPr>
        <w:spacing w:after="120"/>
        <w:contextualSpacing/>
        <w:rPr>
          <w:rFonts w:ascii="Times New Roman" w:eastAsia="Times New Roman" w:hAnsi="Times New Roman"/>
          <w:sz w:val="24"/>
          <w:szCs w:val="24"/>
        </w:rPr>
      </w:pPr>
    </w:p>
    <w:p w:rsidR="00A25D0F" w:rsidRPr="0001674D" w:rsidRDefault="00A25D0F" w:rsidP="00C95943">
      <w:pPr>
        <w:spacing w:after="120"/>
        <w:contextualSpacing/>
        <w:rPr>
          <w:rFonts w:ascii="Times New Roman" w:eastAsia="Times New Roman" w:hAnsi="Times New Roman"/>
          <w:sz w:val="24"/>
          <w:szCs w:val="24"/>
        </w:rPr>
      </w:pPr>
      <w:r w:rsidRPr="0001674D">
        <w:rPr>
          <w:rFonts w:ascii="Times New Roman" w:eastAsia="Times New Roman" w:hAnsi="Times New Roman"/>
          <w:sz w:val="24"/>
          <w:szCs w:val="24"/>
        </w:rPr>
        <w:t xml:space="preserve">The programme is a modified version of the previous “Payments for the provision of community legal services” programme that provided Commonwealth funding for community legal services for people facing disadvantage.  The previous programme will cease on 30 June 2015 and the majority of funding will be transferred to the states and territories under a national partnership agreement as part of reforms of the legal assistance sector.  </w:t>
      </w:r>
    </w:p>
    <w:p w:rsidR="00A25D0F" w:rsidRPr="0001674D" w:rsidRDefault="00A25D0F" w:rsidP="00AE031A">
      <w:pPr>
        <w:contextualSpacing/>
        <w:rPr>
          <w:rFonts w:ascii="Times New Roman" w:eastAsia="Times New Roman" w:hAnsi="Times New Roman"/>
          <w:sz w:val="24"/>
          <w:szCs w:val="24"/>
        </w:rPr>
      </w:pPr>
    </w:p>
    <w:p w:rsidR="00A25D0F" w:rsidRPr="0001674D" w:rsidRDefault="00A25D0F" w:rsidP="00AE031A">
      <w:pPr>
        <w:contextualSpacing/>
        <w:rPr>
          <w:rFonts w:ascii="Times New Roman" w:eastAsia="Times New Roman" w:hAnsi="Times New Roman"/>
          <w:sz w:val="24"/>
          <w:szCs w:val="24"/>
        </w:rPr>
      </w:pPr>
      <w:r w:rsidRPr="0001674D">
        <w:rPr>
          <w:rFonts w:ascii="Times New Roman" w:eastAsia="Times New Roman" w:hAnsi="Times New Roman"/>
          <w:sz w:val="24"/>
          <w:szCs w:val="24"/>
        </w:rPr>
        <w:t>The </w:t>
      </w:r>
      <w:r w:rsidRPr="0001674D">
        <w:rPr>
          <w:rFonts w:ascii="Times New Roman" w:eastAsia="Times New Roman" w:hAnsi="Times New Roman"/>
          <w:color w:val="000000" w:themeColor="text1"/>
          <w:sz w:val="24"/>
          <w:szCs w:val="24"/>
        </w:rPr>
        <w:t>Community Legal Services Programme</w:t>
      </w:r>
      <w:r w:rsidRPr="0001674D">
        <w:rPr>
          <w:rFonts w:ascii="Times New Roman" w:eastAsia="Times New Roman" w:hAnsi="Times New Roman"/>
          <w:sz w:val="24"/>
          <w:szCs w:val="24"/>
        </w:rPr>
        <w:t xml:space="preserve"> will provide programme support to the community legal centre component of the National Partnership Agreement on </w:t>
      </w:r>
      <w:r w:rsidR="002B3CF2">
        <w:rPr>
          <w:rFonts w:ascii="Times New Roman" w:eastAsia="Times New Roman" w:hAnsi="Times New Roman"/>
          <w:sz w:val="24"/>
          <w:szCs w:val="24"/>
        </w:rPr>
        <w:br/>
      </w:r>
      <w:r w:rsidRPr="0001674D">
        <w:rPr>
          <w:rFonts w:ascii="Times New Roman" w:eastAsia="Times New Roman" w:hAnsi="Times New Roman"/>
          <w:sz w:val="24"/>
          <w:szCs w:val="24"/>
        </w:rPr>
        <w:t xml:space="preserve">Legal Assistance Services during 2015-16 as services transition to the new arrangements.  The programme will also fund community legal services at a national level including insurance and children related services.  It will also provide opportunities for innovative new services through targeted grant rounds within the legal assistance sector. </w:t>
      </w:r>
    </w:p>
    <w:p w:rsidR="00A25D0F" w:rsidRPr="0001674D" w:rsidRDefault="00A25D0F" w:rsidP="00AE031A">
      <w:pPr>
        <w:contextualSpacing/>
        <w:rPr>
          <w:rFonts w:ascii="Times New Roman" w:hAnsi="Times New Roman"/>
          <w:sz w:val="24"/>
          <w:szCs w:val="24"/>
        </w:rPr>
      </w:pPr>
    </w:p>
    <w:p w:rsidR="00A25D0F" w:rsidRPr="0001674D" w:rsidRDefault="00A25D0F" w:rsidP="00AE031A">
      <w:pPr>
        <w:contextualSpacing/>
        <w:rPr>
          <w:rFonts w:ascii="Times New Roman" w:eastAsia="Times New Roman" w:hAnsi="Times New Roman"/>
          <w:color w:val="000000" w:themeColor="text1"/>
          <w:sz w:val="24"/>
          <w:szCs w:val="24"/>
        </w:rPr>
      </w:pPr>
      <w:r w:rsidRPr="0001674D">
        <w:rPr>
          <w:rFonts w:ascii="Times New Roman" w:hAnsi="Times New Roman"/>
          <w:sz w:val="24"/>
          <w:szCs w:val="24"/>
        </w:rPr>
        <w:t xml:space="preserve">Funding decisions will be made by the Attorney-General or a nominated departmental delegate in accordance with the </w:t>
      </w:r>
      <w:r w:rsidRPr="0001674D">
        <w:rPr>
          <w:rFonts w:ascii="Times New Roman" w:eastAsia="Times New Roman" w:hAnsi="Times New Roman"/>
          <w:i/>
          <w:color w:val="000000" w:themeColor="text1"/>
          <w:sz w:val="24"/>
          <w:szCs w:val="24"/>
        </w:rPr>
        <w:t>Public Governance, Performance and Accountability Act 2013</w:t>
      </w:r>
      <w:r w:rsidR="00C95943">
        <w:rPr>
          <w:rFonts w:ascii="Times New Roman" w:eastAsia="Times New Roman" w:hAnsi="Times New Roman"/>
          <w:color w:val="000000" w:themeColor="text1"/>
          <w:sz w:val="24"/>
          <w:szCs w:val="24"/>
        </w:rPr>
        <w:t>.</w:t>
      </w:r>
    </w:p>
    <w:p w:rsidR="00A25D0F" w:rsidRPr="0001674D" w:rsidRDefault="00A25D0F" w:rsidP="00AE031A">
      <w:pPr>
        <w:contextualSpacing/>
        <w:rPr>
          <w:rFonts w:ascii="Times New Roman" w:eastAsia="Times New Roman" w:hAnsi="Times New Roman"/>
          <w:color w:val="000000" w:themeColor="text1"/>
          <w:sz w:val="24"/>
          <w:szCs w:val="24"/>
        </w:rPr>
      </w:pPr>
    </w:p>
    <w:p w:rsidR="00A25D0F" w:rsidRPr="0001674D" w:rsidRDefault="00A25D0F" w:rsidP="00AE031A">
      <w:pPr>
        <w:pStyle w:val="Default"/>
        <w:contextualSpacing/>
        <w:rPr>
          <w:rFonts w:ascii="Times New Roman" w:hAnsi="Times New Roman" w:cs="Times New Roman"/>
        </w:rPr>
      </w:pPr>
      <w:r w:rsidRPr="0001674D">
        <w:rPr>
          <w:rFonts w:ascii="Times New Roman" w:hAnsi="Times New Roman" w:cs="Times New Roman"/>
        </w:rPr>
        <w:t xml:space="preserve">Guidelines for this programme will be developed as required under the </w:t>
      </w:r>
      <w:r w:rsidRPr="0001674D">
        <w:rPr>
          <w:rFonts w:ascii="Times New Roman" w:eastAsia="Times New Roman" w:hAnsi="Times New Roman" w:cs="Times New Roman"/>
          <w:i/>
          <w:color w:val="000000" w:themeColor="text1"/>
        </w:rPr>
        <w:t>Commonwealth Grants Rules and Guidelines</w:t>
      </w:r>
      <w:r w:rsidRPr="0001674D">
        <w:rPr>
          <w:rFonts w:ascii="Times New Roman" w:hAnsi="Times New Roman" w:cs="Times New Roman"/>
        </w:rPr>
        <w:t>.  The guidelines will include selection criteria and details of the decision-making processes for the programme and will be available at:  https://www.ag.gov.au/LegalSystem/Legalaidprogrammes/LegalServicesProgram/Pages/default.aspx</w:t>
      </w:r>
      <w:r w:rsidRPr="0001674D">
        <w:rPr>
          <w:rFonts w:ascii="Times New Roman" w:eastAsia="Times New Roman" w:hAnsi="Times New Roman" w:cs="Times New Roman"/>
          <w:color w:val="000000" w:themeColor="text1"/>
        </w:rPr>
        <w:t xml:space="preserve">.  </w:t>
      </w:r>
      <w:r w:rsidRPr="0001674D">
        <w:rPr>
          <w:rFonts w:ascii="Times New Roman" w:hAnsi="Times New Roman" w:cs="Times New Roman"/>
        </w:rPr>
        <w:t>Funding outcomes will be published through the Attorney</w:t>
      </w:r>
      <w:r w:rsidRPr="0001674D">
        <w:rPr>
          <w:rFonts w:ascii="Times New Roman" w:hAnsi="Times New Roman" w:cs="Times New Roman"/>
        </w:rPr>
        <w:noBreakHyphen/>
        <w:t>General’s Department Grants Register where appropriate.</w:t>
      </w:r>
    </w:p>
    <w:p w:rsidR="00A25D0F" w:rsidRPr="0001674D" w:rsidRDefault="00A25D0F" w:rsidP="00AE031A">
      <w:pPr>
        <w:pStyle w:val="Default"/>
        <w:contextualSpacing/>
        <w:rPr>
          <w:rFonts w:ascii="Times New Roman" w:hAnsi="Times New Roman" w:cs="Times New Roman"/>
        </w:rPr>
      </w:pPr>
    </w:p>
    <w:p w:rsidR="00A25D0F" w:rsidRPr="0001674D" w:rsidRDefault="00A25D0F" w:rsidP="00AE031A">
      <w:pPr>
        <w:contextualSpacing/>
        <w:rPr>
          <w:rFonts w:ascii="Times New Roman" w:eastAsia="Times New Roman" w:hAnsi="Times New Roman"/>
          <w:sz w:val="24"/>
          <w:szCs w:val="24"/>
        </w:rPr>
      </w:pPr>
      <w:r w:rsidRPr="0001674D">
        <w:rPr>
          <w:rFonts w:ascii="Times New Roman" w:eastAsia="Times New Roman" w:hAnsi="Times New Roman"/>
          <w:sz w:val="24"/>
          <w:szCs w:val="24"/>
        </w:rPr>
        <w:t>The programme guidelines will outline applicants’ rights of appeal which consist of an internal review process.</w:t>
      </w:r>
    </w:p>
    <w:p w:rsidR="00A25D0F" w:rsidRPr="0001674D" w:rsidRDefault="00A25D0F" w:rsidP="00AE031A">
      <w:pPr>
        <w:pStyle w:val="Default"/>
        <w:contextualSpacing/>
        <w:rPr>
          <w:rFonts w:ascii="Times New Roman" w:eastAsia="Times New Roman" w:hAnsi="Times New Roman" w:cs="Times New Roman"/>
          <w:color w:val="000000" w:themeColor="text1"/>
        </w:rPr>
      </w:pPr>
    </w:p>
    <w:p w:rsidR="00A25D0F" w:rsidRPr="0001674D" w:rsidRDefault="00A25D0F" w:rsidP="00AE031A">
      <w:pPr>
        <w:pStyle w:val="Default"/>
        <w:contextualSpacing/>
        <w:rPr>
          <w:rFonts w:ascii="Times New Roman" w:hAnsi="Times New Roman" w:cs="Times New Roman"/>
        </w:rPr>
      </w:pPr>
      <w:r w:rsidRPr="0001674D">
        <w:rPr>
          <w:rFonts w:ascii="Times New Roman" w:eastAsia="Times New Roman" w:hAnsi="Times New Roman" w:cs="Times New Roman"/>
          <w:color w:val="000000" w:themeColor="text1"/>
        </w:rPr>
        <w:t xml:space="preserve">Funding will come from </w:t>
      </w:r>
      <w:r w:rsidRPr="0001674D">
        <w:rPr>
          <w:rFonts w:ascii="Times New Roman" w:hAnsi="Times New Roman" w:cs="Times New Roman"/>
        </w:rPr>
        <w:t xml:space="preserve">Programme 1.4: Justice Services which is part of Outcome 1: A just and secure society through the maintenance and improvement of Australia’s law and justice framework and its national security and emergency management system.  Funding details are set out in the </w:t>
      </w:r>
      <w:r w:rsidRPr="0001674D">
        <w:rPr>
          <w:rFonts w:ascii="Times New Roman" w:hAnsi="Times New Roman" w:cs="Times New Roman"/>
          <w:i/>
        </w:rPr>
        <w:t>Portfolio Budget Statements 2015-16</w:t>
      </w:r>
      <w:r w:rsidR="008D1B60">
        <w:rPr>
          <w:rFonts w:ascii="Times New Roman" w:hAnsi="Times New Roman" w:cs="Times New Roman"/>
          <w:i/>
        </w:rPr>
        <w:t xml:space="preserve">, Budget Related Paper No. 1.2, </w:t>
      </w:r>
      <w:r w:rsidRPr="0001674D">
        <w:rPr>
          <w:rFonts w:ascii="Times New Roman" w:hAnsi="Times New Roman" w:cs="Times New Roman"/>
          <w:i/>
        </w:rPr>
        <w:t>Attorney</w:t>
      </w:r>
      <w:r w:rsidRPr="0001674D">
        <w:rPr>
          <w:rFonts w:ascii="Times New Roman" w:hAnsi="Times New Roman" w:cs="Times New Roman"/>
          <w:i/>
        </w:rPr>
        <w:noBreakHyphen/>
        <w:t xml:space="preserve">General’s Portfolio </w:t>
      </w:r>
      <w:r w:rsidRPr="0001674D">
        <w:rPr>
          <w:rFonts w:ascii="Times New Roman" w:hAnsi="Times New Roman" w:cs="Times New Roman"/>
        </w:rPr>
        <w:t>at page 30.</w:t>
      </w:r>
    </w:p>
    <w:p w:rsidR="00E669A7" w:rsidRDefault="00E669A7" w:rsidP="00AE031A">
      <w:pPr>
        <w:spacing w:line="276" w:lineRule="auto"/>
        <w:rPr>
          <w:rFonts w:ascii="Times New Roman" w:hAnsi="Times New Roman"/>
          <w:sz w:val="24"/>
          <w:szCs w:val="24"/>
        </w:rPr>
      </w:pPr>
      <w:r>
        <w:rPr>
          <w:rFonts w:ascii="Times New Roman" w:hAnsi="Times New Roman"/>
          <w:sz w:val="24"/>
          <w:szCs w:val="24"/>
        </w:rPr>
        <w:br w:type="page"/>
      </w:r>
    </w:p>
    <w:p w:rsidR="00A25D0F" w:rsidRPr="0001674D" w:rsidRDefault="00A25D0F" w:rsidP="00E669A7">
      <w:pPr>
        <w:spacing w:after="120"/>
        <w:contextualSpacing/>
        <w:rPr>
          <w:rFonts w:ascii="Times New Roman" w:hAnsi="Times New Roman"/>
          <w:sz w:val="24"/>
          <w:szCs w:val="24"/>
        </w:rPr>
      </w:pPr>
      <w:r w:rsidRPr="0001674D">
        <w:rPr>
          <w:rFonts w:ascii="Times New Roman" w:hAnsi="Times New Roman"/>
          <w:sz w:val="24"/>
          <w:szCs w:val="24"/>
        </w:rPr>
        <w:t>Noting that it is not a comprehensive statement of relevant constitutional considerations, the objective of the item references the following powers of the Constitution:</w:t>
      </w:r>
    </w:p>
    <w:p w:rsidR="00A25D0F" w:rsidRPr="0001674D" w:rsidRDefault="00A25D0F" w:rsidP="00E669A7">
      <w:pPr>
        <w:numPr>
          <w:ilvl w:val="0"/>
          <w:numId w:val="8"/>
        </w:numPr>
        <w:spacing w:after="120"/>
        <w:contextualSpacing/>
        <w:rPr>
          <w:rFonts w:ascii="Times New Roman" w:hAnsi="Times New Roman"/>
          <w:sz w:val="24"/>
          <w:szCs w:val="24"/>
        </w:rPr>
      </w:pPr>
      <w:r w:rsidRPr="0001674D">
        <w:rPr>
          <w:rFonts w:ascii="Times New Roman" w:hAnsi="Times New Roman"/>
          <w:sz w:val="24"/>
          <w:szCs w:val="24"/>
        </w:rPr>
        <w:t>the Commonwealth executive power and the express incidental power (sections 61 and 51(xxxix));</w:t>
      </w:r>
    </w:p>
    <w:p w:rsidR="00A25D0F" w:rsidRPr="0001674D" w:rsidRDefault="00A25D0F" w:rsidP="00E669A7">
      <w:pPr>
        <w:numPr>
          <w:ilvl w:val="0"/>
          <w:numId w:val="8"/>
        </w:numPr>
        <w:spacing w:after="120"/>
        <w:contextualSpacing/>
        <w:rPr>
          <w:rFonts w:ascii="Times New Roman" w:hAnsi="Times New Roman"/>
          <w:sz w:val="24"/>
          <w:szCs w:val="24"/>
        </w:rPr>
      </w:pPr>
      <w:r w:rsidRPr="0001674D">
        <w:rPr>
          <w:rFonts w:ascii="Times New Roman" w:hAnsi="Times New Roman"/>
          <w:sz w:val="24"/>
          <w:szCs w:val="24"/>
        </w:rPr>
        <w:t>the external affairs power (section 51(xxix));</w:t>
      </w:r>
    </w:p>
    <w:p w:rsidR="00A25D0F" w:rsidRPr="0001674D" w:rsidRDefault="00A25D0F" w:rsidP="00E669A7">
      <w:pPr>
        <w:numPr>
          <w:ilvl w:val="0"/>
          <w:numId w:val="8"/>
        </w:numPr>
        <w:spacing w:after="120"/>
        <w:contextualSpacing/>
        <w:rPr>
          <w:rFonts w:ascii="Times New Roman" w:hAnsi="Times New Roman"/>
          <w:sz w:val="24"/>
          <w:szCs w:val="24"/>
        </w:rPr>
      </w:pPr>
      <w:r w:rsidRPr="0001674D">
        <w:rPr>
          <w:rFonts w:ascii="Times New Roman" w:hAnsi="Times New Roman"/>
          <w:sz w:val="24"/>
          <w:szCs w:val="24"/>
        </w:rPr>
        <w:t>the communications power (section 51(v));</w:t>
      </w:r>
    </w:p>
    <w:p w:rsidR="00A25D0F" w:rsidRPr="0001674D" w:rsidRDefault="00A25D0F" w:rsidP="00E669A7">
      <w:pPr>
        <w:numPr>
          <w:ilvl w:val="0"/>
          <w:numId w:val="8"/>
        </w:numPr>
        <w:spacing w:after="120"/>
        <w:contextualSpacing/>
        <w:rPr>
          <w:rFonts w:ascii="Times New Roman" w:hAnsi="Times New Roman"/>
          <w:sz w:val="24"/>
          <w:szCs w:val="24"/>
        </w:rPr>
      </w:pPr>
      <w:r w:rsidRPr="0001674D">
        <w:rPr>
          <w:rFonts w:ascii="Times New Roman" w:hAnsi="Times New Roman"/>
          <w:sz w:val="24"/>
          <w:szCs w:val="24"/>
        </w:rPr>
        <w:t xml:space="preserve">the census and statistics power (section 51(xi)); and </w:t>
      </w:r>
    </w:p>
    <w:p w:rsidR="00A25D0F" w:rsidRPr="0001674D" w:rsidRDefault="00A25D0F" w:rsidP="00E669A7">
      <w:pPr>
        <w:numPr>
          <w:ilvl w:val="0"/>
          <w:numId w:val="8"/>
        </w:numPr>
        <w:spacing w:after="120"/>
        <w:contextualSpacing/>
        <w:rPr>
          <w:rFonts w:ascii="Times New Roman" w:hAnsi="Times New Roman"/>
          <w:sz w:val="24"/>
          <w:szCs w:val="24"/>
        </w:rPr>
      </w:pPr>
      <w:r w:rsidRPr="0001674D">
        <w:rPr>
          <w:rFonts w:ascii="Times New Roman" w:hAnsi="Times New Roman"/>
          <w:sz w:val="24"/>
          <w:szCs w:val="24"/>
        </w:rPr>
        <w:t>the races power (section 51(xxvi)).</w:t>
      </w:r>
    </w:p>
    <w:p w:rsidR="00DF57C8" w:rsidRPr="0001674D" w:rsidRDefault="00DF57C8" w:rsidP="00E669A7">
      <w:pPr>
        <w:spacing w:after="120"/>
        <w:contextualSpacing/>
        <w:rPr>
          <w:rFonts w:ascii="Times New Roman" w:hAnsi="Times New Roman"/>
          <w:sz w:val="24"/>
          <w:szCs w:val="24"/>
        </w:rPr>
      </w:pPr>
    </w:p>
    <w:p w:rsidR="00712E69" w:rsidRPr="0001674D" w:rsidRDefault="00A25D0F" w:rsidP="00E669A7">
      <w:pPr>
        <w:spacing w:after="120"/>
        <w:contextualSpacing/>
        <w:rPr>
          <w:rFonts w:ascii="Times New Roman" w:eastAsia="Times New Roman" w:hAnsi="Times New Roman"/>
          <w:sz w:val="24"/>
          <w:szCs w:val="24"/>
        </w:rPr>
      </w:pPr>
      <w:r w:rsidRPr="0001674D">
        <w:rPr>
          <w:rFonts w:ascii="Times New Roman" w:hAnsi="Times New Roman"/>
          <w:sz w:val="24"/>
          <w:szCs w:val="24"/>
        </w:rPr>
        <w:t xml:space="preserve">New </w:t>
      </w:r>
      <w:r w:rsidRPr="0001674D">
        <w:rPr>
          <w:rFonts w:ascii="Times New Roman" w:hAnsi="Times New Roman"/>
          <w:b/>
          <w:sz w:val="24"/>
          <w:szCs w:val="24"/>
        </w:rPr>
        <w:t>table item 88</w:t>
      </w:r>
      <w:r w:rsidRPr="0001674D">
        <w:rPr>
          <w:rFonts w:ascii="Times New Roman" w:hAnsi="Times New Roman"/>
          <w:sz w:val="24"/>
          <w:szCs w:val="24"/>
        </w:rPr>
        <w:t xml:space="preserve"> </w:t>
      </w:r>
      <w:r w:rsidR="00D27028" w:rsidRPr="0001674D">
        <w:rPr>
          <w:rFonts w:ascii="Times New Roman" w:hAnsi="Times New Roman"/>
          <w:sz w:val="24"/>
          <w:szCs w:val="24"/>
        </w:rPr>
        <w:t xml:space="preserve">establishes </w:t>
      </w:r>
      <w:r w:rsidR="00712E69" w:rsidRPr="0001674D">
        <w:rPr>
          <w:rFonts w:ascii="Times New Roman" w:eastAsia="Times New Roman" w:hAnsi="Times New Roman"/>
          <w:sz w:val="24"/>
          <w:szCs w:val="24"/>
        </w:rPr>
        <w:t xml:space="preserve">legislative authority for the Government to </w:t>
      </w:r>
      <w:r w:rsidR="00712E69" w:rsidRPr="0001674D">
        <w:rPr>
          <w:rFonts w:ascii="Times New Roman" w:hAnsi="Times New Roman"/>
          <w:sz w:val="24"/>
          <w:szCs w:val="24"/>
        </w:rPr>
        <w:t>establish the National Programme for Excellence in the Arts, to be administered by the Ministry for the Arts within the Attorney-General’s Department</w:t>
      </w:r>
      <w:r w:rsidR="00712E69" w:rsidRPr="0001674D">
        <w:rPr>
          <w:rFonts w:ascii="Times New Roman" w:eastAsia="Times New Roman" w:hAnsi="Times New Roman"/>
          <w:sz w:val="24"/>
          <w:szCs w:val="24"/>
        </w:rPr>
        <w:t xml:space="preserve">.  </w:t>
      </w:r>
      <w:r w:rsidR="00CE1170">
        <w:rPr>
          <w:rFonts w:ascii="Times New Roman" w:eastAsia="Times New Roman" w:hAnsi="Times New Roman"/>
          <w:sz w:val="24"/>
          <w:szCs w:val="24"/>
        </w:rPr>
        <w:t>This programme</w:t>
      </w:r>
      <w:r w:rsidR="00712E69" w:rsidRPr="0001674D">
        <w:rPr>
          <w:rFonts w:ascii="Times New Roman" w:eastAsia="Times New Roman" w:hAnsi="Times New Roman"/>
          <w:sz w:val="24"/>
          <w:szCs w:val="24"/>
        </w:rPr>
        <w:t xml:space="preserve"> will provide a responsive, national approach to supporting participation in, and access to, Australia’s high quality, diverse and vital arts and cultural sector.  </w:t>
      </w:r>
    </w:p>
    <w:p w:rsidR="00712E69" w:rsidRPr="0001674D" w:rsidRDefault="00712E69" w:rsidP="00E669A7">
      <w:pPr>
        <w:spacing w:after="120"/>
        <w:contextualSpacing/>
        <w:rPr>
          <w:rFonts w:ascii="Times New Roman" w:eastAsia="Times New Roman" w:hAnsi="Times New Roman"/>
          <w:sz w:val="24"/>
          <w:szCs w:val="24"/>
        </w:rPr>
      </w:pPr>
    </w:p>
    <w:p w:rsidR="00712E69" w:rsidRPr="0001674D" w:rsidRDefault="00712E69" w:rsidP="00E669A7">
      <w:pPr>
        <w:spacing w:after="120"/>
        <w:contextualSpacing/>
        <w:rPr>
          <w:rFonts w:ascii="Times New Roman" w:eastAsia="Times New Roman" w:hAnsi="Times New Roman"/>
          <w:sz w:val="24"/>
          <w:szCs w:val="24"/>
        </w:rPr>
      </w:pPr>
      <w:r w:rsidRPr="0001674D">
        <w:rPr>
          <w:rFonts w:ascii="Times New Roman" w:eastAsia="Times New Roman" w:hAnsi="Times New Roman"/>
          <w:sz w:val="24"/>
          <w:szCs w:val="24"/>
        </w:rPr>
        <w:t>Grants will be provided through a range of funding streams including: endowment incentives; international and cultural diplomacy; strategic initiatives; festivals; and an exhibitions touring stream.  The programme aims to deliver a wide range of quality arts and cultural experiences that grow arts audiences; encourage greater private sector support and partnership funding for the arts; support collaborations to develop arts and culture initiatives; and strengthen Australia’s reputation as a sophisticated and artistic nation with a confident, outward-focused arts sector.</w:t>
      </w:r>
    </w:p>
    <w:p w:rsidR="00712E69" w:rsidRPr="0001674D" w:rsidRDefault="00712E69" w:rsidP="00E669A7">
      <w:pPr>
        <w:spacing w:after="120"/>
        <w:contextualSpacing/>
        <w:rPr>
          <w:rFonts w:ascii="Times New Roman" w:eastAsia="Times New Roman" w:hAnsi="Times New Roman"/>
          <w:sz w:val="24"/>
          <w:szCs w:val="24"/>
        </w:rPr>
      </w:pPr>
    </w:p>
    <w:p w:rsidR="00712E69" w:rsidRPr="0001674D" w:rsidRDefault="00712E69" w:rsidP="00E669A7">
      <w:pPr>
        <w:spacing w:after="120"/>
        <w:contextualSpacing/>
        <w:rPr>
          <w:rFonts w:ascii="Times New Roman" w:eastAsia="Times New Roman" w:hAnsi="Times New Roman"/>
          <w:sz w:val="24"/>
          <w:szCs w:val="24"/>
        </w:rPr>
      </w:pPr>
      <w:r w:rsidRPr="0001674D">
        <w:rPr>
          <w:rFonts w:ascii="Times New Roman" w:eastAsia="Times New Roman" w:hAnsi="Times New Roman"/>
          <w:sz w:val="24"/>
          <w:szCs w:val="24"/>
        </w:rPr>
        <w:t xml:space="preserve">The Attorney-General and Minister for the Arts, Senator the Hon George Brandis QC, announced on 12 May 2015 reforms to arts funding, which included the transfer of the </w:t>
      </w:r>
      <w:r w:rsidRPr="0001674D">
        <w:rPr>
          <w:rFonts w:ascii="Times New Roman" w:hAnsi="Times New Roman"/>
          <w:sz w:val="24"/>
          <w:szCs w:val="24"/>
        </w:rPr>
        <w:t xml:space="preserve">Festivals Australia programme, the Visions of Australia programme and the Major Festivals Initiative from the Australia Council to the Department. </w:t>
      </w:r>
    </w:p>
    <w:p w:rsidR="00712E69" w:rsidRPr="0001674D" w:rsidRDefault="00712E69" w:rsidP="00E669A7">
      <w:pPr>
        <w:spacing w:after="120"/>
        <w:contextualSpacing/>
        <w:rPr>
          <w:rFonts w:ascii="Times New Roman" w:eastAsia="Times New Roman" w:hAnsi="Times New Roman"/>
          <w:sz w:val="24"/>
          <w:szCs w:val="24"/>
        </w:rPr>
      </w:pPr>
    </w:p>
    <w:p w:rsidR="00712E69" w:rsidRPr="0001674D" w:rsidRDefault="00712E69" w:rsidP="00E669A7">
      <w:pPr>
        <w:spacing w:after="120"/>
        <w:contextualSpacing/>
        <w:rPr>
          <w:rFonts w:ascii="Times New Roman" w:hAnsi="Times New Roman"/>
          <w:sz w:val="24"/>
          <w:szCs w:val="24"/>
        </w:rPr>
      </w:pPr>
      <w:r w:rsidRPr="0001674D">
        <w:rPr>
          <w:rFonts w:ascii="Times New Roman" w:hAnsi="Times New Roman"/>
          <w:sz w:val="24"/>
          <w:szCs w:val="24"/>
        </w:rPr>
        <w:t xml:space="preserve">The Government has provided $104.7 million over four years from 2015-16 for this programme.  Details are set out in the measure, </w:t>
      </w:r>
      <w:r w:rsidRPr="0001674D">
        <w:rPr>
          <w:rFonts w:ascii="Times New Roman" w:hAnsi="Times New Roman"/>
          <w:i/>
          <w:sz w:val="24"/>
          <w:szCs w:val="24"/>
        </w:rPr>
        <w:t>National Programme for Excellence in the Arts – establishment</w:t>
      </w:r>
      <w:r w:rsidRPr="0001674D">
        <w:rPr>
          <w:rFonts w:ascii="Times New Roman" w:hAnsi="Times New Roman"/>
          <w:sz w:val="24"/>
          <w:szCs w:val="24"/>
        </w:rPr>
        <w:t xml:space="preserve">, in </w:t>
      </w:r>
      <w:r w:rsidRPr="0001674D">
        <w:rPr>
          <w:rFonts w:ascii="Times New Roman" w:hAnsi="Times New Roman"/>
          <w:i/>
          <w:sz w:val="24"/>
          <w:szCs w:val="24"/>
        </w:rPr>
        <w:t>Budget Measures, Budget Paper No. 2 2015-16</w:t>
      </w:r>
      <w:r w:rsidRPr="0001674D">
        <w:rPr>
          <w:rFonts w:ascii="Times New Roman" w:hAnsi="Times New Roman"/>
          <w:sz w:val="24"/>
          <w:szCs w:val="24"/>
        </w:rPr>
        <w:t xml:space="preserve"> at page 62.</w:t>
      </w:r>
    </w:p>
    <w:p w:rsidR="00712E69" w:rsidRPr="0001674D" w:rsidRDefault="00712E69" w:rsidP="00E669A7">
      <w:pPr>
        <w:spacing w:after="120"/>
        <w:contextualSpacing/>
        <w:rPr>
          <w:rFonts w:ascii="Times New Roman" w:hAnsi="Times New Roman"/>
          <w:sz w:val="24"/>
          <w:szCs w:val="24"/>
        </w:rPr>
      </w:pPr>
    </w:p>
    <w:p w:rsidR="00712E69" w:rsidRPr="0001674D" w:rsidRDefault="00712E69" w:rsidP="00E669A7">
      <w:pPr>
        <w:spacing w:after="120"/>
        <w:contextualSpacing/>
        <w:rPr>
          <w:rFonts w:ascii="Times New Roman" w:hAnsi="Times New Roman"/>
          <w:sz w:val="24"/>
          <w:szCs w:val="24"/>
        </w:rPr>
      </w:pPr>
      <w:r w:rsidRPr="0001674D">
        <w:rPr>
          <w:rFonts w:ascii="Times New Roman" w:hAnsi="Times New Roman"/>
          <w:sz w:val="24"/>
          <w:szCs w:val="24"/>
        </w:rPr>
        <w:t>The programme will enable the Minister for the Arts to allocate funding across five grant streams.</w:t>
      </w:r>
    </w:p>
    <w:p w:rsidR="00712E69" w:rsidRPr="0001674D" w:rsidRDefault="00712E69" w:rsidP="00E669A7">
      <w:pPr>
        <w:spacing w:after="120"/>
        <w:contextualSpacing/>
        <w:rPr>
          <w:rFonts w:ascii="Times New Roman" w:hAnsi="Times New Roman"/>
          <w:sz w:val="24"/>
          <w:szCs w:val="24"/>
        </w:rPr>
      </w:pPr>
    </w:p>
    <w:p w:rsidR="00E669A7" w:rsidRDefault="00712E69" w:rsidP="00E669A7">
      <w:pPr>
        <w:spacing w:after="120"/>
        <w:contextualSpacing/>
        <w:rPr>
          <w:rFonts w:ascii="Times New Roman" w:hAnsi="Times New Roman"/>
          <w:sz w:val="24"/>
          <w:szCs w:val="24"/>
        </w:rPr>
      </w:pPr>
      <w:r w:rsidRPr="0001674D">
        <w:rPr>
          <w:rFonts w:ascii="Times New Roman" w:hAnsi="Times New Roman"/>
          <w:sz w:val="24"/>
          <w:szCs w:val="24"/>
        </w:rPr>
        <w:t>The Endowment Incentive stream will</w:t>
      </w:r>
      <w:r w:rsidRPr="0001674D">
        <w:rPr>
          <w:rFonts w:ascii="Times New Roman" w:hAnsi="Times New Roman"/>
          <w:i/>
          <w:sz w:val="24"/>
          <w:szCs w:val="24"/>
        </w:rPr>
        <w:t xml:space="preserve"> </w:t>
      </w:r>
      <w:r w:rsidRPr="0001674D">
        <w:rPr>
          <w:rFonts w:ascii="Times New Roman" w:hAnsi="Times New Roman"/>
          <w:sz w:val="24"/>
          <w:szCs w:val="24"/>
        </w:rPr>
        <w:t>support organisations to leverage funds from other sources to realise medium to long term projects through financial partnerships and collaborations.  This stream will be open to a wide range of projects that may include: co</w:t>
      </w:r>
      <w:r w:rsidRPr="0001674D">
        <w:rPr>
          <w:rFonts w:ascii="Times New Roman" w:hAnsi="Times New Roman"/>
          <w:sz w:val="24"/>
          <w:szCs w:val="24"/>
        </w:rPr>
        <w:noBreakHyphen/>
        <w:t>investment to deliver new initiatives such as a fellowship programme; contribution to an infrastructure project; or development of new Australian works.</w:t>
      </w:r>
    </w:p>
    <w:p w:rsidR="00E669A7" w:rsidRDefault="00E669A7" w:rsidP="00E669A7">
      <w:pPr>
        <w:spacing w:after="120"/>
        <w:contextualSpacing/>
        <w:rPr>
          <w:rFonts w:ascii="Times New Roman" w:hAnsi="Times New Roman"/>
          <w:sz w:val="24"/>
          <w:szCs w:val="24"/>
        </w:rPr>
      </w:pPr>
    </w:p>
    <w:p w:rsidR="00712E69" w:rsidRPr="0001674D" w:rsidRDefault="00712E69" w:rsidP="00E669A7">
      <w:pPr>
        <w:spacing w:after="120"/>
        <w:contextualSpacing/>
        <w:rPr>
          <w:rFonts w:ascii="Times New Roman" w:hAnsi="Times New Roman"/>
          <w:sz w:val="24"/>
          <w:szCs w:val="24"/>
        </w:rPr>
      </w:pPr>
      <w:r w:rsidRPr="0001674D">
        <w:rPr>
          <w:rFonts w:ascii="Times New Roman" w:hAnsi="Times New Roman"/>
          <w:sz w:val="24"/>
          <w:szCs w:val="24"/>
        </w:rPr>
        <w:t>The International and Cultural Diplomacy stream</w:t>
      </w:r>
      <w:r w:rsidRPr="0001674D">
        <w:rPr>
          <w:rFonts w:ascii="Times New Roman" w:hAnsi="Times New Roman"/>
          <w:i/>
          <w:sz w:val="24"/>
          <w:szCs w:val="24"/>
        </w:rPr>
        <w:t xml:space="preserve"> </w:t>
      </w:r>
      <w:r w:rsidRPr="0001674D">
        <w:rPr>
          <w:rFonts w:ascii="Times New Roman" w:hAnsi="Times New Roman"/>
          <w:sz w:val="24"/>
          <w:szCs w:val="24"/>
        </w:rPr>
        <w:t>will support arts and cultural organisations to expand audiences for Australian artistic work and creative products through international tours, exhibitions, partnerships and exchanges.  It will also support Australian arts and cultural organisations to take up partnership opportunities to enable Australian audiences to have access to international performances and exhibitions.</w:t>
      </w:r>
    </w:p>
    <w:p w:rsidR="00712E69" w:rsidRPr="0001674D" w:rsidRDefault="00712E69" w:rsidP="00E669A7">
      <w:pPr>
        <w:spacing w:after="120"/>
        <w:contextualSpacing/>
        <w:rPr>
          <w:rFonts w:ascii="Times New Roman" w:hAnsi="Times New Roman"/>
          <w:i/>
          <w:sz w:val="24"/>
          <w:szCs w:val="24"/>
        </w:rPr>
      </w:pPr>
    </w:p>
    <w:p w:rsidR="008F20AC" w:rsidRDefault="008F20AC">
      <w:pPr>
        <w:spacing w:after="200" w:line="276" w:lineRule="auto"/>
        <w:rPr>
          <w:rFonts w:ascii="Times New Roman" w:hAnsi="Times New Roman"/>
          <w:sz w:val="24"/>
          <w:szCs w:val="24"/>
        </w:rPr>
      </w:pPr>
      <w:r>
        <w:rPr>
          <w:rFonts w:ascii="Times New Roman" w:hAnsi="Times New Roman"/>
          <w:sz w:val="24"/>
          <w:szCs w:val="24"/>
        </w:rPr>
        <w:br w:type="page"/>
      </w:r>
    </w:p>
    <w:p w:rsidR="00712E69" w:rsidRPr="0001674D" w:rsidRDefault="00712E69" w:rsidP="00E669A7">
      <w:pPr>
        <w:spacing w:after="120"/>
        <w:contextualSpacing/>
        <w:rPr>
          <w:rFonts w:ascii="Times New Roman" w:hAnsi="Times New Roman"/>
          <w:sz w:val="24"/>
          <w:szCs w:val="24"/>
        </w:rPr>
      </w:pPr>
      <w:r w:rsidRPr="0001674D">
        <w:rPr>
          <w:rFonts w:ascii="Times New Roman" w:hAnsi="Times New Roman"/>
          <w:sz w:val="24"/>
          <w:szCs w:val="24"/>
        </w:rPr>
        <w:t>The Strategic Initiatives stream</w:t>
      </w:r>
      <w:r w:rsidRPr="0001674D">
        <w:rPr>
          <w:rFonts w:ascii="Times New Roman" w:hAnsi="Times New Roman"/>
          <w:i/>
          <w:sz w:val="24"/>
          <w:szCs w:val="24"/>
        </w:rPr>
        <w:t xml:space="preserve"> </w:t>
      </w:r>
      <w:r w:rsidRPr="0001674D">
        <w:rPr>
          <w:rFonts w:ascii="Times New Roman" w:hAnsi="Times New Roman"/>
          <w:sz w:val="24"/>
          <w:szCs w:val="24"/>
        </w:rPr>
        <w:t>will assist arts and cultural organisations to respond to new opportunities, challenges and issues.  It will also support organisations to deliver outcomes against planned and developing priorities.  It will support projects enabling regional and remote audiences to have new opportunities for access to a wide range of art forms.</w:t>
      </w:r>
    </w:p>
    <w:p w:rsidR="00712E69" w:rsidRPr="0001674D" w:rsidRDefault="00712E69" w:rsidP="00E669A7">
      <w:pPr>
        <w:spacing w:after="120"/>
        <w:contextualSpacing/>
        <w:rPr>
          <w:rFonts w:ascii="Times New Roman" w:hAnsi="Times New Roman"/>
          <w:i/>
          <w:sz w:val="24"/>
          <w:szCs w:val="24"/>
        </w:rPr>
      </w:pPr>
    </w:p>
    <w:p w:rsidR="00712E69" w:rsidRPr="0001674D" w:rsidRDefault="00712E69" w:rsidP="00E669A7">
      <w:pPr>
        <w:spacing w:after="120"/>
        <w:contextualSpacing/>
        <w:rPr>
          <w:rFonts w:ascii="Times New Roman" w:hAnsi="Times New Roman"/>
          <w:sz w:val="24"/>
          <w:szCs w:val="24"/>
        </w:rPr>
      </w:pPr>
      <w:r w:rsidRPr="0001674D">
        <w:rPr>
          <w:rFonts w:ascii="Times New Roman" w:hAnsi="Times New Roman"/>
          <w:iCs/>
          <w:sz w:val="24"/>
          <w:szCs w:val="24"/>
        </w:rPr>
        <w:t>The Festivals stream incorporates both Festivals Australia grants</w:t>
      </w:r>
      <w:r w:rsidRPr="0001674D">
        <w:rPr>
          <w:rFonts w:ascii="Times New Roman" w:hAnsi="Times New Roman"/>
          <w:sz w:val="24"/>
          <w:szCs w:val="24"/>
        </w:rPr>
        <w:t xml:space="preserve"> and the </w:t>
      </w:r>
      <w:r w:rsidRPr="0001674D">
        <w:rPr>
          <w:rFonts w:ascii="Times New Roman" w:hAnsi="Times New Roman"/>
          <w:iCs/>
          <w:sz w:val="24"/>
          <w:szCs w:val="24"/>
        </w:rPr>
        <w:t>Major Festivals Initiative.  Festivals Australia</w:t>
      </w:r>
      <w:r w:rsidRPr="0001674D">
        <w:rPr>
          <w:rFonts w:ascii="Times New Roman" w:hAnsi="Times New Roman"/>
          <w:sz w:val="24"/>
          <w:szCs w:val="24"/>
        </w:rPr>
        <w:t xml:space="preserve"> grants will support arts festivals in regional and remote areas, while the </w:t>
      </w:r>
      <w:r w:rsidRPr="0001674D">
        <w:rPr>
          <w:rFonts w:ascii="Times New Roman" w:hAnsi="Times New Roman"/>
          <w:iCs/>
          <w:sz w:val="24"/>
          <w:szCs w:val="24"/>
        </w:rPr>
        <w:t>Major Festivals Initiative</w:t>
      </w:r>
      <w:r w:rsidRPr="0001674D">
        <w:rPr>
          <w:rFonts w:ascii="Times New Roman" w:hAnsi="Times New Roman"/>
          <w:sz w:val="24"/>
          <w:szCs w:val="24"/>
        </w:rPr>
        <w:t xml:space="preserve"> will support the commissioning, development and showcasing of new Australian performing arts productions for Australia’s major international arts festivals in metropolitan areas.</w:t>
      </w:r>
    </w:p>
    <w:p w:rsidR="00712E69" w:rsidRPr="0001674D" w:rsidRDefault="00712E69" w:rsidP="00E669A7">
      <w:pPr>
        <w:spacing w:after="120"/>
        <w:contextualSpacing/>
        <w:rPr>
          <w:rFonts w:ascii="Times New Roman" w:hAnsi="Times New Roman"/>
          <w:b/>
          <w:sz w:val="24"/>
          <w:szCs w:val="24"/>
        </w:rPr>
      </w:pPr>
    </w:p>
    <w:p w:rsidR="00712E69" w:rsidRPr="0001674D" w:rsidRDefault="00712E69" w:rsidP="00E669A7">
      <w:pPr>
        <w:spacing w:after="120"/>
        <w:contextualSpacing/>
        <w:rPr>
          <w:rFonts w:ascii="Times New Roman" w:hAnsi="Times New Roman"/>
          <w:sz w:val="24"/>
          <w:szCs w:val="24"/>
        </w:rPr>
      </w:pPr>
      <w:r w:rsidRPr="0001674D">
        <w:rPr>
          <w:rFonts w:ascii="Times New Roman" w:hAnsi="Times New Roman"/>
          <w:sz w:val="24"/>
          <w:szCs w:val="24"/>
        </w:rPr>
        <w:t>Visions of Australia grants will support the touring of exhibitions to and from regional and remote Australia.</w:t>
      </w:r>
    </w:p>
    <w:p w:rsidR="00712E69" w:rsidRPr="0001674D" w:rsidRDefault="00712E69" w:rsidP="00E669A7">
      <w:pPr>
        <w:spacing w:after="120"/>
        <w:contextualSpacing/>
        <w:rPr>
          <w:rFonts w:ascii="Times New Roman" w:hAnsi="Times New Roman"/>
          <w:sz w:val="24"/>
          <w:szCs w:val="24"/>
        </w:rPr>
      </w:pPr>
    </w:p>
    <w:p w:rsidR="00712E69" w:rsidRPr="0001674D" w:rsidRDefault="00712E69" w:rsidP="00E669A7">
      <w:pPr>
        <w:spacing w:after="120"/>
        <w:contextualSpacing/>
        <w:rPr>
          <w:rFonts w:ascii="Times New Roman" w:hAnsi="Times New Roman"/>
          <w:sz w:val="24"/>
          <w:szCs w:val="24"/>
        </w:rPr>
      </w:pPr>
      <w:r w:rsidRPr="0001674D">
        <w:rPr>
          <w:rFonts w:ascii="Times New Roman" w:hAnsi="Times New Roman"/>
          <w:sz w:val="24"/>
          <w:szCs w:val="24"/>
        </w:rPr>
        <w:t xml:space="preserve">Two overarching conditions will apply to all streams of the programme: the delivery of a wide range of quality arts and cultural experiences that grow arts audiences throughout Australia and internationally; and the encouragement of greater private sector support and partnerships for the arts. </w:t>
      </w:r>
    </w:p>
    <w:p w:rsidR="00712E69" w:rsidRPr="0001674D" w:rsidRDefault="00712E69" w:rsidP="00E669A7">
      <w:pPr>
        <w:spacing w:after="120"/>
        <w:contextualSpacing/>
        <w:rPr>
          <w:rFonts w:ascii="Times New Roman" w:eastAsia="Times New Roman" w:hAnsi="Times New Roman"/>
          <w:sz w:val="24"/>
          <w:szCs w:val="24"/>
        </w:rPr>
      </w:pPr>
    </w:p>
    <w:p w:rsidR="00712E69" w:rsidRPr="0001674D" w:rsidRDefault="00712E69" w:rsidP="00E669A7">
      <w:pPr>
        <w:spacing w:after="120"/>
        <w:contextualSpacing/>
        <w:rPr>
          <w:rFonts w:ascii="Times New Roman" w:hAnsi="Times New Roman"/>
          <w:sz w:val="24"/>
          <w:szCs w:val="24"/>
        </w:rPr>
      </w:pPr>
      <w:r w:rsidRPr="0001674D">
        <w:rPr>
          <w:rFonts w:ascii="Times New Roman" w:hAnsi="Times New Roman"/>
          <w:sz w:val="24"/>
          <w:szCs w:val="24"/>
        </w:rPr>
        <w:t xml:space="preserve">Decisions for funding under the programme will be made by the Minister for the Arts on the basis of advice prepared by the Department, in accordance with the </w:t>
      </w:r>
      <w:r w:rsidRPr="0001674D">
        <w:rPr>
          <w:rFonts w:ascii="Times New Roman" w:hAnsi="Times New Roman"/>
          <w:i/>
          <w:sz w:val="24"/>
          <w:szCs w:val="24"/>
        </w:rPr>
        <w:t>Public Governance, Performance and Accountability Act 2013</w:t>
      </w:r>
      <w:r w:rsidRPr="0001674D">
        <w:rPr>
          <w:rFonts w:ascii="Times New Roman" w:hAnsi="Times New Roman"/>
          <w:sz w:val="24"/>
          <w:szCs w:val="24"/>
        </w:rPr>
        <w:t>.</w:t>
      </w:r>
    </w:p>
    <w:p w:rsidR="00712E69" w:rsidRPr="0001674D" w:rsidRDefault="00712E69" w:rsidP="00E669A7">
      <w:pPr>
        <w:spacing w:after="120"/>
        <w:contextualSpacing/>
        <w:rPr>
          <w:rFonts w:ascii="Times New Roman" w:hAnsi="Times New Roman"/>
          <w:sz w:val="24"/>
          <w:szCs w:val="24"/>
        </w:rPr>
      </w:pPr>
    </w:p>
    <w:p w:rsidR="00712E69" w:rsidRPr="0001674D" w:rsidRDefault="00712E69" w:rsidP="00E669A7">
      <w:pPr>
        <w:spacing w:after="120"/>
        <w:contextualSpacing/>
        <w:rPr>
          <w:rFonts w:ascii="Times New Roman" w:hAnsi="Times New Roman"/>
          <w:sz w:val="24"/>
          <w:szCs w:val="24"/>
        </w:rPr>
      </w:pPr>
      <w:r w:rsidRPr="0001674D">
        <w:rPr>
          <w:rFonts w:ascii="Times New Roman" w:hAnsi="Times New Roman"/>
          <w:sz w:val="24"/>
          <w:szCs w:val="24"/>
        </w:rPr>
        <w:t>Guidelines for the programme will be made publicly available on the Department’s website (www.arts.gov.au).  Grants will be published on the Grants Register on the Attorney</w:t>
      </w:r>
      <w:r w:rsidRPr="0001674D">
        <w:rPr>
          <w:rFonts w:ascii="Times New Roman" w:hAnsi="Times New Roman"/>
          <w:sz w:val="24"/>
          <w:szCs w:val="24"/>
        </w:rPr>
        <w:noBreakHyphen/>
        <w:t xml:space="preserve">General’s Department website within 14 days of the grant agreement taking effect, in line with the </w:t>
      </w:r>
      <w:r w:rsidRPr="0001674D">
        <w:rPr>
          <w:rFonts w:ascii="Times New Roman" w:hAnsi="Times New Roman"/>
          <w:i/>
          <w:sz w:val="24"/>
          <w:szCs w:val="24"/>
        </w:rPr>
        <w:t>Commonwealth Grants Rules and Guidelines</w:t>
      </w:r>
      <w:r w:rsidRPr="0001674D">
        <w:rPr>
          <w:rFonts w:ascii="Times New Roman" w:hAnsi="Times New Roman"/>
          <w:sz w:val="24"/>
          <w:szCs w:val="24"/>
        </w:rPr>
        <w:t xml:space="preserve">.  Information on complaints and how they will be dealt with will form part of the guidelines. </w:t>
      </w:r>
    </w:p>
    <w:p w:rsidR="00712E69" w:rsidRPr="0001674D" w:rsidRDefault="00712E69" w:rsidP="00E669A7">
      <w:pPr>
        <w:spacing w:after="120"/>
        <w:contextualSpacing/>
        <w:rPr>
          <w:rFonts w:ascii="Times New Roman" w:hAnsi="Times New Roman"/>
          <w:sz w:val="24"/>
          <w:szCs w:val="24"/>
          <w:lang w:eastAsia="en-US"/>
        </w:rPr>
      </w:pPr>
    </w:p>
    <w:p w:rsidR="00861515" w:rsidRPr="0001674D" w:rsidRDefault="00712E69" w:rsidP="00E669A7">
      <w:pPr>
        <w:spacing w:after="120"/>
        <w:contextualSpacing/>
        <w:rPr>
          <w:rFonts w:ascii="Times New Roman" w:eastAsiaTheme="minorHAnsi" w:hAnsi="Times New Roman"/>
          <w:sz w:val="24"/>
          <w:szCs w:val="24"/>
          <w:lang w:eastAsia="en-US"/>
        </w:rPr>
      </w:pPr>
      <w:r w:rsidRPr="0001674D">
        <w:rPr>
          <w:rFonts w:ascii="Times New Roman" w:eastAsiaTheme="minorHAnsi" w:hAnsi="Times New Roman"/>
          <w:sz w:val="24"/>
          <w:szCs w:val="24"/>
          <w:lang w:eastAsia="en-US"/>
        </w:rPr>
        <w:t xml:space="preserve">Funding for the </w:t>
      </w:r>
      <w:r w:rsidR="00BB5E38">
        <w:rPr>
          <w:rFonts w:ascii="Times New Roman" w:eastAsiaTheme="minorHAnsi" w:hAnsi="Times New Roman"/>
          <w:sz w:val="24"/>
          <w:szCs w:val="24"/>
          <w:lang w:eastAsia="en-US"/>
        </w:rPr>
        <w:t>p</w:t>
      </w:r>
      <w:r w:rsidRPr="0001674D">
        <w:rPr>
          <w:rFonts w:ascii="Times New Roman" w:eastAsiaTheme="minorHAnsi" w:hAnsi="Times New Roman"/>
          <w:sz w:val="24"/>
          <w:szCs w:val="24"/>
          <w:lang w:eastAsia="en-US"/>
        </w:rPr>
        <w:t xml:space="preserve">rogramme will come from </w:t>
      </w:r>
      <w:r w:rsidRPr="0001674D">
        <w:rPr>
          <w:rFonts w:ascii="Times New Roman" w:hAnsi="Times New Roman"/>
          <w:sz w:val="24"/>
          <w:szCs w:val="24"/>
        </w:rPr>
        <w:t>Programme</w:t>
      </w:r>
      <w:r w:rsidRPr="0001674D">
        <w:rPr>
          <w:rFonts w:ascii="Times New Roman" w:eastAsiaTheme="minorHAnsi" w:hAnsi="Times New Roman"/>
          <w:sz w:val="24"/>
          <w:szCs w:val="24"/>
          <w:lang w:eastAsia="en-US"/>
        </w:rPr>
        <w:t xml:space="preserve"> 2.1: Arts and Cultural Development which is part of Outcome 2: </w:t>
      </w:r>
      <w:r w:rsidRPr="0001674D">
        <w:rPr>
          <w:rFonts w:ascii="Times New Roman" w:hAnsi="Times New Roman"/>
          <w:sz w:val="24"/>
          <w:szCs w:val="24"/>
        </w:rPr>
        <w:t>Participation in, and access to, Australia’s arts and culture through developing and supporting cultural expression</w:t>
      </w:r>
      <w:r w:rsidRPr="0001674D">
        <w:rPr>
          <w:rFonts w:ascii="Times New Roman" w:eastAsiaTheme="minorHAnsi" w:hAnsi="Times New Roman"/>
          <w:sz w:val="24"/>
          <w:szCs w:val="24"/>
          <w:lang w:eastAsia="en-US"/>
        </w:rPr>
        <w:t xml:space="preserve">.  Funding details are set out in the </w:t>
      </w:r>
      <w:r w:rsidRPr="0001674D">
        <w:rPr>
          <w:rFonts w:ascii="Times New Roman" w:eastAsiaTheme="minorHAnsi" w:hAnsi="Times New Roman"/>
          <w:i/>
          <w:sz w:val="24"/>
          <w:szCs w:val="24"/>
          <w:lang w:eastAsia="en-US"/>
        </w:rPr>
        <w:t xml:space="preserve">Portfolio Budget Estimates 2015-16, Budget Related Paper No. 1.2, Attorney-General’s Portfolio </w:t>
      </w:r>
      <w:r w:rsidRPr="0001674D">
        <w:rPr>
          <w:rFonts w:ascii="Times New Roman" w:eastAsiaTheme="minorHAnsi" w:hAnsi="Times New Roman"/>
          <w:sz w:val="24"/>
          <w:szCs w:val="24"/>
          <w:lang w:eastAsia="en-US"/>
        </w:rPr>
        <w:t>at page 40.</w:t>
      </w:r>
    </w:p>
    <w:p w:rsidR="00712E69" w:rsidRDefault="00712E69" w:rsidP="00E669A7">
      <w:pPr>
        <w:spacing w:after="120"/>
        <w:contextualSpacing/>
        <w:rPr>
          <w:rFonts w:ascii="Times New Roman" w:eastAsiaTheme="minorHAnsi" w:hAnsi="Times New Roman"/>
          <w:sz w:val="24"/>
          <w:szCs w:val="24"/>
          <w:lang w:eastAsia="en-US"/>
        </w:rPr>
      </w:pPr>
    </w:p>
    <w:p w:rsidR="002A0567" w:rsidRPr="00A35D03" w:rsidRDefault="002A0567" w:rsidP="002A0567">
      <w:pPr>
        <w:rPr>
          <w:rFonts w:ascii="Times New Roman" w:hAnsi="Times New Roman"/>
          <w:sz w:val="24"/>
          <w:szCs w:val="24"/>
        </w:rPr>
      </w:pPr>
      <w:r w:rsidRPr="00A35D03">
        <w:rPr>
          <w:rFonts w:ascii="Times New Roman" w:hAnsi="Times New Roman"/>
          <w:sz w:val="24"/>
          <w:szCs w:val="24"/>
        </w:rPr>
        <w:t>Noting that it is not a comprehensive statement of relevant constitutional considerations, the objective of the item references the following powers of the Constitution:</w:t>
      </w:r>
    </w:p>
    <w:p w:rsidR="002A0567" w:rsidRPr="00A35D03" w:rsidRDefault="002A0567" w:rsidP="002A0567">
      <w:pPr>
        <w:pStyle w:val="ListParagraph"/>
        <w:numPr>
          <w:ilvl w:val="0"/>
          <w:numId w:val="29"/>
        </w:numPr>
        <w:contextualSpacing w:val="0"/>
        <w:rPr>
          <w:rFonts w:cs="Times New Roman"/>
          <w:szCs w:val="24"/>
        </w:rPr>
      </w:pPr>
      <w:r w:rsidRPr="00A35D03">
        <w:rPr>
          <w:rFonts w:cs="Times New Roman"/>
          <w:szCs w:val="24"/>
        </w:rPr>
        <w:t>the Commonwealth executive power and the express incidental power (sections 61 and 51(xxxix));</w:t>
      </w:r>
    </w:p>
    <w:p w:rsidR="002A0567" w:rsidRPr="00A35D03" w:rsidRDefault="002A0567" w:rsidP="002A0567">
      <w:pPr>
        <w:pStyle w:val="ListParagraph"/>
        <w:numPr>
          <w:ilvl w:val="0"/>
          <w:numId w:val="29"/>
        </w:numPr>
        <w:contextualSpacing w:val="0"/>
        <w:rPr>
          <w:rFonts w:cs="Times New Roman"/>
          <w:szCs w:val="24"/>
        </w:rPr>
      </w:pPr>
      <w:r w:rsidRPr="00A35D03">
        <w:rPr>
          <w:rFonts w:cs="Times New Roman"/>
          <w:szCs w:val="24"/>
        </w:rPr>
        <w:t>the aliens power (section 51(xix));</w:t>
      </w:r>
    </w:p>
    <w:p w:rsidR="002A0567" w:rsidRPr="00A35D03" w:rsidRDefault="002A0567" w:rsidP="002A0567">
      <w:pPr>
        <w:pStyle w:val="ListParagraph"/>
        <w:numPr>
          <w:ilvl w:val="0"/>
          <w:numId w:val="29"/>
        </w:numPr>
        <w:contextualSpacing w:val="0"/>
        <w:rPr>
          <w:rFonts w:cs="Times New Roman"/>
          <w:szCs w:val="24"/>
        </w:rPr>
      </w:pPr>
      <w:r w:rsidRPr="00A35D03">
        <w:rPr>
          <w:rFonts w:cs="Times New Roman"/>
          <w:szCs w:val="24"/>
        </w:rPr>
        <w:t xml:space="preserve">the trade and commerce power (section 51(i)); </w:t>
      </w:r>
    </w:p>
    <w:p w:rsidR="002A0567" w:rsidRPr="00A35D03" w:rsidRDefault="002A0567" w:rsidP="002A0567">
      <w:pPr>
        <w:pStyle w:val="ListParagraph"/>
        <w:numPr>
          <w:ilvl w:val="0"/>
          <w:numId w:val="29"/>
        </w:numPr>
        <w:contextualSpacing w:val="0"/>
        <w:rPr>
          <w:rFonts w:cs="Times New Roman"/>
          <w:szCs w:val="24"/>
        </w:rPr>
      </w:pPr>
      <w:r w:rsidRPr="00A35D03">
        <w:rPr>
          <w:rFonts w:cs="Times New Roman"/>
          <w:szCs w:val="24"/>
        </w:rPr>
        <w:t>the territories power (section 122); and</w:t>
      </w:r>
    </w:p>
    <w:p w:rsidR="002A0567" w:rsidRPr="00A35D03" w:rsidRDefault="002A0567" w:rsidP="002A0567">
      <w:pPr>
        <w:pStyle w:val="ListParagraph"/>
        <w:numPr>
          <w:ilvl w:val="0"/>
          <w:numId w:val="29"/>
        </w:numPr>
        <w:contextualSpacing w:val="0"/>
        <w:rPr>
          <w:rFonts w:cs="Times New Roman"/>
          <w:szCs w:val="24"/>
        </w:rPr>
      </w:pPr>
      <w:r w:rsidRPr="00A35D03">
        <w:rPr>
          <w:rFonts w:cs="Times New Roman"/>
          <w:szCs w:val="24"/>
        </w:rPr>
        <w:t>the external affairs power (section 51(xxix)).</w:t>
      </w:r>
    </w:p>
    <w:p w:rsidR="002A0567" w:rsidRPr="0001674D" w:rsidRDefault="002A0567" w:rsidP="00E669A7">
      <w:pPr>
        <w:spacing w:after="120"/>
        <w:contextualSpacing/>
        <w:rPr>
          <w:rFonts w:ascii="Times New Roman" w:eastAsiaTheme="minorHAnsi" w:hAnsi="Times New Roman"/>
          <w:sz w:val="24"/>
          <w:szCs w:val="24"/>
          <w:lang w:eastAsia="en-US"/>
        </w:rPr>
      </w:pPr>
    </w:p>
    <w:p w:rsidR="00712E69" w:rsidRPr="0001674D" w:rsidRDefault="00712E69" w:rsidP="00E669A7">
      <w:pPr>
        <w:spacing w:after="120"/>
        <w:contextualSpacing/>
        <w:rPr>
          <w:rFonts w:ascii="Times New Roman" w:eastAsia="Times New Roman" w:hAnsi="Times New Roman"/>
          <w:color w:val="000000" w:themeColor="text1"/>
          <w:sz w:val="24"/>
          <w:szCs w:val="24"/>
        </w:rPr>
      </w:pPr>
      <w:r w:rsidRPr="0001674D">
        <w:rPr>
          <w:rFonts w:ascii="Times New Roman" w:hAnsi="Times New Roman"/>
          <w:color w:val="000000" w:themeColor="text1"/>
          <w:sz w:val="24"/>
          <w:szCs w:val="24"/>
        </w:rPr>
        <w:t xml:space="preserve">New </w:t>
      </w:r>
      <w:r w:rsidRPr="0001674D">
        <w:rPr>
          <w:rFonts w:ascii="Times New Roman" w:hAnsi="Times New Roman"/>
          <w:b/>
          <w:color w:val="000000" w:themeColor="text1"/>
          <w:sz w:val="24"/>
          <w:szCs w:val="24"/>
        </w:rPr>
        <w:t xml:space="preserve">table item 89 </w:t>
      </w:r>
      <w:r w:rsidRPr="0001674D">
        <w:rPr>
          <w:rFonts w:ascii="Times New Roman" w:eastAsia="Times New Roman" w:hAnsi="Times New Roman"/>
          <w:color w:val="000000" w:themeColor="text1"/>
          <w:sz w:val="24"/>
          <w:szCs w:val="24"/>
        </w:rPr>
        <w:t xml:space="preserve">establishes legislative authority for the Government to provide funding for a matched funding programme, to be administered by Creative Partnerships Australia (CPA) under a grant agreement with the Attorney-General’s Department.  </w:t>
      </w:r>
      <w:r w:rsidR="002B3CF2">
        <w:rPr>
          <w:rFonts w:ascii="Times New Roman" w:eastAsia="Times New Roman" w:hAnsi="Times New Roman"/>
          <w:color w:val="000000" w:themeColor="text1"/>
          <w:sz w:val="24"/>
          <w:szCs w:val="24"/>
        </w:rPr>
        <w:br/>
      </w:r>
      <w:r w:rsidRPr="0001674D">
        <w:rPr>
          <w:rFonts w:ascii="Times New Roman" w:eastAsia="Times New Roman" w:hAnsi="Times New Roman"/>
          <w:color w:val="000000" w:themeColor="text1"/>
          <w:sz w:val="24"/>
          <w:szCs w:val="24"/>
        </w:rPr>
        <w:t>CPA is the arts portfolio agency established with the express purpose of encouraging and facilitating private giving, social investment and philanthropy for the arts in Australia.</w:t>
      </w:r>
    </w:p>
    <w:p w:rsidR="00712E69" w:rsidRPr="0001674D" w:rsidRDefault="00712E69" w:rsidP="00E669A7">
      <w:pPr>
        <w:spacing w:after="120"/>
        <w:contextualSpacing/>
        <w:rPr>
          <w:rFonts w:ascii="Times New Roman" w:hAnsi="Times New Roman"/>
          <w:sz w:val="24"/>
          <w:szCs w:val="24"/>
        </w:rPr>
      </w:pPr>
    </w:p>
    <w:p w:rsidR="00712E69" w:rsidRPr="0001674D" w:rsidRDefault="00712E69" w:rsidP="00E669A7">
      <w:pPr>
        <w:spacing w:after="120"/>
        <w:contextualSpacing/>
        <w:rPr>
          <w:rFonts w:ascii="Times New Roman" w:hAnsi="Times New Roman"/>
          <w:sz w:val="24"/>
          <w:szCs w:val="24"/>
        </w:rPr>
      </w:pPr>
      <w:r w:rsidRPr="0001674D">
        <w:rPr>
          <w:rFonts w:ascii="Times New Roman" w:hAnsi="Times New Roman"/>
          <w:sz w:val="24"/>
          <w:szCs w:val="24"/>
        </w:rPr>
        <w:t>The Government has allocated $5.3 million over three years for CPA to continue to deliver matched funding initiatives to support projects that develop the arts sector’s capacity to use innovative fundraising strategies and build partnerships with the corporate and philanthropic sectors.  By offering the incentive of government grants pledged to match contributions raised from the philanthropic and corporate supporters, this funding will increase arts organisations’ fundraising capacity and help to encourage a broader culture of giving to the arts.</w:t>
      </w:r>
    </w:p>
    <w:p w:rsidR="00712E69" w:rsidRPr="0001674D" w:rsidRDefault="00712E69" w:rsidP="00E669A7">
      <w:pPr>
        <w:spacing w:after="120"/>
        <w:contextualSpacing/>
        <w:rPr>
          <w:rFonts w:ascii="Times New Roman" w:hAnsi="Times New Roman"/>
          <w:sz w:val="24"/>
          <w:szCs w:val="24"/>
        </w:rPr>
      </w:pPr>
    </w:p>
    <w:p w:rsidR="00712E69" w:rsidRPr="0001674D" w:rsidRDefault="00712E69" w:rsidP="00E669A7">
      <w:pPr>
        <w:spacing w:after="120"/>
        <w:contextualSpacing/>
        <w:rPr>
          <w:rFonts w:ascii="Times New Roman" w:hAnsi="Times New Roman"/>
          <w:sz w:val="24"/>
          <w:szCs w:val="24"/>
        </w:rPr>
      </w:pPr>
      <w:r w:rsidRPr="0001674D">
        <w:rPr>
          <w:rFonts w:ascii="Times New Roman" w:hAnsi="Times New Roman"/>
          <w:sz w:val="24"/>
          <w:szCs w:val="24"/>
        </w:rPr>
        <w:t>The grant to CPA for this purpose will be published on the Grants Register on the Attorney</w:t>
      </w:r>
      <w:r w:rsidRPr="0001674D">
        <w:rPr>
          <w:rFonts w:ascii="Times New Roman" w:hAnsi="Times New Roman"/>
          <w:sz w:val="24"/>
          <w:szCs w:val="24"/>
        </w:rPr>
        <w:noBreakHyphen/>
        <w:t xml:space="preserve">General’s Department website within 14 days of the grant agreement taking effect, in line with the </w:t>
      </w:r>
      <w:r w:rsidRPr="0001674D">
        <w:rPr>
          <w:rFonts w:ascii="Times New Roman" w:hAnsi="Times New Roman"/>
          <w:i/>
          <w:sz w:val="24"/>
          <w:szCs w:val="24"/>
        </w:rPr>
        <w:t>Commonwealth Grants Rules and Guidelines</w:t>
      </w:r>
      <w:r w:rsidRPr="0001674D">
        <w:rPr>
          <w:rFonts w:ascii="Times New Roman" w:hAnsi="Times New Roman"/>
          <w:sz w:val="24"/>
          <w:szCs w:val="24"/>
        </w:rPr>
        <w:t>.</w:t>
      </w:r>
    </w:p>
    <w:p w:rsidR="00712E69" w:rsidRPr="0001674D" w:rsidRDefault="00712E69" w:rsidP="00AE031A">
      <w:pPr>
        <w:contextualSpacing/>
        <w:rPr>
          <w:rFonts w:ascii="Times New Roman" w:hAnsi="Times New Roman"/>
          <w:sz w:val="24"/>
          <w:szCs w:val="24"/>
        </w:rPr>
      </w:pPr>
    </w:p>
    <w:p w:rsidR="00712E69" w:rsidRPr="0001674D" w:rsidRDefault="00712E69" w:rsidP="00AE031A">
      <w:pPr>
        <w:contextualSpacing/>
        <w:rPr>
          <w:rFonts w:ascii="Times New Roman" w:hAnsi="Times New Roman"/>
          <w:sz w:val="24"/>
          <w:szCs w:val="24"/>
        </w:rPr>
      </w:pPr>
      <w:r w:rsidRPr="0001674D">
        <w:rPr>
          <w:rFonts w:ascii="Times New Roman" w:hAnsi="Times New Roman"/>
          <w:sz w:val="24"/>
          <w:szCs w:val="24"/>
        </w:rPr>
        <w:t xml:space="preserve">More information on CPA’s delivery of matched funding initiatives is available at </w:t>
      </w:r>
      <w:r w:rsidRPr="0001674D">
        <w:rPr>
          <w:rStyle w:val="Hyperlink"/>
          <w:rFonts w:ascii="Times New Roman" w:hAnsi="Times New Roman"/>
          <w:color w:val="auto"/>
          <w:sz w:val="24"/>
          <w:szCs w:val="24"/>
          <w:u w:val="none"/>
        </w:rPr>
        <w:t>www.creativepartnershipsaustralia.org.au</w:t>
      </w:r>
      <w:r w:rsidRPr="0001674D">
        <w:rPr>
          <w:rFonts w:ascii="Times New Roman" w:hAnsi="Times New Roman"/>
          <w:sz w:val="24"/>
          <w:szCs w:val="24"/>
        </w:rPr>
        <w:t xml:space="preserve">.  CPA will publish comprehensive guidelines, including information on processes for dealing with complaints, when seeking applications for matched funding in 2015-16 and beyond.  The guidelines will be available at </w:t>
      </w:r>
      <w:r w:rsidRPr="0001674D">
        <w:rPr>
          <w:rStyle w:val="Hyperlink"/>
          <w:rFonts w:ascii="Times New Roman" w:hAnsi="Times New Roman"/>
          <w:color w:val="auto"/>
          <w:sz w:val="24"/>
          <w:szCs w:val="24"/>
          <w:u w:val="none"/>
        </w:rPr>
        <w:t>www.creativepartnershipsaustralia.org.au</w:t>
      </w:r>
      <w:r w:rsidRPr="0001674D">
        <w:rPr>
          <w:rFonts w:ascii="Times New Roman" w:hAnsi="Times New Roman"/>
          <w:sz w:val="24"/>
          <w:szCs w:val="24"/>
        </w:rPr>
        <w:t>.</w:t>
      </w:r>
    </w:p>
    <w:p w:rsidR="00712E69" w:rsidRPr="0001674D" w:rsidRDefault="00712E69" w:rsidP="00AE031A">
      <w:pPr>
        <w:pStyle w:val="Default"/>
        <w:tabs>
          <w:tab w:val="left" w:pos="5820"/>
        </w:tabs>
        <w:contextualSpacing/>
        <w:rPr>
          <w:rFonts w:ascii="Times New Roman" w:hAnsi="Times New Roman" w:cs="Times New Roman"/>
        </w:rPr>
      </w:pPr>
    </w:p>
    <w:p w:rsidR="00712E69" w:rsidRPr="0001674D" w:rsidRDefault="00712E69" w:rsidP="00AE031A">
      <w:pPr>
        <w:pStyle w:val="Default"/>
        <w:tabs>
          <w:tab w:val="left" w:pos="5820"/>
        </w:tabs>
        <w:contextualSpacing/>
        <w:rPr>
          <w:rFonts w:ascii="Times New Roman" w:hAnsi="Times New Roman" w:cs="Times New Roman"/>
          <w:u w:val="single"/>
        </w:rPr>
      </w:pPr>
      <w:r w:rsidRPr="0001674D">
        <w:rPr>
          <w:rFonts w:ascii="Times New Roman" w:hAnsi="Times New Roman" w:cs="Times New Roman"/>
        </w:rPr>
        <w:t xml:space="preserve">Funding for the </w:t>
      </w:r>
      <w:r w:rsidR="00CE1170">
        <w:rPr>
          <w:rFonts w:ascii="Times New Roman" w:hAnsi="Times New Roman" w:cs="Times New Roman"/>
        </w:rPr>
        <w:t>p</w:t>
      </w:r>
      <w:r w:rsidRPr="0001674D">
        <w:rPr>
          <w:rFonts w:ascii="Times New Roman" w:hAnsi="Times New Roman" w:cs="Times New Roman"/>
        </w:rPr>
        <w:t xml:space="preserve">rogramme is from Programme 2.1: Arts and Cultural Development: Matched Funding Programme which comes under Outcome 2: Participation in, and access to, Australia’s arts and culture through developing and supporting cultural expression.  Funding details are set out in the </w:t>
      </w:r>
      <w:r w:rsidRPr="0001674D">
        <w:rPr>
          <w:rFonts w:ascii="Times New Roman" w:hAnsi="Times New Roman" w:cs="Times New Roman"/>
          <w:i/>
        </w:rPr>
        <w:t xml:space="preserve">Portfolio Budget Statements 2015-16 Budget Related Paper No. 1.2, Attorney-General’s Portfolio </w:t>
      </w:r>
      <w:r w:rsidRPr="0001674D">
        <w:rPr>
          <w:rFonts w:ascii="Times New Roman" w:hAnsi="Times New Roman" w:cs="Times New Roman"/>
        </w:rPr>
        <w:t>at page 38.</w:t>
      </w:r>
      <w:r w:rsidRPr="0001674D">
        <w:rPr>
          <w:rFonts w:ascii="Times New Roman" w:hAnsi="Times New Roman" w:cs="Times New Roman"/>
          <w:i/>
        </w:rPr>
        <w:t xml:space="preserve"> </w:t>
      </w:r>
      <w:r w:rsidRPr="0001674D">
        <w:rPr>
          <w:rFonts w:ascii="Times New Roman" w:hAnsi="Times New Roman" w:cs="Times New Roman"/>
          <w:u w:val="single"/>
        </w:rPr>
        <w:t xml:space="preserve"> </w:t>
      </w:r>
    </w:p>
    <w:p w:rsidR="00712E69" w:rsidRPr="0001674D" w:rsidRDefault="00712E69" w:rsidP="00AE031A">
      <w:pPr>
        <w:pStyle w:val="Default"/>
        <w:tabs>
          <w:tab w:val="left" w:pos="5820"/>
        </w:tabs>
        <w:contextualSpacing/>
        <w:rPr>
          <w:rFonts w:ascii="Times New Roman" w:hAnsi="Times New Roman" w:cs="Times New Roman"/>
        </w:rPr>
      </w:pPr>
    </w:p>
    <w:p w:rsidR="00E669A7" w:rsidRDefault="00712E69" w:rsidP="00AE031A">
      <w:pPr>
        <w:pStyle w:val="Default"/>
        <w:tabs>
          <w:tab w:val="left" w:pos="5820"/>
        </w:tabs>
        <w:contextualSpacing/>
        <w:rPr>
          <w:rFonts w:ascii="Times New Roman" w:hAnsi="Times New Roman" w:cs="Times New Roman"/>
        </w:rPr>
      </w:pPr>
      <w:r w:rsidRPr="0001674D">
        <w:rPr>
          <w:rFonts w:ascii="Times New Roman" w:hAnsi="Times New Roman" w:cs="Times New Roman"/>
        </w:rPr>
        <w:t>Noting that it is not a comprehensive statement of relevant constitutional considerations, the objective of the item references the Commonwealth executive power and the express incidental power (sections 61 and 51(xxxix)) of the Constitution.</w:t>
      </w:r>
    </w:p>
    <w:p w:rsidR="00E669A7" w:rsidRDefault="00E669A7" w:rsidP="00AE031A">
      <w:pPr>
        <w:pStyle w:val="Default"/>
        <w:tabs>
          <w:tab w:val="left" w:pos="5820"/>
        </w:tabs>
        <w:contextualSpacing/>
        <w:rPr>
          <w:rFonts w:ascii="Times New Roman" w:hAnsi="Times New Roman" w:cs="Times New Roman"/>
        </w:rPr>
      </w:pPr>
    </w:p>
    <w:p w:rsidR="00E669A7" w:rsidRPr="00E669A7" w:rsidRDefault="00712E69" w:rsidP="00AE031A">
      <w:pPr>
        <w:pStyle w:val="Default"/>
        <w:tabs>
          <w:tab w:val="left" w:pos="5820"/>
        </w:tabs>
        <w:contextualSpacing/>
        <w:rPr>
          <w:rFonts w:ascii="Times New Roman" w:hAnsi="Times New Roman" w:cs="Times New Roman"/>
        </w:rPr>
      </w:pPr>
      <w:r w:rsidRPr="00E669A7">
        <w:rPr>
          <w:rFonts w:ascii="Times New Roman" w:hAnsi="Times New Roman" w:cs="Times New Roman"/>
        </w:rPr>
        <w:t xml:space="preserve">New </w:t>
      </w:r>
      <w:r w:rsidRPr="00E669A7">
        <w:rPr>
          <w:rFonts w:ascii="Times New Roman" w:hAnsi="Times New Roman" w:cs="Times New Roman"/>
          <w:b/>
        </w:rPr>
        <w:t>table item 90</w:t>
      </w:r>
      <w:r w:rsidRPr="00E669A7">
        <w:rPr>
          <w:rFonts w:ascii="Times New Roman" w:hAnsi="Times New Roman" w:cs="Times New Roman"/>
        </w:rPr>
        <w:t xml:space="preserve"> establishes legislative authority for the Government to provide funding for the Individual Placement and Support (IPS) Trial to assist young people with mental illness to remain in education or employment, or to transition to employment.  The trial is a component of the Youth Employment Strategy – Intensive Support for Vulnerable Job Seekers under the Government’s Growing Jobs and Small Business Package, and will be administered by the Department of Social Services.</w:t>
      </w:r>
    </w:p>
    <w:p w:rsidR="00E669A7" w:rsidRPr="00E669A7" w:rsidRDefault="00E669A7" w:rsidP="00AE031A">
      <w:pPr>
        <w:pStyle w:val="Default"/>
        <w:tabs>
          <w:tab w:val="left" w:pos="5820"/>
        </w:tabs>
        <w:contextualSpacing/>
        <w:rPr>
          <w:rFonts w:ascii="Times New Roman" w:hAnsi="Times New Roman" w:cs="Times New Roman"/>
        </w:rPr>
      </w:pPr>
    </w:p>
    <w:p w:rsidR="00E669A7" w:rsidRPr="00E669A7" w:rsidRDefault="00712E69" w:rsidP="00AE031A">
      <w:pPr>
        <w:pStyle w:val="Default"/>
        <w:tabs>
          <w:tab w:val="left" w:pos="5820"/>
        </w:tabs>
        <w:contextualSpacing/>
        <w:rPr>
          <w:rFonts w:ascii="Times New Roman" w:hAnsi="Times New Roman" w:cs="Times New Roman"/>
          <w:lang w:eastAsia="en-AU"/>
        </w:rPr>
      </w:pPr>
      <w:r w:rsidRPr="00E669A7">
        <w:rPr>
          <w:rFonts w:ascii="Times New Roman" w:hAnsi="Times New Roman" w:cs="Times New Roman"/>
        </w:rPr>
        <w:t>Under the trial, professional employment specialists will be integrated into clinically</w:t>
      </w:r>
      <w:r w:rsidRPr="00E669A7">
        <w:rPr>
          <w:rFonts w:ascii="Times New Roman" w:hAnsi="Times New Roman" w:cs="Times New Roman"/>
        </w:rPr>
        <w:noBreakHyphen/>
        <w:t>focused, youth mental health services throughout Australia.  The trial will commence in 2015-16 and, once fully implemented, will</w:t>
      </w:r>
      <w:r w:rsidRPr="00E669A7">
        <w:rPr>
          <w:rFonts w:ascii="Times New Roman" w:hAnsi="Times New Roman" w:cs="Times New Roman"/>
          <w:lang w:eastAsia="en-AU"/>
        </w:rPr>
        <w:t xml:space="preserve"> aim to assist at least 2,000 participants per year.</w:t>
      </w:r>
    </w:p>
    <w:p w:rsidR="00E669A7" w:rsidRPr="00E669A7" w:rsidRDefault="00E669A7" w:rsidP="00AE031A">
      <w:pPr>
        <w:pStyle w:val="Default"/>
        <w:tabs>
          <w:tab w:val="left" w:pos="5820"/>
        </w:tabs>
        <w:contextualSpacing/>
        <w:rPr>
          <w:rFonts w:ascii="Times New Roman" w:hAnsi="Times New Roman" w:cs="Times New Roman"/>
          <w:lang w:eastAsia="en-AU"/>
        </w:rPr>
      </w:pPr>
    </w:p>
    <w:p w:rsidR="00E669A7" w:rsidRPr="00E669A7" w:rsidRDefault="00712E69" w:rsidP="00AE031A">
      <w:pPr>
        <w:pStyle w:val="Default"/>
        <w:tabs>
          <w:tab w:val="left" w:pos="5820"/>
        </w:tabs>
        <w:contextualSpacing/>
        <w:rPr>
          <w:rFonts w:ascii="Times New Roman" w:hAnsi="Times New Roman" w:cs="Times New Roman"/>
          <w:lang w:eastAsia="en-AU"/>
        </w:rPr>
      </w:pPr>
      <w:r w:rsidRPr="00E669A7">
        <w:rPr>
          <w:rFonts w:ascii="Times New Roman" w:hAnsi="Times New Roman" w:cs="Times New Roman"/>
          <w:lang w:eastAsia="en-AU"/>
        </w:rPr>
        <w:t xml:space="preserve">The trial will provide career advice and employment support to assist young people up to the age of 25 years with mental illness to transition to employment, or to remain in education or employment.  Vocational assistance will be provided together with clinical mental health services and non-vocational support, and will be based on the needs of the individual seeking assistance.  </w:t>
      </w:r>
    </w:p>
    <w:p w:rsidR="00E669A7" w:rsidRPr="00E669A7" w:rsidRDefault="00E669A7" w:rsidP="00AE031A">
      <w:pPr>
        <w:pStyle w:val="Default"/>
        <w:tabs>
          <w:tab w:val="left" w:pos="5820"/>
        </w:tabs>
        <w:contextualSpacing/>
        <w:rPr>
          <w:rFonts w:ascii="Times New Roman" w:hAnsi="Times New Roman" w:cs="Times New Roman"/>
          <w:lang w:eastAsia="en-AU"/>
        </w:rPr>
      </w:pPr>
    </w:p>
    <w:p w:rsidR="00E669A7" w:rsidRPr="00E669A7" w:rsidRDefault="00712E69" w:rsidP="00AE031A">
      <w:pPr>
        <w:pStyle w:val="Default"/>
        <w:tabs>
          <w:tab w:val="left" w:pos="5820"/>
        </w:tabs>
        <w:contextualSpacing/>
        <w:rPr>
          <w:rFonts w:ascii="Times New Roman" w:hAnsi="Times New Roman" w:cs="Times New Roman"/>
          <w:lang w:eastAsia="en-AU"/>
        </w:rPr>
      </w:pPr>
      <w:r w:rsidRPr="00E669A7">
        <w:rPr>
          <w:rFonts w:ascii="Times New Roman" w:hAnsi="Times New Roman" w:cs="Times New Roman"/>
          <w:lang w:eastAsia="en-AU"/>
        </w:rPr>
        <w:t>The trial will also involve associated research and a concurrent evaluation of the trial.  Appropriate support and training in the delivery of the IPS model will also be provided to the employment specialists and youth mental health services in the trial sites.</w:t>
      </w:r>
    </w:p>
    <w:p w:rsidR="0060188E" w:rsidRDefault="0060188E">
      <w:pPr>
        <w:spacing w:after="200" w:line="276" w:lineRule="auto"/>
        <w:rPr>
          <w:rFonts w:ascii="Times New Roman" w:eastAsiaTheme="minorHAnsi" w:hAnsi="Times New Roman"/>
          <w:color w:val="000000"/>
          <w:sz w:val="24"/>
          <w:szCs w:val="24"/>
        </w:rPr>
      </w:pPr>
      <w:r>
        <w:rPr>
          <w:rFonts w:ascii="Times New Roman" w:hAnsi="Times New Roman"/>
        </w:rPr>
        <w:br w:type="page"/>
      </w:r>
    </w:p>
    <w:p w:rsidR="00E669A7" w:rsidRPr="00E669A7" w:rsidRDefault="00712E69" w:rsidP="00AE031A">
      <w:pPr>
        <w:pStyle w:val="Default"/>
        <w:tabs>
          <w:tab w:val="left" w:pos="5820"/>
        </w:tabs>
        <w:contextualSpacing/>
        <w:rPr>
          <w:rFonts w:ascii="Times New Roman" w:hAnsi="Times New Roman" w:cs="Times New Roman"/>
          <w:lang w:eastAsia="en-AU"/>
        </w:rPr>
      </w:pPr>
      <w:r w:rsidRPr="00E669A7">
        <w:rPr>
          <w:rFonts w:ascii="Times New Roman" w:hAnsi="Times New Roman" w:cs="Times New Roman"/>
          <w:lang w:eastAsia="en-AU"/>
        </w:rPr>
        <w:t xml:space="preserve">Grants will be made in accordance with the </w:t>
      </w:r>
      <w:r w:rsidRPr="00E669A7">
        <w:rPr>
          <w:rFonts w:ascii="Times New Roman" w:hAnsi="Times New Roman" w:cs="Times New Roman"/>
          <w:i/>
          <w:lang w:eastAsia="en-AU"/>
        </w:rPr>
        <w:t xml:space="preserve">Public Governance, Performance and Accountability Act 2013 </w:t>
      </w:r>
      <w:r w:rsidRPr="00E669A7">
        <w:rPr>
          <w:rFonts w:ascii="Times New Roman" w:hAnsi="Times New Roman" w:cs="Times New Roman"/>
          <w:lang w:eastAsia="en-AU"/>
        </w:rPr>
        <w:t xml:space="preserve">and the </w:t>
      </w:r>
      <w:r w:rsidRPr="00E669A7">
        <w:rPr>
          <w:rFonts w:ascii="Times New Roman" w:hAnsi="Times New Roman" w:cs="Times New Roman"/>
          <w:i/>
          <w:lang w:eastAsia="en-AU"/>
        </w:rPr>
        <w:t>Commonwealth Grants Rules and Guidelines</w:t>
      </w:r>
      <w:r w:rsidRPr="00E669A7">
        <w:rPr>
          <w:rFonts w:ascii="Times New Roman" w:hAnsi="Times New Roman" w:cs="Times New Roman"/>
          <w:lang w:eastAsia="en-AU"/>
        </w:rPr>
        <w:t xml:space="preserve">.  Details of grants will be made publicly available on the Department’s website in accordance with the </w:t>
      </w:r>
      <w:r w:rsidRPr="00E669A7">
        <w:rPr>
          <w:rFonts w:ascii="Times New Roman" w:hAnsi="Times New Roman" w:cs="Times New Roman"/>
          <w:i/>
          <w:lang w:eastAsia="en-AU"/>
        </w:rPr>
        <w:t>Commonwealth Grants Rules and Guidelines</w:t>
      </w:r>
      <w:r w:rsidRPr="00E669A7">
        <w:rPr>
          <w:rFonts w:ascii="Times New Roman" w:hAnsi="Times New Roman" w:cs="Times New Roman"/>
          <w:lang w:eastAsia="en-AU"/>
        </w:rPr>
        <w:t xml:space="preserve">.  The trial is unsuitable for merits review as it is a time limited trial, has limited funds and only a proportion of applications can be met.  </w:t>
      </w:r>
    </w:p>
    <w:p w:rsidR="00E669A7" w:rsidRPr="00E669A7" w:rsidRDefault="00E669A7" w:rsidP="00AE031A">
      <w:pPr>
        <w:pStyle w:val="Default"/>
        <w:tabs>
          <w:tab w:val="left" w:pos="5820"/>
        </w:tabs>
        <w:contextualSpacing/>
        <w:rPr>
          <w:rFonts w:ascii="Times New Roman" w:hAnsi="Times New Roman" w:cs="Times New Roman"/>
          <w:lang w:eastAsia="en-AU"/>
        </w:rPr>
      </w:pPr>
    </w:p>
    <w:p w:rsidR="00E669A7" w:rsidRPr="00E669A7" w:rsidRDefault="00712E69" w:rsidP="00AE031A">
      <w:pPr>
        <w:pStyle w:val="Default"/>
        <w:tabs>
          <w:tab w:val="left" w:pos="5820"/>
        </w:tabs>
        <w:contextualSpacing/>
        <w:rPr>
          <w:rFonts w:ascii="Times New Roman" w:hAnsi="Times New Roman" w:cs="Times New Roman"/>
          <w:lang w:eastAsia="en-AU"/>
        </w:rPr>
      </w:pPr>
      <w:r w:rsidRPr="00E669A7">
        <w:rPr>
          <w:rFonts w:ascii="Times New Roman" w:hAnsi="Times New Roman" w:cs="Times New Roman"/>
          <w:lang w:eastAsia="en-AU"/>
        </w:rPr>
        <w:t xml:space="preserve">Funding for the trial will come from Programme 5.1: Disability Mental Health and Carers, which is under Outcome 5: Disability and Carers: Improved independence of, and participation by, people with disability, including improved support for carers, by providing targeted support and services.  Funding details and a description of the trial are set out in the </w:t>
      </w:r>
      <w:r w:rsidRPr="00E669A7">
        <w:rPr>
          <w:rFonts w:ascii="Times New Roman" w:hAnsi="Times New Roman" w:cs="Times New Roman"/>
          <w:i/>
          <w:lang w:eastAsia="en-AU"/>
        </w:rPr>
        <w:t>Portfolio Budget Statements 2015-16,</w:t>
      </w:r>
      <w:r w:rsidRPr="00E669A7">
        <w:rPr>
          <w:rFonts w:ascii="Times New Roman" w:hAnsi="Times New Roman" w:cs="Times New Roman"/>
          <w:lang w:eastAsia="en-AU"/>
        </w:rPr>
        <w:t xml:space="preserve"> </w:t>
      </w:r>
      <w:r w:rsidRPr="00E669A7">
        <w:rPr>
          <w:rFonts w:ascii="Times New Roman" w:hAnsi="Times New Roman" w:cs="Times New Roman"/>
          <w:i/>
          <w:lang w:eastAsia="en-AU"/>
        </w:rPr>
        <w:t xml:space="preserve">Budget Related Paper 1.15, Social Services Portfolio </w:t>
      </w:r>
      <w:r w:rsidRPr="00E669A7">
        <w:rPr>
          <w:rFonts w:ascii="Times New Roman" w:hAnsi="Times New Roman" w:cs="Times New Roman"/>
          <w:lang w:eastAsia="en-AU"/>
        </w:rPr>
        <w:t>at pages 32 and 144.</w:t>
      </w:r>
    </w:p>
    <w:p w:rsidR="00E669A7" w:rsidRPr="00E669A7" w:rsidRDefault="00E669A7" w:rsidP="00AE031A">
      <w:pPr>
        <w:pStyle w:val="Default"/>
        <w:tabs>
          <w:tab w:val="left" w:pos="5820"/>
        </w:tabs>
        <w:contextualSpacing/>
        <w:rPr>
          <w:rFonts w:ascii="Times New Roman" w:hAnsi="Times New Roman" w:cs="Times New Roman"/>
          <w:lang w:eastAsia="en-AU"/>
        </w:rPr>
      </w:pPr>
    </w:p>
    <w:p w:rsidR="00712E69" w:rsidRPr="00E669A7" w:rsidRDefault="00712E69" w:rsidP="00AE031A">
      <w:pPr>
        <w:pStyle w:val="Default"/>
        <w:tabs>
          <w:tab w:val="left" w:pos="5820"/>
        </w:tabs>
        <w:contextualSpacing/>
        <w:rPr>
          <w:rFonts w:ascii="Times New Roman" w:hAnsi="Times New Roman" w:cs="Times New Roman"/>
          <w:lang w:eastAsia="en-AU"/>
        </w:rPr>
      </w:pPr>
      <w:r w:rsidRPr="00E669A7">
        <w:rPr>
          <w:rFonts w:ascii="Times New Roman" w:hAnsi="Times New Roman" w:cs="Times New Roman"/>
          <w:lang w:eastAsia="en-AU"/>
        </w:rPr>
        <w:t>Noting that it is not a comprehensive statement of relevant constitutional considerations, the objective of the item references the following powers of the Constitution:</w:t>
      </w:r>
    </w:p>
    <w:p w:rsidR="0001674D" w:rsidRDefault="00712E69" w:rsidP="00AE031A">
      <w:pPr>
        <w:pStyle w:val="ListParagraph"/>
        <w:numPr>
          <w:ilvl w:val="0"/>
          <w:numId w:val="9"/>
        </w:numPr>
        <w:rPr>
          <w:rFonts w:cs="Times New Roman"/>
          <w:szCs w:val="24"/>
          <w:lang w:eastAsia="en-AU"/>
        </w:rPr>
      </w:pPr>
      <w:r w:rsidRPr="0001674D">
        <w:rPr>
          <w:rFonts w:cs="Times New Roman"/>
          <w:szCs w:val="24"/>
          <w:lang w:eastAsia="en-AU"/>
        </w:rPr>
        <w:t xml:space="preserve">the external affairs power (section 51(xxix)); and </w:t>
      </w:r>
    </w:p>
    <w:p w:rsidR="00712E69" w:rsidRPr="0001674D" w:rsidRDefault="00712E69" w:rsidP="00AE031A">
      <w:pPr>
        <w:pStyle w:val="ListParagraph"/>
        <w:numPr>
          <w:ilvl w:val="0"/>
          <w:numId w:val="9"/>
        </w:numPr>
        <w:rPr>
          <w:rFonts w:cs="Times New Roman"/>
          <w:szCs w:val="24"/>
          <w:lang w:eastAsia="en-AU"/>
        </w:rPr>
      </w:pPr>
      <w:r w:rsidRPr="0001674D">
        <w:rPr>
          <w:rFonts w:cs="Times New Roman"/>
          <w:szCs w:val="24"/>
        </w:rPr>
        <w:t>the social welfare power (section 51(xxiiiA)).</w:t>
      </w:r>
    </w:p>
    <w:p w:rsidR="00712E69" w:rsidRPr="0001674D" w:rsidRDefault="00712E69" w:rsidP="00AE031A">
      <w:pPr>
        <w:contextualSpacing/>
        <w:rPr>
          <w:rFonts w:ascii="Times New Roman" w:hAnsi="Times New Roman"/>
          <w:sz w:val="24"/>
          <w:szCs w:val="24"/>
        </w:rPr>
      </w:pPr>
    </w:p>
    <w:p w:rsidR="00E669A7" w:rsidRPr="00E669A7" w:rsidRDefault="00712E69" w:rsidP="00AE031A">
      <w:pPr>
        <w:contextualSpacing/>
        <w:rPr>
          <w:rFonts w:ascii="Times New Roman" w:hAnsi="Times New Roman"/>
          <w:sz w:val="24"/>
          <w:szCs w:val="24"/>
        </w:rPr>
      </w:pPr>
      <w:r w:rsidRPr="0001674D">
        <w:rPr>
          <w:rFonts w:ascii="Times New Roman" w:hAnsi="Times New Roman"/>
          <w:sz w:val="24"/>
          <w:szCs w:val="24"/>
        </w:rPr>
        <w:t xml:space="preserve">New </w:t>
      </w:r>
      <w:r w:rsidRPr="0001674D">
        <w:rPr>
          <w:rFonts w:ascii="Times New Roman" w:hAnsi="Times New Roman"/>
          <w:b/>
          <w:sz w:val="24"/>
          <w:szCs w:val="24"/>
        </w:rPr>
        <w:t>table item 91</w:t>
      </w:r>
      <w:r w:rsidRPr="0001674D">
        <w:rPr>
          <w:rFonts w:ascii="Times New Roman" w:hAnsi="Times New Roman"/>
          <w:sz w:val="24"/>
          <w:szCs w:val="24"/>
        </w:rPr>
        <w:t xml:space="preserve"> establishes legislative authority for the Government to fund public access </w:t>
      </w:r>
      <w:r w:rsidRPr="00E669A7">
        <w:rPr>
          <w:rFonts w:ascii="Times New Roman" w:hAnsi="Times New Roman"/>
          <w:sz w:val="24"/>
          <w:szCs w:val="24"/>
        </w:rPr>
        <w:t xml:space="preserve">to national geocoded address data.  </w:t>
      </w:r>
    </w:p>
    <w:p w:rsidR="00E669A7" w:rsidRPr="00E669A7" w:rsidRDefault="00E669A7" w:rsidP="00AE031A">
      <w:pPr>
        <w:contextualSpacing/>
        <w:rPr>
          <w:rFonts w:ascii="Times New Roman" w:hAnsi="Times New Roman"/>
          <w:sz w:val="24"/>
          <w:szCs w:val="24"/>
        </w:rPr>
      </w:pPr>
    </w:p>
    <w:p w:rsidR="00E669A7" w:rsidRPr="00E669A7" w:rsidRDefault="00712E69" w:rsidP="00AE031A">
      <w:pPr>
        <w:contextualSpacing/>
        <w:rPr>
          <w:rFonts w:ascii="Times New Roman" w:eastAsiaTheme="minorHAnsi" w:hAnsi="Times New Roman"/>
          <w:sz w:val="24"/>
          <w:szCs w:val="24"/>
        </w:rPr>
      </w:pPr>
      <w:r w:rsidRPr="00E669A7">
        <w:rPr>
          <w:rFonts w:ascii="Times New Roman" w:eastAsiaTheme="minorHAnsi" w:hAnsi="Times New Roman"/>
          <w:sz w:val="24"/>
          <w:szCs w:val="24"/>
        </w:rPr>
        <w:t>The Department of Communications will make national geocoded address data openly available through the Government data website (www.data.gov.au) under open data terms (that is, at no charge to the end user and with minimal licence restrictions).</w:t>
      </w:r>
    </w:p>
    <w:p w:rsidR="00E669A7" w:rsidRPr="00E669A7" w:rsidRDefault="00E669A7" w:rsidP="00AE031A">
      <w:pPr>
        <w:contextualSpacing/>
        <w:rPr>
          <w:rFonts w:ascii="Times New Roman" w:eastAsiaTheme="minorHAnsi" w:hAnsi="Times New Roman"/>
          <w:sz w:val="24"/>
          <w:szCs w:val="24"/>
        </w:rPr>
      </w:pPr>
    </w:p>
    <w:p w:rsidR="00E669A7" w:rsidRPr="00E669A7" w:rsidRDefault="00712E69" w:rsidP="00AE031A">
      <w:pPr>
        <w:contextualSpacing/>
        <w:rPr>
          <w:rFonts w:ascii="Times New Roman" w:hAnsi="Times New Roman"/>
          <w:sz w:val="24"/>
          <w:szCs w:val="24"/>
        </w:rPr>
      </w:pPr>
      <w:r w:rsidRPr="00E669A7">
        <w:rPr>
          <w:rFonts w:ascii="Times New Roman" w:hAnsi="Times New Roman"/>
          <w:sz w:val="24"/>
          <w:szCs w:val="24"/>
        </w:rPr>
        <w:t xml:space="preserve">Making national geocoded address data available under open data terms will enable greater use of the data and unlock and create opportunities for industry innovation and competitiveness, realising substantial economic and social benefits.  Beneficiaries </w:t>
      </w:r>
      <w:r w:rsidR="008E0F8F" w:rsidRPr="00E669A7">
        <w:rPr>
          <w:rFonts w:ascii="Times New Roman" w:hAnsi="Times New Roman"/>
          <w:sz w:val="24"/>
          <w:szCs w:val="24"/>
        </w:rPr>
        <w:t>will</w:t>
      </w:r>
      <w:r w:rsidRPr="00E669A7">
        <w:rPr>
          <w:rFonts w:ascii="Times New Roman" w:hAnsi="Times New Roman"/>
          <w:sz w:val="24"/>
          <w:szCs w:val="24"/>
        </w:rPr>
        <w:t xml:space="preserve"> include industry, community organisations, research institutions and government agencies.</w:t>
      </w:r>
    </w:p>
    <w:p w:rsidR="00E669A7" w:rsidRDefault="00E669A7" w:rsidP="00AE031A">
      <w:pPr>
        <w:contextualSpacing/>
        <w:rPr>
          <w:szCs w:val="24"/>
        </w:rPr>
      </w:pPr>
    </w:p>
    <w:p w:rsidR="00E669A7" w:rsidRDefault="00712E69" w:rsidP="00AE031A">
      <w:pPr>
        <w:contextualSpacing/>
        <w:rPr>
          <w:rFonts w:ascii="Times New Roman" w:hAnsi="Times New Roman"/>
          <w:sz w:val="24"/>
          <w:szCs w:val="24"/>
        </w:rPr>
      </w:pPr>
      <w:r w:rsidRPr="0001674D">
        <w:rPr>
          <w:rFonts w:ascii="Times New Roman" w:hAnsi="Times New Roman"/>
          <w:sz w:val="24"/>
          <w:szCs w:val="24"/>
        </w:rPr>
        <w:t xml:space="preserve">All decisions for this item will be made in accordance with the Department of Communication's Accountable Authority Instructions and delegations on the expenditure of relevant monies as authorised under the </w:t>
      </w:r>
      <w:r w:rsidRPr="0001674D">
        <w:rPr>
          <w:rFonts w:ascii="Times New Roman" w:hAnsi="Times New Roman"/>
          <w:i/>
          <w:iCs/>
          <w:sz w:val="24"/>
          <w:szCs w:val="24"/>
        </w:rPr>
        <w:t>Public Governance, Performance and Accountability Act 2013</w:t>
      </w:r>
      <w:r w:rsidRPr="0001674D">
        <w:rPr>
          <w:rFonts w:ascii="Times New Roman" w:hAnsi="Times New Roman"/>
          <w:sz w:val="24"/>
          <w:szCs w:val="24"/>
        </w:rPr>
        <w:t xml:space="preserve"> and the </w:t>
      </w:r>
      <w:r w:rsidRPr="0001674D">
        <w:rPr>
          <w:rFonts w:ascii="Times New Roman" w:hAnsi="Times New Roman"/>
          <w:i/>
          <w:sz w:val="24"/>
          <w:szCs w:val="24"/>
        </w:rPr>
        <w:t>Commonwealth Procurement Rules</w:t>
      </w:r>
      <w:r w:rsidRPr="0001674D">
        <w:rPr>
          <w:rFonts w:ascii="Times New Roman" w:hAnsi="Times New Roman"/>
          <w:sz w:val="24"/>
          <w:szCs w:val="24"/>
        </w:rPr>
        <w:t>.  The Minister for Communications, or delegate, will be the decision-maker for the activity.</w:t>
      </w:r>
    </w:p>
    <w:p w:rsidR="00E669A7" w:rsidRDefault="00E669A7" w:rsidP="00AE031A">
      <w:pPr>
        <w:contextualSpacing/>
        <w:rPr>
          <w:rFonts w:ascii="Times New Roman" w:hAnsi="Times New Roman"/>
          <w:sz w:val="24"/>
          <w:szCs w:val="24"/>
        </w:rPr>
      </w:pPr>
    </w:p>
    <w:p w:rsidR="00712E69" w:rsidRPr="0001674D" w:rsidRDefault="00712E69" w:rsidP="00AE031A">
      <w:pPr>
        <w:contextualSpacing/>
        <w:rPr>
          <w:rFonts w:ascii="Times New Roman" w:hAnsi="Times New Roman"/>
          <w:sz w:val="24"/>
          <w:szCs w:val="24"/>
        </w:rPr>
      </w:pPr>
      <w:r w:rsidRPr="0001674D">
        <w:rPr>
          <w:rFonts w:ascii="Times New Roman" w:hAnsi="Times New Roman"/>
          <w:sz w:val="24"/>
          <w:szCs w:val="24"/>
        </w:rPr>
        <w:t>This item is not considered suitable for merits review given the non-competitive nature of the funding for this item.</w:t>
      </w:r>
    </w:p>
    <w:p w:rsidR="00712E69" w:rsidRPr="0001674D" w:rsidRDefault="00712E69" w:rsidP="00AE031A">
      <w:pPr>
        <w:contextualSpacing/>
        <w:rPr>
          <w:rFonts w:ascii="Times New Roman" w:hAnsi="Times New Roman"/>
          <w:sz w:val="24"/>
          <w:szCs w:val="24"/>
        </w:rPr>
      </w:pPr>
    </w:p>
    <w:p w:rsidR="00712E69" w:rsidRPr="0001674D" w:rsidRDefault="00712E69" w:rsidP="00AE031A">
      <w:pPr>
        <w:contextualSpacing/>
        <w:rPr>
          <w:rFonts w:ascii="Times New Roman" w:hAnsi="Times New Roman"/>
          <w:sz w:val="24"/>
          <w:szCs w:val="24"/>
          <w:lang w:val="en-GB"/>
        </w:rPr>
      </w:pPr>
      <w:r w:rsidRPr="0001674D">
        <w:rPr>
          <w:rFonts w:ascii="Times New Roman" w:hAnsi="Times New Roman"/>
          <w:sz w:val="24"/>
          <w:szCs w:val="24"/>
        </w:rPr>
        <w:t>Funding for the item will come from Programme 1.1: Digital Technologies and Communications Services, which is part of Outcome 1: Promote an innovative and competitive communications sector, through policy development, advice and program delivery, so all Australians can realise the full potential of digital technologies and communications services.</w:t>
      </w:r>
      <w:r w:rsidRPr="0001674D">
        <w:rPr>
          <w:rFonts w:ascii="Times New Roman" w:hAnsi="Times New Roman"/>
          <w:sz w:val="24"/>
          <w:szCs w:val="24"/>
          <w:lang w:val="en-GB"/>
        </w:rPr>
        <w:t xml:space="preserve">  Details are set out in the </w:t>
      </w:r>
      <w:r w:rsidRPr="0001674D">
        <w:rPr>
          <w:rFonts w:ascii="Times New Roman" w:hAnsi="Times New Roman"/>
          <w:i/>
          <w:sz w:val="24"/>
          <w:szCs w:val="24"/>
          <w:lang w:val="en-GB"/>
        </w:rPr>
        <w:t>Portfolio Budget Statements 2015-2016, Budget Related Paper No. 1.3, Communications Portfolio</w:t>
      </w:r>
      <w:r w:rsidRPr="0001674D">
        <w:rPr>
          <w:rFonts w:ascii="Times New Roman" w:hAnsi="Times New Roman"/>
          <w:sz w:val="24"/>
          <w:szCs w:val="24"/>
          <w:lang w:val="en-GB"/>
        </w:rPr>
        <w:t xml:space="preserve"> at pages 19 and 23. </w:t>
      </w:r>
    </w:p>
    <w:p w:rsidR="00712E69" w:rsidRPr="0001674D" w:rsidRDefault="00712E69" w:rsidP="00AE031A">
      <w:pPr>
        <w:contextualSpacing/>
        <w:rPr>
          <w:rFonts w:ascii="Times New Roman" w:hAnsi="Times New Roman"/>
          <w:sz w:val="24"/>
          <w:szCs w:val="24"/>
        </w:rPr>
      </w:pPr>
    </w:p>
    <w:p w:rsidR="00712E69" w:rsidRPr="0001674D" w:rsidRDefault="00712E69" w:rsidP="00AE031A">
      <w:pPr>
        <w:contextualSpacing/>
        <w:rPr>
          <w:rFonts w:ascii="Times New Roman" w:hAnsi="Times New Roman"/>
          <w:sz w:val="24"/>
          <w:szCs w:val="24"/>
        </w:rPr>
      </w:pPr>
      <w:r w:rsidRPr="0001674D">
        <w:rPr>
          <w:rFonts w:ascii="Times New Roman" w:hAnsi="Times New Roman"/>
          <w:sz w:val="24"/>
          <w:szCs w:val="24"/>
        </w:rPr>
        <w:t xml:space="preserve">Noting that it is not a comprehensive statement of relevant constitutional considerations, the </w:t>
      </w:r>
      <w:r w:rsidR="00CE1170">
        <w:rPr>
          <w:rFonts w:ascii="Times New Roman" w:hAnsi="Times New Roman"/>
          <w:sz w:val="24"/>
          <w:szCs w:val="24"/>
        </w:rPr>
        <w:t>objective</w:t>
      </w:r>
      <w:r w:rsidRPr="0001674D">
        <w:rPr>
          <w:rFonts w:ascii="Times New Roman" w:hAnsi="Times New Roman"/>
          <w:sz w:val="24"/>
          <w:szCs w:val="24"/>
        </w:rPr>
        <w:t xml:space="preserve"> of the item references the communications power (section 51(v)) of the Constitution.</w:t>
      </w:r>
    </w:p>
    <w:p w:rsidR="00712E69" w:rsidRPr="0001674D" w:rsidRDefault="00712E69" w:rsidP="00AE031A">
      <w:pPr>
        <w:contextualSpacing/>
        <w:rPr>
          <w:rFonts w:ascii="Times New Roman" w:hAnsi="Times New Roman"/>
          <w:sz w:val="24"/>
          <w:szCs w:val="24"/>
        </w:rPr>
      </w:pPr>
    </w:p>
    <w:p w:rsidR="00712E69" w:rsidRPr="0001674D" w:rsidRDefault="00712E69" w:rsidP="00AE031A">
      <w:pPr>
        <w:contextualSpacing/>
        <w:rPr>
          <w:rFonts w:ascii="Times New Roman" w:hAnsi="Times New Roman"/>
          <w:sz w:val="24"/>
          <w:szCs w:val="24"/>
        </w:rPr>
      </w:pPr>
      <w:r w:rsidRPr="0001674D">
        <w:rPr>
          <w:rFonts w:ascii="Times New Roman" w:hAnsi="Times New Roman"/>
          <w:color w:val="000000" w:themeColor="text1"/>
          <w:sz w:val="24"/>
          <w:szCs w:val="24"/>
        </w:rPr>
        <w:t xml:space="preserve">New </w:t>
      </w:r>
      <w:r w:rsidRPr="0001674D">
        <w:rPr>
          <w:rFonts w:ascii="Times New Roman" w:hAnsi="Times New Roman"/>
          <w:b/>
          <w:color w:val="000000" w:themeColor="text1"/>
          <w:sz w:val="24"/>
          <w:szCs w:val="24"/>
        </w:rPr>
        <w:t xml:space="preserve">table item 92 </w:t>
      </w:r>
      <w:r w:rsidRPr="0001674D">
        <w:rPr>
          <w:rFonts w:ascii="Times New Roman" w:eastAsia="Times New Roman" w:hAnsi="Times New Roman"/>
          <w:color w:val="000000" w:themeColor="text1"/>
          <w:sz w:val="24"/>
          <w:szCs w:val="24"/>
        </w:rPr>
        <w:t xml:space="preserve">establishes legislative authority for the Government to fund </w:t>
      </w:r>
      <w:r w:rsidRPr="0001674D">
        <w:rPr>
          <w:rFonts w:ascii="Times New Roman" w:hAnsi="Times New Roman"/>
          <w:sz w:val="24"/>
          <w:szCs w:val="24"/>
        </w:rPr>
        <w:t xml:space="preserve">the Stronger Communities Programme which is designed to deliver social benefits in Australia’s regions.  This programme </w:t>
      </w:r>
      <w:r w:rsidR="00CE1170">
        <w:rPr>
          <w:rFonts w:ascii="Times New Roman" w:hAnsi="Times New Roman"/>
          <w:sz w:val="24"/>
          <w:szCs w:val="24"/>
        </w:rPr>
        <w:t>will be</w:t>
      </w:r>
      <w:r w:rsidRPr="0001674D">
        <w:rPr>
          <w:rFonts w:ascii="Times New Roman" w:hAnsi="Times New Roman"/>
          <w:sz w:val="24"/>
          <w:szCs w:val="24"/>
        </w:rPr>
        <w:t xml:space="preserve"> administered by the Department of Infrastructure and Regional Development.</w:t>
      </w:r>
    </w:p>
    <w:p w:rsidR="00712E69" w:rsidRPr="0001674D" w:rsidRDefault="00712E69" w:rsidP="00AE031A">
      <w:pPr>
        <w:contextualSpacing/>
        <w:rPr>
          <w:rFonts w:ascii="Times New Roman" w:hAnsi="Times New Roman"/>
          <w:sz w:val="24"/>
          <w:szCs w:val="24"/>
        </w:rPr>
      </w:pPr>
    </w:p>
    <w:p w:rsidR="00712E69" w:rsidRPr="0001674D" w:rsidRDefault="00712E69" w:rsidP="00AE031A">
      <w:pPr>
        <w:contextualSpacing/>
        <w:rPr>
          <w:rFonts w:ascii="Times New Roman" w:hAnsi="Times New Roman"/>
          <w:sz w:val="24"/>
          <w:szCs w:val="24"/>
        </w:rPr>
      </w:pPr>
      <w:r w:rsidRPr="0001674D">
        <w:rPr>
          <w:rFonts w:ascii="Times New Roman" w:hAnsi="Times New Roman"/>
          <w:sz w:val="24"/>
          <w:szCs w:val="24"/>
        </w:rPr>
        <w:t>T</w:t>
      </w:r>
      <w:r w:rsidR="005D2186">
        <w:rPr>
          <w:rFonts w:ascii="Times New Roman" w:hAnsi="Times New Roman"/>
          <w:sz w:val="24"/>
          <w:szCs w:val="24"/>
        </w:rPr>
        <w:t>he Government will provide $45</w:t>
      </w:r>
      <w:r w:rsidRPr="0001674D">
        <w:rPr>
          <w:rFonts w:ascii="Times New Roman" w:hAnsi="Times New Roman"/>
          <w:sz w:val="24"/>
          <w:szCs w:val="24"/>
        </w:rPr>
        <w:t xml:space="preserve"> million over two years, commencing in 2015</w:t>
      </w:r>
      <w:r w:rsidRPr="0001674D">
        <w:rPr>
          <w:rFonts w:ascii="Times New Roman" w:hAnsi="Times New Roman"/>
          <w:sz w:val="24"/>
          <w:szCs w:val="24"/>
        </w:rPr>
        <w:noBreakHyphen/>
        <w:t>16, to fund small capital projects in local communities in each of the 150 federal electorates.  The desired outcome of the programme is to improve local community participation, cohesion and contribute to vibrant and viable communities.</w:t>
      </w:r>
    </w:p>
    <w:p w:rsidR="00712E69" w:rsidRPr="0001674D" w:rsidRDefault="00712E69" w:rsidP="00AE031A">
      <w:pPr>
        <w:contextualSpacing/>
        <w:rPr>
          <w:rFonts w:ascii="Times New Roman" w:hAnsi="Times New Roman"/>
          <w:sz w:val="24"/>
          <w:szCs w:val="24"/>
        </w:rPr>
      </w:pPr>
    </w:p>
    <w:p w:rsidR="00712E69" w:rsidRPr="0001674D" w:rsidRDefault="00712E69" w:rsidP="00AE031A">
      <w:pPr>
        <w:contextualSpacing/>
        <w:rPr>
          <w:rFonts w:ascii="Times New Roman" w:hAnsi="Times New Roman"/>
          <w:sz w:val="24"/>
          <w:szCs w:val="24"/>
        </w:rPr>
      </w:pPr>
      <w:r w:rsidRPr="0001674D">
        <w:rPr>
          <w:rFonts w:ascii="Times New Roman" w:hAnsi="Times New Roman"/>
          <w:sz w:val="24"/>
          <w:szCs w:val="24"/>
        </w:rPr>
        <w:t xml:space="preserve">Funding of $150,000 per year over two years will be available to support projects in each of the electorates.  Applicants must </w:t>
      </w:r>
      <w:r w:rsidR="00CE1170">
        <w:rPr>
          <w:rFonts w:ascii="Times New Roman" w:hAnsi="Times New Roman"/>
          <w:sz w:val="24"/>
          <w:szCs w:val="24"/>
        </w:rPr>
        <w:t xml:space="preserve">seek a grant of at least $5,000, </w:t>
      </w:r>
      <w:r w:rsidRPr="0001674D">
        <w:rPr>
          <w:rFonts w:ascii="Times New Roman" w:hAnsi="Times New Roman"/>
          <w:sz w:val="24"/>
          <w:szCs w:val="24"/>
        </w:rPr>
        <w:t xml:space="preserve">up to a maximum of $20,000, and </w:t>
      </w:r>
      <w:r w:rsidR="00CE1170">
        <w:rPr>
          <w:rFonts w:ascii="Times New Roman" w:hAnsi="Times New Roman"/>
          <w:sz w:val="24"/>
          <w:szCs w:val="24"/>
        </w:rPr>
        <w:t>will be</w:t>
      </w:r>
      <w:r w:rsidRPr="0001674D">
        <w:rPr>
          <w:rFonts w:ascii="Times New Roman" w:hAnsi="Times New Roman"/>
          <w:sz w:val="24"/>
          <w:szCs w:val="24"/>
        </w:rPr>
        <w:t xml:space="preserve"> required to match funding either in cash or in-kind.   </w:t>
      </w:r>
    </w:p>
    <w:p w:rsidR="00712E69" w:rsidRPr="0001674D" w:rsidRDefault="00712E69" w:rsidP="00AE031A">
      <w:pPr>
        <w:contextualSpacing/>
        <w:rPr>
          <w:rFonts w:ascii="Times New Roman" w:eastAsia="Times New Roman" w:hAnsi="Times New Roman"/>
          <w:color w:val="000000" w:themeColor="text1"/>
          <w:sz w:val="24"/>
          <w:szCs w:val="24"/>
        </w:rPr>
      </w:pPr>
    </w:p>
    <w:p w:rsidR="00712E69" w:rsidRPr="0001674D" w:rsidRDefault="00712E69" w:rsidP="00AE031A">
      <w:pPr>
        <w:contextualSpacing/>
        <w:rPr>
          <w:rFonts w:ascii="Times New Roman" w:hAnsi="Times New Roman"/>
          <w:sz w:val="24"/>
          <w:szCs w:val="24"/>
        </w:rPr>
      </w:pPr>
      <w:r w:rsidRPr="0001674D">
        <w:rPr>
          <w:rFonts w:ascii="Times New Roman" w:eastAsia="Times New Roman" w:hAnsi="Times New Roman"/>
          <w:color w:val="000000" w:themeColor="text1"/>
          <w:sz w:val="24"/>
          <w:szCs w:val="24"/>
        </w:rPr>
        <w:t xml:space="preserve">In accordance with the </w:t>
      </w:r>
      <w:r w:rsidRPr="0001674D">
        <w:rPr>
          <w:rFonts w:ascii="Times New Roman" w:eastAsia="Times New Roman" w:hAnsi="Times New Roman"/>
          <w:i/>
          <w:color w:val="000000" w:themeColor="text1"/>
          <w:sz w:val="24"/>
          <w:szCs w:val="24"/>
        </w:rPr>
        <w:t>Commonwealth Grants Rules and Guidelines</w:t>
      </w:r>
      <w:r w:rsidRPr="0001674D">
        <w:rPr>
          <w:rFonts w:ascii="Times New Roman" w:eastAsia="Times New Roman" w:hAnsi="Times New Roman"/>
          <w:color w:val="000000" w:themeColor="text1"/>
          <w:sz w:val="24"/>
          <w:szCs w:val="24"/>
        </w:rPr>
        <w:t xml:space="preserve">, information </w:t>
      </w:r>
      <w:r w:rsidRPr="0001674D">
        <w:rPr>
          <w:rFonts w:ascii="Times New Roman" w:hAnsi="Times New Roman"/>
          <w:sz w:val="24"/>
          <w:szCs w:val="24"/>
        </w:rPr>
        <w:t xml:space="preserve">about the programme, including roles and responsibilities, eligible applicants, projects and the selection process will be published in the programme guidelines, which will be available on the Department of Infrastructure and Regional Development’s website at www.infrastructure.gov.au/scp.  </w:t>
      </w:r>
    </w:p>
    <w:p w:rsidR="00712E69" w:rsidRPr="0001674D" w:rsidRDefault="00712E69" w:rsidP="00AE031A">
      <w:pPr>
        <w:contextualSpacing/>
        <w:rPr>
          <w:rFonts w:ascii="Times New Roman" w:hAnsi="Times New Roman"/>
          <w:sz w:val="24"/>
          <w:szCs w:val="24"/>
        </w:rPr>
      </w:pPr>
    </w:p>
    <w:p w:rsidR="00712E69" w:rsidRPr="0001674D" w:rsidRDefault="00712E69" w:rsidP="00AE031A">
      <w:pPr>
        <w:contextualSpacing/>
        <w:rPr>
          <w:rFonts w:ascii="Times New Roman" w:hAnsi="Times New Roman"/>
          <w:sz w:val="24"/>
          <w:szCs w:val="24"/>
        </w:rPr>
      </w:pPr>
      <w:r w:rsidRPr="0001674D">
        <w:rPr>
          <w:rFonts w:ascii="Times New Roman" w:hAnsi="Times New Roman"/>
          <w:sz w:val="24"/>
          <w:szCs w:val="24"/>
        </w:rPr>
        <w:t xml:space="preserve">In general terms, members of parliament (MPs) will be required to establish a community consultation committee to assist with identifying projects.  MPs will recommend and provide comments to the Department on projects they consider suitable for funding.  The Department will assess the applications against the eligibility criteria and whether funding the project </w:t>
      </w:r>
      <w:r w:rsidR="008E0F8F">
        <w:rPr>
          <w:rFonts w:ascii="Times New Roman" w:hAnsi="Times New Roman"/>
          <w:sz w:val="24"/>
          <w:szCs w:val="24"/>
        </w:rPr>
        <w:t>will</w:t>
      </w:r>
      <w:r w:rsidRPr="0001674D">
        <w:rPr>
          <w:rFonts w:ascii="Times New Roman" w:hAnsi="Times New Roman"/>
          <w:sz w:val="24"/>
          <w:szCs w:val="24"/>
        </w:rPr>
        <w:t xml:space="preserve"> be a proper use of grant funding.  An authorised officer of the Department will be delegated to approve the funding of successful projects.  MPs will be notified of the outcomes.  Successful projects will be listed on the Department’s website.  Internal merits review is not applicable in respect of decisions made in relation to funding, given the non</w:t>
      </w:r>
      <w:r w:rsidRPr="0001674D">
        <w:rPr>
          <w:rFonts w:ascii="Times New Roman" w:hAnsi="Times New Roman"/>
          <w:sz w:val="24"/>
          <w:szCs w:val="24"/>
        </w:rPr>
        <w:noBreakHyphen/>
        <w:t xml:space="preserve">competitive nature of </w:t>
      </w:r>
      <w:r w:rsidR="00CE1170">
        <w:rPr>
          <w:rFonts w:ascii="Times New Roman" w:hAnsi="Times New Roman"/>
          <w:sz w:val="24"/>
          <w:szCs w:val="24"/>
        </w:rPr>
        <w:t xml:space="preserve">the </w:t>
      </w:r>
      <w:r w:rsidRPr="0001674D">
        <w:rPr>
          <w:rFonts w:ascii="Times New Roman" w:hAnsi="Times New Roman"/>
          <w:sz w:val="24"/>
          <w:szCs w:val="24"/>
        </w:rPr>
        <w:t xml:space="preserve">funding. </w:t>
      </w:r>
    </w:p>
    <w:p w:rsidR="00712E69" w:rsidRPr="0001674D" w:rsidRDefault="00712E69" w:rsidP="00AE031A">
      <w:pPr>
        <w:autoSpaceDE w:val="0"/>
        <w:autoSpaceDN w:val="0"/>
        <w:adjustRightInd w:val="0"/>
        <w:contextualSpacing/>
        <w:rPr>
          <w:rFonts w:ascii="Times New Roman" w:hAnsi="Times New Roman"/>
          <w:sz w:val="24"/>
          <w:szCs w:val="24"/>
        </w:rPr>
      </w:pPr>
    </w:p>
    <w:p w:rsidR="00712E69" w:rsidRPr="0001674D" w:rsidRDefault="00712E69" w:rsidP="00AE031A">
      <w:pPr>
        <w:contextualSpacing/>
        <w:rPr>
          <w:rFonts w:ascii="Times New Roman" w:hAnsi="Times New Roman"/>
          <w:sz w:val="24"/>
          <w:szCs w:val="24"/>
        </w:rPr>
      </w:pPr>
      <w:r w:rsidRPr="0001674D">
        <w:rPr>
          <w:rFonts w:ascii="Times New Roman" w:hAnsi="Times New Roman"/>
          <w:sz w:val="24"/>
          <w:szCs w:val="24"/>
        </w:rPr>
        <w:t>The Stronger Communities Programme</w:t>
      </w:r>
      <w:r w:rsidRPr="0001674D" w:rsidDel="006A0401">
        <w:rPr>
          <w:rFonts w:ascii="Times New Roman" w:hAnsi="Times New Roman"/>
          <w:sz w:val="24"/>
          <w:szCs w:val="24"/>
        </w:rPr>
        <w:t xml:space="preserve"> </w:t>
      </w:r>
      <w:r w:rsidRPr="0001674D">
        <w:rPr>
          <w:rFonts w:ascii="Times New Roman" w:hAnsi="Times New Roman"/>
          <w:sz w:val="24"/>
          <w:szCs w:val="24"/>
        </w:rPr>
        <w:t xml:space="preserve">comes under Programme 3.1: Regional Development, which is part of Outcome 3: Strengthening the sustainability, capacity and diversity of regional economies including through facilitating local partnerships between all levels of government and local communities; and providing grants and financial assistance.  Details are set out in the </w:t>
      </w:r>
      <w:r w:rsidRPr="0001674D">
        <w:rPr>
          <w:rFonts w:ascii="Times New Roman" w:hAnsi="Times New Roman"/>
          <w:i/>
          <w:sz w:val="24"/>
          <w:szCs w:val="24"/>
        </w:rPr>
        <w:t>Portfolio Budget Statements 2015-16, Budget Related Paper No. 1.13</w:t>
      </w:r>
      <w:r w:rsidR="002B3CF2">
        <w:rPr>
          <w:rFonts w:ascii="Times New Roman" w:hAnsi="Times New Roman"/>
          <w:i/>
          <w:sz w:val="24"/>
          <w:szCs w:val="24"/>
        </w:rPr>
        <w:t>,</w:t>
      </w:r>
      <w:r w:rsidRPr="0001674D">
        <w:rPr>
          <w:rFonts w:ascii="Times New Roman" w:hAnsi="Times New Roman"/>
          <w:i/>
          <w:sz w:val="24"/>
          <w:szCs w:val="24"/>
        </w:rPr>
        <w:t> Infrastructure and Regional Development Portfolio</w:t>
      </w:r>
      <w:r w:rsidRPr="0001674D">
        <w:rPr>
          <w:rFonts w:ascii="Times New Roman" w:hAnsi="Times New Roman"/>
          <w:sz w:val="24"/>
          <w:szCs w:val="24"/>
        </w:rPr>
        <w:t xml:space="preserve"> at pages 54 to 59.</w:t>
      </w:r>
    </w:p>
    <w:p w:rsidR="00712E69" w:rsidRPr="0001674D" w:rsidRDefault="00712E69" w:rsidP="00AE031A">
      <w:pPr>
        <w:contextualSpacing/>
        <w:rPr>
          <w:rFonts w:ascii="Times New Roman" w:hAnsi="Times New Roman"/>
          <w:sz w:val="24"/>
          <w:szCs w:val="24"/>
        </w:rPr>
      </w:pPr>
    </w:p>
    <w:p w:rsidR="00712E69" w:rsidRPr="0001674D" w:rsidRDefault="00712E69" w:rsidP="00AE031A">
      <w:pPr>
        <w:contextualSpacing/>
        <w:rPr>
          <w:rFonts w:ascii="Times New Roman" w:hAnsi="Times New Roman"/>
          <w:sz w:val="24"/>
          <w:szCs w:val="24"/>
        </w:rPr>
      </w:pPr>
      <w:r w:rsidRPr="0001674D">
        <w:rPr>
          <w:rFonts w:ascii="Times New Roman" w:hAnsi="Times New Roman"/>
          <w:sz w:val="24"/>
          <w:szCs w:val="24"/>
        </w:rPr>
        <w:t>Noting that it is not a comprehensive statement of relevant constitutional considerations, the objective of the item references the following powers of the Constitution:</w:t>
      </w:r>
    </w:p>
    <w:p w:rsidR="00712E69" w:rsidRPr="0001674D" w:rsidRDefault="00712E69" w:rsidP="00AE031A">
      <w:pPr>
        <w:pStyle w:val="ListParagraph"/>
        <w:numPr>
          <w:ilvl w:val="0"/>
          <w:numId w:val="1"/>
        </w:numPr>
        <w:rPr>
          <w:rFonts w:cs="Times New Roman"/>
          <w:szCs w:val="24"/>
        </w:rPr>
      </w:pPr>
      <w:r w:rsidRPr="0001674D">
        <w:rPr>
          <w:rFonts w:cs="Times New Roman"/>
          <w:szCs w:val="24"/>
        </w:rPr>
        <w:t>the territories power (section 122);</w:t>
      </w:r>
    </w:p>
    <w:p w:rsidR="00712E69" w:rsidRPr="0001674D" w:rsidRDefault="00712E69" w:rsidP="00AE031A">
      <w:pPr>
        <w:pStyle w:val="ListParagraph"/>
        <w:numPr>
          <w:ilvl w:val="0"/>
          <w:numId w:val="1"/>
        </w:numPr>
        <w:rPr>
          <w:rFonts w:cs="Times New Roman"/>
          <w:szCs w:val="24"/>
        </w:rPr>
      </w:pPr>
      <w:r w:rsidRPr="0001674D">
        <w:rPr>
          <w:rFonts w:cs="Times New Roman"/>
          <w:szCs w:val="24"/>
        </w:rPr>
        <w:t>the trade and commerce power (section 51(i));</w:t>
      </w:r>
    </w:p>
    <w:p w:rsidR="00712E69" w:rsidRPr="0001674D" w:rsidRDefault="00712E69" w:rsidP="00AE031A">
      <w:pPr>
        <w:pStyle w:val="ListParagraph"/>
        <w:numPr>
          <w:ilvl w:val="0"/>
          <w:numId w:val="1"/>
        </w:numPr>
        <w:rPr>
          <w:rFonts w:cs="Times New Roman"/>
          <w:szCs w:val="24"/>
        </w:rPr>
      </w:pPr>
      <w:r w:rsidRPr="0001674D">
        <w:rPr>
          <w:rFonts w:cs="Times New Roman"/>
          <w:szCs w:val="24"/>
        </w:rPr>
        <w:t>the races power (section 51(xxvi)); and</w:t>
      </w:r>
    </w:p>
    <w:p w:rsidR="00712E69" w:rsidRPr="0001674D" w:rsidRDefault="00712E69" w:rsidP="00AE031A">
      <w:pPr>
        <w:pStyle w:val="ListParagraph"/>
        <w:numPr>
          <w:ilvl w:val="0"/>
          <w:numId w:val="1"/>
        </w:numPr>
        <w:rPr>
          <w:rFonts w:cs="Times New Roman"/>
          <w:szCs w:val="24"/>
        </w:rPr>
      </w:pPr>
      <w:r w:rsidRPr="0001674D">
        <w:rPr>
          <w:rFonts w:cs="Times New Roman"/>
          <w:szCs w:val="24"/>
        </w:rPr>
        <w:t>the communications power (section 51(v)).</w:t>
      </w:r>
    </w:p>
    <w:p w:rsidR="00712E69" w:rsidRPr="0001674D" w:rsidRDefault="00712E69" w:rsidP="00AE031A">
      <w:pPr>
        <w:contextualSpacing/>
        <w:rPr>
          <w:rFonts w:ascii="Times New Roman" w:hAnsi="Times New Roman"/>
          <w:sz w:val="24"/>
          <w:szCs w:val="24"/>
        </w:rPr>
      </w:pPr>
    </w:p>
    <w:p w:rsidR="00772590" w:rsidRPr="0001674D" w:rsidRDefault="00712E69" w:rsidP="00AE031A">
      <w:pPr>
        <w:contextualSpacing/>
        <w:rPr>
          <w:rFonts w:ascii="Times New Roman" w:hAnsi="Times New Roman"/>
          <w:sz w:val="24"/>
          <w:szCs w:val="24"/>
        </w:rPr>
      </w:pPr>
      <w:r w:rsidRPr="0001674D">
        <w:rPr>
          <w:rFonts w:ascii="Times New Roman" w:hAnsi="Times New Roman"/>
          <w:color w:val="000000" w:themeColor="text1"/>
          <w:sz w:val="24"/>
          <w:szCs w:val="24"/>
        </w:rPr>
        <w:t xml:space="preserve">New </w:t>
      </w:r>
      <w:r w:rsidRPr="0001674D">
        <w:rPr>
          <w:rFonts w:ascii="Times New Roman" w:hAnsi="Times New Roman"/>
          <w:b/>
          <w:color w:val="000000" w:themeColor="text1"/>
          <w:sz w:val="24"/>
          <w:szCs w:val="24"/>
        </w:rPr>
        <w:t>table item 93</w:t>
      </w:r>
      <w:r w:rsidR="00772590" w:rsidRPr="0001674D">
        <w:rPr>
          <w:rFonts w:ascii="Times New Roman" w:hAnsi="Times New Roman"/>
          <w:b/>
          <w:color w:val="000000" w:themeColor="text1"/>
          <w:sz w:val="24"/>
          <w:szCs w:val="24"/>
        </w:rPr>
        <w:t xml:space="preserve"> </w:t>
      </w:r>
      <w:r w:rsidR="00772590" w:rsidRPr="0001674D">
        <w:rPr>
          <w:rFonts w:ascii="Times New Roman" w:eastAsia="Times New Roman" w:hAnsi="Times New Roman"/>
          <w:color w:val="000000" w:themeColor="text1"/>
          <w:sz w:val="24"/>
          <w:szCs w:val="24"/>
        </w:rPr>
        <w:t xml:space="preserve">establishes legislative authority for the Government to provide funding for </w:t>
      </w:r>
      <w:r w:rsidR="00772590" w:rsidRPr="0001674D">
        <w:rPr>
          <w:rFonts w:ascii="Times New Roman" w:hAnsi="Times New Roman"/>
          <w:sz w:val="24"/>
          <w:szCs w:val="24"/>
        </w:rPr>
        <w:t xml:space="preserve">the Drought Communities Programme that will fund local infrastructure initiatives in selected local government areas.  The initiatives are expected to provide employment for people whose work opportunities have been impacted by drought.  The programme will be administered by the Department of Infrastructure and Regional Development. </w:t>
      </w:r>
    </w:p>
    <w:p w:rsidR="00772590" w:rsidRPr="0001674D" w:rsidRDefault="00772590" w:rsidP="00AE031A">
      <w:pPr>
        <w:contextualSpacing/>
        <w:rPr>
          <w:rFonts w:ascii="Times New Roman" w:hAnsi="Times New Roman"/>
          <w:sz w:val="24"/>
          <w:szCs w:val="24"/>
        </w:rPr>
      </w:pPr>
    </w:p>
    <w:p w:rsidR="00772590" w:rsidRPr="0001674D" w:rsidRDefault="00772590" w:rsidP="00AE031A">
      <w:pPr>
        <w:contextualSpacing/>
        <w:rPr>
          <w:rFonts w:ascii="Times New Roman" w:hAnsi="Times New Roman"/>
          <w:sz w:val="24"/>
          <w:szCs w:val="24"/>
        </w:rPr>
      </w:pPr>
      <w:r w:rsidRPr="0001674D">
        <w:rPr>
          <w:rFonts w:ascii="Times New Roman" w:hAnsi="Times New Roman"/>
          <w:sz w:val="24"/>
          <w:szCs w:val="24"/>
        </w:rPr>
        <w:t xml:space="preserve">The proposal was announced by the Prime Minister, the Hon Tony Abbott MP, the Deputy Prime Minister and Minister for Infrastructure and Regional Development, the Hon Warren Truss MP, and the Minister for Agriculture, the Hon Barnaby Joyce MP, on 9 May 2015. </w:t>
      </w:r>
    </w:p>
    <w:p w:rsidR="00772590" w:rsidRPr="0001674D" w:rsidRDefault="00772590" w:rsidP="00AE031A">
      <w:pPr>
        <w:contextualSpacing/>
        <w:rPr>
          <w:rFonts w:ascii="Times New Roman" w:hAnsi="Times New Roman"/>
          <w:sz w:val="24"/>
          <w:szCs w:val="24"/>
        </w:rPr>
      </w:pPr>
    </w:p>
    <w:p w:rsidR="00772590" w:rsidRPr="0001674D" w:rsidRDefault="00772590" w:rsidP="00AE031A">
      <w:pPr>
        <w:contextualSpacing/>
        <w:rPr>
          <w:rFonts w:ascii="Times New Roman" w:hAnsi="Times New Roman"/>
          <w:sz w:val="24"/>
          <w:szCs w:val="24"/>
        </w:rPr>
      </w:pPr>
      <w:r w:rsidRPr="0001674D">
        <w:rPr>
          <w:rFonts w:ascii="Times New Roman" w:hAnsi="Times New Roman"/>
          <w:sz w:val="24"/>
          <w:szCs w:val="24"/>
        </w:rPr>
        <w:t>Th</w:t>
      </w:r>
      <w:r w:rsidR="005D2186">
        <w:rPr>
          <w:rFonts w:ascii="Times New Roman" w:hAnsi="Times New Roman"/>
          <w:sz w:val="24"/>
          <w:szCs w:val="24"/>
        </w:rPr>
        <w:t>e Government has allocated $35</w:t>
      </w:r>
      <w:r w:rsidRPr="0001674D">
        <w:rPr>
          <w:rFonts w:ascii="Times New Roman" w:hAnsi="Times New Roman"/>
          <w:sz w:val="24"/>
          <w:szCs w:val="24"/>
        </w:rPr>
        <w:t xml:space="preserve"> million over four years from 2015-16 to this programme.  </w:t>
      </w:r>
    </w:p>
    <w:p w:rsidR="00772590" w:rsidRPr="0001674D" w:rsidRDefault="00772590" w:rsidP="00AE031A">
      <w:pPr>
        <w:contextualSpacing/>
        <w:rPr>
          <w:rFonts w:ascii="Times New Roman" w:hAnsi="Times New Roman"/>
          <w:sz w:val="24"/>
          <w:szCs w:val="24"/>
        </w:rPr>
      </w:pPr>
    </w:p>
    <w:p w:rsidR="00772590" w:rsidRPr="0001674D" w:rsidRDefault="00772590" w:rsidP="00AE031A">
      <w:pPr>
        <w:contextualSpacing/>
        <w:rPr>
          <w:rFonts w:ascii="Times New Roman" w:hAnsi="Times New Roman"/>
          <w:sz w:val="24"/>
          <w:szCs w:val="24"/>
        </w:rPr>
      </w:pPr>
      <w:r w:rsidRPr="0001674D">
        <w:rPr>
          <w:rFonts w:ascii="Times New Roman" w:hAnsi="Times New Roman"/>
          <w:sz w:val="24"/>
          <w:szCs w:val="24"/>
        </w:rPr>
        <w:t>Funding will be targeted at projects that stimulate local community spending, use local resources, businesses and suppliers, and provide a benefit to communities and the agricultural industries on which they depend.  Funding will be available to ‘agreed councils’.  Agreed councils eligible for funding under the programme will be those specified by the Minister for Infrastructure and Regional Development</w:t>
      </w:r>
      <w:r w:rsidR="00CE1170">
        <w:rPr>
          <w:rFonts w:ascii="Times New Roman" w:hAnsi="Times New Roman"/>
          <w:sz w:val="24"/>
          <w:szCs w:val="24"/>
        </w:rPr>
        <w:t>,</w:t>
      </w:r>
      <w:r w:rsidRPr="0001674D">
        <w:rPr>
          <w:rFonts w:ascii="Times New Roman" w:hAnsi="Times New Roman"/>
          <w:sz w:val="24"/>
          <w:szCs w:val="24"/>
        </w:rPr>
        <w:t xml:space="preserve"> in consultation with the Minister for Agriculture.  Drought, remoteness and rainfall deficiency information prepared by the Department of Agriculture will inform decisions by ministerial discretion on the agreed councils.  Funding under the programme is limited to the agreed councils.  Agreed councils will each receive total payments of $1.5 million.  </w:t>
      </w:r>
    </w:p>
    <w:p w:rsidR="00772590" w:rsidRPr="0001674D" w:rsidRDefault="00772590" w:rsidP="00AE031A">
      <w:pPr>
        <w:contextualSpacing/>
        <w:rPr>
          <w:rFonts w:ascii="Times New Roman" w:hAnsi="Times New Roman"/>
          <w:sz w:val="24"/>
          <w:szCs w:val="24"/>
        </w:rPr>
      </w:pPr>
    </w:p>
    <w:p w:rsidR="00772590" w:rsidRPr="0001674D" w:rsidRDefault="00772590" w:rsidP="00AE031A">
      <w:pPr>
        <w:contextualSpacing/>
        <w:rPr>
          <w:rFonts w:ascii="Times New Roman" w:hAnsi="Times New Roman"/>
          <w:sz w:val="24"/>
          <w:szCs w:val="24"/>
        </w:rPr>
      </w:pPr>
      <w:r w:rsidRPr="0001674D">
        <w:rPr>
          <w:rFonts w:ascii="Times New Roman" w:hAnsi="Times New Roman"/>
          <w:sz w:val="24"/>
          <w:szCs w:val="24"/>
        </w:rPr>
        <w:t xml:space="preserve">Programme guidelines will be provided directly to the agreed councils and will be published on the Department of Infrastructure and Regional Development’s website (http://investment.infrastructure.gov.au/) along with the list of agreed councils and spending decisions as they are made. </w:t>
      </w:r>
    </w:p>
    <w:p w:rsidR="00772590" w:rsidRPr="0001674D" w:rsidRDefault="00772590" w:rsidP="00AE031A">
      <w:pPr>
        <w:contextualSpacing/>
        <w:rPr>
          <w:rFonts w:ascii="Times New Roman" w:hAnsi="Times New Roman"/>
          <w:sz w:val="24"/>
          <w:szCs w:val="24"/>
        </w:rPr>
      </w:pPr>
    </w:p>
    <w:p w:rsidR="00772590" w:rsidRPr="0001674D" w:rsidRDefault="00772590" w:rsidP="00AE031A">
      <w:pPr>
        <w:contextualSpacing/>
        <w:rPr>
          <w:rFonts w:ascii="Times New Roman" w:hAnsi="Times New Roman"/>
          <w:sz w:val="24"/>
          <w:szCs w:val="24"/>
        </w:rPr>
      </w:pPr>
      <w:r w:rsidRPr="0001674D">
        <w:rPr>
          <w:rFonts w:ascii="Times New Roman" w:hAnsi="Times New Roman"/>
          <w:sz w:val="24"/>
          <w:szCs w:val="24"/>
        </w:rPr>
        <w:t>Eligible projects could include economic, social and cultural infrastructure, safety and accessibility upgrades, and town facility developments and upgrades.  Proposals will be appraised against the eligibility criteria by the Department of Infrastructure and Regional Development.  An authorised officer of the Department will be delegated to approve the funding of successful projects.  The merits of individual projects will not be assessed by the Department; rather</w:t>
      </w:r>
      <w:r w:rsidR="00CE1170">
        <w:rPr>
          <w:rFonts w:ascii="Times New Roman" w:hAnsi="Times New Roman"/>
          <w:sz w:val="24"/>
          <w:szCs w:val="24"/>
        </w:rPr>
        <w:t>,</w:t>
      </w:r>
      <w:r w:rsidRPr="0001674D">
        <w:rPr>
          <w:rFonts w:ascii="Times New Roman" w:hAnsi="Times New Roman"/>
          <w:sz w:val="24"/>
          <w:szCs w:val="24"/>
        </w:rPr>
        <w:t xml:space="preserve"> projects will be assessed as being eligible against the criteria in the programme guidelines.  Should a project not be approved, the agreed council will be provided with the opportunity to submit an alternative project or amend the current proposal and re-submit it.</w:t>
      </w:r>
    </w:p>
    <w:p w:rsidR="00772590" w:rsidRPr="0001674D" w:rsidRDefault="00772590" w:rsidP="00AE031A">
      <w:pPr>
        <w:contextualSpacing/>
        <w:rPr>
          <w:rFonts w:ascii="Times New Roman" w:hAnsi="Times New Roman"/>
          <w:sz w:val="24"/>
          <w:szCs w:val="24"/>
        </w:rPr>
      </w:pPr>
    </w:p>
    <w:p w:rsidR="00772590" w:rsidRPr="0001674D" w:rsidRDefault="00772590" w:rsidP="00AE031A">
      <w:pPr>
        <w:autoSpaceDE w:val="0"/>
        <w:autoSpaceDN w:val="0"/>
        <w:adjustRightInd w:val="0"/>
        <w:contextualSpacing/>
        <w:rPr>
          <w:rFonts w:ascii="Times New Roman" w:hAnsi="Times New Roman"/>
          <w:sz w:val="24"/>
          <w:szCs w:val="24"/>
        </w:rPr>
      </w:pPr>
      <w:r w:rsidRPr="0001674D">
        <w:rPr>
          <w:rFonts w:ascii="Times New Roman" w:hAnsi="Times New Roman"/>
          <w:sz w:val="24"/>
          <w:szCs w:val="24"/>
        </w:rPr>
        <w:t>The Drought Communities Programme is not a competitive grants programme.  Only projects identified by the agreed councils will be considered, subject to them meeting the principle of value with relevant money.  As a result, the establishment of these projects is not subject to external review.</w:t>
      </w:r>
    </w:p>
    <w:p w:rsidR="00772590" w:rsidRPr="0001674D" w:rsidRDefault="00772590" w:rsidP="00AE031A">
      <w:pPr>
        <w:autoSpaceDE w:val="0"/>
        <w:autoSpaceDN w:val="0"/>
        <w:adjustRightInd w:val="0"/>
        <w:contextualSpacing/>
        <w:rPr>
          <w:rFonts w:ascii="Times New Roman" w:hAnsi="Times New Roman"/>
          <w:sz w:val="24"/>
          <w:szCs w:val="24"/>
        </w:rPr>
      </w:pPr>
    </w:p>
    <w:p w:rsidR="00772590" w:rsidRPr="0001674D" w:rsidRDefault="00772590" w:rsidP="00AE031A">
      <w:pPr>
        <w:contextualSpacing/>
        <w:rPr>
          <w:rFonts w:ascii="Times New Roman" w:hAnsi="Times New Roman"/>
          <w:sz w:val="24"/>
          <w:szCs w:val="24"/>
        </w:rPr>
      </w:pPr>
      <w:r w:rsidRPr="0001674D">
        <w:rPr>
          <w:rFonts w:ascii="Times New Roman" w:hAnsi="Times New Roman"/>
          <w:sz w:val="24"/>
          <w:szCs w:val="24"/>
        </w:rPr>
        <w:t>The programme does not create an entitlement for all drought-affected councils to receive funding.  Programme funding is capped at $35 million, and once that ceiling is reached through additional councils being added to the list of agreed councils, then no other approvals are possible, without a further consideration of the programme’s parameters by the Government.  The Minister for Infrastructure and Regional Development, in consultation with the Minister for Agriculture, can consider adding further agreed councils at their discretion.</w:t>
      </w:r>
    </w:p>
    <w:p w:rsidR="00772590" w:rsidRPr="0001674D" w:rsidRDefault="00772590" w:rsidP="00AE031A">
      <w:pPr>
        <w:contextualSpacing/>
        <w:rPr>
          <w:rFonts w:ascii="Times New Roman" w:hAnsi="Times New Roman"/>
          <w:sz w:val="24"/>
          <w:szCs w:val="24"/>
        </w:rPr>
      </w:pPr>
    </w:p>
    <w:p w:rsidR="00772590" w:rsidRPr="0001674D" w:rsidRDefault="00772590" w:rsidP="00AE031A">
      <w:pPr>
        <w:contextualSpacing/>
        <w:rPr>
          <w:rFonts w:ascii="Times New Roman" w:hAnsi="Times New Roman"/>
          <w:sz w:val="24"/>
          <w:szCs w:val="24"/>
        </w:rPr>
      </w:pPr>
      <w:r w:rsidRPr="0001674D">
        <w:rPr>
          <w:rFonts w:ascii="Times New Roman" w:hAnsi="Times New Roman"/>
          <w:sz w:val="24"/>
          <w:szCs w:val="24"/>
        </w:rPr>
        <w:t>Further information about the programme will be provided on the Department’s website once available.</w:t>
      </w:r>
    </w:p>
    <w:p w:rsidR="00772590" w:rsidRPr="0001674D" w:rsidRDefault="00772590" w:rsidP="00AE031A">
      <w:pPr>
        <w:contextualSpacing/>
        <w:rPr>
          <w:rFonts w:ascii="Times New Roman" w:hAnsi="Times New Roman"/>
          <w:sz w:val="24"/>
          <w:szCs w:val="24"/>
        </w:rPr>
      </w:pPr>
    </w:p>
    <w:p w:rsidR="0060188E" w:rsidRDefault="0060188E">
      <w:pPr>
        <w:spacing w:after="200" w:line="276" w:lineRule="auto"/>
        <w:rPr>
          <w:rFonts w:ascii="Times New Roman" w:hAnsi="Times New Roman"/>
          <w:sz w:val="24"/>
          <w:szCs w:val="24"/>
        </w:rPr>
      </w:pPr>
      <w:r>
        <w:rPr>
          <w:rFonts w:ascii="Times New Roman" w:hAnsi="Times New Roman"/>
          <w:sz w:val="24"/>
          <w:szCs w:val="24"/>
        </w:rPr>
        <w:br w:type="page"/>
      </w:r>
    </w:p>
    <w:p w:rsidR="00772590" w:rsidRPr="0001674D" w:rsidRDefault="00772590" w:rsidP="00AE031A">
      <w:pPr>
        <w:contextualSpacing/>
        <w:rPr>
          <w:rFonts w:ascii="Times New Roman" w:hAnsi="Times New Roman"/>
          <w:sz w:val="24"/>
          <w:szCs w:val="24"/>
        </w:rPr>
      </w:pPr>
      <w:r w:rsidRPr="0001674D">
        <w:rPr>
          <w:rFonts w:ascii="Times New Roman" w:hAnsi="Times New Roman"/>
          <w:sz w:val="24"/>
          <w:szCs w:val="24"/>
        </w:rPr>
        <w:t>The Drought Communities Programme is being delivered under Programme 3.1: Regi</w:t>
      </w:r>
      <w:r w:rsidR="00CE1170">
        <w:rPr>
          <w:rFonts w:ascii="Times New Roman" w:hAnsi="Times New Roman"/>
          <w:sz w:val="24"/>
          <w:szCs w:val="24"/>
        </w:rPr>
        <w:t>onal D</w:t>
      </w:r>
      <w:r w:rsidRPr="0001674D">
        <w:rPr>
          <w:rFonts w:ascii="Times New Roman" w:hAnsi="Times New Roman"/>
          <w:sz w:val="24"/>
          <w:szCs w:val="24"/>
        </w:rPr>
        <w:t xml:space="preserve">evelopment, which is part of Outcome 3: Strengthening the sustainability, capacity and diversity of regional economies including through facilitating local partnerships between all levels of government and local communities; and providing grants and financial assistance.  Details are set out in the </w:t>
      </w:r>
      <w:r w:rsidRPr="0001674D">
        <w:rPr>
          <w:rFonts w:ascii="Times New Roman" w:hAnsi="Times New Roman"/>
          <w:i/>
          <w:sz w:val="24"/>
          <w:szCs w:val="24"/>
        </w:rPr>
        <w:t>Portfolio Budget Statements 2015</w:t>
      </w:r>
      <w:r w:rsidR="008D1B60">
        <w:rPr>
          <w:rFonts w:ascii="Times New Roman" w:hAnsi="Times New Roman"/>
          <w:i/>
          <w:sz w:val="24"/>
          <w:szCs w:val="24"/>
        </w:rPr>
        <w:t>-16, Budget Related P</w:t>
      </w:r>
      <w:r w:rsidRPr="0001674D">
        <w:rPr>
          <w:rFonts w:ascii="Times New Roman" w:hAnsi="Times New Roman"/>
          <w:i/>
          <w:sz w:val="24"/>
          <w:szCs w:val="24"/>
        </w:rPr>
        <w:t>aper No. 1.13, Infrastructure and Regional Development Portfolio</w:t>
      </w:r>
      <w:r w:rsidRPr="0001674D">
        <w:rPr>
          <w:rFonts w:ascii="Times New Roman" w:hAnsi="Times New Roman"/>
          <w:sz w:val="24"/>
          <w:szCs w:val="24"/>
        </w:rPr>
        <w:t xml:space="preserve"> at pages 56 to 59.</w:t>
      </w:r>
    </w:p>
    <w:p w:rsidR="00E669A7" w:rsidRDefault="00E669A7" w:rsidP="00AE031A">
      <w:pPr>
        <w:spacing w:line="276" w:lineRule="auto"/>
        <w:rPr>
          <w:rFonts w:ascii="Times New Roman" w:hAnsi="Times New Roman"/>
          <w:sz w:val="24"/>
          <w:szCs w:val="24"/>
        </w:rPr>
      </w:pPr>
    </w:p>
    <w:p w:rsidR="00772590" w:rsidRPr="0001674D" w:rsidRDefault="00772590" w:rsidP="00E669A7">
      <w:pPr>
        <w:contextualSpacing/>
        <w:rPr>
          <w:rFonts w:ascii="Times New Roman" w:hAnsi="Times New Roman"/>
          <w:sz w:val="24"/>
          <w:szCs w:val="24"/>
          <w:highlight w:val="yellow"/>
        </w:rPr>
      </w:pPr>
      <w:r w:rsidRPr="0001674D">
        <w:rPr>
          <w:rFonts w:ascii="Times New Roman" w:hAnsi="Times New Roman"/>
          <w:sz w:val="24"/>
          <w:szCs w:val="24"/>
        </w:rPr>
        <w:t>Noting that it is not a comprehensive statement of relevant constitutional considerations, the objective of the item references the following powers of the Constitution:</w:t>
      </w:r>
    </w:p>
    <w:p w:rsidR="00772590" w:rsidRPr="0001674D" w:rsidRDefault="00772590" w:rsidP="00E669A7">
      <w:pPr>
        <w:pStyle w:val="ListParagraph"/>
        <w:numPr>
          <w:ilvl w:val="0"/>
          <w:numId w:val="1"/>
        </w:numPr>
        <w:ind w:left="357" w:hanging="357"/>
        <w:rPr>
          <w:rFonts w:cs="Times New Roman"/>
          <w:szCs w:val="24"/>
        </w:rPr>
      </w:pPr>
      <w:r w:rsidRPr="0001674D">
        <w:rPr>
          <w:rFonts w:cs="Times New Roman"/>
          <w:szCs w:val="24"/>
        </w:rPr>
        <w:t>the trade and commerce power (section 51(i));</w:t>
      </w:r>
    </w:p>
    <w:p w:rsidR="00772590" w:rsidRPr="0001674D" w:rsidRDefault="00772590" w:rsidP="00E669A7">
      <w:pPr>
        <w:pStyle w:val="ListParagraph"/>
        <w:numPr>
          <w:ilvl w:val="0"/>
          <w:numId w:val="1"/>
        </w:numPr>
        <w:spacing w:after="120"/>
        <w:ind w:left="357" w:hanging="357"/>
        <w:rPr>
          <w:rFonts w:cs="Times New Roman"/>
          <w:szCs w:val="24"/>
        </w:rPr>
      </w:pPr>
      <w:r w:rsidRPr="0001674D">
        <w:rPr>
          <w:rFonts w:cs="Times New Roman"/>
          <w:szCs w:val="24"/>
        </w:rPr>
        <w:t>grants to States/Territories (section 96);</w:t>
      </w:r>
    </w:p>
    <w:p w:rsidR="00772590" w:rsidRPr="0001674D" w:rsidRDefault="00772590" w:rsidP="00E669A7">
      <w:pPr>
        <w:pStyle w:val="ListParagraph"/>
        <w:numPr>
          <w:ilvl w:val="0"/>
          <w:numId w:val="1"/>
        </w:numPr>
        <w:spacing w:after="120"/>
        <w:ind w:left="357" w:hanging="357"/>
        <w:rPr>
          <w:rFonts w:cs="Times New Roman"/>
          <w:szCs w:val="24"/>
        </w:rPr>
      </w:pPr>
      <w:r w:rsidRPr="0001674D">
        <w:rPr>
          <w:rFonts w:cs="Times New Roman"/>
          <w:szCs w:val="24"/>
        </w:rPr>
        <w:t>the territories power (section 122);</w:t>
      </w:r>
    </w:p>
    <w:p w:rsidR="00772590" w:rsidRPr="0001674D" w:rsidRDefault="00772590" w:rsidP="00E669A7">
      <w:pPr>
        <w:pStyle w:val="ListParagraph"/>
        <w:numPr>
          <w:ilvl w:val="0"/>
          <w:numId w:val="1"/>
        </w:numPr>
        <w:spacing w:after="120"/>
        <w:ind w:left="357" w:hanging="357"/>
        <w:rPr>
          <w:rFonts w:cs="Times New Roman"/>
          <w:szCs w:val="24"/>
        </w:rPr>
      </w:pPr>
      <w:r w:rsidRPr="0001674D">
        <w:rPr>
          <w:rFonts w:cs="Times New Roman"/>
          <w:szCs w:val="24"/>
        </w:rPr>
        <w:t>the communications power (section 51(v));</w:t>
      </w:r>
    </w:p>
    <w:p w:rsidR="00772590" w:rsidRPr="0001674D" w:rsidRDefault="00772590" w:rsidP="00E669A7">
      <w:pPr>
        <w:pStyle w:val="ListParagraph"/>
        <w:numPr>
          <w:ilvl w:val="0"/>
          <w:numId w:val="1"/>
        </w:numPr>
        <w:spacing w:after="120"/>
        <w:ind w:left="357" w:hanging="357"/>
        <w:rPr>
          <w:rFonts w:cs="Times New Roman"/>
          <w:szCs w:val="24"/>
        </w:rPr>
      </w:pPr>
      <w:r w:rsidRPr="0001674D">
        <w:rPr>
          <w:rFonts w:cs="Times New Roman"/>
          <w:szCs w:val="24"/>
        </w:rPr>
        <w:t>the defence power (section 51(i));</w:t>
      </w:r>
    </w:p>
    <w:p w:rsidR="00772590" w:rsidRPr="0001674D" w:rsidRDefault="00772590" w:rsidP="00E669A7">
      <w:pPr>
        <w:pStyle w:val="ListParagraph"/>
        <w:numPr>
          <w:ilvl w:val="0"/>
          <w:numId w:val="1"/>
        </w:numPr>
        <w:spacing w:after="120"/>
        <w:ind w:left="357" w:hanging="357"/>
        <w:rPr>
          <w:rFonts w:cs="Times New Roman"/>
          <w:szCs w:val="24"/>
        </w:rPr>
      </w:pPr>
      <w:r w:rsidRPr="0001674D">
        <w:rPr>
          <w:rFonts w:cs="Times New Roman"/>
          <w:szCs w:val="24"/>
        </w:rPr>
        <w:t>the railway construction power (section 51(xxxiv));</w:t>
      </w:r>
    </w:p>
    <w:p w:rsidR="00772590" w:rsidRPr="0001674D" w:rsidRDefault="00772590" w:rsidP="00E669A7">
      <w:pPr>
        <w:pStyle w:val="ListParagraph"/>
        <w:numPr>
          <w:ilvl w:val="0"/>
          <w:numId w:val="1"/>
        </w:numPr>
        <w:spacing w:after="120"/>
        <w:ind w:left="357" w:hanging="357"/>
        <w:rPr>
          <w:rFonts w:cs="Times New Roman"/>
          <w:szCs w:val="24"/>
        </w:rPr>
      </w:pPr>
      <w:r w:rsidRPr="0001674D">
        <w:rPr>
          <w:rFonts w:cs="Times New Roman"/>
          <w:szCs w:val="24"/>
        </w:rPr>
        <w:t>the social welfare power (section 51(xxiiiA));</w:t>
      </w:r>
    </w:p>
    <w:p w:rsidR="00772590" w:rsidRPr="0001674D" w:rsidRDefault="00772590" w:rsidP="00E669A7">
      <w:pPr>
        <w:pStyle w:val="ListParagraph"/>
        <w:numPr>
          <w:ilvl w:val="0"/>
          <w:numId w:val="1"/>
        </w:numPr>
        <w:spacing w:after="120"/>
        <w:ind w:left="357" w:hanging="357"/>
        <w:rPr>
          <w:rFonts w:cs="Times New Roman"/>
          <w:szCs w:val="24"/>
        </w:rPr>
      </w:pPr>
      <w:r w:rsidRPr="0001674D">
        <w:rPr>
          <w:rFonts w:cs="Times New Roman"/>
          <w:szCs w:val="24"/>
        </w:rPr>
        <w:t>the races power (section 51(xxvi));</w:t>
      </w:r>
    </w:p>
    <w:p w:rsidR="00772590" w:rsidRPr="0001674D" w:rsidRDefault="00772590" w:rsidP="00E669A7">
      <w:pPr>
        <w:pStyle w:val="ListParagraph"/>
        <w:numPr>
          <w:ilvl w:val="0"/>
          <w:numId w:val="1"/>
        </w:numPr>
        <w:spacing w:after="120"/>
        <w:ind w:left="357" w:hanging="357"/>
        <w:rPr>
          <w:rFonts w:cs="Times New Roman"/>
          <w:szCs w:val="24"/>
        </w:rPr>
      </w:pPr>
      <w:r w:rsidRPr="0001674D">
        <w:rPr>
          <w:rFonts w:cs="Times New Roman"/>
          <w:szCs w:val="24"/>
        </w:rPr>
        <w:t>the external affairs power (section 51(xxix)); and</w:t>
      </w:r>
    </w:p>
    <w:p w:rsidR="00772590" w:rsidRPr="0001674D" w:rsidRDefault="00772590" w:rsidP="00E669A7">
      <w:pPr>
        <w:pStyle w:val="ListParagraph"/>
        <w:numPr>
          <w:ilvl w:val="0"/>
          <w:numId w:val="1"/>
        </w:numPr>
        <w:ind w:left="357" w:hanging="357"/>
        <w:rPr>
          <w:rFonts w:cs="Times New Roman"/>
          <w:szCs w:val="24"/>
        </w:rPr>
      </w:pPr>
      <w:r w:rsidRPr="0001674D">
        <w:rPr>
          <w:rFonts w:cs="Times New Roman"/>
          <w:szCs w:val="24"/>
        </w:rPr>
        <w:t>the Commonwealth executive power and the express incidental power (sections 61 and 51(xxxix)).</w:t>
      </w:r>
    </w:p>
    <w:p w:rsidR="00712E69" w:rsidRPr="0001674D" w:rsidRDefault="00712E69" w:rsidP="00E669A7">
      <w:pPr>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New </w:t>
      </w:r>
      <w:r w:rsidRPr="0001674D">
        <w:rPr>
          <w:rFonts w:ascii="Times New Roman" w:hAnsi="Times New Roman"/>
          <w:b/>
          <w:sz w:val="24"/>
          <w:szCs w:val="24"/>
        </w:rPr>
        <w:t xml:space="preserve">table item 94 </w:t>
      </w:r>
      <w:r w:rsidRPr="0001674D">
        <w:rPr>
          <w:rFonts w:ascii="Times New Roman" w:hAnsi="Times New Roman"/>
          <w:sz w:val="24"/>
          <w:szCs w:val="24"/>
        </w:rPr>
        <w:t xml:space="preserve">establishes legislative authority for the Government to support the delivery of medical services to people living in rural, regional and remote communities in Australia by better targeting assistance to areas with the highest level of workforce need.  The programme involves the provision of targeted financial support to encourage doctors to practise in areas that experience the greatest difficulty in attracting and retaining the medical workforce. </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The existing General Practice Rural Incentives Programme will be expanded by the consolidation of two ceasing programmes, the Outer Metropolitan Relocation Incentive Grant and the Higher Education Contributions Scheme Reimbursement Scheme, to provide a single, better designed incentive programme for improved access to medical services for rural populations. </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The measure, </w:t>
      </w:r>
      <w:r w:rsidRPr="0001674D">
        <w:rPr>
          <w:rFonts w:ascii="Times New Roman" w:hAnsi="Times New Roman"/>
          <w:i/>
          <w:sz w:val="24"/>
          <w:szCs w:val="24"/>
        </w:rPr>
        <w:t>Better Targeted Rural Financial Incentives for Doctors,</w:t>
      </w:r>
      <w:r w:rsidRPr="0001674D">
        <w:rPr>
          <w:rFonts w:ascii="Times New Roman" w:hAnsi="Times New Roman"/>
          <w:sz w:val="24"/>
          <w:szCs w:val="24"/>
        </w:rPr>
        <w:t xml:space="preserve"> was announced in the 2015-16 Budget.  Details are set out in </w:t>
      </w:r>
      <w:r w:rsidRPr="0001674D">
        <w:rPr>
          <w:rFonts w:ascii="Times New Roman" w:hAnsi="Times New Roman"/>
          <w:i/>
          <w:sz w:val="24"/>
          <w:szCs w:val="24"/>
        </w:rPr>
        <w:t>Budget Measures 2015</w:t>
      </w:r>
      <w:r w:rsidRPr="0001674D">
        <w:rPr>
          <w:rFonts w:ascii="Times New Roman" w:hAnsi="Times New Roman"/>
          <w:i/>
          <w:sz w:val="24"/>
          <w:szCs w:val="24"/>
        </w:rPr>
        <w:noBreakHyphen/>
        <w:t>16, Budget Paper No. 2 2015</w:t>
      </w:r>
      <w:r w:rsidRPr="0001674D">
        <w:rPr>
          <w:rFonts w:ascii="Times New Roman" w:hAnsi="Times New Roman"/>
          <w:i/>
          <w:sz w:val="24"/>
          <w:szCs w:val="24"/>
        </w:rPr>
        <w:noBreakHyphen/>
        <w:t>16</w:t>
      </w:r>
      <w:r w:rsidRPr="0001674D">
        <w:rPr>
          <w:rFonts w:ascii="Times New Roman" w:hAnsi="Times New Roman"/>
          <w:sz w:val="24"/>
          <w:szCs w:val="24"/>
        </w:rPr>
        <w:t xml:space="preserve"> at page 99. </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Doctors who meet the eligibility criteria under updated programme guidelines will receive the financial incentives in accordance with the location in which they practise, the length of time they have been there and their clinical workload.  The guidelines will be available on the Department of Health’s website for Rural and Regional Health Australia (http://www.ruralhealthaustralia.gov.au/).  The Department of Human Services will administer the payments, through an automatic payment system, on behalf of the </w:t>
      </w:r>
      <w:r w:rsidR="002B3CF2">
        <w:rPr>
          <w:rFonts w:ascii="Times New Roman" w:hAnsi="Times New Roman"/>
          <w:sz w:val="24"/>
          <w:szCs w:val="24"/>
        </w:rPr>
        <w:br/>
      </w:r>
      <w:r w:rsidRPr="0001674D">
        <w:rPr>
          <w:rFonts w:ascii="Times New Roman" w:hAnsi="Times New Roman"/>
          <w:sz w:val="24"/>
          <w:szCs w:val="24"/>
        </w:rPr>
        <w:t xml:space="preserve">Department of Health.  All expenditure under this item will be made in accordance with the </w:t>
      </w:r>
      <w:r w:rsidR="002B3CF2">
        <w:rPr>
          <w:rFonts w:ascii="Times New Roman" w:hAnsi="Times New Roman"/>
          <w:sz w:val="24"/>
          <w:szCs w:val="24"/>
        </w:rPr>
        <w:br/>
      </w:r>
      <w:r w:rsidRPr="0001674D">
        <w:rPr>
          <w:rFonts w:ascii="Times New Roman" w:hAnsi="Times New Roman"/>
          <w:i/>
          <w:iCs/>
          <w:sz w:val="24"/>
          <w:szCs w:val="24"/>
        </w:rPr>
        <w:t xml:space="preserve">Public Governance, Performance and Accountability Act </w:t>
      </w:r>
      <w:r w:rsidRPr="0001674D">
        <w:rPr>
          <w:rFonts w:ascii="Times New Roman" w:hAnsi="Times New Roman"/>
          <w:i/>
          <w:sz w:val="24"/>
          <w:szCs w:val="24"/>
        </w:rPr>
        <w:t>2013</w:t>
      </w:r>
      <w:r w:rsidRPr="0001674D">
        <w:rPr>
          <w:rFonts w:ascii="Times New Roman" w:hAnsi="Times New Roman"/>
          <w:sz w:val="24"/>
          <w:szCs w:val="24"/>
        </w:rPr>
        <w:t xml:space="preserve"> and the </w:t>
      </w:r>
      <w:r w:rsidRPr="0001674D">
        <w:rPr>
          <w:rFonts w:ascii="Times New Roman" w:hAnsi="Times New Roman"/>
          <w:i/>
          <w:sz w:val="24"/>
          <w:szCs w:val="24"/>
        </w:rPr>
        <w:t>Commonwealth Grants Rules and Guidelines</w:t>
      </w:r>
      <w:r w:rsidRPr="0001674D">
        <w:rPr>
          <w:rFonts w:ascii="Times New Roman" w:hAnsi="Times New Roman"/>
          <w:sz w:val="24"/>
          <w:szCs w:val="24"/>
        </w:rPr>
        <w:t xml:space="preserve">.  </w:t>
      </w:r>
    </w:p>
    <w:p w:rsidR="00772590" w:rsidRPr="0001674D" w:rsidRDefault="00772590" w:rsidP="00E669A7">
      <w:pPr>
        <w:spacing w:after="120"/>
        <w:contextualSpacing/>
        <w:rPr>
          <w:rFonts w:ascii="Times New Roman" w:hAnsi="Times New Roman"/>
          <w:sz w:val="24"/>
          <w:szCs w:val="24"/>
        </w:rPr>
      </w:pPr>
    </w:p>
    <w:p w:rsidR="0060188E" w:rsidRDefault="0060188E">
      <w:pPr>
        <w:spacing w:after="200" w:line="276" w:lineRule="auto"/>
        <w:rPr>
          <w:rFonts w:ascii="Times New Roman" w:hAnsi="Times New Roman"/>
          <w:sz w:val="24"/>
          <w:szCs w:val="24"/>
        </w:rPr>
      </w:pPr>
      <w:r>
        <w:rPr>
          <w:rFonts w:ascii="Times New Roman" w:hAnsi="Times New Roman"/>
          <w:sz w:val="24"/>
          <w:szCs w:val="24"/>
        </w:rPr>
        <w:br w:type="page"/>
      </w: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Doctors who wish to appeal their particular outcome can do so by applying to the </w:t>
      </w:r>
      <w:r w:rsidR="002B3CF2">
        <w:rPr>
          <w:rFonts w:ascii="Times New Roman" w:hAnsi="Times New Roman"/>
          <w:sz w:val="24"/>
          <w:szCs w:val="24"/>
        </w:rPr>
        <w:br/>
      </w:r>
      <w:r w:rsidRPr="0001674D">
        <w:rPr>
          <w:rFonts w:ascii="Times New Roman" w:hAnsi="Times New Roman"/>
          <w:sz w:val="24"/>
          <w:szCs w:val="24"/>
        </w:rPr>
        <w:t>Department of Human Services or the Department of Health, as set out in the programme guidelines. Reviews will be conducted internally by the Department of Health.  For appeals arising due to exceptional circumstances, the Department of Health will receive assistance from an advisory committee comprising external members who represent key stakeholders.</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The programme comes under Programme 8.1: Workforce and Rural Distribution, which is part of Outcome 8: Health Workforce Capacity.  Details are set out in the </w:t>
      </w:r>
      <w:r w:rsidRPr="0001674D">
        <w:rPr>
          <w:rFonts w:ascii="Times New Roman" w:hAnsi="Times New Roman"/>
          <w:i/>
          <w:sz w:val="24"/>
          <w:szCs w:val="24"/>
        </w:rPr>
        <w:t>Portfolio Budget Statements 2015-16, Budget Related Paper No. 1.1</w:t>
      </w:r>
      <w:r w:rsidR="00CE1170">
        <w:rPr>
          <w:rFonts w:ascii="Times New Roman" w:hAnsi="Times New Roman"/>
          <w:i/>
          <w:sz w:val="24"/>
          <w:szCs w:val="24"/>
        </w:rPr>
        <w:t>0, Health Portfolio</w:t>
      </w:r>
      <w:r w:rsidRPr="0001674D">
        <w:rPr>
          <w:rFonts w:ascii="Times New Roman" w:hAnsi="Times New Roman"/>
          <w:sz w:val="24"/>
          <w:szCs w:val="24"/>
        </w:rPr>
        <w:t xml:space="preserve"> at pages 31 and 143 to</w:t>
      </w:r>
      <w:r w:rsidR="0060188E">
        <w:rPr>
          <w:rFonts w:ascii="Times New Roman" w:hAnsi="Times New Roman"/>
          <w:sz w:val="24"/>
          <w:szCs w:val="24"/>
        </w:rPr>
        <w:t> </w:t>
      </w:r>
      <w:r w:rsidRPr="0001674D">
        <w:rPr>
          <w:rFonts w:ascii="Times New Roman" w:hAnsi="Times New Roman"/>
          <w:sz w:val="24"/>
          <w:szCs w:val="24"/>
        </w:rPr>
        <w:t xml:space="preserve">144.  </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contextualSpacing/>
        <w:rPr>
          <w:rFonts w:ascii="Times New Roman" w:hAnsi="Times New Roman"/>
          <w:sz w:val="24"/>
          <w:szCs w:val="24"/>
        </w:rPr>
      </w:pPr>
      <w:r w:rsidRPr="0001674D">
        <w:rPr>
          <w:rFonts w:ascii="Times New Roman" w:hAnsi="Times New Roman"/>
          <w:sz w:val="24"/>
          <w:szCs w:val="24"/>
        </w:rPr>
        <w:t xml:space="preserve">Noting that it is not a comprehensive statement of relevant constitutional considerations, the objective of the item references the following powers of the Constitution: </w:t>
      </w:r>
    </w:p>
    <w:p w:rsidR="00772590" w:rsidRPr="0001674D" w:rsidRDefault="00772590" w:rsidP="00E669A7">
      <w:pPr>
        <w:pStyle w:val="ListParagraph"/>
        <w:numPr>
          <w:ilvl w:val="0"/>
          <w:numId w:val="10"/>
        </w:numPr>
        <w:rPr>
          <w:rFonts w:cs="Times New Roman"/>
          <w:szCs w:val="24"/>
        </w:rPr>
      </w:pPr>
      <w:r w:rsidRPr="0001674D">
        <w:rPr>
          <w:rFonts w:cs="Times New Roman"/>
          <w:szCs w:val="24"/>
        </w:rPr>
        <w:t>the social welfare power (section 51(xxiiiA)); and</w:t>
      </w:r>
    </w:p>
    <w:p w:rsidR="00772590" w:rsidRPr="0001674D" w:rsidRDefault="00772590" w:rsidP="00E669A7">
      <w:pPr>
        <w:pStyle w:val="ListParagraph"/>
        <w:numPr>
          <w:ilvl w:val="0"/>
          <w:numId w:val="10"/>
        </w:numPr>
        <w:rPr>
          <w:rFonts w:cs="Times New Roman"/>
          <w:szCs w:val="24"/>
        </w:rPr>
      </w:pPr>
      <w:r w:rsidRPr="0001674D">
        <w:rPr>
          <w:rFonts w:cs="Times New Roman"/>
          <w:szCs w:val="24"/>
        </w:rPr>
        <w:t>the external affairs power (section 51(xxix)).</w:t>
      </w:r>
    </w:p>
    <w:p w:rsidR="00772590" w:rsidRPr="0001674D" w:rsidRDefault="00772590" w:rsidP="00E669A7">
      <w:pPr>
        <w:contextualSpacing/>
        <w:rPr>
          <w:rFonts w:ascii="Times New Roman" w:hAnsi="Times New Roman"/>
          <w:sz w:val="24"/>
          <w:szCs w:val="24"/>
        </w:rPr>
      </w:pPr>
    </w:p>
    <w:p w:rsidR="00772590" w:rsidRPr="0001674D" w:rsidRDefault="00772590" w:rsidP="00E669A7">
      <w:pPr>
        <w:contextualSpacing/>
        <w:rPr>
          <w:rFonts w:ascii="Times New Roman" w:hAnsi="Times New Roman"/>
          <w:sz w:val="24"/>
          <w:szCs w:val="24"/>
        </w:rPr>
      </w:pPr>
      <w:r w:rsidRPr="0001674D">
        <w:rPr>
          <w:rFonts w:ascii="Times New Roman" w:hAnsi="Times New Roman"/>
          <w:sz w:val="24"/>
          <w:szCs w:val="24"/>
        </w:rPr>
        <w:t xml:space="preserve">New </w:t>
      </w:r>
      <w:r w:rsidRPr="0001674D">
        <w:rPr>
          <w:rFonts w:ascii="Times New Roman" w:hAnsi="Times New Roman"/>
          <w:b/>
          <w:sz w:val="24"/>
          <w:szCs w:val="24"/>
        </w:rPr>
        <w:t xml:space="preserve">table item 95 </w:t>
      </w:r>
      <w:r w:rsidRPr="0001674D">
        <w:rPr>
          <w:rFonts w:ascii="Times New Roman" w:hAnsi="Times New Roman"/>
          <w:sz w:val="24"/>
          <w:szCs w:val="24"/>
        </w:rPr>
        <w:t>establishes legislative authority for the Government to fund the Haemopoietic Progenitor Cells Programme to provide Australian patients with better access to life-saving tissue transplants used to restore stem cells destroyed by cancer therapies and other life</w:t>
      </w:r>
      <w:r w:rsidR="00CE1170">
        <w:rPr>
          <w:rFonts w:ascii="Times New Roman" w:hAnsi="Times New Roman"/>
          <w:sz w:val="24"/>
          <w:szCs w:val="24"/>
        </w:rPr>
        <w:t>-threatening conditions.  This p</w:t>
      </w:r>
      <w:r w:rsidRPr="0001674D">
        <w:rPr>
          <w:rFonts w:ascii="Times New Roman" w:hAnsi="Times New Roman"/>
          <w:sz w:val="24"/>
          <w:szCs w:val="24"/>
        </w:rPr>
        <w:t>rogramme will merge two existing programmes, the Bone Marrow Transplant Programme and the International Searches Programme, to streamline administrative processes and reduce regulatory burden.  This item will be administered by the Department of Health.</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Funding will be provided to enable patients to access international matched tissue in the same way as under the previous programme arrangements, including:</w:t>
      </w:r>
    </w:p>
    <w:p w:rsidR="00772590" w:rsidRPr="0001674D" w:rsidRDefault="00772590" w:rsidP="00E669A7">
      <w:pPr>
        <w:pStyle w:val="ListParagraph"/>
        <w:numPr>
          <w:ilvl w:val="0"/>
          <w:numId w:val="11"/>
        </w:numPr>
        <w:rPr>
          <w:rFonts w:cs="Times New Roman"/>
          <w:szCs w:val="24"/>
        </w:rPr>
      </w:pPr>
      <w:r w:rsidRPr="0001674D">
        <w:rPr>
          <w:rFonts w:cs="Times New Roman"/>
          <w:szCs w:val="24"/>
        </w:rPr>
        <w:t>funding to conduct searches of international registries for an unrelated donor and confirmatory tissue testing and typing of potential donors residing overseas; and</w:t>
      </w:r>
    </w:p>
    <w:p w:rsidR="00772590" w:rsidRPr="0001674D" w:rsidRDefault="00772590" w:rsidP="00E669A7">
      <w:pPr>
        <w:pStyle w:val="ListParagraph"/>
        <w:numPr>
          <w:ilvl w:val="0"/>
          <w:numId w:val="11"/>
        </w:numPr>
        <w:rPr>
          <w:rFonts w:cs="Times New Roman"/>
          <w:szCs w:val="24"/>
        </w:rPr>
      </w:pPr>
      <w:r w:rsidRPr="0001674D">
        <w:rPr>
          <w:rFonts w:cs="Times New Roman"/>
          <w:szCs w:val="24"/>
        </w:rPr>
        <w:t>payments for services including:</w:t>
      </w:r>
    </w:p>
    <w:p w:rsidR="00772590" w:rsidRPr="0001674D" w:rsidRDefault="00772590" w:rsidP="00925D3C">
      <w:pPr>
        <w:pStyle w:val="ListParagraph"/>
        <w:numPr>
          <w:ilvl w:val="1"/>
          <w:numId w:val="30"/>
        </w:numPr>
        <w:rPr>
          <w:rFonts w:cs="Times New Roman"/>
          <w:szCs w:val="24"/>
        </w:rPr>
      </w:pPr>
      <w:r w:rsidRPr="0001674D">
        <w:rPr>
          <w:rFonts w:cs="Times New Roman"/>
          <w:szCs w:val="24"/>
        </w:rPr>
        <w:t>costs to procure cells from overseas-based unrelated donors;</w:t>
      </w:r>
    </w:p>
    <w:p w:rsidR="00772590" w:rsidRPr="0001674D" w:rsidRDefault="00772590" w:rsidP="00925D3C">
      <w:pPr>
        <w:pStyle w:val="ListParagraph"/>
        <w:numPr>
          <w:ilvl w:val="1"/>
          <w:numId w:val="30"/>
        </w:numPr>
        <w:rPr>
          <w:rFonts w:cs="Times New Roman"/>
          <w:szCs w:val="24"/>
        </w:rPr>
      </w:pPr>
      <w:r w:rsidRPr="0001674D">
        <w:rPr>
          <w:rFonts w:cs="Times New Roman"/>
          <w:szCs w:val="24"/>
        </w:rPr>
        <w:t>costs to transport cells to Australia; and</w:t>
      </w:r>
    </w:p>
    <w:p w:rsidR="00772590" w:rsidRDefault="00772590" w:rsidP="00925D3C">
      <w:pPr>
        <w:pStyle w:val="ListParagraph"/>
        <w:numPr>
          <w:ilvl w:val="1"/>
          <w:numId w:val="30"/>
        </w:numPr>
        <w:rPr>
          <w:rFonts w:cs="Times New Roman"/>
          <w:szCs w:val="24"/>
        </w:rPr>
      </w:pPr>
      <w:r w:rsidRPr="0001674D">
        <w:rPr>
          <w:rFonts w:cs="Times New Roman"/>
          <w:szCs w:val="24"/>
        </w:rPr>
        <w:t xml:space="preserve">financial assistance for a related donor who is resident overseas to travel to Australia in order to make a donation.  </w:t>
      </w:r>
    </w:p>
    <w:p w:rsidR="00AE031A" w:rsidRPr="00AE031A" w:rsidRDefault="00AE031A" w:rsidP="00AE031A">
      <w:pPr>
        <w:rPr>
          <w:szCs w:val="24"/>
        </w:rPr>
      </w:pPr>
    </w:p>
    <w:p w:rsidR="00772590" w:rsidRPr="0001674D" w:rsidRDefault="00772590" w:rsidP="00E669A7">
      <w:pPr>
        <w:contextualSpacing/>
        <w:rPr>
          <w:rFonts w:ascii="Times New Roman" w:hAnsi="Times New Roman"/>
          <w:sz w:val="24"/>
          <w:szCs w:val="24"/>
        </w:rPr>
      </w:pPr>
      <w:r w:rsidRPr="0001674D">
        <w:rPr>
          <w:rFonts w:ascii="Times New Roman" w:hAnsi="Times New Roman"/>
          <w:sz w:val="24"/>
          <w:szCs w:val="24"/>
        </w:rPr>
        <w:t xml:space="preserve">Funding decisions for the </w:t>
      </w:r>
      <w:r w:rsidR="00FC3F53">
        <w:rPr>
          <w:rFonts w:ascii="Times New Roman" w:hAnsi="Times New Roman"/>
          <w:sz w:val="24"/>
          <w:szCs w:val="24"/>
        </w:rPr>
        <w:t>p</w:t>
      </w:r>
      <w:r w:rsidRPr="0001674D">
        <w:rPr>
          <w:rFonts w:ascii="Times New Roman" w:hAnsi="Times New Roman"/>
          <w:sz w:val="24"/>
          <w:szCs w:val="24"/>
        </w:rPr>
        <w:t xml:space="preserve">rogramme are based on an application made on behalf of an individual and decisions are made by a delegate of the Minister for Health based on criteria, which are publicly available on the Department of Health’s website (http://www.health.gov.au/internet/main/publishing.nsf/Content/health-organ-bmtransplant.htm).  Internal merits review is not applicable to the programme </w:t>
      </w:r>
      <w:r w:rsidR="00FC3F53">
        <w:rPr>
          <w:rFonts w:ascii="Times New Roman" w:hAnsi="Times New Roman"/>
          <w:sz w:val="24"/>
          <w:szCs w:val="24"/>
        </w:rPr>
        <w:t xml:space="preserve">as decisions for funding are ad </w:t>
      </w:r>
      <w:r w:rsidRPr="0001674D">
        <w:rPr>
          <w:rFonts w:ascii="Times New Roman" w:hAnsi="Times New Roman"/>
          <w:sz w:val="24"/>
          <w:szCs w:val="24"/>
        </w:rPr>
        <w:t>hoc, tightly targeted and non-competitive in nature.</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All expenditure under this item will be made in accordance with the </w:t>
      </w:r>
      <w:r w:rsidRPr="0001674D">
        <w:rPr>
          <w:rFonts w:ascii="Times New Roman" w:hAnsi="Times New Roman"/>
          <w:i/>
          <w:iCs/>
          <w:sz w:val="24"/>
          <w:szCs w:val="24"/>
        </w:rPr>
        <w:t xml:space="preserve">Public Governance, Performance and Accountability Act </w:t>
      </w:r>
      <w:r w:rsidRPr="0001674D">
        <w:rPr>
          <w:rFonts w:ascii="Times New Roman" w:hAnsi="Times New Roman"/>
          <w:i/>
          <w:sz w:val="24"/>
          <w:szCs w:val="24"/>
        </w:rPr>
        <w:t>2013</w:t>
      </w:r>
      <w:r w:rsidRPr="0001674D">
        <w:rPr>
          <w:rFonts w:ascii="Times New Roman" w:hAnsi="Times New Roman"/>
          <w:sz w:val="24"/>
          <w:szCs w:val="24"/>
        </w:rPr>
        <w:t xml:space="preserve"> and the </w:t>
      </w:r>
      <w:r w:rsidRPr="0001674D">
        <w:rPr>
          <w:rFonts w:ascii="Times New Roman" w:hAnsi="Times New Roman"/>
          <w:i/>
          <w:sz w:val="24"/>
          <w:szCs w:val="24"/>
        </w:rPr>
        <w:t>Commonwealth Grants Rules and Guidelines</w:t>
      </w:r>
      <w:r w:rsidRPr="0001674D">
        <w:rPr>
          <w:rFonts w:ascii="Times New Roman" w:hAnsi="Times New Roman"/>
          <w:sz w:val="24"/>
          <w:szCs w:val="24"/>
        </w:rPr>
        <w:t xml:space="preserve">.  </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Payments for this programme will be made from Programme 7.6: Blood and Organ Donation, which comes under Outcome 7: Health Infrastructure, Regulation, Safety and Quality, as set out in the </w:t>
      </w:r>
      <w:r w:rsidRPr="0001674D">
        <w:rPr>
          <w:rFonts w:ascii="Times New Roman" w:hAnsi="Times New Roman"/>
          <w:i/>
          <w:sz w:val="24"/>
          <w:szCs w:val="24"/>
        </w:rPr>
        <w:t>Portfolio Budget Statements 2015</w:t>
      </w:r>
      <w:r w:rsidRPr="0001674D">
        <w:rPr>
          <w:rFonts w:ascii="Times New Roman" w:hAnsi="Times New Roman"/>
          <w:i/>
          <w:sz w:val="24"/>
          <w:szCs w:val="24"/>
        </w:rPr>
        <w:noBreakHyphen/>
        <w:t>16, Budget Related Paper No. 1.10, Health Portfolio</w:t>
      </w:r>
      <w:r w:rsidRPr="0001674D">
        <w:rPr>
          <w:rFonts w:ascii="Times New Roman" w:hAnsi="Times New Roman"/>
          <w:sz w:val="24"/>
          <w:szCs w:val="24"/>
        </w:rPr>
        <w:t xml:space="preserve"> at pages 30 and 128.  Details of the measure, </w:t>
      </w:r>
      <w:r w:rsidRPr="0001674D">
        <w:rPr>
          <w:rFonts w:ascii="Times New Roman" w:hAnsi="Times New Roman"/>
          <w:i/>
          <w:sz w:val="24"/>
          <w:szCs w:val="24"/>
        </w:rPr>
        <w:t>Bone Marrow Transplant and International Searches Programmes – consolidation</w:t>
      </w:r>
      <w:r w:rsidRPr="0001674D">
        <w:rPr>
          <w:rFonts w:ascii="Times New Roman" w:hAnsi="Times New Roman"/>
          <w:sz w:val="24"/>
          <w:szCs w:val="24"/>
        </w:rPr>
        <w:t xml:space="preserve">, are in </w:t>
      </w:r>
      <w:r w:rsidRPr="0001674D">
        <w:rPr>
          <w:rFonts w:ascii="Times New Roman" w:hAnsi="Times New Roman"/>
          <w:i/>
          <w:sz w:val="24"/>
          <w:szCs w:val="24"/>
        </w:rPr>
        <w:t>Budget Measures, Budget Paper No. 2 2015-16</w:t>
      </w:r>
      <w:r w:rsidRPr="0001674D">
        <w:rPr>
          <w:rFonts w:ascii="Times New Roman" w:hAnsi="Times New Roman"/>
          <w:sz w:val="24"/>
          <w:szCs w:val="24"/>
        </w:rPr>
        <w:t>, at pages 99 and 100.  The cost of the measure will be met from within the existing resources of the Department of Health.</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Noting that it is not a comprehensive statement of relevant constitutional considerations, the objective of the item references the social welfare power (section 51(xxiiiA)) of the Constitution.</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New </w:t>
      </w:r>
      <w:r w:rsidRPr="0001674D">
        <w:rPr>
          <w:rFonts w:ascii="Times New Roman" w:hAnsi="Times New Roman"/>
          <w:b/>
          <w:sz w:val="24"/>
          <w:szCs w:val="24"/>
        </w:rPr>
        <w:t xml:space="preserve">table item 96 </w:t>
      </w:r>
      <w:r w:rsidRPr="0001674D">
        <w:rPr>
          <w:rFonts w:ascii="Times New Roman" w:hAnsi="Times New Roman"/>
          <w:sz w:val="24"/>
          <w:szCs w:val="24"/>
        </w:rPr>
        <w:t xml:space="preserve">establishes legislative authority for the Government to fund those activities carried out under the Improve Safety and Quality in Health Care Programme in relation to the establishment and maintenance of clinical quality registries for the purpose of assessing and improving the quality of health care.  Other activities may include the development of shared decision-making tools and patient decision aids; and the development and provision of clinical education.  </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These activities support government action to improve safety, quality and efficiencies, and reduce waste in the health system.  This item will be administered by the Department of Health.</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Clinical quality registries are systems or mechanisms for monitoring the appropriateness and effectiveness of health care by collecting, analysing and reporting health-related information about the treatment of a particular type of disease, the use of a type or types of procedure, or the use of a type of medical device.  They are set up in accordance with the Framework for Australian Clinical Quality Registries (see http://www.safetyandquality.gov.au/our-work/information-strategy/clinical-quality-registries/a-framework-for-australian-clinical-quality-registries/).</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Clinical quality registries will collect relevant health-related information from both public and private health care providers.  This could include information about the medical procedure or types of medical devices, the details of the date that the procedure or episode of care was carried out, and information about the performance or effectiveness of the medical procedure or medical device and patient outcomes. </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Through the monitoring of the safety and performance of implantable medical devices, the Secretary of the Department of Health, health care providers (such as hospitals and medical practitioners), medical device manufacturers, sponsors and others involved in the supply of these types of medical devices will be able to receive timely warning of device failure.  </w:t>
      </w:r>
      <w:r w:rsidR="002B3CF2">
        <w:rPr>
          <w:rFonts w:ascii="Times New Roman" w:hAnsi="Times New Roman"/>
          <w:sz w:val="24"/>
          <w:szCs w:val="24"/>
        </w:rPr>
        <w:br/>
      </w:r>
      <w:r w:rsidRPr="0001674D">
        <w:rPr>
          <w:rFonts w:ascii="Times New Roman" w:hAnsi="Times New Roman"/>
          <w:sz w:val="24"/>
          <w:szCs w:val="24"/>
        </w:rPr>
        <w:t>They will also be able to obtain information and data relating to the safety and performance of these types of medical devices more generally.  The information collected and made available will also enable patients and the general public to be better informed about the safety and performance of these types of medical devices.</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All expenditure under this programme will be made in accordance with the </w:t>
      </w:r>
      <w:r w:rsidR="002B3CF2">
        <w:rPr>
          <w:rFonts w:ascii="Times New Roman" w:hAnsi="Times New Roman"/>
          <w:sz w:val="24"/>
          <w:szCs w:val="24"/>
        </w:rPr>
        <w:br/>
      </w:r>
      <w:r w:rsidRPr="0001674D">
        <w:rPr>
          <w:rFonts w:ascii="Times New Roman" w:hAnsi="Times New Roman"/>
          <w:i/>
          <w:iCs/>
          <w:sz w:val="24"/>
          <w:szCs w:val="24"/>
        </w:rPr>
        <w:t xml:space="preserve">Public Governance, Performance and Accountability Act </w:t>
      </w:r>
      <w:r w:rsidRPr="0001674D">
        <w:rPr>
          <w:rFonts w:ascii="Times New Roman" w:hAnsi="Times New Roman"/>
          <w:i/>
          <w:sz w:val="24"/>
          <w:szCs w:val="24"/>
        </w:rPr>
        <w:t>2013</w:t>
      </w:r>
      <w:r w:rsidRPr="0001674D">
        <w:rPr>
          <w:rFonts w:ascii="Times New Roman" w:hAnsi="Times New Roman"/>
          <w:sz w:val="24"/>
          <w:szCs w:val="24"/>
        </w:rPr>
        <w:t xml:space="preserve"> and the </w:t>
      </w:r>
      <w:r w:rsidRPr="0001674D">
        <w:rPr>
          <w:rFonts w:ascii="Times New Roman" w:hAnsi="Times New Roman"/>
          <w:i/>
          <w:sz w:val="24"/>
          <w:szCs w:val="24"/>
        </w:rPr>
        <w:t>Commonwealth Grants Rules and Guidelines</w:t>
      </w:r>
      <w:r w:rsidRPr="0001674D">
        <w:rPr>
          <w:rFonts w:ascii="Times New Roman" w:hAnsi="Times New Roman"/>
          <w:sz w:val="24"/>
          <w:szCs w:val="24"/>
        </w:rPr>
        <w:t>.  The Department of Health will conduct an open, competitive tender process to fund the clinical registry services and the Minister for Health, or delegates, will make those funding decisions.</w:t>
      </w:r>
    </w:p>
    <w:p w:rsidR="00772590" w:rsidRPr="0001674D" w:rsidRDefault="00772590" w:rsidP="00E669A7">
      <w:pPr>
        <w:spacing w:after="120"/>
        <w:contextualSpacing/>
        <w:rPr>
          <w:rFonts w:ascii="Times New Roman" w:hAnsi="Times New Roman"/>
          <w:sz w:val="24"/>
          <w:szCs w:val="24"/>
        </w:rPr>
      </w:pPr>
    </w:p>
    <w:p w:rsidR="0060188E" w:rsidRDefault="0060188E">
      <w:pPr>
        <w:spacing w:after="200" w:line="276" w:lineRule="auto"/>
        <w:rPr>
          <w:rFonts w:ascii="Times New Roman" w:hAnsi="Times New Roman"/>
          <w:sz w:val="24"/>
          <w:szCs w:val="24"/>
        </w:rPr>
      </w:pPr>
      <w:r>
        <w:rPr>
          <w:rFonts w:ascii="Times New Roman" w:hAnsi="Times New Roman"/>
          <w:sz w:val="24"/>
          <w:szCs w:val="24"/>
        </w:rPr>
        <w:br w:type="page"/>
      </w: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The Department of Health has a complaints mechanism for grants and funding processes which is available on the Department of Health’s website (http://www.health.gov.au/internet/main/publishing.nsf/Content/pfps-complaintsprocedures).   Applicants are also able to seek review from the Commonwealth Ombudsman.  </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Funding for this item will come from Programme 7.4: Improve Safety and Quality in Health Care, which is part of Outcome 7: Health Infrastructure, Regulation, Safety and Quality.  Details are set out in the </w:t>
      </w:r>
      <w:r w:rsidRPr="0001674D">
        <w:rPr>
          <w:rFonts w:ascii="Times New Roman" w:hAnsi="Times New Roman"/>
          <w:i/>
          <w:sz w:val="24"/>
          <w:szCs w:val="24"/>
        </w:rPr>
        <w:t>Portfolio Budget Statements 2015-16, Budget Related Paper No. 1.10, Health Portfolio</w:t>
      </w:r>
      <w:r w:rsidRPr="0001674D">
        <w:rPr>
          <w:rFonts w:ascii="Times New Roman" w:hAnsi="Times New Roman"/>
          <w:sz w:val="24"/>
          <w:szCs w:val="24"/>
        </w:rPr>
        <w:t xml:space="preserve"> at page 124.</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contextualSpacing/>
        <w:rPr>
          <w:rFonts w:ascii="Times New Roman" w:hAnsi="Times New Roman"/>
          <w:sz w:val="24"/>
          <w:szCs w:val="24"/>
        </w:rPr>
      </w:pPr>
      <w:r w:rsidRPr="0001674D">
        <w:rPr>
          <w:rFonts w:ascii="Times New Roman" w:hAnsi="Times New Roman"/>
          <w:sz w:val="24"/>
          <w:szCs w:val="24"/>
        </w:rPr>
        <w:t xml:space="preserve">Noting that it is not a comprehensive statement of relevant constitutional considerations, the objective of the item references the following powers of the Constitution: </w:t>
      </w:r>
    </w:p>
    <w:p w:rsidR="00772590" w:rsidRPr="0001674D" w:rsidRDefault="00772590" w:rsidP="00E669A7">
      <w:pPr>
        <w:pStyle w:val="ListParagraph"/>
        <w:numPr>
          <w:ilvl w:val="0"/>
          <w:numId w:val="13"/>
        </w:numPr>
        <w:rPr>
          <w:rFonts w:cs="Times New Roman"/>
          <w:szCs w:val="24"/>
        </w:rPr>
      </w:pPr>
      <w:r w:rsidRPr="0001674D">
        <w:rPr>
          <w:rFonts w:cs="Times New Roman"/>
          <w:szCs w:val="24"/>
        </w:rPr>
        <w:t xml:space="preserve">the social welfare power (section 51(xxiiiA)); </w:t>
      </w:r>
    </w:p>
    <w:p w:rsidR="00772590" w:rsidRPr="0001674D" w:rsidRDefault="00772590" w:rsidP="00E669A7">
      <w:pPr>
        <w:pStyle w:val="ListParagraph"/>
        <w:numPr>
          <w:ilvl w:val="0"/>
          <w:numId w:val="13"/>
        </w:numPr>
        <w:rPr>
          <w:rFonts w:cs="Times New Roman"/>
          <w:szCs w:val="24"/>
        </w:rPr>
      </w:pPr>
      <w:r w:rsidRPr="0001674D">
        <w:rPr>
          <w:rFonts w:cs="Times New Roman"/>
          <w:szCs w:val="24"/>
        </w:rPr>
        <w:t>the census and statistics power (section 51(xi)); and</w:t>
      </w:r>
    </w:p>
    <w:p w:rsidR="00772590" w:rsidRPr="0001674D" w:rsidRDefault="00772590" w:rsidP="00E669A7">
      <w:pPr>
        <w:pStyle w:val="ListParagraph"/>
        <w:numPr>
          <w:ilvl w:val="0"/>
          <w:numId w:val="13"/>
        </w:numPr>
        <w:rPr>
          <w:rFonts w:cs="Times New Roman"/>
          <w:szCs w:val="24"/>
        </w:rPr>
      </w:pPr>
      <w:r w:rsidRPr="0001674D">
        <w:rPr>
          <w:rFonts w:cs="Times New Roman"/>
          <w:szCs w:val="24"/>
        </w:rPr>
        <w:t>the external affairs power (section 51(xxix)).</w:t>
      </w:r>
    </w:p>
    <w:p w:rsidR="00772590" w:rsidRPr="0001674D" w:rsidRDefault="00772590" w:rsidP="00E669A7">
      <w:pPr>
        <w:contextualSpacing/>
        <w:rPr>
          <w:rFonts w:ascii="Times New Roman" w:hAnsi="Times New Roman"/>
          <w:sz w:val="24"/>
          <w:szCs w:val="24"/>
        </w:rPr>
      </w:pPr>
    </w:p>
    <w:p w:rsidR="00772590" w:rsidRDefault="00772590" w:rsidP="00E669A7">
      <w:pPr>
        <w:contextualSpacing/>
        <w:rPr>
          <w:rFonts w:ascii="Times New Roman" w:hAnsi="Times New Roman"/>
          <w:sz w:val="24"/>
          <w:szCs w:val="24"/>
        </w:rPr>
      </w:pPr>
      <w:r w:rsidRPr="0001674D">
        <w:rPr>
          <w:rFonts w:ascii="Times New Roman" w:hAnsi="Times New Roman"/>
          <w:sz w:val="24"/>
          <w:szCs w:val="24"/>
        </w:rPr>
        <w:t xml:space="preserve">New </w:t>
      </w:r>
      <w:r w:rsidRPr="0001674D">
        <w:rPr>
          <w:rFonts w:ascii="Times New Roman" w:hAnsi="Times New Roman"/>
          <w:b/>
          <w:sz w:val="24"/>
          <w:szCs w:val="24"/>
        </w:rPr>
        <w:t>table item 97</w:t>
      </w:r>
      <w:r w:rsidR="0001674D">
        <w:rPr>
          <w:rFonts w:ascii="Times New Roman" w:hAnsi="Times New Roman"/>
          <w:b/>
          <w:sz w:val="24"/>
          <w:szCs w:val="24"/>
        </w:rPr>
        <w:t xml:space="preserve"> </w:t>
      </w:r>
      <w:r w:rsidRPr="0001674D">
        <w:rPr>
          <w:rFonts w:ascii="Times New Roman" w:hAnsi="Times New Roman"/>
          <w:sz w:val="24"/>
          <w:szCs w:val="24"/>
        </w:rPr>
        <w:t xml:space="preserve">establishes legislative authority for the Government to fund the </w:t>
      </w:r>
      <w:r w:rsidR="002B3CF2">
        <w:rPr>
          <w:rFonts w:ascii="Times New Roman" w:hAnsi="Times New Roman"/>
          <w:sz w:val="24"/>
          <w:szCs w:val="24"/>
        </w:rPr>
        <w:br/>
      </w:r>
      <w:r w:rsidRPr="0001674D">
        <w:rPr>
          <w:rFonts w:ascii="Times New Roman" w:hAnsi="Times New Roman"/>
          <w:sz w:val="24"/>
          <w:szCs w:val="24"/>
        </w:rPr>
        <w:t xml:space="preserve">Junior Medical Officer Programme to support clinical training positions for junior medical practitioners prior to the commencement of specialist training.  </w:t>
      </w:r>
    </w:p>
    <w:p w:rsidR="00FC3F53" w:rsidRPr="0001674D" w:rsidRDefault="00FC3F53"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sidDel="00BC46FD">
        <w:rPr>
          <w:rFonts w:ascii="Times New Roman" w:hAnsi="Times New Roman"/>
          <w:sz w:val="24"/>
          <w:szCs w:val="24"/>
        </w:rPr>
        <w:t xml:space="preserve">The Government has allocated $40 million over four years </w:t>
      </w:r>
      <w:r w:rsidRPr="0001674D">
        <w:rPr>
          <w:rFonts w:ascii="Times New Roman" w:hAnsi="Times New Roman"/>
          <w:sz w:val="24"/>
          <w:szCs w:val="24"/>
        </w:rPr>
        <w:t>from 2015-16 for</w:t>
      </w:r>
      <w:r w:rsidRPr="0001674D" w:rsidDel="00BC46FD">
        <w:rPr>
          <w:rFonts w:ascii="Times New Roman" w:hAnsi="Times New Roman"/>
          <w:sz w:val="24"/>
          <w:szCs w:val="24"/>
        </w:rPr>
        <w:t xml:space="preserve"> th</w:t>
      </w:r>
      <w:r w:rsidRPr="0001674D">
        <w:rPr>
          <w:rFonts w:ascii="Times New Roman" w:hAnsi="Times New Roman"/>
          <w:sz w:val="24"/>
          <w:szCs w:val="24"/>
        </w:rPr>
        <w:t xml:space="preserve">e programme which is a continuation of an existing programme previously administered by the Department of Veterans’ Affairs.  Responsibility for the programme was transferred to the Department of Health as a part of the 2015-16 Budget.  </w:t>
      </w:r>
      <w:r w:rsidR="00FC3F53" w:rsidRPr="0001674D">
        <w:rPr>
          <w:rFonts w:ascii="Times New Roman" w:hAnsi="Times New Roman"/>
          <w:sz w:val="24"/>
          <w:szCs w:val="24"/>
        </w:rPr>
        <w:t xml:space="preserve">The initiative is a long standing programme of financial support for junior doctor training following the privatisation of Commonwealth repatriation hospitals which are now operated by Ramsay Health Care.  </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The transfer of responsibility from the Department of Veterans’ Affairs provides an opportunity to reduce red tape and better integrate Commonwealth medical training programmes under one portfolio, providing an opportunity to simplify grants administration.  It also provides the ability to link future investment priorities with the work of the </w:t>
      </w:r>
      <w:r w:rsidR="005D2186">
        <w:rPr>
          <w:rFonts w:ascii="Times New Roman" w:hAnsi="Times New Roman"/>
          <w:sz w:val="24"/>
          <w:szCs w:val="24"/>
        </w:rPr>
        <w:t>National </w:t>
      </w:r>
      <w:r w:rsidRPr="0001674D">
        <w:rPr>
          <w:rFonts w:ascii="Times New Roman" w:hAnsi="Times New Roman"/>
          <w:sz w:val="24"/>
          <w:szCs w:val="24"/>
        </w:rPr>
        <w:t>Medical Training Advisory Network.  There is no reduction in funding for junior doctor training.</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All expenditure under this item will be made in accordance with the </w:t>
      </w:r>
      <w:r w:rsidRPr="0001674D">
        <w:rPr>
          <w:rFonts w:ascii="Times New Roman" w:hAnsi="Times New Roman"/>
          <w:i/>
          <w:iCs/>
          <w:sz w:val="24"/>
          <w:szCs w:val="24"/>
        </w:rPr>
        <w:t xml:space="preserve">Public Governance, Performance and Accountability Act </w:t>
      </w:r>
      <w:r w:rsidRPr="0001674D">
        <w:rPr>
          <w:rFonts w:ascii="Times New Roman" w:hAnsi="Times New Roman"/>
          <w:i/>
          <w:sz w:val="24"/>
          <w:szCs w:val="24"/>
        </w:rPr>
        <w:t>2013</w:t>
      </w:r>
      <w:r w:rsidRPr="0001674D">
        <w:rPr>
          <w:rFonts w:ascii="Times New Roman" w:hAnsi="Times New Roman"/>
          <w:sz w:val="24"/>
          <w:szCs w:val="24"/>
        </w:rPr>
        <w:t xml:space="preserve"> and the </w:t>
      </w:r>
      <w:r w:rsidRPr="0001674D">
        <w:rPr>
          <w:rFonts w:ascii="Times New Roman" w:hAnsi="Times New Roman"/>
          <w:i/>
          <w:sz w:val="24"/>
          <w:szCs w:val="24"/>
        </w:rPr>
        <w:t>Commonwealth Grants Rules and Guidelines</w:t>
      </w:r>
      <w:r w:rsidRPr="0001674D">
        <w:rPr>
          <w:rFonts w:ascii="Times New Roman" w:hAnsi="Times New Roman"/>
          <w:sz w:val="24"/>
          <w:szCs w:val="24"/>
        </w:rPr>
        <w:t>.  Funding decisions are made by delegates within the Department of Health.  Given the targeted, non-competitive nature of the funding for the programme, merits review is not applicable. </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Funding will come from Programme 8.1: Workforce and Rural Distribution, which is part of Outcome 8: Health Workforce Capacity.  Details are set out in the </w:t>
      </w:r>
      <w:r w:rsidRPr="0001674D">
        <w:rPr>
          <w:rFonts w:ascii="Times New Roman" w:hAnsi="Times New Roman"/>
          <w:i/>
          <w:sz w:val="24"/>
          <w:szCs w:val="24"/>
        </w:rPr>
        <w:t>Portfolio Budget Statements 2015-16, Budget Related Paper No. 1.10, Health Portfolio</w:t>
      </w:r>
      <w:r w:rsidRPr="0001674D">
        <w:rPr>
          <w:rFonts w:ascii="Times New Roman" w:hAnsi="Times New Roman"/>
          <w:sz w:val="24"/>
          <w:szCs w:val="24"/>
        </w:rPr>
        <w:t xml:space="preserve"> at pages 31 and 143.  Details of the measure, </w:t>
      </w:r>
      <w:r w:rsidRPr="0001674D">
        <w:rPr>
          <w:rFonts w:ascii="Times New Roman" w:hAnsi="Times New Roman"/>
          <w:i/>
          <w:sz w:val="24"/>
          <w:szCs w:val="24"/>
        </w:rPr>
        <w:t>Junior Medical Officer Programme - interagency transfer from the Department of Veterans' Affairs</w:t>
      </w:r>
      <w:r w:rsidRPr="0001674D">
        <w:rPr>
          <w:rFonts w:ascii="Times New Roman" w:hAnsi="Times New Roman"/>
          <w:sz w:val="24"/>
          <w:szCs w:val="24"/>
        </w:rPr>
        <w:t xml:space="preserve">, are in </w:t>
      </w:r>
      <w:r w:rsidRPr="0001674D">
        <w:rPr>
          <w:rFonts w:ascii="Times New Roman" w:hAnsi="Times New Roman"/>
          <w:i/>
          <w:sz w:val="24"/>
          <w:szCs w:val="24"/>
        </w:rPr>
        <w:t>Budget Measure</w:t>
      </w:r>
      <w:r w:rsidR="00FC3F53">
        <w:rPr>
          <w:rFonts w:ascii="Times New Roman" w:hAnsi="Times New Roman"/>
          <w:i/>
          <w:sz w:val="24"/>
          <w:szCs w:val="24"/>
        </w:rPr>
        <w:t xml:space="preserve">s, </w:t>
      </w:r>
      <w:r w:rsidRPr="0001674D">
        <w:rPr>
          <w:rFonts w:ascii="Times New Roman" w:hAnsi="Times New Roman"/>
          <w:i/>
          <w:sz w:val="24"/>
          <w:szCs w:val="24"/>
        </w:rPr>
        <w:t>Budget Paper No. 2 2015-16</w:t>
      </w:r>
      <w:r w:rsidRPr="0001674D">
        <w:rPr>
          <w:rFonts w:ascii="Times New Roman" w:hAnsi="Times New Roman"/>
          <w:sz w:val="24"/>
          <w:szCs w:val="24"/>
        </w:rPr>
        <w:t xml:space="preserve"> at page 102.</w:t>
      </w:r>
      <w:r w:rsidRPr="0001674D">
        <w:rPr>
          <w:rFonts w:ascii="Times New Roman" w:hAnsi="Times New Roman"/>
          <w:i/>
          <w:sz w:val="24"/>
          <w:szCs w:val="24"/>
        </w:rPr>
        <w:t xml:space="preserve"> </w:t>
      </w:r>
      <w:r w:rsidRPr="0001674D">
        <w:rPr>
          <w:rFonts w:ascii="Times New Roman" w:hAnsi="Times New Roman"/>
          <w:sz w:val="24"/>
          <w:szCs w:val="24"/>
        </w:rPr>
        <w:t xml:space="preserve">  </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Noting that it is not a comprehensive statement of relevant constitutional considerations, the objective of the item references the social welfare power (section 51(xxiiiA)) of the Constitution.</w:t>
      </w:r>
    </w:p>
    <w:p w:rsidR="008F20AC" w:rsidRDefault="008F20AC" w:rsidP="00E669A7">
      <w:pPr>
        <w:contextualSpacing/>
        <w:rPr>
          <w:rFonts w:ascii="Times New Roman" w:hAnsi="Times New Roman"/>
          <w:sz w:val="24"/>
          <w:szCs w:val="24"/>
        </w:rPr>
      </w:pPr>
    </w:p>
    <w:p w:rsidR="00772590" w:rsidRPr="0001674D" w:rsidRDefault="00772590" w:rsidP="00E669A7">
      <w:pPr>
        <w:contextualSpacing/>
        <w:rPr>
          <w:rFonts w:ascii="Times New Roman" w:hAnsi="Times New Roman"/>
          <w:sz w:val="24"/>
          <w:szCs w:val="24"/>
        </w:rPr>
      </w:pPr>
      <w:r w:rsidRPr="0001674D">
        <w:rPr>
          <w:rFonts w:ascii="Times New Roman" w:hAnsi="Times New Roman"/>
          <w:sz w:val="24"/>
          <w:szCs w:val="24"/>
        </w:rPr>
        <w:t xml:space="preserve">New </w:t>
      </w:r>
      <w:r w:rsidRPr="0001674D">
        <w:rPr>
          <w:rFonts w:ascii="Times New Roman" w:hAnsi="Times New Roman"/>
          <w:b/>
          <w:sz w:val="24"/>
          <w:szCs w:val="24"/>
        </w:rPr>
        <w:t xml:space="preserve">table item 98 </w:t>
      </w:r>
      <w:r w:rsidRPr="0001674D">
        <w:rPr>
          <w:rFonts w:ascii="Times New Roman" w:hAnsi="Times New Roman"/>
          <w:sz w:val="24"/>
          <w:szCs w:val="24"/>
        </w:rPr>
        <w:t xml:space="preserve">establishes legislative authority for the Government to fund the </w:t>
      </w:r>
      <w:r w:rsidR="002B3CF2">
        <w:rPr>
          <w:rFonts w:ascii="Times New Roman" w:hAnsi="Times New Roman"/>
          <w:sz w:val="24"/>
          <w:szCs w:val="24"/>
        </w:rPr>
        <w:br/>
      </w:r>
      <w:r w:rsidRPr="0001674D">
        <w:rPr>
          <w:rFonts w:ascii="Times New Roman" w:hAnsi="Times New Roman"/>
          <w:sz w:val="24"/>
          <w:szCs w:val="24"/>
        </w:rPr>
        <w:t>National Bowel Cancer Screening Programme that supports the prevention and early detection of bowel cancer to reduce morbidity and mortality from the disease.  This item will be administered by the Department of Health.</w:t>
      </w:r>
    </w:p>
    <w:p w:rsidR="00772590" w:rsidRPr="0001674D" w:rsidRDefault="00772590" w:rsidP="00E669A7">
      <w:pPr>
        <w:contextualSpacing/>
        <w:rPr>
          <w:rFonts w:ascii="Times New Roman" w:hAnsi="Times New Roman"/>
          <w:sz w:val="24"/>
          <w:szCs w:val="24"/>
        </w:rPr>
      </w:pPr>
    </w:p>
    <w:p w:rsidR="00772590" w:rsidRPr="0001674D" w:rsidRDefault="00772590" w:rsidP="00E669A7">
      <w:pPr>
        <w:contextualSpacing/>
        <w:rPr>
          <w:rFonts w:ascii="Times New Roman" w:hAnsi="Times New Roman"/>
          <w:sz w:val="24"/>
          <w:szCs w:val="24"/>
        </w:rPr>
      </w:pPr>
      <w:r w:rsidRPr="0001674D">
        <w:rPr>
          <w:rFonts w:ascii="Times New Roman" w:hAnsi="Times New Roman"/>
          <w:sz w:val="24"/>
          <w:szCs w:val="24"/>
        </w:rPr>
        <w:t xml:space="preserve">The item will support the accelerated delivery of the National Bowel Cancer Screening Programme to all Australians aged 50 to 74 years, consistent with National Health and Medical Research Council Guidelines.  Funding was previously supported by items 415.028 and 415.032 of Part 4 of Schedule 1AA to the </w:t>
      </w:r>
      <w:r w:rsidRPr="0001674D">
        <w:rPr>
          <w:rFonts w:ascii="Times New Roman" w:hAnsi="Times New Roman"/>
          <w:i/>
          <w:sz w:val="24"/>
          <w:szCs w:val="24"/>
        </w:rPr>
        <w:t>Financial Framework (Supplementary Powers) Regulations 1997</w:t>
      </w:r>
      <w:r w:rsidRPr="0001674D">
        <w:rPr>
          <w:rFonts w:ascii="Times New Roman" w:hAnsi="Times New Roman"/>
          <w:sz w:val="24"/>
          <w:szCs w:val="24"/>
        </w:rPr>
        <w:t>.  This item establishes legislative authority for spending on a redesigned programme</w:t>
      </w:r>
      <w:r w:rsidR="00FC3F53">
        <w:rPr>
          <w:rFonts w:ascii="Times New Roman" w:hAnsi="Times New Roman"/>
          <w:sz w:val="24"/>
          <w:szCs w:val="24"/>
        </w:rPr>
        <w:t>, which</w:t>
      </w:r>
      <w:r w:rsidRPr="0001674D">
        <w:rPr>
          <w:rFonts w:ascii="Times New Roman" w:hAnsi="Times New Roman"/>
          <w:sz w:val="24"/>
          <w:szCs w:val="24"/>
        </w:rPr>
        <w:t xml:space="preserve"> includes the development and maintenance of national standards and the education of service providers in the colonoscopy sector.</w:t>
      </w:r>
    </w:p>
    <w:p w:rsidR="00772590" w:rsidRPr="0001674D" w:rsidRDefault="00772590" w:rsidP="00E669A7">
      <w:pPr>
        <w:contextualSpacing/>
        <w:rPr>
          <w:rFonts w:ascii="Times New Roman" w:hAnsi="Times New Roman"/>
          <w:sz w:val="24"/>
          <w:szCs w:val="24"/>
        </w:rPr>
      </w:pPr>
    </w:p>
    <w:p w:rsidR="00772590" w:rsidRPr="0001674D" w:rsidRDefault="00772590" w:rsidP="00E669A7">
      <w:pPr>
        <w:contextualSpacing/>
        <w:rPr>
          <w:rFonts w:ascii="Times New Roman" w:hAnsi="Times New Roman"/>
          <w:sz w:val="24"/>
          <w:szCs w:val="24"/>
        </w:rPr>
      </w:pPr>
      <w:r w:rsidRPr="0001674D">
        <w:rPr>
          <w:rFonts w:ascii="Times New Roman" w:hAnsi="Times New Roman"/>
          <w:sz w:val="24"/>
          <w:szCs w:val="24"/>
          <w:shd w:val="clear" w:color="auto" w:fill="FFFFFF"/>
        </w:rPr>
        <w:t xml:space="preserve">Under the National Bowel Cancer Screening Programme, Australians in the eligible age groups are invited to be screened for bowel cancer using a free, simple test at home.  Completed tests are sent to the contracted pathology laboratory for analysis.  A National Register is responsible for issuing invitations and following people through the screening pathway.  Data from the Register is used for programme monitoring, including screening participation and outcomes. </w:t>
      </w:r>
    </w:p>
    <w:p w:rsidR="00772590" w:rsidRPr="0001674D" w:rsidRDefault="00772590" w:rsidP="00E669A7">
      <w:pPr>
        <w:contextualSpacing/>
        <w:rPr>
          <w:rFonts w:ascii="Times New Roman" w:hAnsi="Times New Roman"/>
          <w:sz w:val="24"/>
          <w:szCs w:val="24"/>
        </w:rPr>
      </w:pPr>
    </w:p>
    <w:p w:rsidR="00772590" w:rsidRPr="002039DA" w:rsidRDefault="00772590" w:rsidP="00E669A7">
      <w:pPr>
        <w:contextualSpacing/>
        <w:rPr>
          <w:rFonts w:ascii="Times New Roman" w:hAnsi="Times New Roman"/>
          <w:iCs/>
          <w:sz w:val="24"/>
          <w:szCs w:val="24"/>
          <w:shd w:val="clear" w:color="auto" w:fill="FFFFFF"/>
        </w:rPr>
      </w:pPr>
      <w:r w:rsidRPr="0001674D">
        <w:rPr>
          <w:rFonts w:ascii="Times New Roman" w:hAnsi="Times New Roman"/>
          <w:sz w:val="24"/>
          <w:szCs w:val="24"/>
        </w:rPr>
        <w:t xml:space="preserve">The Government allocated </w:t>
      </w:r>
      <w:r w:rsidRPr="0001674D">
        <w:rPr>
          <w:rFonts w:ascii="Times New Roman" w:hAnsi="Times New Roman"/>
          <w:sz w:val="24"/>
          <w:szCs w:val="24"/>
          <w:shd w:val="clear" w:color="auto" w:fill="FFFFFF"/>
        </w:rPr>
        <w:t>$95.9 million over four years in the 2014-15 Budget to accelerate the full implementation of the</w:t>
      </w:r>
      <w:r w:rsidRPr="0001674D">
        <w:rPr>
          <w:rStyle w:val="apple-converted-space"/>
          <w:rFonts w:ascii="Times New Roman" w:hAnsi="Times New Roman"/>
          <w:sz w:val="24"/>
          <w:szCs w:val="24"/>
          <w:shd w:val="clear" w:color="auto" w:fill="FFFFFF"/>
        </w:rPr>
        <w:t> </w:t>
      </w:r>
      <w:r w:rsidRPr="00FC3F53">
        <w:rPr>
          <w:rStyle w:val="Emphasis"/>
          <w:rFonts w:ascii="Times New Roman" w:hAnsi="Times New Roman"/>
          <w:i w:val="0"/>
          <w:sz w:val="24"/>
          <w:szCs w:val="24"/>
          <w:shd w:val="clear" w:color="auto" w:fill="FFFFFF"/>
        </w:rPr>
        <w:t>National Bowel Cancer Screening Programme.</w:t>
      </w:r>
      <w:r w:rsidRPr="0001674D">
        <w:rPr>
          <w:rStyle w:val="Emphasis"/>
          <w:rFonts w:ascii="Times New Roman" w:hAnsi="Times New Roman"/>
          <w:sz w:val="24"/>
          <w:szCs w:val="24"/>
          <w:shd w:val="clear" w:color="auto" w:fill="FFFFFF"/>
        </w:rPr>
        <w:t xml:space="preserve"> </w:t>
      </w:r>
      <w:r w:rsidR="002039DA">
        <w:rPr>
          <w:rStyle w:val="Emphasis"/>
          <w:rFonts w:ascii="Times New Roman" w:hAnsi="Times New Roman"/>
          <w:i w:val="0"/>
          <w:sz w:val="24"/>
          <w:szCs w:val="24"/>
          <w:shd w:val="clear" w:color="auto" w:fill="FFFFFF"/>
        </w:rPr>
        <w:t xml:space="preserve"> </w:t>
      </w:r>
      <w:r w:rsidRPr="0001674D">
        <w:rPr>
          <w:rFonts w:ascii="Times New Roman" w:hAnsi="Times New Roman"/>
          <w:sz w:val="24"/>
          <w:szCs w:val="24"/>
        </w:rPr>
        <w:t xml:space="preserve">Funding under the programme will predominantly be open competitive processes; however, other selection processes (such as targeted competitive and closed non-competitive selection processes) may also be used.  The form of merits review available for activities funded under the National Bowel Cancer Screening Programme will depend on the nature of the funding, and will be in accordance with the </w:t>
      </w:r>
      <w:r w:rsidRPr="0001674D">
        <w:rPr>
          <w:rFonts w:ascii="Times New Roman" w:hAnsi="Times New Roman"/>
          <w:i/>
          <w:iCs/>
          <w:sz w:val="24"/>
          <w:szCs w:val="24"/>
        </w:rPr>
        <w:t>Public Governance, Performance and Accountability Act </w:t>
      </w:r>
      <w:r w:rsidRPr="0001674D">
        <w:rPr>
          <w:rFonts w:ascii="Times New Roman" w:hAnsi="Times New Roman"/>
          <w:i/>
          <w:sz w:val="24"/>
          <w:szCs w:val="24"/>
        </w:rPr>
        <w:t>2013</w:t>
      </w:r>
      <w:r w:rsidRPr="0001674D">
        <w:rPr>
          <w:rFonts w:ascii="Times New Roman" w:hAnsi="Times New Roman"/>
          <w:sz w:val="24"/>
          <w:szCs w:val="24"/>
        </w:rPr>
        <w:t xml:space="preserve"> and the </w:t>
      </w:r>
      <w:r w:rsidRPr="0001674D">
        <w:rPr>
          <w:rFonts w:ascii="Times New Roman" w:hAnsi="Times New Roman"/>
          <w:i/>
          <w:sz w:val="24"/>
          <w:szCs w:val="24"/>
        </w:rPr>
        <w:t>Commonwealth Grants Rules and Guidelines</w:t>
      </w:r>
      <w:r w:rsidRPr="0001674D">
        <w:rPr>
          <w:rFonts w:ascii="Times New Roman" w:hAnsi="Times New Roman"/>
          <w:sz w:val="24"/>
          <w:szCs w:val="24"/>
        </w:rPr>
        <w:t>.</w:t>
      </w:r>
    </w:p>
    <w:p w:rsidR="00772590" w:rsidRPr="0001674D" w:rsidRDefault="00772590" w:rsidP="00E669A7">
      <w:pPr>
        <w:contextualSpacing/>
        <w:rPr>
          <w:rFonts w:ascii="Times New Roman" w:hAnsi="Times New Roman"/>
          <w:sz w:val="24"/>
          <w:szCs w:val="24"/>
        </w:rPr>
      </w:pPr>
    </w:p>
    <w:p w:rsidR="00772590" w:rsidRPr="0001674D" w:rsidRDefault="00772590" w:rsidP="00E669A7">
      <w:pPr>
        <w:contextualSpacing/>
        <w:rPr>
          <w:rFonts w:ascii="Times New Roman" w:hAnsi="Times New Roman"/>
          <w:sz w:val="24"/>
          <w:szCs w:val="24"/>
        </w:rPr>
      </w:pPr>
      <w:r w:rsidRPr="0001674D">
        <w:rPr>
          <w:rFonts w:ascii="Times New Roman" w:hAnsi="Times New Roman"/>
          <w:sz w:val="24"/>
          <w:szCs w:val="24"/>
        </w:rPr>
        <w:t xml:space="preserve">The programme redesign includes provision for projects that support the effective delivery and expansion of the National Bowel Cancer Screening Programme (‘support activities’).  Only projects that are consistent with, and support the programme to achieve its aims and objectives, will be considered.  Projects funded under the programme redesign may include ad hoc grants and may also include one-off funding to other Commonwealth entities.  </w:t>
      </w:r>
      <w:r w:rsidR="002B3CF2">
        <w:rPr>
          <w:rFonts w:ascii="Times New Roman" w:hAnsi="Times New Roman"/>
          <w:sz w:val="24"/>
          <w:szCs w:val="24"/>
        </w:rPr>
        <w:br/>
      </w:r>
      <w:r w:rsidRPr="0001674D">
        <w:rPr>
          <w:rFonts w:ascii="Times New Roman" w:hAnsi="Times New Roman"/>
          <w:sz w:val="24"/>
          <w:szCs w:val="24"/>
        </w:rPr>
        <w:t xml:space="preserve">These funding decisions will be made by the Minister for Health.  For ad hoc and one-off grants, grant guidelines will be developed and published on the Department of Health’s website (http://www.health.gov.au).  Given the targeted, non-competitive, nature of the funding for the support activities, merits review is not applicable.  </w:t>
      </w:r>
    </w:p>
    <w:p w:rsidR="00772590" w:rsidRPr="0001674D" w:rsidRDefault="00772590" w:rsidP="00E669A7">
      <w:pPr>
        <w:contextualSpacing/>
        <w:rPr>
          <w:rFonts w:ascii="Times New Roman" w:hAnsi="Times New Roman"/>
          <w:sz w:val="24"/>
          <w:szCs w:val="24"/>
        </w:rPr>
      </w:pPr>
    </w:p>
    <w:p w:rsidR="00772590" w:rsidRPr="0001674D" w:rsidRDefault="00772590" w:rsidP="00E669A7">
      <w:pPr>
        <w:contextualSpacing/>
        <w:rPr>
          <w:rFonts w:ascii="Times New Roman" w:hAnsi="Times New Roman"/>
          <w:sz w:val="24"/>
          <w:szCs w:val="24"/>
        </w:rPr>
      </w:pPr>
      <w:r w:rsidRPr="0001674D">
        <w:rPr>
          <w:rFonts w:ascii="Times New Roman" w:hAnsi="Times New Roman"/>
          <w:sz w:val="24"/>
          <w:szCs w:val="24"/>
        </w:rPr>
        <w:t xml:space="preserve">All expenditure under this item will be made in accordance with the </w:t>
      </w:r>
      <w:r w:rsidRPr="0001674D">
        <w:rPr>
          <w:rFonts w:ascii="Times New Roman" w:hAnsi="Times New Roman"/>
          <w:i/>
          <w:iCs/>
          <w:sz w:val="24"/>
          <w:szCs w:val="24"/>
        </w:rPr>
        <w:t xml:space="preserve">Public Governance, Performance and Accountability Act </w:t>
      </w:r>
      <w:r w:rsidRPr="0001674D">
        <w:rPr>
          <w:rFonts w:ascii="Times New Roman" w:hAnsi="Times New Roman"/>
          <w:i/>
          <w:sz w:val="24"/>
          <w:szCs w:val="24"/>
        </w:rPr>
        <w:t>2013</w:t>
      </w:r>
      <w:r w:rsidRPr="0001674D">
        <w:rPr>
          <w:rFonts w:ascii="Times New Roman" w:hAnsi="Times New Roman"/>
          <w:sz w:val="24"/>
          <w:szCs w:val="24"/>
        </w:rPr>
        <w:t xml:space="preserve"> and the </w:t>
      </w:r>
      <w:r w:rsidRPr="0001674D">
        <w:rPr>
          <w:rFonts w:ascii="Times New Roman" w:hAnsi="Times New Roman"/>
          <w:i/>
          <w:sz w:val="24"/>
          <w:szCs w:val="24"/>
        </w:rPr>
        <w:t>Commonwealth Grants Rules and Guidelines</w:t>
      </w:r>
      <w:r w:rsidRPr="0001674D">
        <w:rPr>
          <w:rFonts w:ascii="Times New Roman" w:hAnsi="Times New Roman"/>
          <w:sz w:val="24"/>
          <w:szCs w:val="24"/>
        </w:rPr>
        <w:t xml:space="preserve">.  </w:t>
      </w:r>
    </w:p>
    <w:p w:rsidR="00772590" w:rsidRPr="0001674D" w:rsidRDefault="00772590" w:rsidP="00E669A7">
      <w:pPr>
        <w:contextualSpacing/>
        <w:rPr>
          <w:rFonts w:ascii="Times New Roman" w:hAnsi="Times New Roman"/>
          <w:sz w:val="24"/>
          <w:szCs w:val="24"/>
        </w:rPr>
      </w:pPr>
    </w:p>
    <w:p w:rsidR="00772590" w:rsidRPr="0001674D" w:rsidRDefault="00772590" w:rsidP="00E669A7">
      <w:pPr>
        <w:contextualSpacing/>
        <w:rPr>
          <w:rFonts w:ascii="Times New Roman" w:hAnsi="Times New Roman"/>
          <w:sz w:val="24"/>
          <w:szCs w:val="24"/>
        </w:rPr>
      </w:pPr>
      <w:r w:rsidRPr="0001674D">
        <w:rPr>
          <w:rFonts w:ascii="Times New Roman" w:hAnsi="Times New Roman"/>
          <w:sz w:val="24"/>
          <w:szCs w:val="24"/>
        </w:rPr>
        <w:t xml:space="preserve">Funding will come from Outcome 1: Population Health, Programme 1.1 Public Health, Chronic Disease and Palliative Care, as set out in the </w:t>
      </w:r>
      <w:r w:rsidRPr="0001674D">
        <w:rPr>
          <w:rFonts w:ascii="Times New Roman" w:hAnsi="Times New Roman"/>
          <w:i/>
          <w:sz w:val="24"/>
          <w:szCs w:val="24"/>
        </w:rPr>
        <w:t>Portfolio Budget Statements 2014-15, Budget Related Paper No. 1.10, Health Portfolio</w:t>
      </w:r>
      <w:r w:rsidRPr="0001674D">
        <w:rPr>
          <w:rFonts w:ascii="Times New Roman" w:hAnsi="Times New Roman"/>
          <w:sz w:val="24"/>
          <w:szCs w:val="24"/>
        </w:rPr>
        <w:t xml:space="preserve"> at page 27. </w:t>
      </w:r>
      <w:r w:rsidR="00FC3F53">
        <w:rPr>
          <w:rFonts w:ascii="Times New Roman" w:hAnsi="Times New Roman"/>
          <w:sz w:val="24"/>
          <w:szCs w:val="24"/>
        </w:rPr>
        <w:t xml:space="preserve"> </w:t>
      </w:r>
      <w:r w:rsidRPr="0001674D">
        <w:rPr>
          <w:rFonts w:ascii="Times New Roman" w:hAnsi="Times New Roman"/>
          <w:sz w:val="24"/>
          <w:szCs w:val="24"/>
        </w:rPr>
        <w:t xml:space="preserve">Details of the measure, </w:t>
      </w:r>
      <w:r w:rsidRPr="0001674D">
        <w:rPr>
          <w:rFonts w:ascii="Times New Roman" w:hAnsi="Times New Roman"/>
          <w:i/>
          <w:sz w:val="24"/>
          <w:szCs w:val="24"/>
        </w:rPr>
        <w:t>Full implementation of National Bowel Cancer Screening Programme</w:t>
      </w:r>
      <w:r w:rsidRPr="0001674D">
        <w:rPr>
          <w:rFonts w:ascii="Times New Roman" w:hAnsi="Times New Roman"/>
          <w:sz w:val="24"/>
          <w:szCs w:val="24"/>
        </w:rPr>
        <w:t xml:space="preserve">, are in </w:t>
      </w:r>
      <w:r w:rsidRPr="0001674D">
        <w:rPr>
          <w:rFonts w:ascii="Times New Roman" w:hAnsi="Times New Roman"/>
          <w:i/>
          <w:sz w:val="24"/>
          <w:szCs w:val="24"/>
        </w:rPr>
        <w:t>Budget Measures</w:t>
      </w:r>
      <w:r w:rsidR="00FC3F53">
        <w:rPr>
          <w:rFonts w:ascii="Times New Roman" w:hAnsi="Times New Roman"/>
          <w:i/>
          <w:sz w:val="24"/>
          <w:szCs w:val="24"/>
        </w:rPr>
        <w:t>,</w:t>
      </w:r>
      <w:r w:rsidRPr="0001674D">
        <w:rPr>
          <w:rFonts w:ascii="Times New Roman" w:hAnsi="Times New Roman"/>
          <w:i/>
          <w:sz w:val="24"/>
          <w:szCs w:val="24"/>
        </w:rPr>
        <w:t xml:space="preserve"> Budget Paper No. 2 2014-15</w:t>
      </w:r>
      <w:r w:rsidRPr="0001674D">
        <w:rPr>
          <w:rFonts w:ascii="Times New Roman" w:hAnsi="Times New Roman"/>
          <w:sz w:val="24"/>
          <w:szCs w:val="24"/>
        </w:rPr>
        <w:t xml:space="preserve"> at page 129.</w:t>
      </w:r>
      <w:r w:rsidRPr="0001674D">
        <w:rPr>
          <w:rFonts w:ascii="Times New Roman" w:hAnsi="Times New Roman"/>
          <w:i/>
          <w:sz w:val="24"/>
          <w:szCs w:val="24"/>
        </w:rPr>
        <w:t xml:space="preserve"> </w:t>
      </w:r>
      <w:r w:rsidRPr="0001674D">
        <w:rPr>
          <w:rFonts w:ascii="Times New Roman" w:hAnsi="Times New Roman"/>
          <w:sz w:val="24"/>
          <w:szCs w:val="24"/>
        </w:rPr>
        <w:t xml:space="preserve">  </w:t>
      </w:r>
    </w:p>
    <w:p w:rsidR="00772590" w:rsidRPr="0001674D" w:rsidRDefault="00772590" w:rsidP="00E669A7">
      <w:pPr>
        <w:contextualSpacing/>
        <w:rPr>
          <w:rFonts w:ascii="Times New Roman" w:hAnsi="Times New Roman"/>
          <w:sz w:val="24"/>
          <w:szCs w:val="24"/>
        </w:rPr>
      </w:pPr>
    </w:p>
    <w:p w:rsidR="00772590" w:rsidRPr="0001674D" w:rsidRDefault="00772590" w:rsidP="00E669A7">
      <w:pPr>
        <w:contextualSpacing/>
        <w:rPr>
          <w:rFonts w:ascii="Times New Roman" w:hAnsi="Times New Roman"/>
          <w:sz w:val="24"/>
          <w:szCs w:val="24"/>
        </w:rPr>
      </w:pPr>
      <w:r w:rsidRPr="0001674D">
        <w:rPr>
          <w:rFonts w:ascii="Times New Roman" w:hAnsi="Times New Roman"/>
          <w:sz w:val="24"/>
          <w:szCs w:val="24"/>
        </w:rPr>
        <w:t xml:space="preserve">Noting that it is not a comprehensive statement of relevant constitutional considerations, the objective of the item references the following powers of the Constitution: </w:t>
      </w:r>
    </w:p>
    <w:p w:rsidR="00772590" w:rsidRPr="0001674D" w:rsidRDefault="00772590" w:rsidP="00E669A7">
      <w:pPr>
        <w:pStyle w:val="ListParagraph"/>
        <w:numPr>
          <w:ilvl w:val="0"/>
          <w:numId w:val="14"/>
        </w:numPr>
        <w:spacing w:after="120"/>
        <w:rPr>
          <w:rFonts w:cs="Times New Roman"/>
          <w:szCs w:val="24"/>
        </w:rPr>
      </w:pPr>
      <w:r w:rsidRPr="0001674D">
        <w:rPr>
          <w:rFonts w:cs="Times New Roman"/>
          <w:szCs w:val="24"/>
        </w:rPr>
        <w:t>the social welfare power (section 51(xxiiiA));</w:t>
      </w:r>
    </w:p>
    <w:p w:rsidR="00772590" w:rsidRPr="0001674D" w:rsidRDefault="00772590" w:rsidP="00E669A7">
      <w:pPr>
        <w:pStyle w:val="ListParagraph"/>
        <w:numPr>
          <w:ilvl w:val="0"/>
          <w:numId w:val="14"/>
        </w:numPr>
        <w:spacing w:after="120"/>
        <w:rPr>
          <w:rFonts w:cs="Times New Roman"/>
          <w:szCs w:val="24"/>
        </w:rPr>
      </w:pPr>
      <w:r w:rsidRPr="0001674D">
        <w:rPr>
          <w:rFonts w:cs="Times New Roman"/>
          <w:szCs w:val="24"/>
        </w:rPr>
        <w:t>the external affairs power (section 51(xxix)); and</w:t>
      </w:r>
    </w:p>
    <w:p w:rsidR="00772590" w:rsidRDefault="00772590" w:rsidP="00E669A7">
      <w:pPr>
        <w:pStyle w:val="ListParagraph"/>
        <w:numPr>
          <w:ilvl w:val="0"/>
          <w:numId w:val="14"/>
        </w:numPr>
        <w:spacing w:after="120"/>
        <w:rPr>
          <w:rFonts w:cs="Times New Roman"/>
          <w:szCs w:val="24"/>
        </w:rPr>
      </w:pPr>
      <w:r w:rsidRPr="0001674D">
        <w:rPr>
          <w:rFonts w:cs="Times New Roman"/>
          <w:szCs w:val="24"/>
        </w:rPr>
        <w:t>the Commonwealth executive power and the express incidental power (sections 61 and 51(xxxix)).</w:t>
      </w:r>
    </w:p>
    <w:p w:rsidR="0001674D" w:rsidRPr="0001674D" w:rsidRDefault="0001674D" w:rsidP="00064106">
      <w:pPr>
        <w:pStyle w:val="ListParagraph"/>
        <w:ind w:left="357"/>
        <w:rPr>
          <w:rFonts w:cs="Times New Roman"/>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New </w:t>
      </w:r>
      <w:r w:rsidRPr="0001674D">
        <w:rPr>
          <w:rFonts w:ascii="Times New Roman" w:hAnsi="Times New Roman"/>
          <w:b/>
          <w:sz w:val="24"/>
          <w:szCs w:val="24"/>
        </w:rPr>
        <w:t xml:space="preserve">table item 99 </w:t>
      </w:r>
      <w:r w:rsidRPr="0001674D">
        <w:rPr>
          <w:rFonts w:ascii="Times New Roman" w:hAnsi="Times New Roman"/>
          <w:sz w:val="24"/>
          <w:szCs w:val="24"/>
        </w:rPr>
        <w:t>establishes legislative authority for the Government to fund measures to improve the uptake of vaccines under the National Immunisation Programme in order to reduce the incidence of vaccine preventable diseases across the Australian community.</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contextualSpacing/>
        <w:rPr>
          <w:rFonts w:ascii="Times New Roman" w:hAnsi="Times New Roman"/>
          <w:sz w:val="24"/>
          <w:szCs w:val="24"/>
        </w:rPr>
      </w:pPr>
      <w:r w:rsidRPr="0001674D">
        <w:rPr>
          <w:rFonts w:ascii="Times New Roman" w:hAnsi="Times New Roman"/>
          <w:sz w:val="24"/>
          <w:szCs w:val="24"/>
        </w:rPr>
        <w:t>Funding will be provided for activities to:</w:t>
      </w:r>
    </w:p>
    <w:p w:rsidR="00772590" w:rsidRPr="0001674D" w:rsidRDefault="00772590" w:rsidP="00E669A7">
      <w:pPr>
        <w:pStyle w:val="ListParagraph"/>
        <w:numPr>
          <w:ilvl w:val="0"/>
          <w:numId w:val="15"/>
        </w:numPr>
        <w:rPr>
          <w:rFonts w:cs="Times New Roman"/>
          <w:szCs w:val="24"/>
        </w:rPr>
      </w:pPr>
      <w:r w:rsidRPr="0001674D">
        <w:rPr>
          <w:rFonts w:cs="Times New Roman"/>
          <w:szCs w:val="24"/>
        </w:rPr>
        <w:t xml:space="preserve">broaden immunisation data capture through immunisation register enhancements to record all adolescent vaccines given through school-based programmes, and progressing options to capture adult immunisation records; </w:t>
      </w:r>
    </w:p>
    <w:p w:rsidR="00772590" w:rsidRPr="0001674D" w:rsidRDefault="00772590" w:rsidP="00E669A7">
      <w:pPr>
        <w:pStyle w:val="ListParagraph"/>
        <w:numPr>
          <w:ilvl w:val="0"/>
          <w:numId w:val="15"/>
        </w:numPr>
        <w:rPr>
          <w:rFonts w:cs="Times New Roman"/>
          <w:szCs w:val="24"/>
        </w:rPr>
      </w:pPr>
      <w:r w:rsidRPr="0001674D">
        <w:rPr>
          <w:rFonts w:cs="Times New Roman"/>
          <w:szCs w:val="24"/>
        </w:rPr>
        <w:t>provide a financial incentive to immunisation providers, including general practitioners, to provide catch-up vaccinations to children in their practice who are overdue for immunisation; and</w:t>
      </w:r>
    </w:p>
    <w:p w:rsidR="00772590" w:rsidRDefault="00772590" w:rsidP="00E669A7">
      <w:pPr>
        <w:pStyle w:val="ListParagraph"/>
        <w:numPr>
          <w:ilvl w:val="0"/>
          <w:numId w:val="15"/>
        </w:numPr>
        <w:rPr>
          <w:rFonts w:cs="Times New Roman"/>
          <w:szCs w:val="24"/>
        </w:rPr>
      </w:pPr>
      <w:r w:rsidRPr="0001674D">
        <w:rPr>
          <w:rFonts w:cs="Times New Roman"/>
          <w:szCs w:val="24"/>
        </w:rPr>
        <w:t>provide a range of communication activities, tools and resources, based on comprehensive market research, to increase awareness and understanding of the National Immunisation Programme and address parents’ concerns regarding immunisation, including dispelling common myths.</w:t>
      </w:r>
    </w:p>
    <w:p w:rsidR="00AE031A" w:rsidRPr="00AE031A" w:rsidRDefault="00AE031A" w:rsidP="00AE031A">
      <w:pPr>
        <w:rPr>
          <w:szCs w:val="24"/>
        </w:rPr>
      </w:pPr>
    </w:p>
    <w:p w:rsidR="00772590" w:rsidRPr="00FC3F53" w:rsidRDefault="00772590" w:rsidP="00E669A7">
      <w:pPr>
        <w:contextualSpacing/>
        <w:rPr>
          <w:rFonts w:ascii="Times New Roman" w:hAnsi="Times New Roman"/>
          <w:sz w:val="24"/>
          <w:szCs w:val="24"/>
        </w:rPr>
      </w:pPr>
      <w:r w:rsidRPr="0001674D">
        <w:rPr>
          <w:rFonts w:ascii="Times New Roman" w:hAnsi="Times New Roman"/>
          <w:sz w:val="24"/>
          <w:szCs w:val="24"/>
        </w:rPr>
        <w:t xml:space="preserve">The Government has allocated $26.4 million over four years for this measure which was announced by the Hon Sussan Ley MP, Minister for Health and Minister for Sport, on 19 April 2015.  </w:t>
      </w:r>
      <w:r w:rsidR="00FC3F53">
        <w:rPr>
          <w:rFonts w:ascii="Times New Roman" w:hAnsi="Times New Roman"/>
          <w:sz w:val="24"/>
          <w:szCs w:val="24"/>
        </w:rPr>
        <w:t xml:space="preserve">Details of the measure, </w:t>
      </w:r>
      <w:r w:rsidR="00FC3F53">
        <w:rPr>
          <w:rFonts w:ascii="Times New Roman" w:hAnsi="Times New Roman"/>
          <w:i/>
          <w:sz w:val="24"/>
          <w:szCs w:val="24"/>
        </w:rPr>
        <w:t>Improving Immunisation Coverage Rates</w:t>
      </w:r>
      <w:r w:rsidR="00FC3F53">
        <w:rPr>
          <w:rFonts w:ascii="Times New Roman" w:hAnsi="Times New Roman"/>
          <w:sz w:val="24"/>
          <w:szCs w:val="24"/>
        </w:rPr>
        <w:t xml:space="preserve">, are in </w:t>
      </w:r>
      <w:r w:rsidR="00FC3F53">
        <w:rPr>
          <w:rFonts w:ascii="Times New Roman" w:hAnsi="Times New Roman"/>
          <w:i/>
          <w:sz w:val="24"/>
          <w:szCs w:val="24"/>
        </w:rPr>
        <w:t>Budget Measures, Budget Paper No.2 2015-16</w:t>
      </w:r>
      <w:r w:rsidR="00FC3F53">
        <w:rPr>
          <w:rFonts w:ascii="Times New Roman" w:hAnsi="Times New Roman"/>
          <w:sz w:val="24"/>
          <w:szCs w:val="24"/>
        </w:rPr>
        <w:t xml:space="preserve"> at page 101.</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All expenditure under this item will be made in accordance with conditions and delegations of the </w:t>
      </w:r>
      <w:r w:rsidRPr="0001674D">
        <w:rPr>
          <w:rFonts w:ascii="Times New Roman" w:hAnsi="Times New Roman"/>
          <w:i/>
          <w:iCs/>
          <w:sz w:val="24"/>
          <w:szCs w:val="24"/>
        </w:rPr>
        <w:t xml:space="preserve">Public Governance, Performance and Accountability Act </w:t>
      </w:r>
      <w:r w:rsidRPr="0001674D">
        <w:rPr>
          <w:rFonts w:ascii="Times New Roman" w:hAnsi="Times New Roman"/>
          <w:i/>
          <w:sz w:val="24"/>
          <w:szCs w:val="24"/>
        </w:rPr>
        <w:t>2013</w:t>
      </w:r>
      <w:r w:rsidRPr="0001674D">
        <w:rPr>
          <w:rFonts w:ascii="Times New Roman" w:hAnsi="Times New Roman"/>
          <w:sz w:val="24"/>
          <w:szCs w:val="24"/>
        </w:rPr>
        <w:t xml:space="preserve"> and the </w:t>
      </w:r>
      <w:r w:rsidRPr="0001674D">
        <w:rPr>
          <w:rFonts w:ascii="Times New Roman" w:hAnsi="Times New Roman"/>
          <w:i/>
          <w:sz w:val="24"/>
          <w:szCs w:val="24"/>
        </w:rPr>
        <w:t>Commonwealth Grants Rules and Guidelines</w:t>
      </w:r>
      <w:r w:rsidRPr="0001674D">
        <w:rPr>
          <w:rFonts w:ascii="Times New Roman" w:hAnsi="Times New Roman"/>
          <w:sz w:val="24"/>
          <w:szCs w:val="24"/>
        </w:rPr>
        <w:t>.  This item will be administered by the Department of Health, with the Minister for Health, or delegate, making the funding decisions.</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An open tender process will be undertaken to support the expansion of the National Human Papillomavirus Vaccination Register to an Australian Schools Vaccination Register.  </w:t>
      </w:r>
      <w:r w:rsidR="002B3CF2">
        <w:rPr>
          <w:rFonts w:ascii="Times New Roman" w:hAnsi="Times New Roman"/>
          <w:sz w:val="24"/>
          <w:szCs w:val="24"/>
        </w:rPr>
        <w:br/>
      </w:r>
      <w:r w:rsidRPr="0001674D">
        <w:rPr>
          <w:rFonts w:ascii="Times New Roman" w:hAnsi="Times New Roman"/>
          <w:sz w:val="24"/>
          <w:szCs w:val="24"/>
        </w:rPr>
        <w:t xml:space="preserve">The tender process will outline details of applicants’ rights of appeal, including the option to refer matters to the Commonwealth Ombudsman. </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The financial incentive to immunisation providers will be provided through an agreement between the Department of Health and the Department of Human Services.  The Department of Human Services, through the Australian Childhood Immunisation Register, will collect vaccination catch-up information from immunisation providers which will trigger the incentive payments.  The Department of Human Services will make the payments to immunisation providers on behalf of the Department of Health. </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The Department of Health has a complaints mechanism for grants and funding processes which is provided publicly on the Department of Health’s website </w:t>
      </w:r>
      <w:r w:rsidRPr="00FC3F53">
        <w:rPr>
          <w:rStyle w:val="Hyperlink"/>
          <w:rFonts w:ascii="Times New Roman" w:hAnsi="Times New Roman"/>
          <w:color w:val="auto"/>
          <w:sz w:val="24"/>
          <w:szCs w:val="24"/>
          <w:u w:val="none"/>
        </w:rPr>
        <w:t>(</w:t>
      </w:r>
      <w:r w:rsidRPr="0001674D">
        <w:rPr>
          <w:rFonts w:ascii="Times New Roman" w:hAnsi="Times New Roman"/>
          <w:sz w:val="24"/>
          <w:szCs w:val="24"/>
        </w:rPr>
        <w:t xml:space="preserve">http://www.health.gov.au/internet/main/publishing.nsf/Content/pfps-complaintsprocedures).  Applicants are also able to seek review from the Commonwealth Ombudsman.  </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Funding for this item will come from Programme 1.3: Immunisation, which is part of Outcome 1: Population Health</w:t>
      </w:r>
      <w:r w:rsidR="00FC3F53">
        <w:rPr>
          <w:rFonts w:ascii="Times New Roman" w:hAnsi="Times New Roman"/>
          <w:sz w:val="24"/>
          <w:szCs w:val="24"/>
        </w:rPr>
        <w:t xml:space="preserve">, as set out in the </w:t>
      </w:r>
      <w:r w:rsidRPr="0001674D">
        <w:rPr>
          <w:rFonts w:ascii="Times New Roman" w:hAnsi="Times New Roman"/>
          <w:i/>
          <w:sz w:val="24"/>
          <w:szCs w:val="24"/>
        </w:rPr>
        <w:t>Portfolio Budget Statements 2015-16, Budget Related Paper No. 1.10, Health Portfolio</w:t>
      </w:r>
      <w:r w:rsidRPr="0001674D">
        <w:rPr>
          <w:rFonts w:ascii="Times New Roman" w:hAnsi="Times New Roman"/>
          <w:sz w:val="24"/>
          <w:szCs w:val="24"/>
        </w:rPr>
        <w:t xml:space="preserve"> at page 49.</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Noting that it is not a comprehensive statement of relevant constitutional considerations, </w:t>
      </w:r>
      <w:r w:rsidR="002B3CF2">
        <w:rPr>
          <w:rFonts w:ascii="Times New Roman" w:hAnsi="Times New Roman"/>
          <w:sz w:val="24"/>
          <w:szCs w:val="24"/>
        </w:rPr>
        <w:br/>
      </w:r>
      <w:r w:rsidRPr="0001674D">
        <w:rPr>
          <w:rFonts w:ascii="Times New Roman" w:hAnsi="Times New Roman"/>
          <w:sz w:val="24"/>
          <w:szCs w:val="24"/>
        </w:rPr>
        <w:t>the objective of the item references the social welfare power (section 51(xxiiiA)) of the Constitution.</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New </w:t>
      </w:r>
      <w:r w:rsidRPr="0001674D">
        <w:rPr>
          <w:rFonts w:ascii="Times New Roman" w:hAnsi="Times New Roman"/>
          <w:b/>
          <w:sz w:val="24"/>
          <w:szCs w:val="24"/>
        </w:rPr>
        <w:t xml:space="preserve">table item 100 </w:t>
      </w:r>
      <w:r w:rsidRPr="0001674D">
        <w:rPr>
          <w:rFonts w:ascii="Times New Roman" w:hAnsi="Times New Roman"/>
          <w:sz w:val="24"/>
          <w:szCs w:val="24"/>
        </w:rPr>
        <w:t>establishes legislative authority for the Government to fund the Health Workforce Scholarship Programme.  The aim of the programme is to increase participation in, and promote better distribution of, health workforces by providing financial scholarships to individual health students, including those health students who identify as being Aboriginal and Torres Strait Islander people.  This item will be administered by the Department of Health.</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Nine existing health workforce scholarships will be combined into the Health Workforce Scholarship Programme in order to create consistency in rules and obligations and provide greater flexibility to respond to health workforce priorities.  A return of service obligation will apply and will require most recipients to work in rural or regional areas for one year.  The number of scholarships aimed at increasing Aboriginal and Torres Strait Islander health workforce participation will not be reduced nor be subject to the return of service obligation. </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The measure, </w:t>
      </w:r>
      <w:r w:rsidRPr="0001674D">
        <w:rPr>
          <w:rFonts w:ascii="Times New Roman" w:hAnsi="Times New Roman"/>
          <w:i/>
          <w:sz w:val="24"/>
          <w:szCs w:val="24"/>
        </w:rPr>
        <w:t>Streamlining Health Workforce Scholarships</w:t>
      </w:r>
      <w:r w:rsidRPr="0001674D">
        <w:rPr>
          <w:rFonts w:ascii="Times New Roman" w:hAnsi="Times New Roman"/>
          <w:sz w:val="24"/>
          <w:szCs w:val="24"/>
        </w:rPr>
        <w:t>, was announced in the 2015</w:t>
      </w:r>
      <w:r w:rsidRPr="0001674D">
        <w:rPr>
          <w:rFonts w:ascii="Times New Roman" w:hAnsi="Times New Roman"/>
          <w:sz w:val="24"/>
          <w:szCs w:val="24"/>
        </w:rPr>
        <w:noBreakHyphen/>
        <w:t xml:space="preserve">16 Budget.  Details are set out in </w:t>
      </w:r>
      <w:r w:rsidRPr="0001674D">
        <w:rPr>
          <w:rFonts w:ascii="Times New Roman" w:hAnsi="Times New Roman"/>
          <w:i/>
          <w:sz w:val="24"/>
          <w:szCs w:val="24"/>
        </w:rPr>
        <w:t>Budget Measures, Budget Paper No. 2 2015-16</w:t>
      </w:r>
      <w:r w:rsidRPr="0001674D">
        <w:rPr>
          <w:rFonts w:ascii="Times New Roman" w:hAnsi="Times New Roman"/>
          <w:sz w:val="24"/>
          <w:szCs w:val="24"/>
        </w:rPr>
        <w:t xml:space="preserve"> at page 113.</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The Department of Health will approach the market through an open competitive process to select an administrator who will coordinate and manage the scholarships within the parameters set by the Government.  The Government, in consultation with the administrator, will determine the appropriate funding allocation for the various scholarship components.  Details of the programme will be publicly available on the Department of Health’s website (http://www.health.gov.au/).  Given the nature of the funding to the administrator, merit</w:t>
      </w:r>
      <w:r w:rsidR="00FC3F53">
        <w:rPr>
          <w:rFonts w:ascii="Times New Roman" w:hAnsi="Times New Roman"/>
          <w:sz w:val="24"/>
          <w:szCs w:val="24"/>
        </w:rPr>
        <w:t>s</w:t>
      </w:r>
      <w:r w:rsidRPr="0001674D">
        <w:rPr>
          <w:rFonts w:ascii="Times New Roman" w:hAnsi="Times New Roman"/>
          <w:sz w:val="24"/>
          <w:szCs w:val="24"/>
        </w:rPr>
        <w:t xml:space="preserve"> review is not applicable.  Applications from students for scholarships will be determined by the administrator and processes for merit</w:t>
      </w:r>
      <w:r w:rsidR="00FC3F53">
        <w:rPr>
          <w:rFonts w:ascii="Times New Roman" w:hAnsi="Times New Roman"/>
          <w:sz w:val="24"/>
          <w:szCs w:val="24"/>
        </w:rPr>
        <w:t>s</w:t>
      </w:r>
      <w:r w:rsidRPr="0001674D">
        <w:rPr>
          <w:rFonts w:ascii="Times New Roman" w:hAnsi="Times New Roman"/>
          <w:sz w:val="24"/>
          <w:szCs w:val="24"/>
        </w:rPr>
        <w:t xml:space="preserve"> review will be established by the administrator.</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All expenditure under this item will be made in accordance with conditions and delegations imposed under the </w:t>
      </w:r>
      <w:r w:rsidRPr="0001674D">
        <w:rPr>
          <w:rFonts w:ascii="Times New Roman" w:hAnsi="Times New Roman"/>
          <w:i/>
          <w:iCs/>
          <w:sz w:val="24"/>
          <w:szCs w:val="24"/>
        </w:rPr>
        <w:t xml:space="preserve">Public Governance, Performance and Accountability Act </w:t>
      </w:r>
      <w:r w:rsidRPr="0001674D">
        <w:rPr>
          <w:rFonts w:ascii="Times New Roman" w:hAnsi="Times New Roman"/>
          <w:i/>
          <w:sz w:val="24"/>
          <w:szCs w:val="24"/>
        </w:rPr>
        <w:t>2013</w:t>
      </w:r>
      <w:r w:rsidRPr="0001674D">
        <w:rPr>
          <w:rFonts w:ascii="Times New Roman" w:hAnsi="Times New Roman"/>
          <w:sz w:val="24"/>
          <w:szCs w:val="24"/>
        </w:rPr>
        <w:t xml:space="preserve"> and the </w:t>
      </w:r>
      <w:r w:rsidRPr="0001674D">
        <w:rPr>
          <w:rFonts w:ascii="Times New Roman" w:hAnsi="Times New Roman"/>
          <w:i/>
          <w:sz w:val="24"/>
          <w:szCs w:val="24"/>
        </w:rPr>
        <w:t>Commonwealth Grants Rules and Guidelines</w:t>
      </w:r>
      <w:r w:rsidRPr="0001674D">
        <w:rPr>
          <w:rFonts w:ascii="Times New Roman" w:hAnsi="Times New Roman"/>
          <w:sz w:val="24"/>
          <w:szCs w:val="24"/>
        </w:rPr>
        <w:t xml:space="preserve">.  </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Funding for this item will come from Programme 8.1: Workforce and Rural Distribution, which is part of Outcome 8: Health Workforce Capacity.  Details are set out in the </w:t>
      </w:r>
      <w:r w:rsidRPr="0001674D">
        <w:rPr>
          <w:rFonts w:ascii="Times New Roman" w:hAnsi="Times New Roman"/>
          <w:i/>
          <w:sz w:val="24"/>
          <w:szCs w:val="24"/>
        </w:rPr>
        <w:t>Portfolio Budget Statements 2015-16, Budget Related Paper No. 1.10</w:t>
      </w:r>
      <w:r w:rsidRPr="0001674D">
        <w:rPr>
          <w:rFonts w:ascii="Times New Roman" w:hAnsi="Times New Roman"/>
          <w:sz w:val="24"/>
          <w:szCs w:val="24"/>
        </w:rPr>
        <w:t xml:space="preserve">, </w:t>
      </w:r>
      <w:r w:rsidRPr="0001674D">
        <w:rPr>
          <w:rFonts w:ascii="Times New Roman" w:hAnsi="Times New Roman"/>
          <w:i/>
          <w:sz w:val="24"/>
          <w:szCs w:val="24"/>
        </w:rPr>
        <w:t xml:space="preserve">Health Portfolio </w:t>
      </w:r>
      <w:r w:rsidRPr="0001674D">
        <w:rPr>
          <w:rFonts w:ascii="Times New Roman" w:hAnsi="Times New Roman"/>
          <w:sz w:val="24"/>
          <w:szCs w:val="24"/>
        </w:rPr>
        <w:t>at pages 143 to 144.</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contextualSpacing/>
        <w:rPr>
          <w:rFonts w:ascii="Times New Roman" w:hAnsi="Times New Roman"/>
          <w:sz w:val="24"/>
          <w:szCs w:val="24"/>
        </w:rPr>
      </w:pPr>
      <w:r w:rsidRPr="0001674D">
        <w:rPr>
          <w:rFonts w:ascii="Times New Roman" w:hAnsi="Times New Roman"/>
          <w:sz w:val="24"/>
          <w:szCs w:val="24"/>
        </w:rPr>
        <w:t>Noting that it is not a comprehensive statement of relevant constitutional considerations, the objective of the item references the following powers of the Constitution:</w:t>
      </w:r>
    </w:p>
    <w:p w:rsidR="00772590" w:rsidRPr="0001674D" w:rsidRDefault="00772590" w:rsidP="00E669A7">
      <w:pPr>
        <w:pStyle w:val="ListParagraph"/>
        <w:numPr>
          <w:ilvl w:val="0"/>
          <w:numId w:val="16"/>
        </w:numPr>
        <w:rPr>
          <w:rFonts w:cs="Times New Roman"/>
          <w:szCs w:val="24"/>
        </w:rPr>
      </w:pPr>
      <w:r w:rsidRPr="0001674D">
        <w:rPr>
          <w:rFonts w:cs="Times New Roman"/>
          <w:szCs w:val="24"/>
        </w:rPr>
        <w:t xml:space="preserve">the social welfare power (section 51(xxiiiA)); and </w:t>
      </w:r>
    </w:p>
    <w:p w:rsidR="00772590" w:rsidRDefault="00772590" w:rsidP="00E669A7">
      <w:pPr>
        <w:pStyle w:val="ListParagraph"/>
        <w:numPr>
          <w:ilvl w:val="0"/>
          <w:numId w:val="16"/>
        </w:numPr>
        <w:rPr>
          <w:rFonts w:cs="Times New Roman"/>
          <w:szCs w:val="24"/>
        </w:rPr>
      </w:pPr>
      <w:r w:rsidRPr="0001674D">
        <w:rPr>
          <w:rFonts w:cs="Times New Roman"/>
          <w:szCs w:val="24"/>
        </w:rPr>
        <w:t>the races power (section 51(xxvi)).</w:t>
      </w:r>
    </w:p>
    <w:p w:rsidR="00AE031A" w:rsidRPr="0001674D" w:rsidRDefault="00AE031A" w:rsidP="00AE031A">
      <w:pPr>
        <w:pStyle w:val="ListParagraph"/>
        <w:ind w:left="357"/>
        <w:rPr>
          <w:rFonts w:cs="Times New Roman"/>
          <w:szCs w:val="24"/>
        </w:rPr>
      </w:pPr>
    </w:p>
    <w:p w:rsidR="00772590" w:rsidRPr="0001674D" w:rsidRDefault="00772590" w:rsidP="00E669A7">
      <w:pPr>
        <w:contextualSpacing/>
        <w:rPr>
          <w:rFonts w:ascii="Times New Roman" w:hAnsi="Times New Roman"/>
          <w:sz w:val="24"/>
          <w:szCs w:val="24"/>
        </w:rPr>
      </w:pPr>
      <w:r w:rsidRPr="0001674D">
        <w:rPr>
          <w:rFonts w:ascii="Times New Roman" w:hAnsi="Times New Roman"/>
          <w:sz w:val="24"/>
          <w:szCs w:val="24"/>
        </w:rPr>
        <w:t xml:space="preserve">New </w:t>
      </w:r>
      <w:r w:rsidRPr="0001674D">
        <w:rPr>
          <w:rFonts w:ascii="Times New Roman" w:hAnsi="Times New Roman"/>
          <w:b/>
          <w:sz w:val="24"/>
          <w:szCs w:val="24"/>
        </w:rPr>
        <w:t xml:space="preserve">table item 101 </w:t>
      </w:r>
      <w:r w:rsidRPr="0001674D">
        <w:rPr>
          <w:rFonts w:ascii="Times New Roman" w:hAnsi="Times New Roman"/>
          <w:sz w:val="24"/>
          <w:szCs w:val="24"/>
        </w:rPr>
        <w:t xml:space="preserve">establishes legislative authority for the Government to fund the establishment and ongoing maintenance of a National Cancer Screening Register (the Register) for the purpose of supporting the early detection and prevention of cancer through screening.  </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The Minister for Health, the Hon Sussan Ley MP, announced the establishment of the National Cancer Screening Register on 10 May 2015.  </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contextualSpacing/>
        <w:rPr>
          <w:rFonts w:ascii="Times New Roman" w:hAnsi="Times New Roman"/>
          <w:sz w:val="24"/>
          <w:szCs w:val="24"/>
        </w:rPr>
      </w:pPr>
      <w:r w:rsidRPr="0001674D">
        <w:rPr>
          <w:rFonts w:ascii="Times New Roman" w:hAnsi="Times New Roman"/>
          <w:sz w:val="24"/>
          <w:szCs w:val="24"/>
        </w:rPr>
        <w:t xml:space="preserve">The item also supports funding for various initial and ongoing support activities in the areas of: </w:t>
      </w:r>
    </w:p>
    <w:p w:rsidR="00772590" w:rsidRPr="0001674D" w:rsidRDefault="00772590" w:rsidP="00E669A7">
      <w:pPr>
        <w:pStyle w:val="ListParagraph"/>
        <w:numPr>
          <w:ilvl w:val="0"/>
          <w:numId w:val="18"/>
        </w:numPr>
        <w:rPr>
          <w:rFonts w:cs="Times New Roman"/>
          <w:szCs w:val="24"/>
        </w:rPr>
      </w:pPr>
      <w:r w:rsidRPr="0001674D">
        <w:rPr>
          <w:rFonts w:cs="Times New Roman"/>
          <w:szCs w:val="24"/>
        </w:rPr>
        <w:t>information and technology;</w:t>
      </w:r>
    </w:p>
    <w:p w:rsidR="00772590" w:rsidRPr="0001674D" w:rsidRDefault="00772590" w:rsidP="00E669A7">
      <w:pPr>
        <w:pStyle w:val="ListParagraph"/>
        <w:numPr>
          <w:ilvl w:val="0"/>
          <w:numId w:val="18"/>
        </w:numPr>
        <w:rPr>
          <w:rFonts w:cs="Times New Roman"/>
          <w:szCs w:val="24"/>
        </w:rPr>
      </w:pPr>
      <w:r w:rsidRPr="0001674D">
        <w:rPr>
          <w:rFonts w:cs="Times New Roman"/>
          <w:szCs w:val="24"/>
        </w:rPr>
        <w:t>education and training aimed at facilitating inclusion of information on the Register; and</w:t>
      </w:r>
    </w:p>
    <w:p w:rsidR="00772590" w:rsidRPr="0001674D" w:rsidRDefault="00772590" w:rsidP="00E669A7">
      <w:pPr>
        <w:pStyle w:val="ListParagraph"/>
        <w:numPr>
          <w:ilvl w:val="0"/>
          <w:numId w:val="18"/>
        </w:numPr>
        <w:rPr>
          <w:rFonts w:cs="Times New Roman"/>
          <w:szCs w:val="24"/>
        </w:rPr>
      </w:pPr>
      <w:r w:rsidRPr="0001674D">
        <w:rPr>
          <w:rFonts w:cs="Times New Roman"/>
          <w:szCs w:val="24"/>
        </w:rPr>
        <w:t>communications, in particular, the existence and use of the Register.</w:t>
      </w:r>
    </w:p>
    <w:p w:rsidR="00772590" w:rsidRPr="0001674D" w:rsidRDefault="00772590" w:rsidP="00E669A7">
      <w:pPr>
        <w:tabs>
          <w:tab w:val="left" w:pos="426"/>
        </w:tabs>
        <w:contextualSpacing/>
        <w:rPr>
          <w:rFonts w:ascii="Times New Roman" w:hAnsi="Times New Roman"/>
          <w:sz w:val="24"/>
          <w:szCs w:val="24"/>
        </w:rPr>
      </w:pPr>
    </w:p>
    <w:p w:rsidR="00772590" w:rsidRPr="0001674D" w:rsidRDefault="00772590" w:rsidP="00E669A7">
      <w:pPr>
        <w:tabs>
          <w:tab w:val="left" w:pos="426"/>
        </w:tabs>
        <w:spacing w:after="120"/>
        <w:contextualSpacing/>
        <w:rPr>
          <w:rFonts w:ascii="Times New Roman" w:hAnsi="Times New Roman"/>
          <w:sz w:val="24"/>
          <w:szCs w:val="24"/>
        </w:rPr>
      </w:pPr>
      <w:r w:rsidRPr="0001674D">
        <w:rPr>
          <w:rFonts w:ascii="Times New Roman" w:hAnsi="Times New Roman"/>
          <w:sz w:val="24"/>
          <w:szCs w:val="24"/>
        </w:rPr>
        <w:t xml:space="preserve">The Register will be national infrastructure that supports the National Cervical Screening Programme and the National Bowel Cancer Screening Programme in the initial stage, </w:t>
      </w:r>
      <w:r w:rsidR="002B3CF2">
        <w:rPr>
          <w:rFonts w:ascii="Times New Roman" w:hAnsi="Times New Roman"/>
          <w:sz w:val="24"/>
          <w:szCs w:val="24"/>
        </w:rPr>
        <w:br/>
      </w:r>
      <w:r w:rsidRPr="0001674D">
        <w:rPr>
          <w:rFonts w:ascii="Times New Roman" w:hAnsi="Times New Roman"/>
          <w:sz w:val="24"/>
          <w:szCs w:val="24"/>
        </w:rPr>
        <w:t xml:space="preserve">and will be able to be extended to other cancer screening programmes in the future. </w:t>
      </w:r>
    </w:p>
    <w:p w:rsidR="00772590" w:rsidRPr="0001674D" w:rsidRDefault="00772590" w:rsidP="00E669A7">
      <w:pPr>
        <w:tabs>
          <w:tab w:val="left" w:pos="426"/>
        </w:tabs>
        <w:spacing w:after="120"/>
        <w:contextualSpacing/>
        <w:rPr>
          <w:rFonts w:ascii="Times New Roman" w:hAnsi="Times New Roman"/>
          <w:sz w:val="24"/>
          <w:szCs w:val="24"/>
        </w:rPr>
      </w:pPr>
    </w:p>
    <w:p w:rsidR="00772590" w:rsidRPr="0001674D" w:rsidRDefault="00772590" w:rsidP="00E669A7">
      <w:pPr>
        <w:tabs>
          <w:tab w:val="left" w:pos="426"/>
        </w:tabs>
        <w:spacing w:after="120"/>
        <w:contextualSpacing/>
        <w:rPr>
          <w:rFonts w:ascii="Times New Roman" w:hAnsi="Times New Roman"/>
          <w:sz w:val="24"/>
          <w:szCs w:val="24"/>
        </w:rPr>
      </w:pPr>
      <w:r w:rsidRPr="0001674D">
        <w:rPr>
          <w:rFonts w:ascii="Times New Roman" w:hAnsi="Times New Roman"/>
          <w:sz w:val="24"/>
          <w:szCs w:val="24"/>
        </w:rPr>
        <w:t>The Register will host and manage cancer screening information for the National Cervical and Bowel Cancer Screening Programmes and alleviate the need for states and territories to maintain separate cervical screening registers.</w:t>
      </w:r>
    </w:p>
    <w:p w:rsidR="00772590" w:rsidRPr="0001674D" w:rsidRDefault="00772590" w:rsidP="00E669A7">
      <w:pPr>
        <w:tabs>
          <w:tab w:val="left" w:pos="426"/>
        </w:tabs>
        <w:spacing w:after="120"/>
        <w:contextualSpacing/>
        <w:rPr>
          <w:rFonts w:ascii="Times New Roman" w:hAnsi="Times New Roman"/>
          <w:sz w:val="24"/>
          <w:szCs w:val="24"/>
        </w:rPr>
      </w:pPr>
    </w:p>
    <w:p w:rsidR="00772590" w:rsidRPr="0001674D" w:rsidRDefault="00772590" w:rsidP="00E669A7">
      <w:pPr>
        <w:tabs>
          <w:tab w:val="left" w:pos="426"/>
        </w:tabs>
        <w:spacing w:after="120"/>
        <w:contextualSpacing/>
        <w:rPr>
          <w:rFonts w:ascii="Times New Roman" w:hAnsi="Times New Roman"/>
          <w:sz w:val="24"/>
          <w:szCs w:val="24"/>
        </w:rPr>
      </w:pPr>
      <w:r w:rsidRPr="0001674D">
        <w:rPr>
          <w:rFonts w:ascii="Times New Roman" w:hAnsi="Times New Roman"/>
          <w:sz w:val="24"/>
          <w:szCs w:val="24"/>
        </w:rPr>
        <w:t xml:space="preserve">It is anticipated that having the Register will reduce costs and regulatory burden for the health sector because general practices, hospitals and pathology laboratories will only need to connect to one register instead of multiple systems for cancer screening. </w:t>
      </w:r>
    </w:p>
    <w:p w:rsidR="00772590" w:rsidRPr="0001674D" w:rsidRDefault="00772590" w:rsidP="00E669A7">
      <w:pPr>
        <w:tabs>
          <w:tab w:val="left" w:pos="426"/>
        </w:tabs>
        <w:spacing w:after="120"/>
        <w:contextualSpacing/>
        <w:rPr>
          <w:rFonts w:ascii="Times New Roman" w:hAnsi="Times New Roman"/>
          <w:sz w:val="24"/>
          <w:szCs w:val="24"/>
        </w:rPr>
      </w:pPr>
    </w:p>
    <w:p w:rsidR="00772590" w:rsidRPr="0001674D" w:rsidRDefault="00772590" w:rsidP="00E669A7">
      <w:pPr>
        <w:tabs>
          <w:tab w:val="left" w:pos="426"/>
        </w:tabs>
        <w:spacing w:after="120"/>
        <w:contextualSpacing/>
        <w:rPr>
          <w:rFonts w:ascii="Times New Roman" w:hAnsi="Times New Roman"/>
          <w:sz w:val="24"/>
          <w:szCs w:val="24"/>
        </w:rPr>
      </w:pPr>
      <w:r w:rsidRPr="0001674D">
        <w:rPr>
          <w:rFonts w:ascii="Times New Roman" w:hAnsi="Times New Roman"/>
          <w:sz w:val="24"/>
          <w:szCs w:val="24"/>
        </w:rPr>
        <w:t xml:space="preserve">The Register will significantly reduce the current costs and burden of paper-based reporting and data entry relating to the National Bowel Cancer Screening Programme.  Health service providers will be able to quickly and easily provide data to the Register and receive information from the Register through their software systems.  This will assist them in making informed and time-critical decisions, which is vital to the National Cervical and Bowel Cancer Screening Programmes. </w:t>
      </w:r>
    </w:p>
    <w:p w:rsidR="00772590" w:rsidRPr="0001674D" w:rsidRDefault="00772590" w:rsidP="00E669A7">
      <w:pPr>
        <w:tabs>
          <w:tab w:val="left" w:pos="426"/>
        </w:tabs>
        <w:spacing w:after="120"/>
        <w:contextualSpacing/>
        <w:rPr>
          <w:rFonts w:ascii="Times New Roman" w:hAnsi="Times New Roman"/>
          <w:sz w:val="24"/>
          <w:szCs w:val="24"/>
        </w:rPr>
      </w:pPr>
    </w:p>
    <w:p w:rsidR="00772590" w:rsidRPr="0001674D" w:rsidRDefault="00772590" w:rsidP="00E669A7">
      <w:pPr>
        <w:tabs>
          <w:tab w:val="left" w:pos="426"/>
        </w:tabs>
        <w:spacing w:after="120"/>
        <w:contextualSpacing/>
        <w:rPr>
          <w:rFonts w:ascii="Times New Roman" w:hAnsi="Times New Roman"/>
          <w:sz w:val="24"/>
          <w:szCs w:val="24"/>
        </w:rPr>
      </w:pPr>
      <w:r w:rsidRPr="0001674D">
        <w:rPr>
          <w:rFonts w:ascii="Times New Roman" w:hAnsi="Times New Roman"/>
          <w:sz w:val="24"/>
          <w:szCs w:val="24"/>
        </w:rPr>
        <w:t xml:space="preserve">The Register will facilitate invitations to increase participation rates in the National Cervical Screening Programme.  It is anticipated that the Register will support the delivery of a renewed and more effective National Cervical Screening Programme which will save an estimated 15 per cent more lives from cervical cancer and prevent an additional 140 cervical cancers per year. </w:t>
      </w:r>
    </w:p>
    <w:p w:rsidR="00772590" w:rsidRPr="0001674D" w:rsidRDefault="00772590" w:rsidP="00E669A7">
      <w:pPr>
        <w:tabs>
          <w:tab w:val="left" w:pos="426"/>
        </w:tabs>
        <w:spacing w:after="120"/>
        <w:contextualSpacing/>
        <w:rPr>
          <w:rFonts w:ascii="Times New Roman" w:hAnsi="Times New Roman"/>
          <w:sz w:val="24"/>
          <w:szCs w:val="24"/>
        </w:rPr>
      </w:pPr>
    </w:p>
    <w:p w:rsidR="00772590" w:rsidRPr="0001674D" w:rsidRDefault="00772590" w:rsidP="00E669A7">
      <w:pPr>
        <w:tabs>
          <w:tab w:val="left" w:pos="426"/>
        </w:tabs>
        <w:spacing w:after="120"/>
        <w:contextualSpacing/>
        <w:rPr>
          <w:rFonts w:ascii="Times New Roman" w:hAnsi="Times New Roman"/>
          <w:sz w:val="24"/>
          <w:szCs w:val="24"/>
        </w:rPr>
      </w:pPr>
      <w:r w:rsidRPr="0001674D">
        <w:rPr>
          <w:rFonts w:ascii="Times New Roman" w:hAnsi="Times New Roman"/>
          <w:sz w:val="24"/>
          <w:szCs w:val="24"/>
        </w:rPr>
        <w:t xml:space="preserve">The Register will also enable a more efficient delivery of an expanded National Bowel Cancer Screening Programme, which was an election commitment and announced in the 2014-15 Budget.   </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A competitive request for tender process will be conducted in accordance with the </w:t>
      </w:r>
      <w:r w:rsidR="002B3CF2">
        <w:rPr>
          <w:rFonts w:ascii="Times New Roman" w:hAnsi="Times New Roman"/>
          <w:sz w:val="24"/>
          <w:szCs w:val="24"/>
        </w:rPr>
        <w:br/>
      </w:r>
      <w:r w:rsidRPr="0001674D">
        <w:rPr>
          <w:rFonts w:ascii="Times New Roman" w:hAnsi="Times New Roman"/>
          <w:i/>
          <w:iCs/>
          <w:sz w:val="24"/>
          <w:szCs w:val="24"/>
        </w:rPr>
        <w:t xml:space="preserve">Public Governance, Performance and Accountability Act </w:t>
      </w:r>
      <w:r w:rsidRPr="0001674D">
        <w:rPr>
          <w:rFonts w:ascii="Times New Roman" w:hAnsi="Times New Roman"/>
          <w:i/>
          <w:sz w:val="24"/>
          <w:szCs w:val="24"/>
        </w:rPr>
        <w:t>2013</w:t>
      </w:r>
      <w:r w:rsidRPr="0001674D">
        <w:rPr>
          <w:rFonts w:ascii="Times New Roman" w:hAnsi="Times New Roman"/>
          <w:sz w:val="24"/>
          <w:szCs w:val="24"/>
        </w:rPr>
        <w:t xml:space="preserve"> and the </w:t>
      </w:r>
      <w:r w:rsidRPr="0001674D">
        <w:rPr>
          <w:rFonts w:ascii="Times New Roman" w:hAnsi="Times New Roman"/>
          <w:i/>
          <w:sz w:val="24"/>
          <w:szCs w:val="24"/>
        </w:rPr>
        <w:t xml:space="preserve">Commonwealth Procurement Rules </w:t>
      </w:r>
      <w:r w:rsidRPr="0001674D">
        <w:rPr>
          <w:rFonts w:ascii="Times New Roman" w:hAnsi="Times New Roman"/>
          <w:sz w:val="24"/>
          <w:szCs w:val="24"/>
        </w:rPr>
        <w:t xml:space="preserve">for an anticipated operation date of 1 May 2017.  </w:t>
      </w:r>
      <w:hyperlink w:history="1"/>
      <w:r w:rsidRPr="0001674D">
        <w:rPr>
          <w:rFonts w:ascii="Times New Roman" w:hAnsi="Times New Roman"/>
          <w:sz w:val="24"/>
          <w:szCs w:val="24"/>
        </w:rPr>
        <w:t>Funding decisions will be made by Department of Health delegates.  Given the nature of the funding, further merits review will not be applicable.  However, complaints on procurement processes will be handled in accordance with the Department of Health</w:t>
      </w:r>
      <w:r w:rsidR="00FC3F53">
        <w:rPr>
          <w:rFonts w:ascii="Times New Roman" w:hAnsi="Times New Roman"/>
          <w:sz w:val="24"/>
          <w:szCs w:val="24"/>
        </w:rPr>
        <w:t>’s</w:t>
      </w:r>
      <w:r w:rsidRPr="0001674D">
        <w:rPr>
          <w:rFonts w:ascii="Times New Roman" w:hAnsi="Times New Roman"/>
          <w:sz w:val="24"/>
          <w:szCs w:val="24"/>
        </w:rPr>
        <w:t xml:space="preserve"> Grant and Procurement Complaints Procedures are published on the Department of Health’s website (http://www.health.gov.au/internet/main/publishing.nsf/Content/pfps-complaintsprocedures).  </w:t>
      </w:r>
    </w:p>
    <w:p w:rsidR="00772590" w:rsidRPr="0001674D" w:rsidRDefault="00772590" w:rsidP="00E669A7">
      <w:pPr>
        <w:spacing w:after="120"/>
        <w:contextualSpacing/>
        <w:rPr>
          <w:rFonts w:ascii="Times New Roman" w:hAnsi="Times New Roman"/>
          <w:sz w:val="24"/>
          <w:szCs w:val="24"/>
          <w:highlight w:val="yellow"/>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Funding for the Register will come from Programme 1.1: Public Health, Chronic Disease and Palliative Care, part of Outcome 1: Population Health, with details set out in the </w:t>
      </w:r>
      <w:r w:rsidR="002B3CF2">
        <w:rPr>
          <w:rFonts w:ascii="Times New Roman" w:hAnsi="Times New Roman"/>
          <w:sz w:val="24"/>
          <w:szCs w:val="24"/>
        </w:rPr>
        <w:br/>
      </w:r>
      <w:r w:rsidRPr="0001674D">
        <w:rPr>
          <w:rFonts w:ascii="Times New Roman" w:hAnsi="Times New Roman"/>
          <w:i/>
          <w:sz w:val="24"/>
          <w:szCs w:val="24"/>
        </w:rPr>
        <w:t>Portfolio Budget Statements 2015-16, Budget Related Paper No. 1.10</w:t>
      </w:r>
      <w:r w:rsidRPr="0001674D">
        <w:rPr>
          <w:rFonts w:ascii="Times New Roman" w:hAnsi="Times New Roman"/>
          <w:sz w:val="24"/>
          <w:szCs w:val="24"/>
        </w:rPr>
        <w:t xml:space="preserve">, </w:t>
      </w:r>
      <w:r w:rsidRPr="0001674D">
        <w:rPr>
          <w:rFonts w:ascii="Times New Roman" w:hAnsi="Times New Roman"/>
          <w:i/>
          <w:sz w:val="24"/>
          <w:szCs w:val="24"/>
        </w:rPr>
        <w:t>Health Portfolio</w:t>
      </w:r>
      <w:r w:rsidRPr="0001674D">
        <w:rPr>
          <w:rFonts w:ascii="Times New Roman" w:hAnsi="Times New Roman"/>
          <w:sz w:val="24"/>
          <w:szCs w:val="24"/>
        </w:rPr>
        <w:t xml:space="preserve"> at page 41.</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contextualSpacing/>
        <w:rPr>
          <w:rFonts w:ascii="Times New Roman" w:hAnsi="Times New Roman"/>
          <w:sz w:val="24"/>
          <w:szCs w:val="24"/>
        </w:rPr>
      </w:pPr>
      <w:r w:rsidRPr="0001674D">
        <w:rPr>
          <w:rFonts w:ascii="Times New Roman" w:hAnsi="Times New Roman"/>
          <w:sz w:val="24"/>
          <w:szCs w:val="24"/>
        </w:rPr>
        <w:t xml:space="preserve">Noting that it is not a comprehensive statement of relevant constitutional considerations, the objective of the item references the following powers of the Constitution: </w:t>
      </w:r>
    </w:p>
    <w:p w:rsidR="00772590" w:rsidRPr="0001674D" w:rsidRDefault="00772590" w:rsidP="008F20AC">
      <w:pPr>
        <w:pStyle w:val="ListParagraph"/>
        <w:numPr>
          <w:ilvl w:val="0"/>
          <w:numId w:val="27"/>
        </w:numPr>
        <w:rPr>
          <w:rFonts w:cs="Times New Roman"/>
          <w:szCs w:val="24"/>
        </w:rPr>
      </w:pPr>
      <w:r w:rsidRPr="0001674D">
        <w:rPr>
          <w:rFonts w:cs="Times New Roman"/>
          <w:szCs w:val="24"/>
        </w:rPr>
        <w:t xml:space="preserve">the social welfare power (section 51(xxiiiA)); </w:t>
      </w:r>
    </w:p>
    <w:p w:rsidR="00772590" w:rsidRPr="0001674D" w:rsidRDefault="00772590" w:rsidP="008F20AC">
      <w:pPr>
        <w:pStyle w:val="ListParagraph"/>
        <w:numPr>
          <w:ilvl w:val="0"/>
          <w:numId w:val="27"/>
        </w:numPr>
        <w:rPr>
          <w:rFonts w:cs="Times New Roman"/>
          <w:szCs w:val="24"/>
        </w:rPr>
      </w:pPr>
      <w:r w:rsidRPr="0001674D">
        <w:rPr>
          <w:rFonts w:cs="Times New Roman"/>
          <w:szCs w:val="24"/>
        </w:rPr>
        <w:t>the census and statistics power (section 51(xi));</w:t>
      </w:r>
    </w:p>
    <w:p w:rsidR="00772590" w:rsidRPr="0001674D" w:rsidRDefault="00772590" w:rsidP="008F20AC">
      <w:pPr>
        <w:pStyle w:val="ListParagraph"/>
        <w:numPr>
          <w:ilvl w:val="0"/>
          <w:numId w:val="27"/>
        </w:numPr>
        <w:rPr>
          <w:rFonts w:cs="Times New Roman"/>
          <w:szCs w:val="24"/>
        </w:rPr>
      </w:pPr>
      <w:r w:rsidRPr="0001674D">
        <w:rPr>
          <w:rFonts w:cs="Times New Roman"/>
          <w:szCs w:val="24"/>
        </w:rPr>
        <w:t>the communications power (section 51(v));</w:t>
      </w:r>
      <w:r w:rsidR="00FC3F53">
        <w:rPr>
          <w:rFonts w:cs="Times New Roman"/>
          <w:szCs w:val="24"/>
        </w:rPr>
        <w:t xml:space="preserve"> and</w:t>
      </w:r>
    </w:p>
    <w:p w:rsidR="00772590" w:rsidRPr="0001674D" w:rsidRDefault="00772590" w:rsidP="008F20AC">
      <w:pPr>
        <w:pStyle w:val="ListParagraph"/>
        <w:numPr>
          <w:ilvl w:val="0"/>
          <w:numId w:val="27"/>
        </w:numPr>
        <w:rPr>
          <w:rFonts w:cs="Times New Roman"/>
          <w:szCs w:val="24"/>
        </w:rPr>
      </w:pPr>
      <w:r w:rsidRPr="0001674D">
        <w:rPr>
          <w:rFonts w:cs="Times New Roman"/>
          <w:szCs w:val="24"/>
        </w:rPr>
        <w:t>the external affairs power (section 51(xxix)).</w:t>
      </w:r>
    </w:p>
    <w:p w:rsidR="00772590" w:rsidRPr="0001674D" w:rsidRDefault="00772590" w:rsidP="00E669A7">
      <w:pPr>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New </w:t>
      </w:r>
      <w:r w:rsidRPr="0001674D">
        <w:rPr>
          <w:rFonts w:ascii="Times New Roman" w:hAnsi="Times New Roman"/>
          <w:b/>
          <w:sz w:val="24"/>
          <w:szCs w:val="24"/>
        </w:rPr>
        <w:t xml:space="preserve">table item 102 </w:t>
      </w:r>
      <w:r w:rsidRPr="0001674D">
        <w:rPr>
          <w:rFonts w:ascii="Times New Roman" w:hAnsi="Times New Roman"/>
          <w:sz w:val="24"/>
          <w:szCs w:val="24"/>
        </w:rPr>
        <w:t>establishes legislative authority for the Government to fund measures to improve organ and tissue donation rates and access to organ and tissue transplantation support.</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The Government has allocated $10.2 million over two years from 2015-16 to support an increase in the rates of organ donation and access to life-saving transplants for those who need them.  Details of the measure, </w:t>
      </w:r>
      <w:r w:rsidRPr="0001674D">
        <w:rPr>
          <w:rFonts w:ascii="Times New Roman" w:hAnsi="Times New Roman"/>
          <w:i/>
          <w:sz w:val="24"/>
          <w:szCs w:val="24"/>
        </w:rPr>
        <w:t>Accelerating Growth in Organ and Tissue Donation for Transplantation</w:t>
      </w:r>
      <w:r w:rsidRPr="0001674D">
        <w:rPr>
          <w:rFonts w:ascii="Times New Roman" w:hAnsi="Times New Roman"/>
          <w:sz w:val="24"/>
          <w:szCs w:val="24"/>
        </w:rPr>
        <w:t xml:space="preserve">, are set out in </w:t>
      </w:r>
      <w:r w:rsidRPr="0001674D">
        <w:rPr>
          <w:rFonts w:ascii="Times New Roman" w:hAnsi="Times New Roman"/>
          <w:i/>
          <w:sz w:val="24"/>
          <w:szCs w:val="24"/>
        </w:rPr>
        <w:t>Budget Measures</w:t>
      </w:r>
      <w:r w:rsidR="00FC3F53">
        <w:rPr>
          <w:rFonts w:ascii="Times New Roman" w:hAnsi="Times New Roman"/>
          <w:i/>
          <w:sz w:val="24"/>
          <w:szCs w:val="24"/>
        </w:rPr>
        <w:t>,</w:t>
      </w:r>
      <w:r w:rsidRPr="0001674D">
        <w:rPr>
          <w:rFonts w:ascii="Times New Roman" w:hAnsi="Times New Roman"/>
          <w:i/>
          <w:sz w:val="24"/>
          <w:szCs w:val="24"/>
        </w:rPr>
        <w:t xml:space="preserve"> Budget Paper No. 2 2015-16</w:t>
      </w:r>
      <w:r w:rsidRPr="0001674D">
        <w:rPr>
          <w:rFonts w:ascii="Times New Roman" w:hAnsi="Times New Roman"/>
          <w:sz w:val="24"/>
          <w:szCs w:val="24"/>
        </w:rPr>
        <w:t xml:space="preserve"> at page 99.  </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color w:val="000000" w:themeColor="text1"/>
          <w:sz w:val="24"/>
          <w:szCs w:val="24"/>
        </w:rPr>
      </w:pPr>
      <w:r w:rsidRPr="0001674D">
        <w:rPr>
          <w:rFonts w:ascii="Times New Roman" w:hAnsi="Times New Roman"/>
          <w:sz w:val="24"/>
          <w:szCs w:val="24"/>
        </w:rPr>
        <w:t xml:space="preserve">The new Organ and Tissue Donation for Transplantation Programme will </w:t>
      </w:r>
      <w:r w:rsidRPr="0001674D">
        <w:rPr>
          <w:rFonts w:ascii="Times New Roman" w:hAnsi="Times New Roman"/>
          <w:color w:val="000000" w:themeColor="text1"/>
          <w:sz w:val="24"/>
          <w:szCs w:val="24"/>
        </w:rPr>
        <w:t>build on the previous National Reform Programme through an efficient investment in systems and education to address clinical barriers to continuing growth in organ and tissue donation for transplantation, improve consent rates on the Australian Organ Donation Register, and provide financial assistance to employers who provide additional leave to donor employees.</w:t>
      </w:r>
    </w:p>
    <w:p w:rsidR="00772590" w:rsidRPr="0001674D" w:rsidRDefault="00772590" w:rsidP="00E669A7">
      <w:pPr>
        <w:spacing w:after="120"/>
        <w:contextualSpacing/>
        <w:rPr>
          <w:rFonts w:ascii="Times New Roman" w:hAnsi="Times New Roman"/>
          <w:color w:val="000000" w:themeColor="text1"/>
          <w:sz w:val="24"/>
          <w:szCs w:val="24"/>
        </w:rPr>
      </w:pPr>
    </w:p>
    <w:p w:rsidR="00772590" w:rsidRPr="0001674D" w:rsidRDefault="00772590" w:rsidP="00E669A7">
      <w:pPr>
        <w:spacing w:after="120"/>
        <w:contextualSpacing/>
        <w:rPr>
          <w:rFonts w:ascii="Times New Roman" w:hAnsi="Times New Roman"/>
          <w:color w:val="000000" w:themeColor="text1"/>
          <w:sz w:val="24"/>
          <w:szCs w:val="24"/>
        </w:rPr>
      </w:pPr>
      <w:r w:rsidRPr="0001674D">
        <w:rPr>
          <w:rFonts w:ascii="Times New Roman" w:hAnsi="Times New Roman"/>
          <w:color w:val="000000" w:themeColor="text1"/>
          <w:sz w:val="24"/>
          <w:szCs w:val="24"/>
        </w:rPr>
        <w:t xml:space="preserve">The </w:t>
      </w:r>
      <w:r w:rsidRPr="0001674D">
        <w:rPr>
          <w:rFonts w:ascii="Times New Roman" w:hAnsi="Times New Roman"/>
          <w:sz w:val="24"/>
          <w:szCs w:val="24"/>
        </w:rPr>
        <w:t>P</w:t>
      </w:r>
      <w:r w:rsidRPr="0001674D">
        <w:rPr>
          <w:rFonts w:ascii="Times New Roman" w:hAnsi="Times New Roman"/>
          <w:color w:val="000000" w:themeColor="text1"/>
          <w:sz w:val="24"/>
          <w:szCs w:val="24"/>
        </w:rPr>
        <w:t xml:space="preserve">rogramme consists of four elements that will contribute to continued growth in organ and tissue donation and transplantation rates through a number of activities. </w:t>
      </w:r>
    </w:p>
    <w:p w:rsidR="00772590" w:rsidRPr="0001674D" w:rsidRDefault="00772590" w:rsidP="00E669A7">
      <w:pPr>
        <w:spacing w:after="120"/>
        <w:contextualSpacing/>
        <w:rPr>
          <w:rFonts w:ascii="Times New Roman" w:hAnsi="Times New Roman"/>
          <w:color w:val="000000" w:themeColor="text1"/>
          <w:sz w:val="24"/>
          <w:szCs w:val="24"/>
        </w:rPr>
      </w:pPr>
    </w:p>
    <w:p w:rsidR="00772590" w:rsidRPr="0001674D" w:rsidRDefault="00772590" w:rsidP="00E669A7">
      <w:pPr>
        <w:spacing w:after="120"/>
        <w:contextualSpacing/>
        <w:rPr>
          <w:rFonts w:ascii="Times New Roman" w:hAnsi="Times New Roman"/>
          <w:color w:val="000000" w:themeColor="text1"/>
          <w:sz w:val="24"/>
          <w:szCs w:val="24"/>
        </w:rPr>
      </w:pPr>
      <w:r w:rsidRPr="0001674D">
        <w:rPr>
          <w:rFonts w:ascii="Times New Roman" w:hAnsi="Times New Roman"/>
          <w:color w:val="000000" w:themeColor="text1"/>
          <w:sz w:val="24"/>
          <w:szCs w:val="24"/>
        </w:rPr>
        <w:t xml:space="preserve">The current outdated organ matching system will be replaced by the Australian Organ Matching System which will allow improved matching of donor organs to transplant recipients.  This will support equity of access and better clinical outcomes for all transplant recipients in Australia. </w:t>
      </w:r>
    </w:p>
    <w:p w:rsidR="00772590" w:rsidRPr="0001674D" w:rsidRDefault="00772590" w:rsidP="00E669A7">
      <w:pPr>
        <w:spacing w:after="120"/>
        <w:contextualSpacing/>
        <w:rPr>
          <w:rFonts w:ascii="Times New Roman" w:hAnsi="Times New Roman"/>
          <w:color w:val="000000" w:themeColor="text1"/>
          <w:sz w:val="24"/>
          <w:szCs w:val="24"/>
        </w:rPr>
      </w:pPr>
    </w:p>
    <w:p w:rsidR="00772590" w:rsidRPr="0001674D" w:rsidRDefault="00772590" w:rsidP="00E669A7">
      <w:pPr>
        <w:spacing w:after="120"/>
        <w:contextualSpacing/>
        <w:rPr>
          <w:rFonts w:ascii="Times New Roman" w:hAnsi="Times New Roman"/>
          <w:color w:val="000000" w:themeColor="text1"/>
          <w:sz w:val="24"/>
          <w:szCs w:val="24"/>
        </w:rPr>
      </w:pPr>
      <w:r w:rsidRPr="0001674D">
        <w:rPr>
          <w:rFonts w:ascii="Times New Roman" w:hAnsi="Times New Roman"/>
          <w:color w:val="000000" w:themeColor="text1"/>
          <w:sz w:val="24"/>
          <w:szCs w:val="24"/>
        </w:rPr>
        <w:t xml:space="preserve">Support for the current Clinical Governance Framework and Clinical Practice Improvement Program will be enhanced through implementation of a Targeted Hospital Improvement Programme (THIP).  This training and education package will </w:t>
      </w:r>
      <w:r w:rsidRPr="0001674D">
        <w:rPr>
          <w:rFonts w:ascii="Times New Roman" w:hAnsi="Times New Roman"/>
          <w:sz w:val="24"/>
          <w:szCs w:val="24"/>
        </w:rPr>
        <w:t>facilitate the wider adoption of best practice approaches and sharing of expertise and professional education for the donation specialist staff in the 77 hospitals that are part of the DonateLife network to increase organ donation rates.</w:t>
      </w:r>
      <w:r w:rsidRPr="0001674D">
        <w:rPr>
          <w:rFonts w:ascii="Times New Roman" w:hAnsi="Times New Roman"/>
          <w:color w:val="000000" w:themeColor="text1"/>
          <w:sz w:val="24"/>
          <w:szCs w:val="24"/>
        </w:rPr>
        <w:t xml:space="preserve">  </w:t>
      </w:r>
    </w:p>
    <w:p w:rsidR="00772590" w:rsidRPr="0001674D" w:rsidRDefault="00772590" w:rsidP="00E669A7">
      <w:pPr>
        <w:spacing w:after="120"/>
        <w:contextualSpacing/>
        <w:rPr>
          <w:rFonts w:ascii="Times New Roman" w:hAnsi="Times New Roman"/>
          <w:color w:val="000000" w:themeColor="text1"/>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Donor consent will be streamlined through simpler online enrolment on the Australian Organ Donation Register.  This will increase the number of legal consent registrations on the Australian Organ Donor Register and, in turn, improve the prospect that families will agree that donation should proceed. </w:t>
      </w:r>
    </w:p>
    <w:p w:rsidR="00772590" w:rsidRPr="0001674D" w:rsidRDefault="00772590" w:rsidP="00E669A7">
      <w:pPr>
        <w:spacing w:after="120"/>
        <w:contextualSpacing/>
        <w:rPr>
          <w:rFonts w:ascii="Times New Roman" w:hAnsi="Times New Roman"/>
          <w:color w:val="000000" w:themeColor="text1"/>
          <w:sz w:val="24"/>
          <w:szCs w:val="24"/>
        </w:rPr>
      </w:pPr>
    </w:p>
    <w:p w:rsidR="00772590" w:rsidRPr="0001674D" w:rsidRDefault="00772590" w:rsidP="00E669A7">
      <w:pPr>
        <w:spacing w:after="120"/>
        <w:contextualSpacing/>
        <w:rPr>
          <w:rFonts w:ascii="Times New Roman" w:hAnsi="Times New Roman"/>
          <w:color w:val="000000" w:themeColor="text1"/>
          <w:sz w:val="24"/>
          <w:szCs w:val="24"/>
        </w:rPr>
      </w:pPr>
      <w:r w:rsidRPr="0001674D">
        <w:rPr>
          <w:rFonts w:ascii="Times New Roman" w:hAnsi="Times New Roman"/>
          <w:color w:val="000000" w:themeColor="text1"/>
          <w:sz w:val="24"/>
          <w:szCs w:val="24"/>
        </w:rPr>
        <w:t>Further funding will be provided to the Supporting Leave for Living Organ Donors Programme for two years from 1 July 2015.  The programme, which aims to relieve some of the financial stress that may be experienced by employed living donors, reimburses employers for leave an employee needs to take to donate an organ.  Originally funded as a two year pilot until June 2015, reimbursements will be extended from the current six weeks leave up to nine weeks of leave at the national minimum wage.</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All expenditure will be made in accordance with the </w:t>
      </w:r>
      <w:r w:rsidRPr="0001674D">
        <w:rPr>
          <w:rFonts w:ascii="Times New Roman" w:hAnsi="Times New Roman"/>
          <w:i/>
          <w:iCs/>
          <w:sz w:val="24"/>
          <w:szCs w:val="24"/>
        </w:rPr>
        <w:t xml:space="preserve">Public Governance, Performance and Accountability Act </w:t>
      </w:r>
      <w:r w:rsidRPr="0001674D">
        <w:rPr>
          <w:rFonts w:ascii="Times New Roman" w:hAnsi="Times New Roman"/>
          <w:i/>
          <w:sz w:val="24"/>
          <w:szCs w:val="24"/>
        </w:rPr>
        <w:t>2013</w:t>
      </w:r>
      <w:r w:rsidRPr="0001674D">
        <w:rPr>
          <w:rFonts w:ascii="Times New Roman" w:hAnsi="Times New Roman"/>
          <w:sz w:val="24"/>
          <w:szCs w:val="24"/>
        </w:rPr>
        <w:t xml:space="preserve"> and the </w:t>
      </w:r>
      <w:r w:rsidRPr="0001674D">
        <w:rPr>
          <w:rFonts w:ascii="Times New Roman" w:hAnsi="Times New Roman"/>
          <w:i/>
          <w:sz w:val="24"/>
          <w:szCs w:val="24"/>
        </w:rPr>
        <w:t>Commonwealth Grants Rules and Guidelines</w:t>
      </w:r>
      <w:r w:rsidRPr="0001674D">
        <w:rPr>
          <w:rFonts w:ascii="Times New Roman" w:hAnsi="Times New Roman"/>
          <w:sz w:val="24"/>
          <w:szCs w:val="24"/>
        </w:rPr>
        <w:t>.</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The Australian Organ and Tissue Donation and Transplantation Authority will administer the first two activities.  Funding for the organ matching system will be provided to an appropriate supplier to manage, build, develop and host the new system, selected in accordance with the Government’s procurement and funding processes.</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Funding for the THIP will be used to procure forums that coordinate and facilitate wider adoption of best practice approaches and sharing of expertise and professional education for the donation specialist staff in the 77 hospitals that are part of the DonateLife network.  Education will focus on improving clinical practice in the identification and management of potential organ and tissue donors.  THIP jurisdictional and cross</w:t>
      </w:r>
      <w:r w:rsidR="00170111">
        <w:rPr>
          <w:rFonts w:ascii="Times New Roman" w:hAnsi="Times New Roman"/>
          <w:sz w:val="24"/>
          <w:szCs w:val="24"/>
        </w:rPr>
        <w:t>-</w:t>
      </w:r>
      <w:r w:rsidRPr="0001674D">
        <w:rPr>
          <w:rFonts w:ascii="Times New Roman" w:hAnsi="Times New Roman"/>
          <w:sz w:val="24"/>
          <w:szCs w:val="24"/>
        </w:rPr>
        <w:t xml:space="preserve">jurisdictional workshops will facilitate sharing of best practice across hospitals and jurisdictions and the delivery of Introductory Donation Awareness Training to provide dedicated/specialist training to hospital teams and e-learning options, and training on clinical triggers and donor identification practices.  Any procurement will be completed in accordance with the </w:t>
      </w:r>
      <w:r w:rsidRPr="0001674D">
        <w:rPr>
          <w:rFonts w:ascii="Times New Roman" w:hAnsi="Times New Roman"/>
          <w:i/>
          <w:sz w:val="24"/>
          <w:szCs w:val="24"/>
        </w:rPr>
        <w:t>Commonwealth Procurement Rules</w:t>
      </w:r>
      <w:r w:rsidRPr="0001674D">
        <w:rPr>
          <w:rFonts w:ascii="Times New Roman" w:hAnsi="Times New Roman"/>
          <w:sz w:val="24"/>
          <w:szCs w:val="24"/>
        </w:rPr>
        <w:t xml:space="preserve">. </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The Department of Human Services is directly appropriated to administer the Australian Organ Donation Register (on behalf of the Department of Health) and has received funding through the 2015-16 Budget to modify the existing system to enable a simplified enrolment process.  </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The Australian Organ and Tissue Donation and Transplantation Authority has also been given additional funding to develop communication activities around the changes to the enrolment process on the Australian Organ Donation Register as part of a number of integrated strategies to increase consent rates to organ donation.</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The Department of Health will administer </w:t>
      </w:r>
      <w:r w:rsidRPr="0001674D">
        <w:rPr>
          <w:rFonts w:ascii="Times New Roman" w:hAnsi="Times New Roman"/>
          <w:color w:val="000000" w:themeColor="text1"/>
          <w:sz w:val="24"/>
          <w:szCs w:val="24"/>
        </w:rPr>
        <w:t>the Supporting Leave for Living Organ Donors Programme</w:t>
      </w:r>
      <w:r w:rsidRPr="0001674D">
        <w:rPr>
          <w:rFonts w:ascii="Times New Roman" w:hAnsi="Times New Roman"/>
          <w:sz w:val="24"/>
          <w:szCs w:val="24"/>
        </w:rPr>
        <w:t>.  Payments may be made to eligible employers for employed donors (who have met the eligibility requirements) between 1 July 2015 and 30 June 2017.  Decisions relating to reimbursement for leave paid by an employer to an employed donor for the purpose of donating an organ will be made according to approved guidelines by officers with the appropriate delegations in the Department of Health.  The guidelines will be available on the Department of Health’s website (http://www.health.gov.au).</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The Supporting Leave for Living Organ Donors Guidelines will set out a process of internal merits review available in cases where a decision about payment, including eligibility or the amount paid, is challenged by the donor or the employer.  This will include the option of referring the matter to the Commonwealth Ombudsman.  </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spacing w:after="120"/>
        <w:contextualSpacing/>
        <w:rPr>
          <w:rFonts w:ascii="Times New Roman" w:hAnsi="Times New Roman"/>
          <w:sz w:val="24"/>
          <w:szCs w:val="24"/>
        </w:rPr>
      </w:pPr>
      <w:r w:rsidRPr="0001674D">
        <w:rPr>
          <w:rFonts w:ascii="Times New Roman" w:hAnsi="Times New Roman"/>
          <w:sz w:val="24"/>
          <w:szCs w:val="24"/>
        </w:rPr>
        <w:t xml:space="preserve">Funding for the Organ and Tissue Donation for Transplantation Programme will come from Programme 7.6: Blood and Organ Donation, which is part of Outcome 7: Health Infrastructure, Regulation, Safety and Quality.  Details are set out in the </w:t>
      </w:r>
      <w:r w:rsidRPr="0001674D">
        <w:rPr>
          <w:rFonts w:ascii="Times New Roman" w:hAnsi="Times New Roman"/>
          <w:i/>
          <w:sz w:val="24"/>
          <w:szCs w:val="24"/>
        </w:rPr>
        <w:t>Portfolio Budget Statements 2015-16, Budget Related Paper No. 1.10</w:t>
      </w:r>
      <w:r w:rsidRPr="0001674D">
        <w:rPr>
          <w:rFonts w:ascii="Times New Roman" w:hAnsi="Times New Roman"/>
          <w:sz w:val="24"/>
          <w:szCs w:val="24"/>
        </w:rPr>
        <w:t xml:space="preserve">, </w:t>
      </w:r>
      <w:r w:rsidRPr="0001674D">
        <w:rPr>
          <w:rFonts w:ascii="Times New Roman" w:hAnsi="Times New Roman"/>
          <w:i/>
          <w:sz w:val="24"/>
          <w:szCs w:val="24"/>
        </w:rPr>
        <w:t>Health Portfolio</w:t>
      </w:r>
      <w:r w:rsidRPr="0001674D">
        <w:rPr>
          <w:rFonts w:ascii="Times New Roman" w:hAnsi="Times New Roman"/>
          <w:sz w:val="24"/>
          <w:szCs w:val="24"/>
        </w:rPr>
        <w:t xml:space="preserve"> at pages 30 and 128 to 129. </w:t>
      </w:r>
    </w:p>
    <w:p w:rsidR="00772590" w:rsidRPr="0001674D" w:rsidRDefault="00772590" w:rsidP="00E669A7">
      <w:pPr>
        <w:spacing w:after="120"/>
        <w:contextualSpacing/>
        <w:rPr>
          <w:rFonts w:ascii="Times New Roman" w:hAnsi="Times New Roman"/>
          <w:sz w:val="24"/>
          <w:szCs w:val="24"/>
        </w:rPr>
      </w:pPr>
    </w:p>
    <w:p w:rsidR="00772590" w:rsidRPr="0001674D" w:rsidRDefault="00772590" w:rsidP="00E669A7">
      <w:pPr>
        <w:contextualSpacing/>
        <w:rPr>
          <w:rFonts w:ascii="Times New Roman" w:hAnsi="Times New Roman"/>
          <w:sz w:val="24"/>
          <w:szCs w:val="24"/>
        </w:rPr>
      </w:pPr>
      <w:r w:rsidRPr="0001674D">
        <w:rPr>
          <w:rFonts w:ascii="Times New Roman" w:hAnsi="Times New Roman"/>
          <w:sz w:val="24"/>
          <w:szCs w:val="24"/>
        </w:rPr>
        <w:t>Noting that it is not a comprehensive statement of relevant constitutional considerations, the objective of the item references the following powers of the Constitution:</w:t>
      </w:r>
      <w:r w:rsidRPr="0001674D">
        <w:rPr>
          <w:rFonts w:ascii="Times New Roman" w:hAnsi="Times New Roman"/>
          <w:color w:val="FF0000"/>
          <w:sz w:val="24"/>
          <w:szCs w:val="24"/>
        </w:rPr>
        <w:t xml:space="preserve"> </w:t>
      </w:r>
    </w:p>
    <w:p w:rsidR="00772590" w:rsidRPr="0001674D" w:rsidRDefault="00772590" w:rsidP="00E669A7">
      <w:pPr>
        <w:pStyle w:val="ListParagraph"/>
        <w:numPr>
          <w:ilvl w:val="0"/>
          <w:numId w:val="19"/>
        </w:numPr>
        <w:rPr>
          <w:rFonts w:cs="Times New Roman"/>
          <w:szCs w:val="24"/>
        </w:rPr>
      </w:pPr>
      <w:r w:rsidRPr="0001674D">
        <w:rPr>
          <w:rFonts w:cs="Times New Roman"/>
          <w:szCs w:val="24"/>
        </w:rPr>
        <w:t xml:space="preserve">the social welfare power (section 51(xxiiiA));  </w:t>
      </w:r>
    </w:p>
    <w:p w:rsidR="00772590" w:rsidRPr="0001674D" w:rsidRDefault="00772590" w:rsidP="00E669A7">
      <w:pPr>
        <w:pStyle w:val="ListParagraph"/>
        <w:numPr>
          <w:ilvl w:val="0"/>
          <w:numId w:val="19"/>
        </w:numPr>
        <w:rPr>
          <w:rFonts w:cs="Times New Roman"/>
          <w:szCs w:val="24"/>
        </w:rPr>
      </w:pPr>
      <w:r w:rsidRPr="0001674D">
        <w:rPr>
          <w:rFonts w:cs="Times New Roman"/>
          <w:szCs w:val="24"/>
        </w:rPr>
        <w:t>the communications power (section 51(v)); and</w:t>
      </w:r>
    </w:p>
    <w:p w:rsidR="00772590" w:rsidRPr="0001674D" w:rsidRDefault="00772590" w:rsidP="00E669A7">
      <w:pPr>
        <w:pStyle w:val="ListParagraph"/>
        <w:numPr>
          <w:ilvl w:val="0"/>
          <w:numId w:val="19"/>
        </w:numPr>
        <w:rPr>
          <w:rFonts w:cs="Times New Roman"/>
          <w:szCs w:val="24"/>
        </w:rPr>
      </w:pPr>
      <w:r w:rsidRPr="0001674D">
        <w:rPr>
          <w:rFonts w:cs="Times New Roman"/>
          <w:szCs w:val="24"/>
        </w:rPr>
        <w:t>the external affairs power (section 51(xxix)).</w:t>
      </w:r>
    </w:p>
    <w:p w:rsidR="00772590" w:rsidRPr="0001674D" w:rsidRDefault="00772590" w:rsidP="00E669A7">
      <w:pPr>
        <w:contextualSpacing/>
        <w:rPr>
          <w:rFonts w:ascii="Times New Roman" w:hAnsi="Times New Roman"/>
          <w:sz w:val="24"/>
          <w:szCs w:val="24"/>
        </w:rPr>
      </w:pPr>
    </w:p>
    <w:p w:rsidR="0001674D" w:rsidRPr="0001674D" w:rsidRDefault="00772590" w:rsidP="00E669A7">
      <w:pPr>
        <w:contextualSpacing/>
        <w:rPr>
          <w:rFonts w:ascii="Times New Roman" w:hAnsi="Times New Roman"/>
          <w:sz w:val="24"/>
          <w:szCs w:val="24"/>
        </w:rPr>
      </w:pPr>
      <w:r w:rsidRPr="0001674D">
        <w:rPr>
          <w:rFonts w:ascii="Times New Roman" w:hAnsi="Times New Roman"/>
          <w:sz w:val="24"/>
          <w:szCs w:val="24"/>
        </w:rPr>
        <w:t xml:space="preserve">New </w:t>
      </w:r>
      <w:r w:rsidRPr="0001674D">
        <w:rPr>
          <w:rFonts w:ascii="Times New Roman" w:hAnsi="Times New Roman"/>
          <w:b/>
          <w:sz w:val="24"/>
          <w:szCs w:val="24"/>
        </w:rPr>
        <w:t>table item 103</w:t>
      </w:r>
      <w:r w:rsidR="0001674D" w:rsidRPr="0001674D">
        <w:rPr>
          <w:rFonts w:ascii="Times New Roman" w:hAnsi="Times New Roman"/>
          <w:b/>
          <w:sz w:val="24"/>
          <w:szCs w:val="24"/>
        </w:rPr>
        <w:t xml:space="preserve"> </w:t>
      </w:r>
      <w:r w:rsidR="0001674D" w:rsidRPr="0001674D">
        <w:rPr>
          <w:rFonts w:ascii="Times New Roman" w:hAnsi="Times New Roman"/>
          <w:sz w:val="24"/>
          <w:szCs w:val="24"/>
        </w:rPr>
        <w:t xml:space="preserve">establishes legislative authority for government spending on professional pharmacy programmes and services as set out under the Sixth Community Pharmacy Agreement (the Agreement).  The item will be administered by the Department of Health. </w:t>
      </w:r>
    </w:p>
    <w:p w:rsidR="0001674D" w:rsidRPr="0001674D" w:rsidRDefault="0001674D" w:rsidP="00E669A7">
      <w:pPr>
        <w:spacing w:after="120"/>
        <w:contextualSpacing/>
        <w:rPr>
          <w:rFonts w:ascii="Times New Roman" w:hAnsi="Times New Roman"/>
          <w:sz w:val="24"/>
          <w:szCs w:val="24"/>
        </w:rPr>
      </w:pPr>
    </w:p>
    <w:p w:rsidR="0001674D" w:rsidRPr="0001674D" w:rsidRDefault="0001674D" w:rsidP="00E669A7">
      <w:pPr>
        <w:spacing w:after="120"/>
        <w:contextualSpacing/>
        <w:rPr>
          <w:rFonts w:ascii="Times New Roman" w:hAnsi="Times New Roman"/>
          <w:sz w:val="24"/>
          <w:szCs w:val="24"/>
        </w:rPr>
      </w:pPr>
      <w:r w:rsidRPr="0001674D">
        <w:rPr>
          <w:rFonts w:ascii="Times New Roman" w:hAnsi="Times New Roman"/>
          <w:sz w:val="24"/>
          <w:szCs w:val="24"/>
        </w:rPr>
        <w:t xml:space="preserve">The Government has allocated up to $1.26 billion over five years to the community pharmacy programmes and services, commencing from 1 July 2015.  </w:t>
      </w:r>
    </w:p>
    <w:p w:rsidR="0001674D" w:rsidRPr="0001674D" w:rsidRDefault="0001674D" w:rsidP="00E669A7">
      <w:pPr>
        <w:spacing w:after="120"/>
        <w:contextualSpacing/>
        <w:rPr>
          <w:rFonts w:ascii="Times New Roman" w:hAnsi="Times New Roman"/>
          <w:sz w:val="24"/>
          <w:szCs w:val="24"/>
        </w:rPr>
      </w:pPr>
    </w:p>
    <w:p w:rsidR="0001674D" w:rsidRPr="0001674D" w:rsidRDefault="0001674D" w:rsidP="00E669A7">
      <w:pPr>
        <w:contextualSpacing/>
        <w:rPr>
          <w:rFonts w:ascii="Times New Roman" w:hAnsi="Times New Roman"/>
          <w:sz w:val="24"/>
          <w:szCs w:val="24"/>
        </w:rPr>
      </w:pPr>
      <w:r w:rsidRPr="0001674D">
        <w:rPr>
          <w:rFonts w:ascii="Times New Roman" w:hAnsi="Times New Roman"/>
          <w:sz w:val="24"/>
          <w:szCs w:val="24"/>
        </w:rPr>
        <w:t>Funding will be provided for:</w:t>
      </w:r>
    </w:p>
    <w:p w:rsidR="0001674D" w:rsidRPr="0001674D" w:rsidRDefault="0001674D" w:rsidP="00AE031A">
      <w:pPr>
        <w:pStyle w:val="CABNETParagraphAtt"/>
        <w:numPr>
          <w:ilvl w:val="0"/>
          <w:numId w:val="22"/>
        </w:numPr>
        <w:spacing w:before="0" w:after="0"/>
        <w:contextualSpacing/>
        <w:rPr>
          <w:rFonts w:ascii="Times New Roman" w:hAnsi="Times New Roman"/>
          <w:sz w:val="24"/>
        </w:rPr>
      </w:pPr>
      <w:r w:rsidRPr="0001674D">
        <w:rPr>
          <w:rFonts w:ascii="Times New Roman" w:hAnsi="Times New Roman"/>
          <w:sz w:val="24"/>
        </w:rPr>
        <w:t>services delivered by pharmacists and pharmacies, for example, home visits;</w:t>
      </w:r>
    </w:p>
    <w:p w:rsidR="0001674D" w:rsidRPr="0001674D" w:rsidRDefault="0001674D" w:rsidP="00AE031A">
      <w:pPr>
        <w:pStyle w:val="CABNETParagraphAtt"/>
        <w:numPr>
          <w:ilvl w:val="0"/>
          <w:numId w:val="22"/>
        </w:numPr>
        <w:spacing w:before="0" w:after="0"/>
        <w:contextualSpacing/>
        <w:rPr>
          <w:rFonts w:ascii="Times New Roman" w:hAnsi="Times New Roman"/>
          <w:sz w:val="24"/>
        </w:rPr>
      </w:pPr>
      <w:r w:rsidRPr="0001674D">
        <w:rPr>
          <w:rFonts w:ascii="Times New Roman" w:hAnsi="Times New Roman"/>
          <w:sz w:val="24"/>
        </w:rPr>
        <w:t>allowances provided to pharmacies to support defined outcomes, for example, contributing to the opening costs of rural pharmacies;</w:t>
      </w:r>
    </w:p>
    <w:p w:rsidR="0001674D" w:rsidRPr="0001674D" w:rsidRDefault="0001674D" w:rsidP="00AE031A">
      <w:pPr>
        <w:pStyle w:val="CABNETParagraphAtt"/>
        <w:numPr>
          <w:ilvl w:val="0"/>
          <w:numId w:val="22"/>
        </w:numPr>
        <w:spacing w:before="0" w:after="0"/>
        <w:contextualSpacing/>
        <w:rPr>
          <w:rFonts w:ascii="Times New Roman" w:hAnsi="Times New Roman"/>
          <w:sz w:val="24"/>
        </w:rPr>
      </w:pPr>
      <w:r w:rsidRPr="0001674D">
        <w:rPr>
          <w:rFonts w:ascii="Times New Roman" w:hAnsi="Times New Roman"/>
          <w:sz w:val="24"/>
        </w:rPr>
        <w:t>defined programmes for pharmacists, for example, workforce programmes, scholarships and continuing education; and</w:t>
      </w:r>
    </w:p>
    <w:p w:rsidR="0001674D" w:rsidRPr="0001674D" w:rsidRDefault="0001674D" w:rsidP="00AE031A">
      <w:pPr>
        <w:pStyle w:val="CABNETParagraphAtt"/>
        <w:numPr>
          <w:ilvl w:val="0"/>
          <w:numId w:val="22"/>
        </w:numPr>
        <w:spacing w:before="0" w:after="0"/>
        <w:contextualSpacing/>
        <w:rPr>
          <w:rFonts w:ascii="Times New Roman" w:hAnsi="Times New Roman"/>
          <w:sz w:val="24"/>
        </w:rPr>
      </w:pPr>
      <w:r w:rsidRPr="0001674D">
        <w:rPr>
          <w:rFonts w:ascii="Times New Roman" w:hAnsi="Times New Roman"/>
          <w:sz w:val="24"/>
        </w:rPr>
        <w:t xml:space="preserve">other defined programmes, for example, programmes that focus on the quality use of medicines by Aboriginal and Torres Strait Islander people. </w:t>
      </w:r>
    </w:p>
    <w:p w:rsidR="0001674D" w:rsidRPr="0001674D" w:rsidRDefault="0001674D" w:rsidP="00E669A7">
      <w:pPr>
        <w:contextualSpacing/>
        <w:rPr>
          <w:rFonts w:ascii="Times New Roman" w:hAnsi="Times New Roman"/>
          <w:sz w:val="24"/>
          <w:szCs w:val="24"/>
        </w:rPr>
      </w:pPr>
    </w:p>
    <w:p w:rsidR="0001674D" w:rsidRPr="0001674D" w:rsidRDefault="0001674D" w:rsidP="00E669A7">
      <w:pPr>
        <w:contextualSpacing/>
        <w:rPr>
          <w:rFonts w:ascii="Times New Roman" w:hAnsi="Times New Roman"/>
          <w:sz w:val="24"/>
          <w:szCs w:val="24"/>
        </w:rPr>
      </w:pPr>
      <w:r w:rsidRPr="0001674D">
        <w:rPr>
          <w:rFonts w:ascii="Times New Roman" w:hAnsi="Times New Roman"/>
          <w:sz w:val="24"/>
          <w:szCs w:val="24"/>
        </w:rPr>
        <w:t>In 2015-16, a range of services and programmes will continue to be funded.  These include:</w:t>
      </w:r>
    </w:p>
    <w:p w:rsidR="0001674D" w:rsidRPr="0001674D" w:rsidRDefault="0001674D" w:rsidP="00AE031A">
      <w:pPr>
        <w:pStyle w:val="CABNETParagraphAtt"/>
        <w:numPr>
          <w:ilvl w:val="0"/>
          <w:numId w:val="22"/>
        </w:numPr>
        <w:spacing w:before="0" w:after="0"/>
        <w:contextualSpacing/>
        <w:rPr>
          <w:rFonts w:ascii="Times New Roman" w:hAnsi="Times New Roman"/>
          <w:sz w:val="24"/>
        </w:rPr>
      </w:pPr>
      <w:r w:rsidRPr="0001674D">
        <w:rPr>
          <w:rFonts w:ascii="Times New Roman" w:hAnsi="Times New Roman"/>
          <w:sz w:val="24"/>
        </w:rPr>
        <w:t>Medication Adherence Programmes, such as Dose Administration Aids and Staged Supply;</w:t>
      </w:r>
    </w:p>
    <w:p w:rsidR="0001674D" w:rsidRPr="0001674D" w:rsidRDefault="0001674D" w:rsidP="00AE031A">
      <w:pPr>
        <w:pStyle w:val="CABNETParagraphAtt"/>
        <w:numPr>
          <w:ilvl w:val="0"/>
          <w:numId w:val="22"/>
        </w:numPr>
        <w:spacing w:before="0" w:after="0"/>
        <w:contextualSpacing/>
        <w:rPr>
          <w:rFonts w:ascii="Times New Roman" w:hAnsi="Times New Roman"/>
          <w:sz w:val="24"/>
        </w:rPr>
      </w:pPr>
      <w:r w:rsidRPr="0001674D">
        <w:rPr>
          <w:rFonts w:ascii="Times New Roman" w:hAnsi="Times New Roman"/>
          <w:sz w:val="24"/>
        </w:rPr>
        <w:t>Medication Management Programmes, including Home Medicine Reviews, Residential Medication Management Reviews as well as in-pharmacy reviews (MedsCheck);</w:t>
      </w:r>
    </w:p>
    <w:p w:rsidR="0001674D" w:rsidRPr="0001674D" w:rsidRDefault="0001674D" w:rsidP="00AE031A">
      <w:pPr>
        <w:pStyle w:val="CABNETParagraphAtt"/>
        <w:numPr>
          <w:ilvl w:val="0"/>
          <w:numId w:val="22"/>
        </w:numPr>
        <w:spacing w:before="0" w:after="0"/>
        <w:contextualSpacing/>
        <w:rPr>
          <w:rFonts w:ascii="Times New Roman" w:hAnsi="Times New Roman"/>
          <w:sz w:val="24"/>
        </w:rPr>
      </w:pPr>
      <w:r w:rsidRPr="0001674D">
        <w:rPr>
          <w:rFonts w:ascii="Times New Roman" w:hAnsi="Times New Roman"/>
          <w:sz w:val="24"/>
        </w:rPr>
        <w:t>Aboriginal and Torres Strait Islander Programmes, such as QUMAX and ATSI Workforce support programmes;</w:t>
      </w:r>
    </w:p>
    <w:p w:rsidR="0001674D" w:rsidRPr="0001674D" w:rsidRDefault="0001674D" w:rsidP="00AE031A">
      <w:pPr>
        <w:pStyle w:val="CABNETParagraphAtt"/>
        <w:numPr>
          <w:ilvl w:val="0"/>
          <w:numId w:val="22"/>
        </w:numPr>
        <w:spacing w:before="0" w:after="0"/>
        <w:contextualSpacing/>
        <w:rPr>
          <w:rFonts w:ascii="Times New Roman" w:hAnsi="Times New Roman"/>
          <w:sz w:val="24"/>
        </w:rPr>
      </w:pPr>
      <w:r w:rsidRPr="0001674D">
        <w:rPr>
          <w:rFonts w:ascii="Times New Roman" w:hAnsi="Times New Roman"/>
          <w:sz w:val="24"/>
        </w:rPr>
        <w:t>Rural Support Programmes, including the Rural Pharmacy Maintenance Allowance and Rural Workforce support programmes; and</w:t>
      </w:r>
    </w:p>
    <w:p w:rsidR="0001674D" w:rsidRPr="0001674D" w:rsidRDefault="00170111" w:rsidP="00AE031A">
      <w:pPr>
        <w:pStyle w:val="CABNETParagraphAtt"/>
        <w:numPr>
          <w:ilvl w:val="0"/>
          <w:numId w:val="22"/>
        </w:numPr>
        <w:spacing w:before="0" w:after="0"/>
        <w:contextualSpacing/>
        <w:rPr>
          <w:rFonts w:ascii="Times New Roman" w:hAnsi="Times New Roman"/>
          <w:sz w:val="24"/>
        </w:rPr>
      </w:pPr>
      <w:r>
        <w:rPr>
          <w:rFonts w:ascii="Times New Roman" w:hAnsi="Times New Roman"/>
          <w:sz w:val="24"/>
        </w:rPr>
        <w:t>e</w:t>
      </w:r>
      <w:r w:rsidR="0001674D" w:rsidRPr="0001674D">
        <w:rPr>
          <w:rFonts w:ascii="Times New Roman" w:hAnsi="Times New Roman"/>
          <w:sz w:val="24"/>
        </w:rPr>
        <w:t>Health programmes, including the Electronic Prescription Fee.</w:t>
      </w:r>
    </w:p>
    <w:p w:rsidR="0001674D" w:rsidRPr="0001674D" w:rsidRDefault="0001674D" w:rsidP="00E669A7">
      <w:pPr>
        <w:contextualSpacing/>
        <w:rPr>
          <w:rFonts w:ascii="Times New Roman" w:hAnsi="Times New Roman"/>
          <w:sz w:val="24"/>
          <w:szCs w:val="24"/>
        </w:rPr>
      </w:pPr>
    </w:p>
    <w:p w:rsidR="0001674D" w:rsidRPr="0001674D" w:rsidRDefault="0001674D" w:rsidP="00E669A7">
      <w:pPr>
        <w:spacing w:after="120"/>
        <w:contextualSpacing/>
        <w:rPr>
          <w:rFonts w:ascii="Times New Roman" w:hAnsi="Times New Roman"/>
          <w:sz w:val="24"/>
          <w:szCs w:val="24"/>
        </w:rPr>
      </w:pPr>
      <w:r w:rsidRPr="0001674D">
        <w:rPr>
          <w:rFonts w:ascii="Times New Roman" w:hAnsi="Times New Roman"/>
          <w:sz w:val="24"/>
          <w:szCs w:val="24"/>
        </w:rPr>
        <w:t xml:space="preserve">In addition, funding will be used to support a comprehensive review of pharmacy remuneration and regulation (to be undertaken in the first two years of the Agreement), </w:t>
      </w:r>
      <w:r w:rsidR="002B3CF2">
        <w:rPr>
          <w:rFonts w:ascii="Times New Roman" w:hAnsi="Times New Roman"/>
          <w:sz w:val="24"/>
          <w:szCs w:val="24"/>
        </w:rPr>
        <w:br/>
      </w:r>
      <w:r w:rsidRPr="0001674D">
        <w:rPr>
          <w:rFonts w:ascii="Times New Roman" w:hAnsi="Times New Roman"/>
          <w:sz w:val="24"/>
          <w:szCs w:val="24"/>
        </w:rPr>
        <w:t>as well as funding to support programme administration and audit activities.</w:t>
      </w:r>
    </w:p>
    <w:p w:rsidR="0001674D" w:rsidRPr="0001674D" w:rsidRDefault="0001674D" w:rsidP="00E669A7">
      <w:pPr>
        <w:spacing w:after="120"/>
        <w:contextualSpacing/>
        <w:rPr>
          <w:rFonts w:ascii="Times New Roman" w:hAnsi="Times New Roman"/>
          <w:sz w:val="24"/>
          <w:szCs w:val="24"/>
        </w:rPr>
      </w:pPr>
    </w:p>
    <w:p w:rsidR="0001674D" w:rsidRPr="0001674D" w:rsidRDefault="0001674D" w:rsidP="00E669A7">
      <w:pPr>
        <w:spacing w:after="120"/>
        <w:contextualSpacing/>
        <w:rPr>
          <w:rFonts w:ascii="Times New Roman" w:hAnsi="Times New Roman"/>
          <w:sz w:val="24"/>
          <w:szCs w:val="24"/>
        </w:rPr>
      </w:pPr>
      <w:r w:rsidRPr="0001674D">
        <w:rPr>
          <w:rFonts w:ascii="Times New Roman" w:hAnsi="Times New Roman"/>
          <w:sz w:val="24"/>
          <w:szCs w:val="24"/>
        </w:rPr>
        <w:t>From 2015-16, a Pharmacy Trial Programme will also be implemented.  This programme will fund a number of trial programmes which seek to extend the role of pharmacies and pharmacists in delivering a wider range of primary healthcare services.  Trials that will be funded will be determined by the Minister for Health in consultation with the Pharmacy Guild of Australia and other stakeholders during the first year of the Agreement.</w:t>
      </w:r>
    </w:p>
    <w:p w:rsidR="0001674D" w:rsidRPr="0001674D" w:rsidRDefault="0001674D" w:rsidP="00E669A7">
      <w:pPr>
        <w:spacing w:after="120"/>
        <w:contextualSpacing/>
        <w:rPr>
          <w:rFonts w:ascii="Times New Roman" w:hAnsi="Times New Roman"/>
          <w:sz w:val="24"/>
          <w:szCs w:val="24"/>
        </w:rPr>
      </w:pPr>
    </w:p>
    <w:p w:rsidR="0001674D" w:rsidRPr="0001674D" w:rsidRDefault="0001674D" w:rsidP="00E669A7">
      <w:pPr>
        <w:spacing w:after="120"/>
        <w:contextualSpacing/>
        <w:rPr>
          <w:rFonts w:ascii="Times New Roman" w:hAnsi="Times New Roman"/>
          <w:sz w:val="24"/>
          <w:szCs w:val="24"/>
        </w:rPr>
      </w:pPr>
      <w:r w:rsidRPr="0001674D">
        <w:rPr>
          <w:rFonts w:ascii="Times New Roman" w:hAnsi="Times New Roman"/>
          <w:sz w:val="24"/>
          <w:szCs w:val="24"/>
        </w:rPr>
        <w:t>Further information on the above programmes is contained in the Sixth Community Pharmacy Agreement, available at http://www.pbs.gov.au/info/general/pbs-access-sustainability-package.</w:t>
      </w:r>
    </w:p>
    <w:p w:rsidR="0001674D" w:rsidRPr="0001674D" w:rsidRDefault="0001674D" w:rsidP="00E669A7">
      <w:pPr>
        <w:spacing w:after="120"/>
        <w:contextualSpacing/>
        <w:rPr>
          <w:rFonts w:ascii="Times New Roman" w:hAnsi="Times New Roman"/>
          <w:sz w:val="24"/>
          <w:szCs w:val="24"/>
        </w:rPr>
      </w:pPr>
    </w:p>
    <w:p w:rsidR="0001674D" w:rsidRPr="0001674D" w:rsidRDefault="0001674D" w:rsidP="00E669A7">
      <w:pPr>
        <w:contextualSpacing/>
        <w:rPr>
          <w:rFonts w:ascii="Times New Roman" w:hAnsi="Times New Roman"/>
          <w:sz w:val="24"/>
          <w:szCs w:val="24"/>
        </w:rPr>
      </w:pPr>
      <w:r w:rsidRPr="0001674D">
        <w:rPr>
          <w:rFonts w:ascii="Times New Roman" w:hAnsi="Times New Roman"/>
          <w:sz w:val="24"/>
          <w:szCs w:val="24"/>
        </w:rPr>
        <w:t xml:space="preserve">The Minister for Health, including delegates and authorised persons, will make funding decisions for these programmes and services.  Funding will be provided in various ways depending upon the particular programme or service, including through:  </w:t>
      </w:r>
    </w:p>
    <w:p w:rsidR="0001674D" w:rsidRPr="0001674D" w:rsidRDefault="0001674D" w:rsidP="008F20AC">
      <w:pPr>
        <w:pStyle w:val="ListParagraph"/>
        <w:numPr>
          <w:ilvl w:val="0"/>
          <w:numId w:val="28"/>
        </w:numPr>
        <w:rPr>
          <w:rFonts w:cs="Times New Roman"/>
          <w:szCs w:val="24"/>
        </w:rPr>
      </w:pPr>
      <w:r w:rsidRPr="0001674D">
        <w:rPr>
          <w:rFonts w:cs="Times New Roman"/>
          <w:szCs w:val="24"/>
        </w:rPr>
        <w:t>competitive selection processes;</w:t>
      </w:r>
    </w:p>
    <w:p w:rsidR="0001674D" w:rsidRPr="0001674D" w:rsidRDefault="0001674D" w:rsidP="008F20AC">
      <w:pPr>
        <w:pStyle w:val="ListParagraph"/>
        <w:numPr>
          <w:ilvl w:val="0"/>
          <w:numId w:val="28"/>
        </w:numPr>
        <w:rPr>
          <w:rFonts w:cs="Times New Roman"/>
          <w:szCs w:val="24"/>
        </w:rPr>
      </w:pPr>
      <w:r w:rsidRPr="0001674D">
        <w:rPr>
          <w:rFonts w:cs="Times New Roman"/>
          <w:szCs w:val="24"/>
        </w:rPr>
        <w:t>payment for services provided; and</w:t>
      </w:r>
    </w:p>
    <w:p w:rsidR="0001674D" w:rsidRPr="0001674D" w:rsidRDefault="0001674D" w:rsidP="008F20AC">
      <w:pPr>
        <w:pStyle w:val="ListParagraph"/>
        <w:numPr>
          <w:ilvl w:val="0"/>
          <w:numId w:val="28"/>
        </w:numPr>
        <w:rPr>
          <w:rFonts w:cs="Times New Roman"/>
          <w:szCs w:val="24"/>
        </w:rPr>
      </w:pPr>
      <w:r w:rsidRPr="0001674D">
        <w:rPr>
          <w:rFonts w:cs="Times New Roman"/>
          <w:szCs w:val="24"/>
        </w:rPr>
        <w:t>one-off ad hoc payments.</w:t>
      </w:r>
    </w:p>
    <w:p w:rsidR="00170111" w:rsidRDefault="00170111" w:rsidP="00E669A7">
      <w:pPr>
        <w:contextualSpacing/>
        <w:rPr>
          <w:rFonts w:ascii="Times New Roman" w:hAnsi="Times New Roman"/>
          <w:sz w:val="24"/>
          <w:szCs w:val="24"/>
        </w:rPr>
      </w:pPr>
    </w:p>
    <w:p w:rsidR="0001674D" w:rsidRPr="0001674D" w:rsidRDefault="0001674D" w:rsidP="00E669A7">
      <w:pPr>
        <w:contextualSpacing/>
        <w:rPr>
          <w:rFonts w:ascii="Times New Roman" w:hAnsi="Times New Roman"/>
          <w:sz w:val="24"/>
          <w:szCs w:val="24"/>
        </w:rPr>
      </w:pPr>
      <w:r w:rsidRPr="0001674D">
        <w:rPr>
          <w:rFonts w:ascii="Times New Roman" w:hAnsi="Times New Roman"/>
          <w:sz w:val="24"/>
          <w:szCs w:val="24"/>
        </w:rPr>
        <w:t xml:space="preserve">All expenditure will be made in accordance with the </w:t>
      </w:r>
      <w:r w:rsidRPr="0001674D">
        <w:rPr>
          <w:rFonts w:ascii="Times New Roman" w:hAnsi="Times New Roman"/>
          <w:i/>
          <w:iCs/>
          <w:sz w:val="24"/>
          <w:szCs w:val="24"/>
        </w:rPr>
        <w:t xml:space="preserve">Public Governance, Performance and Accountability Act </w:t>
      </w:r>
      <w:r w:rsidRPr="0001674D">
        <w:rPr>
          <w:rFonts w:ascii="Times New Roman" w:hAnsi="Times New Roman"/>
          <w:i/>
          <w:sz w:val="24"/>
          <w:szCs w:val="24"/>
        </w:rPr>
        <w:t>2013</w:t>
      </w:r>
      <w:r w:rsidRPr="0001674D">
        <w:rPr>
          <w:rFonts w:ascii="Times New Roman" w:hAnsi="Times New Roman"/>
          <w:sz w:val="24"/>
          <w:szCs w:val="24"/>
        </w:rPr>
        <w:t xml:space="preserve"> and the </w:t>
      </w:r>
      <w:r w:rsidRPr="0001674D">
        <w:rPr>
          <w:rFonts w:ascii="Times New Roman" w:hAnsi="Times New Roman"/>
          <w:i/>
          <w:sz w:val="24"/>
          <w:szCs w:val="24"/>
        </w:rPr>
        <w:t>Commonwealth Grants Rules and Guidelines</w:t>
      </w:r>
      <w:r w:rsidRPr="0001674D">
        <w:rPr>
          <w:rFonts w:ascii="Times New Roman" w:hAnsi="Times New Roman"/>
          <w:sz w:val="24"/>
          <w:szCs w:val="24"/>
        </w:rPr>
        <w:t xml:space="preserve">.  </w:t>
      </w:r>
    </w:p>
    <w:p w:rsidR="0001674D" w:rsidRPr="0001674D" w:rsidRDefault="0001674D" w:rsidP="00E669A7">
      <w:pPr>
        <w:spacing w:after="120"/>
        <w:contextualSpacing/>
        <w:rPr>
          <w:rFonts w:ascii="Times New Roman" w:hAnsi="Times New Roman"/>
          <w:sz w:val="24"/>
          <w:szCs w:val="24"/>
        </w:rPr>
      </w:pPr>
    </w:p>
    <w:p w:rsidR="0001674D" w:rsidRPr="0001674D" w:rsidRDefault="0001674D" w:rsidP="00E669A7">
      <w:pPr>
        <w:spacing w:after="120"/>
        <w:contextualSpacing/>
        <w:rPr>
          <w:rFonts w:ascii="Times New Roman" w:hAnsi="Times New Roman"/>
          <w:sz w:val="24"/>
          <w:szCs w:val="24"/>
        </w:rPr>
      </w:pPr>
      <w:r w:rsidRPr="0001674D">
        <w:rPr>
          <w:rFonts w:ascii="Times New Roman" w:hAnsi="Times New Roman"/>
          <w:sz w:val="24"/>
          <w:szCs w:val="24"/>
        </w:rPr>
        <w:t xml:space="preserve">Funding decisions made in consequence of the obligations under the Sixth Community Pharmacy Agreement will have no review mechanism given the nature of the funding.  </w:t>
      </w:r>
      <w:r w:rsidR="002B3CF2">
        <w:rPr>
          <w:rFonts w:ascii="Times New Roman" w:hAnsi="Times New Roman"/>
          <w:sz w:val="24"/>
          <w:szCs w:val="24"/>
        </w:rPr>
        <w:br/>
      </w:r>
      <w:r w:rsidRPr="0001674D">
        <w:rPr>
          <w:rFonts w:ascii="Times New Roman" w:hAnsi="Times New Roman"/>
          <w:sz w:val="24"/>
          <w:szCs w:val="24"/>
        </w:rPr>
        <w:t xml:space="preserve">The exception is where funding decisions relate to competitive selection processes.  </w:t>
      </w:r>
      <w:r w:rsidR="002B3CF2">
        <w:rPr>
          <w:rFonts w:ascii="Times New Roman" w:hAnsi="Times New Roman"/>
          <w:sz w:val="24"/>
          <w:szCs w:val="24"/>
        </w:rPr>
        <w:br/>
      </w:r>
      <w:r w:rsidRPr="0001674D">
        <w:rPr>
          <w:rFonts w:ascii="Times New Roman" w:hAnsi="Times New Roman"/>
          <w:sz w:val="24"/>
          <w:szCs w:val="24"/>
        </w:rPr>
        <w:t xml:space="preserve">Where such a competitive process is undertaken, it will comply with relevant conditions and delegations as required under the </w:t>
      </w:r>
      <w:r w:rsidRPr="0001674D">
        <w:rPr>
          <w:rFonts w:ascii="Times New Roman" w:hAnsi="Times New Roman"/>
          <w:i/>
          <w:iCs/>
          <w:sz w:val="24"/>
          <w:szCs w:val="24"/>
        </w:rPr>
        <w:t>Public Governance, Performance and Accou</w:t>
      </w:r>
      <w:r w:rsidR="008F20AC">
        <w:rPr>
          <w:rFonts w:ascii="Times New Roman" w:hAnsi="Times New Roman"/>
          <w:i/>
          <w:iCs/>
          <w:sz w:val="24"/>
          <w:szCs w:val="24"/>
        </w:rPr>
        <w:t>ntability Act </w:t>
      </w:r>
      <w:r w:rsidRPr="0001674D">
        <w:rPr>
          <w:rFonts w:ascii="Times New Roman" w:hAnsi="Times New Roman"/>
          <w:i/>
          <w:sz w:val="24"/>
          <w:szCs w:val="24"/>
        </w:rPr>
        <w:t>2013</w:t>
      </w:r>
      <w:r w:rsidRPr="0001674D">
        <w:rPr>
          <w:rFonts w:ascii="Times New Roman" w:hAnsi="Times New Roman"/>
          <w:sz w:val="24"/>
          <w:szCs w:val="24"/>
        </w:rPr>
        <w:t xml:space="preserve"> and the </w:t>
      </w:r>
      <w:r w:rsidRPr="0001674D">
        <w:rPr>
          <w:rFonts w:ascii="Times New Roman" w:hAnsi="Times New Roman"/>
          <w:i/>
          <w:sz w:val="24"/>
          <w:szCs w:val="24"/>
        </w:rPr>
        <w:t>Commonwealth Grants Rules and Guidelines</w:t>
      </w:r>
      <w:r w:rsidRPr="0001674D">
        <w:rPr>
          <w:rFonts w:ascii="Times New Roman" w:hAnsi="Times New Roman"/>
          <w:sz w:val="24"/>
          <w:szCs w:val="24"/>
        </w:rPr>
        <w:t>.</w:t>
      </w:r>
      <w:r w:rsidRPr="0001674D" w:rsidDel="001F28B1">
        <w:rPr>
          <w:rFonts w:ascii="Times New Roman" w:hAnsi="Times New Roman"/>
          <w:sz w:val="24"/>
          <w:szCs w:val="24"/>
        </w:rPr>
        <w:t xml:space="preserve"> </w:t>
      </w:r>
    </w:p>
    <w:p w:rsidR="0001674D" w:rsidRPr="0001674D" w:rsidRDefault="0001674D" w:rsidP="00E669A7">
      <w:pPr>
        <w:spacing w:after="120"/>
        <w:contextualSpacing/>
        <w:rPr>
          <w:rFonts w:ascii="Times New Roman" w:hAnsi="Times New Roman"/>
          <w:sz w:val="24"/>
          <w:szCs w:val="24"/>
        </w:rPr>
      </w:pPr>
    </w:p>
    <w:p w:rsidR="0001674D" w:rsidRPr="0001674D" w:rsidRDefault="0001674D" w:rsidP="00E669A7">
      <w:pPr>
        <w:spacing w:after="120"/>
        <w:contextualSpacing/>
        <w:rPr>
          <w:rFonts w:ascii="Times New Roman" w:hAnsi="Times New Roman"/>
          <w:sz w:val="24"/>
          <w:szCs w:val="24"/>
        </w:rPr>
      </w:pPr>
      <w:r w:rsidRPr="0001674D">
        <w:rPr>
          <w:rFonts w:ascii="Times New Roman" w:hAnsi="Times New Roman"/>
          <w:sz w:val="24"/>
          <w:szCs w:val="24"/>
        </w:rPr>
        <w:t xml:space="preserve">The complaints and review procedures for procurement and grants processes are available on the </w:t>
      </w:r>
      <w:r w:rsidR="008F20AC">
        <w:rPr>
          <w:rFonts w:ascii="Times New Roman" w:hAnsi="Times New Roman"/>
          <w:sz w:val="24"/>
          <w:szCs w:val="24"/>
        </w:rPr>
        <w:t xml:space="preserve">Department of Health’s website </w:t>
      </w:r>
      <w:r>
        <w:rPr>
          <w:rFonts w:ascii="Times New Roman" w:hAnsi="Times New Roman"/>
          <w:sz w:val="24"/>
          <w:szCs w:val="24"/>
        </w:rPr>
        <w:t>(</w:t>
      </w:r>
      <w:r w:rsidRPr="0001674D">
        <w:rPr>
          <w:rFonts w:ascii="Times New Roman" w:hAnsi="Times New Roman"/>
          <w:sz w:val="24"/>
          <w:szCs w:val="24"/>
        </w:rPr>
        <w:t>http://www.health.gov.au/internet/main/publishing.nsf/Content/pfps-complaintsprocedures</w:t>
      </w:r>
      <w:r>
        <w:rPr>
          <w:rFonts w:ascii="Times New Roman" w:hAnsi="Times New Roman"/>
          <w:sz w:val="24"/>
          <w:szCs w:val="24"/>
        </w:rPr>
        <w:t>)</w:t>
      </w:r>
      <w:r w:rsidRPr="0001674D">
        <w:rPr>
          <w:rFonts w:ascii="Times New Roman" w:hAnsi="Times New Roman"/>
          <w:sz w:val="24"/>
          <w:szCs w:val="24"/>
        </w:rPr>
        <w:t>.</w:t>
      </w:r>
    </w:p>
    <w:p w:rsidR="0001674D" w:rsidRPr="0001674D" w:rsidRDefault="0001674D" w:rsidP="00AE031A">
      <w:pPr>
        <w:spacing w:after="120"/>
        <w:contextualSpacing/>
        <w:rPr>
          <w:rFonts w:ascii="Times New Roman" w:hAnsi="Times New Roman"/>
          <w:sz w:val="24"/>
          <w:szCs w:val="24"/>
        </w:rPr>
      </w:pPr>
    </w:p>
    <w:p w:rsidR="0001674D" w:rsidRPr="0001674D" w:rsidRDefault="0001674D" w:rsidP="00E669A7">
      <w:pPr>
        <w:spacing w:after="120"/>
        <w:contextualSpacing/>
        <w:rPr>
          <w:rFonts w:ascii="Times New Roman" w:hAnsi="Times New Roman"/>
          <w:sz w:val="24"/>
          <w:szCs w:val="24"/>
        </w:rPr>
      </w:pPr>
      <w:r w:rsidRPr="0001674D">
        <w:rPr>
          <w:rFonts w:ascii="Times New Roman" w:hAnsi="Times New Roman"/>
          <w:sz w:val="24"/>
          <w:szCs w:val="24"/>
        </w:rPr>
        <w:t xml:space="preserve">Funding will come from Programme 2.1: Community Pharmacy and Pharmaceutical Awareness, which is part of Outcome 2: Access to Pharmaceutical Services, with details set out in the </w:t>
      </w:r>
      <w:r w:rsidRPr="0001674D">
        <w:rPr>
          <w:rFonts w:ascii="Times New Roman" w:hAnsi="Times New Roman"/>
          <w:i/>
          <w:sz w:val="24"/>
          <w:szCs w:val="24"/>
        </w:rPr>
        <w:t>Portfolio Budget Statements 2015-16, Budget Related Paper No. 1.10, Health Portfolio</w:t>
      </w:r>
      <w:r w:rsidRPr="0001674D">
        <w:rPr>
          <w:rFonts w:ascii="Times New Roman" w:hAnsi="Times New Roman"/>
          <w:sz w:val="24"/>
          <w:szCs w:val="24"/>
        </w:rPr>
        <w:t xml:space="preserve"> at page 56. </w:t>
      </w:r>
    </w:p>
    <w:p w:rsidR="0001674D" w:rsidRPr="0001674D" w:rsidRDefault="0001674D" w:rsidP="00E669A7">
      <w:pPr>
        <w:spacing w:after="120"/>
        <w:contextualSpacing/>
        <w:rPr>
          <w:rFonts w:ascii="Times New Roman" w:hAnsi="Times New Roman"/>
          <w:sz w:val="24"/>
          <w:szCs w:val="24"/>
        </w:rPr>
      </w:pPr>
    </w:p>
    <w:p w:rsidR="0001674D" w:rsidRPr="0001674D" w:rsidRDefault="0001674D" w:rsidP="00E669A7">
      <w:pPr>
        <w:contextualSpacing/>
        <w:rPr>
          <w:rFonts w:ascii="Times New Roman" w:hAnsi="Times New Roman"/>
          <w:sz w:val="24"/>
          <w:szCs w:val="24"/>
        </w:rPr>
      </w:pPr>
      <w:r w:rsidRPr="0001674D">
        <w:rPr>
          <w:rFonts w:ascii="Times New Roman" w:hAnsi="Times New Roman"/>
          <w:sz w:val="24"/>
          <w:szCs w:val="24"/>
        </w:rPr>
        <w:t xml:space="preserve">Noting that it is not a comprehensive statement of relevant constitutional considerations, </w:t>
      </w:r>
      <w:r w:rsidR="002B3CF2">
        <w:rPr>
          <w:rFonts w:ascii="Times New Roman" w:hAnsi="Times New Roman"/>
          <w:sz w:val="24"/>
          <w:szCs w:val="24"/>
        </w:rPr>
        <w:br/>
      </w:r>
      <w:r w:rsidRPr="0001674D">
        <w:rPr>
          <w:rFonts w:ascii="Times New Roman" w:hAnsi="Times New Roman"/>
          <w:sz w:val="24"/>
          <w:szCs w:val="24"/>
        </w:rPr>
        <w:t xml:space="preserve">the objective of the item references the following powers of the Constitution: </w:t>
      </w:r>
    </w:p>
    <w:p w:rsidR="0001674D" w:rsidRPr="0001674D" w:rsidRDefault="0001674D" w:rsidP="00E669A7">
      <w:pPr>
        <w:pStyle w:val="ListParagraph"/>
        <w:numPr>
          <w:ilvl w:val="0"/>
          <w:numId w:val="21"/>
        </w:numPr>
        <w:rPr>
          <w:rFonts w:cs="Times New Roman"/>
          <w:szCs w:val="24"/>
        </w:rPr>
      </w:pPr>
      <w:r w:rsidRPr="0001674D">
        <w:rPr>
          <w:rFonts w:cs="Times New Roman"/>
          <w:szCs w:val="24"/>
        </w:rPr>
        <w:t xml:space="preserve">the social welfare power (section 51(xxiiiA)); </w:t>
      </w:r>
    </w:p>
    <w:p w:rsidR="0001674D" w:rsidRPr="0001674D" w:rsidRDefault="0001674D" w:rsidP="00E669A7">
      <w:pPr>
        <w:pStyle w:val="ListParagraph"/>
        <w:numPr>
          <w:ilvl w:val="0"/>
          <w:numId w:val="21"/>
        </w:numPr>
        <w:rPr>
          <w:rFonts w:cs="Times New Roman"/>
          <w:szCs w:val="24"/>
        </w:rPr>
      </w:pPr>
      <w:r w:rsidRPr="0001674D">
        <w:rPr>
          <w:rFonts w:cs="Times New Roman"/>
          <w:szCs w:val="24"/>
        </w:rPr>
        <w:t>the races power (section 51(xxvi)); and</w:t>
      </w:r>
    </w:p>
    <w:p w:rsidR="00772590" w:rsidRPr="0001674D" w:rsidRDefault="0001674D" w:rsidP="00E669A7">
      <w:pPr>
        <w:pStyle w:val="ListParagraph"/>
        <w:numPr>
          <w:ilvl w:val="0"/>
          <w:numId w:val="21"/>
        </w:numPr>
        <w:rPr>
          <w:rFonts w:cs="Times New Roman"/>
          <w:szCs w:val="24"/>
        </w:rPr>
      </w:pPr>
      <w:r w:rsidRPr="0001674D">
        <w:rPr>
          <w:rFonts w:cs="Times New Roman"/>
          <w:szCs w:val="24"/>
        </w:rPr>
        <w:t>the external affairs power (section 51(xxix)).</w:t>
      </w:r>
    </w:p>
    <w:p w:rsidR="0001674D" w:rsidRPr="0001674D" w:rsidRDefault="0001674D" w:rsidP="00E669A7">
      <w:pPr>
        <w:contextualSpacing/>
        <w:rPr>
          <w:rFonts w:ascii="Times New Roman" w:hAnsi="Times New Roman"/>
          <w:sz w:val="24"/>
          <w:szCs w:val="24"/>
        </w:rPr>
      </w:pPr>
    </w:p>
    <w:p w:rsidR="0001674D" w:rsidRPr="0001674D" w:rsidRDefault="0001674D" w:rsidP="00E669A7">
      <w:pPr>
        <w:contextualSpacing/>
        <w:rPr>
          <w:rFonts w:ascii="Times New Roman" w:hAnsi="Times New Roman"/>
          <w:sz w:val="24"/>
          <w:szCs w:val="24"/>
        </w:rPr>
      </w:pPr>
      <w:r w:rsidRPr="0001674D">
        <w:rPr>
          <w:rFonts w:ascii="Times New Roman" w:hAnsi="Times New Roman"/>
          <w:sz w:val="24"/>
          <w:szCs w:val="24"/>
        </w:rPr>
        <w:t xml:space="preserve">New </w:t>
      </w:r>
      <w:r w:rsidRPr="0001674D">
        <w:rPr>
          <w:rFonts w:ascii="Times New Roman" w:hAnsi="Times New Roman"/>
          <w:b/>
          <w:sz w:val="24"/>
          <w:szCs w:val="24"/>
        </w:rPr>
        <w:t xml:space="preserve">table item 104 </w:t>
      </w:r>
      <w:r w:rsidRPr="0001674D">
        <w:rPr>
          <w:rFonts w:ascii="Times New Roman" w:hAnsi="Times New Roman"/>
          <w:sz w:val="24"/>
          <w:szCs w:val="24"/>
        </w:rPr>
        <w:t xml:space="preserve">establishes legislative authority for the Government to support activities to raise community awareness of preventative health strategies by funding the Australian Men’s Shed Association to promote and provide medical services for the treatment and management of physical and mental health conditions, and target the health needs of disadvantaged populations and adults predominantly not in the workforce.  This item will be administered by the Department of Health. </w:t>
      </w:r>
    </w:p>
    <w:p w:rsidR="002A0567" w:rsidRDefault="002A0567" w:rsidP="00E669A7">
      <w:pPr>
        <w:spacing w:after="120"/>
        <w:contextualSpacing/>
        <w:rPr>
          <w:rFonts w:ascii="Times New Roman" w:hAnsi="Times New Roman"/>
          <w:sz w:val="24"/>
          <w:szCs w:val="24"/>
        </w:rPr>
      </w:pPr>
    </w:p>
    <w:p w:rsidR="0001674D" w:rsidRPr="0001674D" w:rsidRDefault="0001674D" w:rsidP="00E669A7">
      <w:pPr>
        <w:spacing w:after="120"/>
        <w:contextualSpacing/>
        <w:rPr>
          <w:rFonts w:ascii="Times New Roman" w:hAnsi="Times New Roman"/>
          <w:sz w:val="24"/>
          <w:szCs w:val="24"/>
        </w:rPr>
      </w:pPr>
      <w:r w:rsidRPr="0001674D">
        <w:rPr>
          <w:rFonts w:ascii="Times New Roman" w:hAnsi="Times New Roman"/>
          <w:sz w:val="24"/>
          <w:szCs w:val="24"/>
        </w:rPr>
        <w:t xml:space="preserve">Funding was previously supported by item 415.030 in Part 4 of Schedule 1AA to the </w:t>
      </w:r>
      <w:r w:rsidRPr="0001674D">
        <w:rPr>
          <w:rFonts w:ascii="Times New Roman" w:hAnsi="Times New Roman"/>
          <w:i/>
          <w:sz w:val="24"/>
          <w:szCs w:val="24"/>
        </w:rPr>
        <w:t>Financial Framework (Supplementary Powers) Regulations 1997</w:t>
      </w:r>
      <w:r w:rsidRPr="0001674D">
        <w:rPr>
          <w:rFonts w:ascii="Times New Roman" w:hAnsi="Times New Roman"/>
          <w:sz w:val="24"/>
          <w:szCs w:val="24"/>
        </w:rPr>
        <w:t>.  This new item establishes legislative authority for spending on a redesigned programme.  The redesign includes narrowing activities performed under the programme to maintain a clearer focus on preventative health aims and the facilitation of health services.  This includes funding activities such as developing stakeholder relationships and linkages with health providers, developing and distributing health and emotional wellbeing resources, undertaking men’s health events and other health prevention activities, and providing access to men’s health resources online.</w:t>
      </w:r>
    </w:p>
    <w:p w:rsidR="0001674D" w:rsidRPr="0001674D" w:rsidRDefault="0001674D" w:rsidP="00E669A7">
      <w:pPr>
        <w:spacing w:after="120"/>
        <w:contextualSpacing/>
        <w:rPr>
          <w:rFonts w:ascii="Times New Roman" w:hAnsi="Times New Roman"/>
          <w:sz w:val="24"/>
          <w:szCs w:val="24"/>
        </w:rPr>
      </w:pPr>
    </w:p>
    <w:p w:rsidR="0001674D" w:rsidRPr="0001674D" w:rsidRDefault="0001674D" w:rsidP="00E669A7">
      <w:pPr>
        <w:spacing w:after="120"/>
        <w:contextualSpacing/>
        <w:rPr>
          <w:rFonts w:ascii="Times New Roman" w:hAnsi="Times New Roman"/>
          <w:sz w:val="24"/>
          <w:szCs w:val="24"/>
        </w:rPr>
      </w:pPr>
      <w:r w:rsidRPr="0001674D">
        <w:rPr>
          <w:rFonts w:ascii="Times New Roman" w:hAnsi="Times New Roman"/>
          <w:sz w:val="24"/>
          <w:szCs w:val="24"/>
        </w:rPr>
        <w:t xml:space="preserve">Funding is provided to the Australian Men’s Shed Association which conducts community awareness raising activities and men’s health events, and also provides general support activities and resources to new and existing men’s sheds in Australia.  </w:t>
      </w:r>
    </w:p>
    <w:p w:rsidR="0001674D" w:rsidRPr="0001674D" w:rsidRDefault="0001674D" w:rsidP="00E669A7">
      <w:pPr>
        <w:spacing w:after="120"/>
        <w:contextualSpacing/>
        <w:rPr>
          <w:rFonts w:ascii="Times New Roman" w:hAnsi="Times New Roman"/>
          <w:sz w:val="24"/>
          <w:szCs w:val="24"/>
        </w:rPr>
      </w:pPr>
    </w:p>
    <w:p w:rsidR="0001674D" w:rsidRPr="0001674D" w:rsidRDefault="0001674D" w:rsidP="00E669A7">
      <w:pPr>
        <w:spacing w:after="120"/>
        <w:contextualSpacing/>
        <w:rPr>
          <w:rFonts w:ascii="Times New Roman" w:hAnsi="Times New Roman"/>
          <w:sz w:val="24"/>
          <w:szCs w:val="24"/>
        </w:rPr>
      </w:pPr>
      <w:r w:rsidRPr="0001674D">
        <w:rPr>
          <w:rFonts w:ascii="Times New Roman" w:hAnsi="Times New Roman"/>
          <w:sz w:val="24"/>
          <w:szCs w:val="24"/>
        </w:rPr>
        <w:t xml:space="preserve">The Department of Health administers the programme in accordance with the </w:t>
      </w:r>
      <w:r w:rsidRPr="0001674D">
        <w:rPr>
          <w:rFonts w:ascii="Times New Roman" w:hAnsi="Times New Roman"/>
          <w:i/>
          <w:iCs/>
          <w:sz w:val="24"/>
          <w:szCs w:val="24"/>
        </w:rPr>
        <w:t xml:space="preserve">Public Governance, Performance and Accountability Act </w:t>
      </w:r>
      <w:r w:rsidRPr="0001674D">
        <w:rPr>
          <w:rFonts w:ascii="Times New Roman" w:hAnsi="Times New Roman"/>
          <w:i/>
          <w:sz w:val="24"/>
          <w:szCs w:val="24"/>
        </w:rPr>
        <w:t>2013</w:t>
      </w:r>
      <w:r w:rsidRPr="0001674D">
        <w:rPr>
          <w:rFonts w:ascii="Times New Roman" w:hAnsi="Times New Roman"/>
          <w:sz w:val="24"/>
          <w:szCs w:val="24"/>
        </w:rPr>
        <w:t xml:space="preserve"> and the </w:t>
      </w:r>
      <w:r w:rsidRPr="0001674D">
        <w:rPr>
          <w:rFonts w:ascii="Times New Roman" w:hAnsi="Times New Roman"/>
          <w:i/>
          <w:sz w:val="24"/>
          <w:szCs w:val="24"/>
        </w:rPr>
        <w:t>Commonwealth Grants Rules and Guidelines</w:t>
      </w:r>
      <w:r w:rsidRPr="0001674D">
        <w:rPr>
          <w:rFonts w:ascii="Times New Roman" w:hAnsi="Times New Roman"/>
          <w:sz w:val="24"/>
          <w:szCs w:val="24"/>
        </w:rPr>
        <w:t>, and the Minister for Health makes the funding decisions.  Given that the funding has already been committed, there is no mechanism for appealing funding or expenditure decisions.</w:t>
      </w:r>
    </w:p>
    <w:p w:rsidR="0001674D" w:rsidRPr="0001674D" w:rsidRDefault="0001674D" w:rsidP="00E669A7">
      <w:pPr>
        <w:spacing w:after="120"/>
        <w:contextualSpacing/>
        <w:rPr>
          <w:rFonts w:ascii="Times New Roman" w:hAnsi="Times New Roman"/>
          <w:sz w:val="24"/>
          <w:szCs w:val="24"/>
        </w:rPr>
      </w:pPr>
    </w:p>
    <w:p w:rsidR="0001674D" w:rsidRPr="0001674D" w:rsidRDefault="0001674D" w:rsidP="00E669A7">
      <w:pPr>
        <w:spacing w:after="120"/>
        <w:contextualSpacing/>
        <w:rPr>
          <w:rFonts w:ascii="Times New Roman" w:hAnsi="Times New Roman"/>
          <w:sz w:val="24"/>
          <w:szCs w:val="24"/>
        </w:rPr>
      </w:pPr>
      <w:r w:rsidRPr="0001674D">
        <w:rPr>
          <w:rFonts w:ascii="Times New Roman" w:hAnsi="Times New Roman"/>
          <w:sz w:val="24"/>
          <w:szCs w:val="24"/>
        </w:rPr>
        <w:t xml:space="preserve">Funding for this item comes from Programme 7.2: Health Information, which is part of Outcome 7: Health Infrastructure, Regulation, Safety and Quality.  Details are set out in the </w:t>
      </w:r>
      <w:r w:rsidRPr="0001674D">
        <w:rPr>
          <w:rFonts w:ascii="Times New Roman" w:hAnsi="Times New Roman"/>
          <w:i/>
          <w:sz w:val="24"/>
          <w:szCs w:val="24"/>
        </w:rPr>
        <w:t>Portfolio Budget Statements 2014</w:t>
      </w:r>
      <w:r w:rsidRPr="0001674D">
        <w:rPr>
          <w:rFonts w:ascii="Times New Roman" w:hAnsi="Times New Roman"/>
          <w:i/>
          <w:sz w:val="24"/>
          <w:szCs w:val="24"/>
        </w:rPr>
        <w:noBreakHyphen/>
        <w:t>15, Budget Related Paper No. 1.10, Health Portfolio</w:t>
      </w:r>
      <w:r w:rsidRPr="0001674D">
        <w:rPr>
          <w:rFonts w:ascii="Times New Roman" w:hAnsi="Times New Roman"/>
          <w:sz w:val="24"/>
          <w:szCs w:val="24"/>
        </w:rPr>
        <w:t xml:space="preserve"> at page 132.</w:t>
      </w:r>
      <w:r w:rsidRPr="0001674D">
        <w:rPr>
          <w:rFonts w:ascii="Times New Roman" w:hAnsi="Times New Roman"/>
          <w:i/>
          <w:sz w:val="24"/>
          <w:szCs w:val="24"/>
        </w:rPr>
        <w:t xml:space="preserve"> </w:t>
      </w:r>
    </w:p>
    <w:p w:rsidR="0001674D" w:rsidRPr="0001674D" w:rsidRDefault="0001674D" w:rsidP="00E669A7">
      <w:pPr>
        <w:spacing w:after="120"/>
        <w:contextualSpacing/>
        <w:rPr>
          <w:rFonts w:ascii="Times New Roman" w:hAnsi="Times New Roman"/>
          <w:sz w:val="24"/>
          <w:szCs w:val="24"/>
        </w:rPr>
      </w:pPr>
    </w:p>
    <w:p w:rsidR="0001674D" w:rsidRPr="0001674D" w:rsidRDefault="0001674D" w:rsidP="00E669A7">
      <w:pPr>
        <w:contextualSpacing/>
        <w:rPr>
          <w:rFonts w:ascii="Times New Roman" w:hAnsi="Times New Roman"/>
          <w:sz w:val="24"/>
          <w:szCs w:val="24"/>
        </w:rPr>
      </w:pPr>
      <w:r w:rsidRPr="0001674D">
        <w:rPr>
          <w:rFonts w:ascii="Times New Roman" w:hAnsi="Times New Roman"/>
          <w:sz w:val="24"/>
          <w:szCs w:val="24"/>
        </w:rPr>
        <w:t xml:space="preserve">Noting that it is not a comprehensive statement of relevant constitutional considerations, </w:t>
      </w:r>
      <w:r w:rsidR="002B3CF2">
        <w:rPr>
          <w:rFonts w:ascii="Times New Roman" w:hAnsi="Times New Roman"/>
          <w:sz w:val="24"/>
          <w:szCs w:val="24"/>
        </w:rPr>
        <w:br/>
      </w:r>
      <w:r w:rsidRPr="0001674D">
        <w:rPr>
          <w:rFonts w:ascii="Times New Roman" w:hAnsi="Times New Roman"/>
          <w:sz w:val="24"/>
          <w:szCs w:val="24"/>
        </w:rPr>
        <w:t>the objective of the item references the following powers of the Constitution:</w:t>
      </w:r>
    </w:p>
    <w:p w:rsidR="0001674D" w:rsidRPr="0001674D" w:rsidRDefault="0001674D" w:rsidP="00E669A7">
      <w:pPr>
        <w:pStyle w:val="ListParagraph"/>
        <w:numPr>
          <w:ilvl w:val="0"/>
          <w:numId w:val="23"/>
        </w:numPr>
        <w:rPr>
          <w:rFonts w:cs="Times New Roman"/>
          <w:szCs w:val="24"/>
        </w:rPr>
      </w:pPr>
      <w:r w:rsidRPr="0001674D">
        <w:rPr>
          <w:rFonts w:cs="Times New Roman"/>
          <w:szCs w:val="24"/>
        </w:rPr>
        <w:t>the communications power (s</w:t>
      </w:r>
      <w:bookmarkStart w:id="1" w:name="OLE_LINK1"/>
      <w:bookmarkStart w:id="2" w:name="OLE_LINK2"/>
      <w:r w:rsidRPr="0001674D">
        <w:rPr>
          <w:rFonts w:cs="Times New Roman"/>
          <w:szCs w:val="24"/>
        </w:rPr>
        <w:t xml:space="preserve">ection </w:t>
      </w:r>
      <w:bookmarkEnd w:id="1"/>
      <w:bookmarkEnd w:id="2"/>
      <w:r w:rsidRPr="0001674D">
        <w:rPr>
          <w:rFonts w:cs="Times New Roman"/>
          <w:szCs w:val="24"/>
        </w:rPr>
        <w:t xml:space="preserve">51(v)); </w:t>
      </w:r>
    </w:p>
    <w:p w:rsidR="0001674D" w:rsidRPr="0001674D" w:rsidRDefault="0001674D" w:rsidP="00E669A7">
      <w:pPr>
        <w:pStyle w:val="ListParagraph"/>
        <w:numPr>
          <w:ilvl w:val="0"/>
          <w:numId w:val="23"/>
        </w:numPr>
        <w:rPr>
          <w:rFonts w:cs="Times New Roman"/>
          <w:szCs w:val="24"/>
        </w:rPr>
      </w:pPr>
      <w:r w:rsidRPr="0001674D">
        <w:rPr>
          <w:rFonts w:cs="Times New Roman"/>
          <w:szCs w:val="24"/>
        </w:rPr>
        <w:t>the defence power (section 51(vi));</w:t>
      </w:r>
    </w:p>
    <w:p w:rsidR="0001674D" w:rsidRPr="0001674D" w:rsidRDefault="0001674D" w:rsidP="00E669A7">
      <w:pPr>
        <w:pStyle w:val="ListParagraph"/>
        <w:numPr>
          <w:ilvl w:val="0"/>
          <w:numId w:val="23"/>
        </w:numPr>
        <w:rPr>
          <w:rFonts w:cs="Times New Roman"/>
          <w:szCs w:val="24"/>
        </w:rPr>
      </w:pPr>
      <w:r w:rsidRPr="0001674D">
        <w:rPr>
          <w:rFonts w:cs="Times New Roman"/>
          <w:szCs w:val="24"/>
        </w:rPr>
        <w:t>the aliens power (section 51(xix));</w:t>
      </w:r>
    </w:p>
    <w:p w:rsidR="0001674D" w:rsidRPr="0001674D" w:rsidRDefault="0001674D" w:rsidP="00E669A7">
      <w:pPr>
        <w:pStyle w:val="ListParagraph"/>
        <w:numPr>
          <w:ilvl w:val="0"/>
          <w:numId w:val="23"/>
        </w:numPr>
        <w:rPr>
          <w:rFonts w:cs="Times New Roman"/>
          <w:szCs w:val="24"/>
        </w:rPr>
      </w:pPr>
      <w:r w:rsidRPr="0001674D">
        <w:rPr>
          <w:rFonts w:cs="Times New Roman"/>
          <w:szCs w:val="24"/>
        </w:rPr>
        <w:t>the social welfare power (section 51(xxiiiA));</w:t>
      </w:r>
    </w:p>
    <w:p w:rsidR="0001674D" w:rsidRPr="0001674D" w:rsidRDefault="0001674D" w:rsidP="00E669A7">
      <w:pPr>
        <w:pStyle w:val="ListParagraph"/>
        <w:numPr>
          <w:ilvl w:val="0"/>
          <w:numId w:val="23"/>
        </w:numPr>
        <w:rPr>
          <w:rFonts w:cs="Times New Roman"/>
          <w:szCs w:val="24"/>
        </w:rPr>
      </w:pPr>
      <w:r w:rsidRPr="0001674D">
        <w:rPr>
          <w:rFonts w:cs="Times New Roman"/>
          <w:szCs w:val="24"/>
        </w:rPr>
        <w:t>the races power (section 51(xxvi));</w:t>
      </w:r>
    </w:p>
    <w:p w:rsidR="0001674D" w:rsidRPr="0001674D" w:rsidRDefault="0001674D" w:rsidP="00E669A7">
      <w:pPr>
        <w:pStyle w:val="ListParagraph"/>
        <w:numPr>
          <w:ilvl w:val="0"/>
          <w:numId w:val="23"/>
        </w:numPr>
        <w:rPr>
          <w:rFonts w:cs="Times New Roman"/>
          <w:szCs w:val="24"/>
        </w:rPr>
      </w:pPr>
      <w:r w:rsidRPr="0001674D">
        <w:rPr>
          <w:rFonts w:cs="Times New Roman"/>
          <w:szCs w:val="24"/>
        </w:rPr>
        <w:t>the immigration power (section 51(xxvii)); and</w:t>
      </w:r>
    </w:p>
    <w:p w:rsidR="0001674D" w:rsidRPr="0001674D" w:rsidRDefault="0001674D" w:rsidP="00E669A7">
      <w:pPr>
        <w:pStyle w:val="ListParagraph"/>
        <w:numPr>
          <w:ilvl w:val="0"/>
          <w:numId w:val="23"/>
        </w:numPr>
        <w:rPr>
          <w:rFonts w:cs="Times New Roman"/>
          <w:szCs w:val="24"/>
        </w:rPr>
      </w:pPr>
      <w:r w:rsidRPr="0001674D">
        <w:rPr>
          <w:rFonts w:cs="Times New Roman"/>
          <w:szCs w:val="24"/>
        </w:rPr>
        <w:t>the external affairs power (section 51(xxix)).</w:t>
      </w:r>
    </w:p>
    <w:p w:rsidR="0001674D" w:rsidRPr="0001674D" w:rsidRDefault="0001674D" w:rsidP="00E669A7">
      <w:pPr>
        <w:contextualSpacing/>
        <w:rPr>
          <w:rFonts w:ascii="Times New Roman" w:hAnsi="Times New Roman"/>
          <w:sz w:val="24"/>
          <w:szCs w:val="24"/>
        </w:rPr>
      </w:pPr>
    </w:p>
    <w:p w:rsidR="0001674D" w:rsidRPr="0001674D" w:rsidRDefault="0001674D" w:rsidP="00E669A7">
      <w:pPr>
        <w:contextualSpacing/>
        <w:rPr>
          <w:rFonts w:ascii="Times New Roman" w:hAnsi="Times New Roman"/>
          <w:sz w:val="24"/>
          <w:szCs w:val="24"/>
        </w:rPr>
      </w:pPr>
      <w:r w:rsidRPr="0001674D">
        <w:rPr>
          <w:rFonts w:ascii="Times New Roman" w:hAnsi="Times New Roman"/>
          <w:sz w:val="24"/>
          <w:szCs w:val="24"/>
        </w:rPr>
        <w:t xml:space="preserve">New </w:t>
      </w:r>
      <w:r w:rsidRPr="0001674D">
        <w:rPr>
          <w:rFonts w:ascii="Times New Roman" w:hAnsi="Times New Roman"/>
          <w:b/>
          <w:sz w:val="24"/>
          <w:szCs w:val="24"/>
        </w:rPr>
        <w:t xml:space="preserve">table item 105 </w:t>
      </w:r>
      <w:r w:rsidRPr="0001674D">
        <w:rPr>
          <w:rFonts w:ascii="Times New Roman" w:hAnsi="Times New Roman"/>
          <w:sz w:val="24"/>
          <w:szCs w:val="24"/>
        </w:rPr>
        <w:t>establishes legislative authority for the Government to fund the Health Peak and Advisory Bodies Programme.</w:t>
      </w:r>
    </w:p>
    <w:p w:rsidR="0001674D" w:rsidRPr="0001674D" w:rsidRDefault="0001674D" w:rsidP="00E669A7">
      <w:pPr>
        <w:contextualSpacing/>
        <w:rPr>
          <w:rFonts w:ascii="Times New Roman" w:hAnsi="Times New Roman"/>
          <w:sz w:val="24"/>
          <w:szCs w:val="24"/>
        </w:rPr>
      </w:pPr>
    </w:p>
    <w:p w:rsidR="0001674D" w:rsidRPr="0001674D" w:rsidRDefault="0001674D" w:rsidP="00E669A7">
      <w:pPr>
        <w:contextualSpacing/>
        <w:rPr>
          <w:rFonts w:ascii="Times New Roman" w:hAnsi="Times New Roman"/>
          <w:sz w:val="24"/>
          <w:szCs w:val="24"/>
        </w:rPr>
      </w:pPr>
      <w:r w:rsidRPr="0001674D">
        <w:rPr>
          <w:rFonts w:ascii="Times New Roman" w:hAnsi="Times New Roman"/>
          <w:sz w:val="24"/>
          <w:szCs w:val="24"/>
        </w:rPr>
        <w:t>Funding will be provided to health peak and advisory bodies (that is, non-government entities which are recognised as representing the interests of a specific part of the health sector at the national level) for activities that focus on informing and supporting the Government’s health agenda.  These activities may include one or more of the following:</w:t>
      </w:r>
    </w:p>
    <w:p w:rsidR="0001674D" w:rsidRPr="0001674D" w:rsidRDefault="0001674D" w:rsidP="00E669A7">
      <w:pPr>
        <w:pStyle w:val="ListParagraph"/>
        <w:numPr>
          <w:ilvl w:val="0"/>
          <w:numId w:val="26"/>
        </w:numPr>
        <w:rPr>
          <w:rFonts w:cs="Times New Roman"/>
          <w:szCs w:val="24"/>
        </w:rPr>
      </w:pPr>
      <w:r w:rsidRPr="0001674D">
        <w:rPr>
          <w:rFonts w:cs="Times New Roman"/>
          <w:szCs w:val="24"/>
        </w:rPr>
        <w:t>consultation with members of the health peak and advisory bodies about health sector policy and programme matters for the purposes of providing relevant, well-informed information and advice to the Government;</w:t>
      </w:r>
    </w:p>
    <w:p w:rsidR="0001674D" w:rsidRPr="0001674D" w:rsidRDefault="0001674D" w:rsidP="00E669A7">
      <w:pPr>
        <w:pStyle w:val="ListParagraph"/>
        <w:numPr>
          <w:ilvl w:val="0"/>
          <w:numId w:val="26"/>
        </w:numPr>
        <w:rPr>
          <w:rFonts w:cs="Times New Roman"/>
          <w:szCs w:val="24"/>
        </w:rPr>
      </w:pPr>
      <w:r w:rsidRPr="0001674D">
        <w:rPr>
          <w:rFonts w:cs="Times New Roman"/>
          <w:szCs w:val="24"/>
        </w:rPr>
        <w:t>activities that support the sharing of information between the Government and the public, including professional sectors and the general community, about particular health matters, including government health policy and programme information, the prevention, treatment and control of diseases, the availability of health services and other matters affecting public health.  This may include:</w:t>
      </w:r>
    </w:p>
    <w:p w:rsidR="0001674D" w:rsidRPr="0001674D" w:rsidRDefault="0001674D" w:rsidP="00E669A7">
      <w:pPr>
        <w:pStyle w:val="ListParagraph"/>
        <w:numPr>
          <w:ilvl w:val="1"/>
          <w:numId w:val="24"/>
        </w:numPr>
        <w:rPr>
          <w:rFonts w:cs="Times New Roman"/>
          <w:szCs w:val="24"/>
        </w:rPr>
      </w:pPr>
      <w:r w:rsidRPr="0001674D">
        <w:rPr>
          <w:rFonts w:cs="Times New Roman"/>
          <w:szCs w:val="24"/>
        </w:rPr>
        <w:t>maintaining telephone and internet-based services for the purposes of disseminating accurate information;</w:t>
      </w:r>
    </w:p>
    <w:p w:rsidR="0001674D" w:rsidRPr="0001674D" w:rsidRDefault="0001674D" w:rsidP="00E669A7">
      <w:pPr>
        <w:pStyle w:val="ListParagraph"/>
        <w:numPr>
          <w:ilvl w:val="1"/>
          <w:numId w:val="24"/>
        </w:numPr>
        <w:rPr>
          <w:rFonts w:cs="Times New Roman"/>
          <w:szCs w:val="24"/>
        </w:rPr>
      </w:pPr>
      <w:r w:rsidRPr="0001674D">
        <w:rPr>
          <w:rFonts w:cs="Times New Roman"/>
          <w:szCs w:val="24"/>
        </w:rPr>
        <w:t>the preparation of relevant content and materials for dissemination; and</w:t>
      </w:r>
    </w:p>
    <w:p w:rsidR="0001674D" w:rsidRPr="0001674D" w:rsidRDefault="0001674D" w:rsidP="00E669A7">
      <w:pPr>
        <w:pStyle w:val="ListParagraph"/>
        <w:numPr>
          <w:ilvl w:val="1"/>
          <w:numId w:val="24"/>
        </w:numPr>
        <w:rPr>
          <w:rFonts w:cs="Times New Roman"/>
          <w:szCs w:val="24"/>
        </w:rPr>
      </w:pPr>
      <w:r w:rsidRPr="0001674D">
        <w:rPr>
          <w:rFonts w:cs="Times New Roman"/>
          <w:szCs w:val="24"/>
        </w:rPr>
        <w:t>promoting and supporting best practice services;</w:t>
      </w:r>
    </w:p>
    <w:p w:rsidR="0001674D" w:rsidRPr="0001674D" w:rsidRDefault="0001674D" w:rsidP="00E669A7">
      <w:pPr>
        <w:pStyle w:val="ListParagraph"/>
        <w:numPr>
          <w:ilvl w:val="0"/>
          <w:numId w:val="26"/>
        </w:numPr>
        <w:rPr>
          <w:rFonts w:cs="Times New Roman"/>
          <w:szCs w:val="24"/>
        </w:rPr>
      </w:pPr>
      <w:r w:rsidRPr="0001674D">
        <w:rPr>
          <w:rFonts w:cs="Times New Roman"/>
          <w:szCs w:val="24"/>
        </w:rPr>
        <w:t>inquiries, investigations, and provision of impartial, well-informed information and advice to the Government on matters affecting public health;</w:t>
      </w:r>
    </w:p>
    <w:p w:rsidR="0060188E" w:rsidRDefault="0060188E">
      <w:pPr>
        <w:spacing w:after="200" w:line="276" w:lineRule="auto"/>
        <w:rPr>
          <w:rFonts w:ascii="Times New Roman" w:eastAsiaTheme="minorHAnsi" w:hAnsi="Times New Roman"/>
          <w:color w:val="000000" w:themeColor="text1"/>
          <w:sz w:val="24"/>
          <w:szCs w:val="24"/>
          <w:lang w:eastAsia="en-US"/>
        </w:rPr>
      </w:pPr>
      <w:r>
        <w:rPr>
          <w:szCs w:val="24"/>
        </w:rPr>
        <w:br w:type="page"/>
      </w:r>
    </w:p>
    <w:p w:rsidR="0001674D" w:rsidRPr="0001674D" w:rsidRDefault="0001674D" w:rsidP="00E669A7">
      <w:pPr>
        <w:pStyle w:val="ListParagraph"/>
        <w:numPr>
          <w:ilvl w:val="0"/>
          <w:numId w:val="26"/>
        </w:numPr>
        <w:rPr>
          <w:rFonts w:cs="Times New Roman"/>
          <w:szCs w:val="24"/>
        </w:rPr>
      </w:pPr>
      <w:r w:rsidRPr="0001674D">
        <w:rPr>
          <w:rFonts w:cs="Times New Roman"/>
          <w:szCs w:val="24"/>
        </w:rPr>
        <w:t>national secretariat activities of the peak and advisory bodies which may include:</w:t>
      </w:r>
    </w:p>
    <w:p w:rsidR="0001674D" w:rsidRPr="0001674D" w:rsidRDefault="0001674D" w:rsidP="00E669A7">
      <w:pPr>
        <w:pStyle w:val="ListParagraph"/>
        <w:numPr>
          <w:ilvl w:val="1"/>
          <w:numId w:val="24"/>
        </w:numPr>
        <w:rPr>
          <w:rFonts w:cs="Times New Roman"/>
          <w:szCs w:val="24"/>
        </w:rPr>
      </w:pPr>
      <w:r w:rsidRPr="0001674D">
        <w:rPr>
          <w:rFonts w:cs="Times New Roman"/>
          <w:szCs w:val="24"/>
        </w:rPr>
        <w:t>participation in relevant government advisory/consultation forums;</w:t>
      </w:r>
    </w:p>
    <w:p w:rsidR="0001674D" w:rsidRPr="0001674D" w:rsidRDefault="0001674D" w:rsidP="00E669A7">
      <w:pPr>
        <w:pStyle w:val="ListParagraph"/>
        <w:numPr>
          <w:ilvl w:val="1"/>
          <w:numId w:val="24"/>
        </w:numPr>
        <w:rPr>
          <w:rFonts w:cs="Times New Roman"/>
          <w:szCs w:val="24"/>
        </w:rPr>
      </w:pPr>
      <w:r w:rsidRPr="0001674D">
        <w:rPr>
          <w:rFonts w:cs="Times New Roman"/>
          <w:szCs w:val="24"/>
        </w:rPr>
        <w:t>coordination of responses to government requests for information on health matters, such as discussion papers and consultations; and</w:t>
      </w:r>
    </w:p>
    <w:p w:rsidR="0001674D" w:rsidRDefault="0001674D" w:rsidP="00E669A7">
      <w:pPr>
        <w:pStyle w:val="ListParagraph"/>
        <w:numPr>
          <w:ilvl w:val="1"/>
          <w:numId w:val="24"/>
        </w:numPr>
        <w:rPr>
          <w:rFonts w:cs="Times New Roman"/>
          <w:szCs w:val="24"/>
        </w:rPr>
      </w:pPr>
      <w:r w:rsidRPr="0001674D">
        <w:rPr>
          <w:rFonts w:cs="Times New Roman"/>
          <w:szCs w:val="24"/>
        </w:rPr>
        <w:t>promoting networks, partnerships and cooperation within the health sector.</w:t>
      </w:r>
    </w:p>
    <w:p w:rsidR="00AE031A" w:rsidRPr="00AE031A" w:rsidRDefault="00AE031A" w:rsidP="00AE031A">
      <w:pPr>
        <w:rPr>
          <w:szCs w:val="24"/>
        </w:rPr>
      </w:pPr>
    </w:p>
    <w:p w:rsidR="0001674D" w:rsidRPr="0001674D" w:rsidRDefault="0001674D" w:rsidP="00E669A7">
      <w:pPr>
        <w:contextualSpacing/>
        <w:rPr>
          <w:rFonts w:ascii="Times New Roman" w:hAnsi="Times New Roman"/>
          <w:sz w:val="24"/>
          <w:szCs w:val="24"/>
        </w:rPr>
      </w:pPr>
      <w:r w:rsidRPr="0001674D">
        <w:rPr>
          <w:rFonts w:ascii="Times New Roman" w:hAnsi="Times New Roman"/>
          <w:sz w:val="24"/>
          <w:szCs w:val="24"/>
        </w:rPr>
        <w:t xml:space="preserve">The item will be administered by the Department of Health.  All expenditure will be made in accordance with the </w:t>
      </w:r>
      <w:r w:rsidRPr="0001674D">
        <w:rPr>
          <w:rFonts w:ascii="Times New Roman" w:hAnsi="Times New Roman"/>
          <w:i/>
          <w:iCs/>
          <w:sz w:val="24"/>
          <w:szCs w:val="24"/>
        </w:rPr>
        <w:t xml:space="preserve">Public Governance, Performance and Accountability Act </w:t>
      </w:r>
      <w:r w:rsidRPr="0001674D">
        <w:rPr>
          <w:rFonts w:ascii="Times New Roman" w:hAnsi="Times New Roman"/>
          <w:i/>
          <w:sz w:val="24"/>
          <w:szCs w:val="24"/>
        </w:rPr>
        <w:t xml:space="preserve">2013 </w:t>
      </w:r>
      <w:r w:rsidRPr="0001674D">
        <w:rPr>
          <w:rFonts w:ascii="Times New Roman" w:hAnsi="Times New Roman"/>
          <w:sz w:val="24"/>
          <w:szCs w:val="24"/>
        </w:rPr>
        <w:t xml:space="preserve">and the </w:t>
      </w:r>
      <w:r w:rsidRPr="0001674D">
        <w:rPr>
          <w:rFonts w:ascii="Times New Roman" w:hAnsi="Times New Roman"/>
          <w:i/>
          <w:sz w:val="24"/>
          <w:szCs w:val="24"/>
        </w:rPr>
        <w:t>Commonwealth Grants Rules and Guidelines</w:t>
      </w:r>
      <w:r w:rsidRPr="0001674D">
        <w:rPr>
          <w:rFonts w:ascii="Times New Roman" w:hAnsi="Times New Roman"/>
          <w:sz w:val="24"/>
          <w:szCs w:val="24"/>
        </w:rPr>
        <w:t>.  The approver for grants awarded under this item is the Minister for Health or their delegate.</w:t>
      </w:r>
    </w:p>
    <w:p w:rsidR="0001674D" w:rsidRPr="0001674D" w:rsidRDefault="0001674D" w:rsidP="00E669A7">
      <w:pPr>
        <w:contextualSpacing/>
        <w:rPr>
          <w:rFonts w:ascii="Times New Roman" w:hAnsi="Times New Roman"/>
          <w:sz w:val="24"/>
          <w:szCs w:val="24"/>
        </w:rPr>
      </w:pPr>
    </w:p>
    <w:p w:rsidR="0001674D" w:rsidRPr="0001674D" w:rsidRDefault="0001674D" w:rsidP="00E669A7">
      <w:pPr>
        <w:contextualSpacing/>
        <w:rPr>
          <w:rFonts w:ascii="Times New Roman" w:hAnsi="Times New Roman"/>
          <w:sz w:val="24"/>
          <w:szCs w:val="24"/>
        </w:rPr>
      </w:pPr>
      <w:r w:rsidRPr="0001674D">
        <w:rPr>
          <w:rFonts w:ascii="Times New Roman" w:hAnsi="Times New Roman"/>
          <w:sz w:val="24"/>
          <w:szCs w:val="24"/>
        </w:rPr>
        <w:t xml:space="preserve">Grant selection processes will be undertaken in accordance with the </w:t>
      </w:r>
      <w:r w:rsidR="00170111">
        <w:rPr>
          <w:rFonts w:ascii="Times New Roman" w:hAnsi="Times New Roman"/>
          <w:sz w:val="24"/>
          <w:szCs w:val="24"/>
        </w:rPr>
        <w:t>programme g</w:t>
      </w:r>
      <w:r w:rsidRPr="0001674D">
        <w:rPr>
          <w:rFonts w:ascii="Times New Roman" w:hAnsi="Times New Roman"/>
          <w:sz w:val="24"/>
          <w:szCs w:val="24"/>
        </w:rPr>
        <w:t>uidelines and will predominantly be open competitive processes.  However, other selection processes (such as targeted competitive and closed non-competitive selection processes) may also be used.  Information about grant availability and selection processes, including eligibility criteria and the application process, will be published on the Department of Health’s website including the guidelines (http://www.health.gov.au).</w:t>
      </w:r>
    </w:p>
    <w:p w:rsidR="0001674D" w:rsidRPr="0001674D" w:rsidRDefault="0001674D" w:rsidP="00E669A7">
      <w:pPr>
        <w:contextualSpacing/>
        <w:rPr>
          <w:rFonts w:ascii="Times New Roman" w:hAnsi="Times New Roman"/>
          <w:sz w:val="24"/>
          <w:szCs w:val="24"/>
        </w:rPr>
      </w:pPr>
    </w:p>
    <w:p w:rsidR="0001674D" w:rsidRPr="0001674D" w:rsidRDefault="00170111" w:rsidP="00E669A7">
      <w:pPr>
        <w:contextualSpacing/>
        <w:rPr>
          <w:rFonts w:ascii="Times New Roman" w:hAnsi="Times New Roman"/>
          <w:sz w:val="24"/>
          <w:szCs w:val="24"/>
        </w:rPr>
      </w:pPr>
      <w:r>
        <w:rPr>
          <w:rFonts w:ascii="Times New Roman" w:hAnsi="Times New Roman"/>
          <w:sz w:val="24"/>
          <w:szCs w:val="24"/>
        </w:rPr>
        <w:t>The p</w:t>
      </w:r>
      <w:r w:rsidR="0001674D" w:rsidRPr="0001674D">
        <w:rPr>
          <w:rFonts w:ascii="Times New Roman" w:hAnsi="Times New Roman"/>
          <w:sz w:val="24"/>
          <w:szCs w:val="24"/>
        </w:rPr>
        <w:t xml:space="preserve">rogramme </w:t>
      </w:r>
      <w:r>
        <w:rPr>
          <w:rFonts w:ascii="Times New Roman" w:hAnsi="Times New Roman"/>
          <w:sz w:val="24"/>
          <w:szCs w:val="24"/>
        </w:rPr>
        <w:t>g</w:t>
      </w:r>
      <w:r w:rsidR="0001674D" w:rsidRPr="0001674D">
        <w:rPr>
          <w:rFonts w:ascii="Times New Roman" w:hAnsi="Times New Roman"/>
          <w:sz w:val="24"/>
          <w:szCs w:val="24"/>
        </w:rPr>
        <w:t>uidelines will outline the process by which unsuccessful grant applicants may request feedback on their applications.  Complaints relating to grant and procurement processes will be handled in accordance with the Department of Health’s Grant and Procurement Complaints Procedures</w:t>
      </w:r>
      <w:r w:rsidR="0001674D" w:rsidRPr="00170111">
        <w:rPr>
          <w:rStyle w:val="Hyperlink"/>
          <w:rFonts w:ascii="Times New Roman" w:hAnsi="Times New Roman"/>
          <w:color w:val="auto"/>
          <w:sz w:val="24"/>
          <w:szCs w:val="24"/>
          <w:u w:val="none"/>
        </w:rPr>
        <w:t>,</w:t>
      </w:r>
      <w:r w:rsidR="0001674D" w:rsidRPr="0001674D">
        <w:rPr>
          <w:rStyle w:val="Hyperlink"/>
          <w:rFonts w:ascii="Times New Roman" w:hAnsi="Times New Roman"/>
          <w:color w:val="auto"/>
          <w:sz w:val="24"/>
          <w:szCs w:val="24"/>
          <w:u w:val="none"/>
        </w:rPr>
        <w:t xml:space="preserve"> which are published on the Department of Health’s website (</w:t>
      </w:r>
      <w:r w:rsidR="0001674D" w:rsidRPr="0001674D">
        <w:rPr>
          <w:rFonts w:ascii="Times New Roman" w:hAnsi="Times New Roman"/>
          <w:sz w:val="24"/>
          <w:szCs w:val="24"/>
        </w:rPr>
        <w:t xml:space="preserve">http://www.health.gov.au/internet/main/publishing.nsf/Content/pfps-complaintsprocedures).  Those dissatisfied with the Department’s response to a complaint may lodge a further complaint with the Commonwealth Ombudsman.  </w:t>
      </w:r>
    </w:p>
    <w:p w:rsidR="0001674D" w:rsidRPr="0001674D" w:rsidRDefault="0001674D" w:rsidP="00E669A7">
      <w:pPr>
        <w:tabs>
          <w:tab w:val="left" w:pos="5197"/>
        </w:tabs>
        <w:contextualSpacing/>
        <w:rPr>
          <w:rFonts w:ascii="Times New Roman" w:hAnsi="Times New Roman"/>
          <w:sz w:val="24"/>
          <w:szCs w:val="24"/>
        </w:rPr>
      </w:pPr>
    </w:p>
    <w:p w:rsidR="0001674D" w:rsidRPr="0001674D" w:rsidRDefault="0001674D" w:rsidP="00E669A7">
      <w:pPr>
        <w:contextualSpacing/>
        <w:rPr>
          <w:rFonts w:ascii="Times New Roman" w:hAnsi="Times New Roman"/>
          <w:sz w:val="24"/>
          <w:szCs w:val="24"/>
        </w:rPr>
      </w:pPr>
      <w:r w:rsidRPr="0001674D">
        <w:rPr>
          <w:rFonts w:ascii="Times New Roman" w:hAnsi="Times New Roman"/>
          <w:sz w:val="24"/>
          <w:szCs w:val="24"/>
        </w:rPr>
        <w:t xml:space="preserve">Funding will come from Programme 7.2: Health Information, which is part of Outcome 7: Health Infrastructure, Regulation, Safety and Quality.  Details are set out in the </w:t>
      </w:r>
      <w:r w:rsidRPr="0001674D">
        <w:rPr>
          <w:rFonts w:ascii="Times New Roman" w:hAnsi="Times New Roman"/>
          <w:i/>
          <w:sz w:val="24"/>
          <w:szCs w:val="24"/>
        </w:rPr>
        <w:t>Portfolio Budget Statements 2015-16, Budget Related Paper No. 1.10</w:t>
      </w:r>
      <w:r w:rsidRPr="0001674D">
        <w:rPr>
          <w:rFonts w:ascii="Times New Roman" w:hAnsi="Times New Roman"/>
          <w:sz w:val="24"/>
          <w:szCs w:val="24"/>
        </w:rPr>
        <w:t xml:space="preserve">, </w:t>
      </w:r>
      <w:r w:rsidRPr="0001674D">
        <w:rPr>
          <w:rFonts w:ascii="Times New Roman" w:hAnsi="Times New Roman"/>
          <w:i/>
          <w:sz w:val="24"/>
          <w:szCs w:val="24"/>
        </w:rPr>
        <w:t>Health Portfolio</w:t>
      </w:r>
      <w:r w:rsidRPr="0001674D">
        <w:rPr>
          <w:rFonts w:ascii="Times New Roman" w:hAnsi="Times New Roman"/>
          <w:sz w:val="24"/>
          <w:szCs w:val="24"/>
        </w:rPr>
        <w:t xml:space="preserve"> at page 120.</w:t>
      </w:r>
    </w:p>
    <w:p w:rsidR="0001674D" w:rsidRPr="0001674D" w:rsidRDefault="0001674D" w:rsidP="00E669A7">
      <w:pPr>
        <w:tabs>
          <w:tab w:val="left" w:pos="5197"/>
        </w:tabs>
        <w:contextualSpacing/>
        <w:rPr>
          <w:rFonts w:ascii="Times New Roman" w:hAnsi="Times New Roman"/>
          <w:sz w:val="24"/>
          <w:szCs w:val="24"/>
        </w:rPr>
      </w:pPr>
    </w:p>
    <w:p w:rsidR="0001674D" w:rsidRPr="0001674D" w:rsidRDefault="0001674D" w:rsidP="00E669A7">
      <w:pPr>
        <w:contextualSpacing/>
        <w:rPr>
          <w:rFonts w:ascii="Times New Roman" w:hAnsi="Times New Roman"/>
          <w:sz w:val="24"/>
          <w:szCs w:val="24"/>
        </w:rPr>
      </w:pPr>
      <w:r w:rsidRPr="0001674D">
        <w:rPr>
          <w:rFonts w:ascii="Times New Roman" w:hAnsi="Times New Roman"/>
          <w:sz w:val="24"/>
          <w:szCs w:val="24"/>
        </w:rPr>
        <w:t xml:space="preserve">Noting that it is not a comprehensive statement of relevant constitutional considerations, </w:t>
      </w:r>
      <w:r w:rsidR="002B3CF2">
        <w:rPr>
          <w:rFonts w:ascii="Times New Roman" w:hAnsi="Times New Roman"/>
          <w:sz w:val="24"/>
          <w:szCs w:val="24"/>
        </w:rPr>
        <w:br/>
      </w:r>
      <w:r w:rsidRPr="0001674D">
        <w:rPr>
          <w:rFonts w:ascii="Times New Roman" w:hAnsi="Times New Roman"/>
          <w:sz w:val="24"/>
          <w:szCs w:val="24"/>
        </w:rPr>
        <w:t>the objective of the item references the following powers of the Constitution:</w:t>
      </w:r>
      <w:r w:rsidRPr="0001674D">
        <w:rPr>
          <w:rFonts w:ascii="Times New Roman" w:hAnsi="Times New Roman"/>
          <w:color w:val="FF0000"/>
          <w:sz w:val="24"/>
          <w:szCs w:val="24"/>
        </w:rPr>
        <w:t xml:space="preserve"> </w:t>
      </w:r>
    </w:p>
    <w:p w:rsidR="0001674D" w:rsidRPr="0001674D" w:rsidRDefault="0001674D" w:rsidP="00E669A7">
      <w:pPr>
        <w:pStyle w:val="ListParagraph"/>
        <w:numPr>
          <w:ilvl w:val="0"/>
          <w:numId w:val="25"/>
        </w:numPr>
        <w:rPr>
          <w:rFonts w:cs="Times New Roman"/>
          <w:szCs w:val="24"/>
        </w:rPr>
      </w:pPr>
      <w:r w:rsidRPr="0001674D">
        <w:rPr>
          <w:rFonts w:cs="Times New Roman"/>
          <w:szCs w:val="24"/>
        </w:rPr>
        <w:t>the telecommunications power (section 51(v));</w:t>
      </w:r>
    </w:p>
    <w:p w:rsidR="0001674D" w:rsidRPr="0001674D" w:rsidRDefault="0001674D" w:rsidP="00E669A7">
      <w:pPr>
        <w:pStyle w:val="ListParagraph"/>
        <w:numPr>
          <w:ilvl w:val="0"/>
          <w:numId w:val="25"/>
        </w:numPr>
        <w:rPr>
          <w:rFonts w:cs="Times New Roman"/>
          <w:szCs w:val="24"/>
        </w:rPr>
      </w:pPr>
      <w:r w:rsidRPr="0001674D">
        <w:rPr>
          <w:rFonts w:cs="Times New Roman"/>
          <w:szCs w:val="24"/>
        </w:rPr>
        <w:t>the census and statistics power (section 51(xi));</w:t>
      </w:r>
    </w:p>
    <w:p w:rsidR="0001674D" w:rsidRPr="0001674D" w:rsidRDefault="0001674D" w:rsidP="00E669A7">
      <w:pPr>
        <w:pStyle w:val="ListParagraph"/>
        <w:numPr>
          <w:ilvl w:val="0"/>
          <w:numId w:val="25"/>
        </w:numPr>
        <w:rPr>
          <w:rFonts w:cs="Times New Roman"/>
          <w:szCs w:val="24"/>
        </w:rPr>
      </w:pPr>
      <w:r w:rsidRPr="0001674D">
        <w:rPr>
          <w:rFonts w:cs="Times New Roman"/>
          <w:szCs w:val="24"/>
        </w:rPr>
        <w:t xml:space="preserve">the social welfare power (section 51(xxiiiA)); </w:t>
      </w:r>
    </w:p>
    <w:p w:rsidR="0001674D" w:rsidRPr="0001674D" w:rsidRDefault="0001674D" w:rsidP="00E669A7">
      <w:pPr>
        <w:pStyle w:val="ListParagraph"/>
        <w:numPr>
          <w:ilvl w:val="0"/>
          <w:numId w:val="25"/>
        </w:numPr>
        <w:rPr>
          <w:rFonts w:cs="Times New Roman"/>
          <w:szCs w:val="24"/>
        </w:rPr>
      </w:pPr>
      <w:r w:rsidRPr="0001674D">
        <w:rPr>
          <w:rFonts w:cs="Times New Roman"/>
          <w:szCs w:val="24"/>
        </w:rPr>
        <w:t>the external affairs power (section 51(xxix)); and</w:t>
      </w:r>
    </w:p>
    <w:p w:rsidR="0001674D" w:rsidRDefault="0001674D" w:rsidP="00E669A7">
      <w:pPr>
        <w:pStyle w:val="ListParagraph"/>
        <w:numPr>
          <w:ilvl w:val="0"/>
          <w:numId w:val="25"/>
        </w:numPr>
        <w:rPr>
          <w:rFonts w:cs="Times New Roman"/>
          <w:szCs w:val="24"/>
        </w:rPr>
      </w:pPr>
      <w:r w:rsidRPr="0001674D">
        <w:rPr>
          <w:rFonts w:cs="Times New Roman"/>
          <w:szCs w:val="24"/>
        </w:rPr>
        <w:t xml:space="preserve">the Commonwealth executive power and the express incidental power </w:t>
      </w:r>
      <w:r w:rsidR="00C30D11">
        <w:rPr>
          <w:rFonts w:cs="Times New Roman"/>
          <w:szCs w:val="24"/>
        </w:rPr>
        <w:br/>
      </w:r>
      <w:r w:rsidRPr="0001674D">
        <w:rPr>
          <w:rFonts w:cs="Times New Roman"/>
          <w:szCs w:val="24"/>
        </w:rPr>
        <w:t>(sections 61 and 51(xxxix)).</w:t>
      </w:r>
    </w:p>
    <w:p w:rsidR="002B1D71" w:rsidRDefault="002B1D71" w:rsidP="00E669A7">
      <w:pPr>
        <w:contextualSpacing/>
        <w:rPr>
          <w:szCs w:val="24"/>
        </w:rPr>
      </w:pPr>
    </w:p>
    <w:p w:rsidR="002B1D71" w:rsidRDefault="002B1D71" w:rsidP="00E669A7">
      <w:pPr>
        <w:contextualSpacing/>
        <w:rPr>
          <w:szCs w:val="24"/>
        </w:rPr>
      </w:pPr>
    </w:p>
    <w:p w:rsidR="002B1D71" w:rsidRPr="002B1D71" w:rsidRDefault="002B1D71" w:rsidP="00E669A7">
      <w:pPr>
        <w:contextualSpacing/>
        <w:rPr>
          <w:szCs w:val="24"/>
        </w:rPr>
        <w:sectPr w:rsidR="002B1D71" w:rsidRPr="002B1D71" w:rsidSect="000D2CFD">
          <w:headerReference w:type="default" r:id="rId11"/>
          <w:headerReference w:type="first" r:id="rId12"/>
          <w:pgSz w:w="11906" w:h="16838"/>
          <w:pgMar w:top="1440" w:right="1440" w:bottom="1440" w:left="1440" w:header="708" w:footer="708" w:gutter="0"/>
          <w:pgNumType w:start="1"/>
          <w:cols w:space="708"/>
          <w:titlePg/>
          <w:docGrid w:linePitch="360"/>
        </w:sectPr>
      </w:pPr>
    </w:p>
    <w:p w:rsidR="0035036D" w:rsidRPr="0001674D" w:rsidRDefault="0035036D" w:rsidP="00E669A7">
      <w:pPr>
        <w:contextualSpacing/>
        <w:jc w:val="center"/>
        <w:rPr>
          <w:rFonts w:ascii="Times New Roman" w:eastAsia="Times New Roman" w:hAnsi="Times New Roman"/>
          <w:b/>
          <w:bCs/>
          <w:sz w:val="24"/>
          <w:szCs w:val="24"/>
        </w:rPr>
      </w:pPr>
      <w:r w:rsidRPr="0001674D">
        <w:rPr>
          <w:rFonts w:ascii="Times New Roman" w:eastAsia="Times New Roman" w:hAnsi="Times New Roman"/>
          <w:b/>
          <w:bCs/>
          <w:sz w:val="24"/>
          <w:szCs w:val="24"/>
        </w:rPr>
        <w:t>Statement of Compatibility with Human Rights</w:t>
      </w:r>
    </w:p>
    <w:p w:rsidR="0035036D" w:rsidRPr="0001674D" w:rsidRDefault="0035036D" w:rsidP="00E669A7">
      <w:pPr>
        <w:pStyle w:val="paranumbering0"/>
        <w:spacing w:before="0" w:beforeAutospacing="0" w:after="120" w:afterAutospacing="0"/>
        <w:contextualSpacing/>
        <w:jc w:val="center"/>
      </w:pPr>
    </w:p>
    <w:p w:rsidR="0035036D" w:rsidRPr="0001674D" w:rsidRDefault="0035036D" w:rsidP="00E669A7">
      <w:pPr>
        <w:pStyle w:val="paranumbering0"/>
        <w:spacing w:before="0" w:beforeAutospacing="0" w:after="120" w:afterAutospacing="0"/>
        <w:contextualSpacing/>
        <w:jc w:val="center"/>
      </w:pPr>
      <w:r w:rsidRPr="0001674D">
        <w:t xml:space="preserve">Prepared in accordance with Part 3 of the </w:t>
      </w:r>
      <w:r w:rsidRPr="0001674D">
        <w:rPr>
          <w:i/>
        </w:rPr>
        <w:t>Human Rights (Parliamentary Scrutiny) Act 2011</w:t>
      </w:r>
    </w:p>
    <w:p w:rsidR="0035036D" w:rsidRPr="0001674D" w:rsidRDefault="0035036D" w:rsidP="00E669A7">
      <w:pPr>
        <w:pStyle w:val="paranumbering0"/>
        <w:spacing w:before="0" w:beforeAutospacing="0" w:after="120" w:afterAutospacing="0"/>
        <w:contextualSpacing/>
      </w:pPr>
    </w:p>
    <w:p w:rsidR="0035036D" w:rsidRPr="0001674D" w:rsidRDefault="0035036D" w:rsidP="00E669A7">
      <w:pPr>
        <w:pStyle w:val="paranumbering0"/>
        <w:spacing w:before="0" w:beforeAutospacing="0" w:after="120" w:afterAutospacing="0"/>
        <w:contextualSpacing/>
        <w:rPr>
          <w:b/>
          <w:i/>
        </w:rPr>
      </w:pPr>
      <w:r w:rsidRPr="0001674D">
        <w:rPr>
          <w:b/>
          <w:i/>
        </w:rPr>
        <w:t xml:space="preserve">Financial Framework (Supplementary Powers) Amendment </w:t>
      </w:r>
      <w:r w:rsidRPr="0001674D">
        <w:rPr>
          <w:b/>
          <w:i/>
          <w:iCs/>
        </w:rPr>
        <w:t xml:space="preserve">(2015 Measures No. </w:t>
      </w:r>
      <w:r w:rsidR="0001674D" w:rsidRPr="0001674D">
        <w:rPr>
          <w:b/>
          <w:i/>
          <w:iCs/>
        </w:rPr>
        <w:t>6</w:t>
      </w:r>
      <w:r w:rsidRPr="0001674D">
        <w:rPr>
          <w:b/>
          <w:i/>
          <w:iCs/>
        </w:rPr>
        <w:t xml:space="preserve">) </w:t>
      </w:r>
      <w:r w:rsidRPr="0001674D">
        <w:rPr>
          <w:b/>
          <w:i/>
        </w:rPr>
        <w:t>Regulation 2015</w:t>
      </w:r>
    </w:p>
    <w:p w:rsidR="0035036D" w:rsidRPr="0001674D" w:rsidRDefault="0035036D" w:rsidP="00E669A7">
      <w:pPr>
        <w:pStyle w:val="paranumbering0"/>
        <w:spacing w:before="0" w:beforeAutospacing="0" w:after="120" w:afterAutospacing="0"/>
        <w:contextualSpacing/>
      </w:pPr>
    </w:p>
    <w:p w:rsidR="0035036D" w:rsidRPr="0001674D" w:rsidRDefault="0035036D" w:rsidP="00E669A7">
      <w:pPr>
        <w:pStyle w:val="paranumbering0"/>
        <w:spacing w:before="0" w:beforeAutospacing="0" w:after="120" w:afterAutospacing="0"/>
        <w:contextualSpacing/>
      </w:pPr>
      <w:r w:rsidRPr="0001674D">
        <w:t xml:space="preserve">This Regulation is compatible with the human rights and freedoms recognised or declared in the international instruments listed in section 3 of the </w:t>
      </w:r>
      <w:r w:rsidRPr="0001674D">
        <w:rPr>
          <w:i/>
        </w:rPr>
        <w:t>Human Rights (Parliamentary Scrutiny) Act 2011.</w:t>
      </w:r>
    </w:p>
    <w:p w:rsidR="0035036D" w:rsidRPr="0001674D" w:rsidRDefault="0035036D" w:rsidP="00E669A7">
      <w:pPr>
        <w:pStyle w:val="paranumbering0"/>
        <w:spacing w:before="0" w:beforeAutospacing="0" w:after="120" w:afterAutospacing="0"/>
        <w:contextualSpacing/>
      </w:pPr>
    </w:p>
    <w:p w:rsidR="0035036D" w:rsidRPr="0001674D" w:rsidRDefault="0035036D" w:rsidP="00E669A7">
      <w:pPr>
        <w:pStyle w:val="paranumbering0"/>
        <w:spacing w:before="0" w:beforeAutospacing="0" w:after="120" w:afterAutospacing="0"/>
        <w:contextualSpacing/>
        <w:rPr>
          <w:b/>
        </w:rPr>
      </w:pPr>
      <w:r w:rsidRPr="0001674D">
        <w:rPr>
          <w:b/>
        </w:rPr>
        <w:t>Overview of the Legislative Instrument</w:t>
      </w:r>
    </w:p>
    <w:p w:rsidR="0035036D" w:rsidRPr="0001674D" w:rsidRDefault="0035036D" w:rsidP="00E669A7">
      <w:pPr>
        <w:spacing w:after="120"/>
        <w:ind w:right="-188"/>
        <w:contextualSpacing/>
        <w:rPr>
          <w:rFonts w:ascii="Times New Roman" w:hAnsi="Times New Roman"/>
          <w:sz w:val="24"/>
          <w:szCs w:val="24"/>
        </w:rPr>
      </w:pPr>
      <w:r w:rsidRPr="0001674D">
        <w:rPr>
          <w:rFonts w:ascii="Times New Roman" w:hAnsi="Times New Roman"/>
          <w:sz w:val="24"/>
          <w:szCs w:val="24"/>
        </w:rPr>
        <w:t xml:space="preserve">Section 32B of the </w:t>
      </w:r>
      <w:r w:rsidRPr="0001674D">
        <w:rPr>
          <w:rFonts w:ascii="Times New Roman" w:hAnsi="Times New Roman"/>
          <w:i/>
          <w:sz w:val="24"/>
          <w:szCs w:val="24"/>
        </w:rPr>
        <w:t>Financial Framework (Supplementary Powers) Act 1997</w:t>
      </w:r>
      <w:r w:rsidRPr="0001674D">
        <w:rPr>
          <w:rFonts w:ascii="Times New Roman" w:hAnsi="Times New Roman"/>
          <w:sz w:val="24"/>
          <w:szCs w:val="24"/>
        </w:rPr>
        <w:t xml:space="preserve"> (the FF(SP) Act) authorises the Commonwealth to make, vary and administer arrangements and grants specified in the </w:t>
      </w:r>
      <w:r w:rsidRPr="0001674D">
        <w:rPr>
          <w:rFonts w:ascii="Times New Roman" w:hAnsi="Times New Roman"/>
          <w:i/>
          <w:sz w:val="24"/>
          <w:szCs w:val="24"/>
        </w:rPr>
        <w:t>Financial Framework (Supplementary Powers) Regulations 1997</w:t>
      </w:r>
      <w:r w:rsidR="00714220">
        <w:rPr>
          <w:rFonts w:ascii="Times New Roman" w:hAnsi="Times New Roman"/>
          <w:i/>
          <w:sz w:val="24"/>
          <w:szCs w:val="24"/>
        </w:rPr>
        <w:t xml:space="preserve"> </w:t>
      </w:r>
      <w:r w:rsidR="00714220" w:rsidRPr="00714220">
        <w:rPr>
          <w:rFonts w:ascii="Times New Roman" w:hAnsi="Times New Roman"/>
          <w:sz w:val="24"/>
          <w:szCs w:val="24"/>
        </w:rPr>
        <w:t>(</w:t>
      </w:r>
      <w:r w:rsidRPr="0001674D">
        <w:rPr>
          <w:rFonts w:ascii="Times New Roman" w:hAnsi="Times New Roman"/>
          <w:sz w:val="24"/>
          <w:szCs w:val="24"/>
        </w:rPr>
        <w:t xml:space="preserve">the FF(SP) Regulations) and to make, vary and administer arrangements and grants for the purposes of programmes specified in the Regulations.  Schedule 1AA and Schedule 1AB to the FF(SP) Regulations specify the arrangements, grants and programmes.  </w:t>
      </w:r>
    </w:p>
    <w:p w:rsidR="0035036D" w:rsidRPr="0001674D" w:rsidRDefault="0035036D" w:rsidP="00E669A7">
      <w:pPr>
        <w:spacing w:after="120"/>
        <w:ind w:right="-188"/>
        <w:contextualSpacing/>
        <w:rPr>
          <w:rFonts w:ascii="Times New Roman" w:hAnsi="Times New Roman"/>
          <w:sz w:val="24"/>
          <w:szCs w:val="24"/>
        </w:rPr>
      </w:pPr>
    </w:p>
    <w:p w:rsidR="0035036D" w:rsidRPr="0001674D" w:rsidRDefault="0035036D" w:rsidP="00E669A7">
      <w:pPr>
        <w:spacing w:after="120"/>
        <w:ind w:right="-188"/>
        <w:contextualSpacing/>
        <w:rPr>
          <w:rFonts w:ascii="Times New Roman" w:hAnsi="Times New Roman"/>
          <w:sz w:val="24"/>
          <w:szCs w:val="24"/>
        </w:rPr>
      </w:pPr>
      <w:r w:rsidRPr="0001674D">
        <w:rPr>
          <w:rFonts w:ascii="Times New Roman" w:hAnsi="Times New Roman"/>
          <w:sz w:val="24"/>
          <w:szCs w:val="24"/>
        </w:rPr>
        <w:t>The FF(SP) Act applies to Ministers and the accountable authorities of non</w:t>
      </w:r>
      <w:r w:rsidRPr="0001674D">
        <w:rPr>
          <w:rFonts w:ascii="Times New Roman" w:hAnsi="Times New Roman"/>
          <w:sz w:val="24"/>
          <w:szCs w:val="24"/>
        </w:rPr>
        <w:noBreakHyphen/>
        <w:t xml:space="preserve">corporate Commonwealth entities, as defined under section 12 of the </w:t>
      </w:r>
      <w:r w:rsidRPr="0001674D">
        <w:rPr>
          <w:rFonts w:ascii="Times New Roman" w:hAnsi="Times New Roman"/>
          <w:i/>
          <w:sz w:val="24"/>
          <w:szCs w:val="24"/>
        </w:rPr>
        <w:t>Public Governance, Performance and Accountability Act 2013</w:t>
      </w:r>
      <w:r w:rsidRPr="0001674D">
        <w:rPr>
          <w:rFonts w:ascii="Times New Roman" w:hAnsi="Times New Roman"/>
          <w:sz w:val="24"/>
          <w:szCs w:val="24"/>
        </w:rPr>
        <w:t xml:space="preserve">.  </w:t>
      </w:r>
    </w:p>
    <w:p w:rsidR="0035036D" w:rsidRPr="0001674D" w:rsidRDefault="0035036D" w:rsidP="00E669A7">
      <w:pPr>
        <w:spacing w:after="120"/>
        <w:contextualSpacing/>
        <w:rPr>
          <w:rFonts w:ascii="Times New Roman" w:hAnsi="Times New Roman"/>
          <w:sz w:val="24"/>
          <w:szCs w:val="24"/>
        </w:rPr>
      </w:pPr>
    </w:p>
    <w:p w:rsidR="00D005D7" w:rsidRPr="0001674D" w:rsidRDefault="0035036D" w:rsidP="00E669A7">
      <w:pPr>
        <w:spacing w:after="120"/>
        <w:contextualSpacing/>
        <w:rPr>
          <w:rFonts w:ascii="Times New Roman" w:hAnsi="Times New Roman"/>
          <w:sz w:val="24"/>
          <w:szCs w:val="24"/>
        </w:rPr>
      </w:pPr>
      <w:r w:rsidRPr="0001674D">
        <w:rPr>
          <w:rFonts w:ascii="Times New Roman" w:hAnsi="Times New Roman"/>
          <w:color w:val="000000" w:themeColor="text1"/>
          <w:sz w:val="24"/>
          <w:szCs w:val="24"/>
        </w:rPr>
        <w:t xml:space="preserve">The Regulation amends Schedule 1AB to the FF(SP) Regulations to establish legislative authority for </w:t>
      </w:r>
      <w:r w:rsidR="00D005D7" w:rsidRPr="0001674D">
        <w:rPr>
          <w:rFonts w:ascii="Times New Roman" w:hAnsi="Times New Roman"/>
          <w:sz w:val="24"/>
          <w:szCs w:val="24"/>
        </w:rPr>
        <w:t xml:space="preserve">spending by the Government </w:t>
      </w:r>
      <w:r w:rsidR="00BB5E38">
        <w:rPr>
          <w:rFonts w:ascii="Times New Roman" w:hAnsi="Times New Roman"/>
          <w:sz w:val="24"/>
          <w:szCs w:val="24"/>
        </w:rPr>
        <w:t>on 22 activities across seven portfolios.</w:t>
      </w:r>
      <w:r w:rsidR="00BB5E38" w:rsidRPr="00BB5E38">
        <w:rPr>
          <w:rFonts w:ascii="Times New Roman" w:hAnsi="Times New Roman"/>
          <w:sz w:val="24"/>
          <w:szCs w:val="24"/>
        </w:rPr>
        <w:t xml:space="preserve">  Many of the activities were announced in the 2015-16 Budget and relate to</w:t>
      </w:r>
      <w:r w:rsidR="00D005D7" w:rsidRPr="0001674D">
        <w:rPr>
          <w:rFonts w:ascii="Times New Roman" w:hAnsi="Times New Roman"/>
          <w:sz w:val="24"/>
          <w:szCs w:val="24"/>
        </w:rPr>
        <w:t>:</w:t>
      </w:r>
    </w:p>
    <w:p w:rsidR="00170111" w:rsidRPr="0001674D" w:rsidRDefault="00170111" w:rsidP="00E669A7">
      <w:pPr>
        <w:pStyle w:val="ListParagraph"/>
        <w:numPr>
          <w:ilvl w:val="0"/>
          <w:numId w:val="2"/>
        </w:numPr>
        <w:spacing w:after="120"/>
        <w:rPr>
          <w:rFonts w:cs="Times New Roman"/>
          <w:szCs w:val="24"/>
        </w:rPr>
      </w:pPr>
      <w:r w:rsidRPr="0001674D">
        <w:rPr>
          <w:rFonts w:cs="Times New Roman"/>
          <w:szCs w:val="24"/>
        </w:rPr>
        <w:t>the Community Legal Services Programme to provide access to legal assistance services for vulnerable and disadvantaged members of the community; the establishment of the National Programme for Excellence in the Arts to support participation in, and access to, Australia’s arts and cultural sector; and funding the matched funding programme, to be administered by Creative Partnerships Australia, to support projects that develop the arts sector’s capacity to use innovative fundraising strategies and build partnerships with the corporate and philanthropic sectors (Attorney</w:t>
      </w:r>
      <w:r w:rsidRPr="0001674D">
        <w:rPr>
          <w:rFonts w:cs="Times New Roman"/>
          <w:szCs w:val="24"/>
        </w:rPr>
        <w:noBreakHyphen/>
        <w:t>General’s portfolio);</w:t>
      </w:r>
    </w:p>
    <w:p w:rsidR="00170111" w:rsidRPr="0001674D" w:rsidRDefault="00170111" w:rsidP="00E669A7">
      <w:pPr>
        <w:pStyle w:val="ListParagraph"/>
        <w:numPr>
          <w:ilvl w:val="0"/>
          <w:numId w:val="2"/>
        </w:numPr>
        <w:spacing w:after="120"/>
        <w:rPr>
          <w:rFonts w:cs="Times New Roman"/>
          <w:szCs w:val="24"/>
        </w:rPr>
      </w:pPr>
      <w:r w:rsidRPr="0001674D">
        <w:rPr>
          <w:rFonts w:cs="Times New Roman"/>
          <w:szCs w:val="24"/>
        </w:rPr>
        <w:t>public access to national geocoded address data (Communications portfolio);</w:t>
      </w:r>
    </w:p>
    <w:p w:rsidR="00170111" w:rsidRDefault="00170111" w:rsidP="00E669A7">
      <w:pPr>
        <w:pStyle w:val="ListParagraph"/>
        <w:numPr>
          <w:ilvl w:val="0"/>
          <w:numId w:val="2"/>
        </w:numPr>
        <w:spacing w:after="120"/>
        <w:rPr>
          <w:rFonts w:cs="Times New Roman"/>
          <w:szCs w:val="24"/>
        </w:rPr>
      </w:pPr>
      <w:r w:rsidRPr="0001674D">
        <w:rPr>
          <w:rFonts w:cs="Times New Roman"/>
          <w:szCs w:val="24"/>
        </w:rPr>
        <w:t>the Australian Apprenticeship Support Network to deliver support services nationally to assist apprentices and their employers to engage with, participate in, and complete Australian apprenticeships (Education and Training portfolio);</w:t>
      </w:r>
    </w:p>
    <w:p w:rsidR="00170111" w:rsidRPr="00C3411C" w:rsidRDefault="00170111" w:rsidP="00E669A7">
      <w:pPr>
        <w:pStyle w:val="ListParagraph"/>
        <w:numPr>
          <w:ilvl w:val="0"/>
          <w:numId w:val="2"/>
        </w:numPr>
        <w:spacing w:after="120"/>
        <w:rPr>
          <w:rFonts w:cs="Times New Roman"/>
          <w:szCs w:val="24"/>
        </w:rPr>
      </w:pPr>
      <w:r w:rsidRPr="00C3411C">
        <w:rPr>
          <w:rFonts w:cs="Times New Roman"/>
          <w:szCs w:val="24"/>
        </w:rPr>
        <w:t>the development of a coordinated data platform on energy to help all users of energy data understand and forecast changes in energy demand (Industry and Science portfolio);</w:t>
      </w:r>
    </w:p>
    <w:p w:rsidR="00170111" w:rsidRPr="0001674D" w:rsidRDefault="00170111" w:rsidP="00E669A7">
      <w:pPr>
        <w:pStyle w:val="ListParagraph"/>
        <w:numPr>
          <w:ilvl w:val="0"/>
          <w:numId w:val="2"/>
        </w:numPr>
        <w:spacing w:after="120"/>
        <w:rPr>
          <w:rFonts w:cs="Times New Roman"/>
          <w:szCs w:val="24"/>
        </w:rPr>
      </w:pPr>
      <w:r w:rsidRPr="0001674D">
        <w:rPr>
          <w:rFonts w:cs="Times New Roman"/>
          <w:szCs w:val="24"/>
        </w:rPr>
        <w:t xml:space="preserve">supporting land transport infrastructure projects by providing loans to support project delivery; the Stronger Communities Programme which is designed to deliver social benefits in Australia’s regions by funding small capital projects in local communities in each of the 150 federal electorates; and the Drought Communities Programme that will fund local infrastructure initiatives in selected local government areas (Infrastructure and Regional Development portfolio); </w:t>
      </w:r>
      <w:r w:rsidR="00B77C43">
        <w:rPr>
          <w:rFonts w:cs="Times New Roman"/>
          <w:szCs w:val="24"/>
        </w:rPr>
        <w:t>and</w:t>
      </w:r>
    </w:p>
    <w:p w:rsidR="00170111" w:rsidRDefault="00170111" w:rsidP="00B77C43">
      <w:pPr>
        <w:pStyle w:val="ListParagraph"/>
        <w:numPr>
          <w:ilvl w:val="0"/>
          <w:numId w:val="2"/>
        </w:numPr>
        <w:ind w:left="714" w:hanging="357"/>
        <w:rPr>
          <w:rFonts w:cs="Times New Roman"/>
          <w:szCs w:val="24"/>
        </w:rPr>
      </w:pPr>
      <w:r w:rsidRPr="0001674D">
        <w:rPr>
          <w:rFonts w:cs="Times New Roman"/>
          <w:szCs w:val="24"/>
          <w:lang w:eastAsia="en-AU"/>
        </w:rPr>
        <w:t>the Individual Placement and Support Trial to assist young people with mental illness to remain in education or employment, or to transition to employment</w:t>
      </w:r>
      <w:r w:rsidR="00B77C43">
        <w:rPr>
          <w:rFonts w:cs="Times New Roman"/>
          <w:szCs w:val="24"/>
        </w:rPr>
        <w:t xml:space="preserve"> (Social Services portfolio).</w:t>
      </w:r>
    </w:p>
    <w:p w:rsidR="00B77C43" w:rsidRPr="00B77C43" w:rsidRDefault="00B77C43" w:rsidP="00B77C43">
      <w:pPr>
        <w:rPr>
          <w:rFonts w:ascii="Times New Roman" w:hAnsi="Times New Roman"/>
          <w:sz w:val="24"/>
          <w:szCs w:val="24"/>
        </w:rPr>
      </w:pPr>
    </w:p>
    <w:p w:rsidR="00170111" w:rsidRPr="00B77C43" w:rsidRDefault="00B77C43" w:rsidP="00B77C43">
      <w:pPr>
        <w:rPr>
          <w:rFonts w:ascii="Times New Roman" w:hAnsi="Times New Roman"/>
          <w:sz w:val="24"/>
          <w:szCs w:val="24"/>
        </w:rPr>
      </w:pPr>
      <w:r w:rsidRPr="00B77C43">
        <w:rPr>
          <w:rFonts w:ascii="Times New Roman" w:hAnsi="Times New Roman"/>
          <w:sz w:val="24"/>
          <w:szCs w:val="24"/>
        </w:rPr>
        <w:t xml:space="preserve">The </w:t>
      </w:r>
      <w:r>
        <w:rPr>
          <w:rFonts w:ascii="Times New Roman" w:hAnsi="Times New Roman"/>
          <w:sz w:val="24"/>
          <w:szCs w:val="24"/>
        </w:rPr>
        <w:t xml:space="preserve">Regulation also </w:t>
      </w:r>
      <w:r w:rsidRPr="00B77C43">
        <w:rPr>
          <w:rFonts w:ascii="Times New Roman" w:hAnsi="Times New Roman"/>
          <w:sz w:val="24"/>
          <w:szCs w:val="24"/>
        </w:rPr>
        <w:t xml:space="preserve">includes </w:t>
      </w:r>
      <w:r>
        <w:rPr>
          <w:rFonts w:ascii="Times New Roman" w:hAnsi="Times New Roman"/>
          <w:sz w:val="24"/>
          <w:szCs w:val="24"/>
        </w:rPr>
        <w:t>12</w:t>
      </w:r>
      <w:r w:rsidR="00170111" w:rsidRPr="00B77C43">
        <w:rPr>
          <w:rFonts w:ascii="Times New Roman" w:hAnsi="Times New Roman"/>
          <w:sz w:val="24"/>
          <w:szCs w:val="24"/>
        </w:rPr>
        <w:t xml:space="preserve"> items f</w:t>
      </w:r>
      <w:r w:rsidR="008F20AC">
        <w:rPr>
          <w:rFonts w:ascii="Times New Roman" w:hAnsi="Times New Roman"/>
          <w:sz w:val="24"/>
          <w:szCs w:val="24"/>
        </w:rPr>
        <w:t>or</w:t>
      </w:r>
      <w:r w:rsidR="00170111" w:rsidRPr="00B77C43">
        <w:rPr>
          <w:rFonts w:ascii="Times New Roman" w:hAnsi="Times New Roman"/>
          <w:sz w:val="24"/>
          <w:szCs w:val="24"/>
        </w:rPr>
        <w:t xml:space="preserve"> the Health portfolio </w:t>
      </w:r>
      <w:r>
        <w:rPr>
          <w:rFonts w:ascii="Times New Roman" w:hAnsi="Times New Roman"/>
          <w:sz w:val="24"/>
          <w:szCs w:val="24"/>
        </w:rPr>
        <w:t>relating to</w:t>
      </w:r>
      <w:r w:rsidR="00170111" w:rsidRPr="00B77C43">
        <w:rPr>
          <w:rFonts w:ascii="Times New Roman" w:hAnsi="Times New Roman"/>
          <w:sz w:val="24"/>
          <w:szCs w:val="24"/>
        </w:rPr>
        <w:t>:</w:t>
      </w:r>
    </w:p>
    <w:p w:rsidR="002B3CF2" w:rsidRDefault="002B3CF2" w:rsidP="00B77C43">
      <w:pPr>
        <w:pStyle w:val="ListParagraph"/>
        <w:numPr>
          <w:ilvl w:val="0"/>
          <w:numId w:val="2"/>
        </w:numPr>
        <w:spacing w:after="120"/>
        <w:rPr>
          <w:rFonts w:cs="Times New Roman"/>
          <w:szCs w:val="24"/>
          <w:lang w:eastAsia="en-AU"/>
        </w:rPr>
      </w:pPr>
      <w:r w:rsidRPr="0001674D">
        <w:rPr>
          <w:rFonts w:cs="Times New Roman"/>
          <w:szCs w:val="24"/>
          <w:lang w:eastAsia="en-AU"/>
        </w:rPr>
        <w:t xml:space="preserve">supporting the delivery of medical services to people living in rural, regional and remote communities in Australia by providing targeted financial support to encourage doctors to practise in areas that experience the greatest difficulty in attracting and retaining the medical workforce; </w:t>
      </w:r>
    </w:p>
    <w:p w:rsidR="002B3CF2" w:rsidRDefault="002B3CF2" w:rsidP="00B77C43">
      <w:pPr>
        <w:pStyle w:val="ListParagraph"/>
        <w:numPr>
          <w:ilvl w:val="0"/>
          <w:numId w:val="2"/>
        </w:numPr>
        <w:spacing w:after="120"/>
        <w:rPr>
          <w:rFonts w:cs="Times New Roman"/>
          <w:szCs w:val="24"/>
          <w:lang w:eastAsia="en-AU"/>
        </w:rPr>
      </w:pPr>
      <w:r w:rsidRPr="0001674D">
        <w:rPr>
          <w:rFonts w:cs="Times New Roman"/>
          <w:szCs w:val="24"/>
          <w:lang w:eastAsia="en-AU"/>
        </w:rPr>
        <w:t>the Haemopoietic Progenitor Cells Programme to provide Australian patients with better access to life-saving tissue transplants used to restore stem cells destroyed by cancer therapies and other life-threatening conditions;</w:t>
      </w:r>
    </w:p>
    <w:p w:rsidR="002B3CF2" w:rsidRDefault="002B3CF2" w:rsidP="00B77C43">
      <w:pPr>
        <w:pStyle w:val="ListParagraph"/>
        <w:numPr>
          <w:ilvl w:val="0"/>
          <w:numId w:val="2"/>
        </w:numPr>
        <w:spacing w:after="120"/>
        <w:rPr>
          <w:rFonts w:cs="Times New Roman"/>
          <w:szCs w:val="24"/>
          <w:lang w:eastAsia="en-AU"/>
        </w:rPr>
      </w:pPr>
      <w:r w:rsidRPr="0001674D">
        <w:rPr>
          <w:rFonts w:cs="Times New Roman"/>
          <w:szCs w:val="24"/>
          <w:lang w:eastAsia="en-AU"/>
        </w:rPr>
        <w:t xml:space="preserve">the establishment and maintenance of clinical quality registries for the purpose of assessing and improving the quality of health care; </w:t>
      </w:r>
    </w:p>
    <w:p w:rsidR="002B3CF2" w:rsidRDefault="002B3CF2" w:rsidP="00B77C43">
      <w:pPr>
        <w:pStyle w:val="ListParagraph"/>
        <w:numPr>
          <w:ilvl w:val="0"/>
          <w:numId w:val="2"/>
        </w:numPr>
        <w:spacing w:after="120"/>
        <w:rPr>
          <w:rFonts w:cs="Times New Roman"/>
          <w:szCs w:val="24"/>
          <w:lang w:eastAsia="en-AU"/>
        </w:rPr>
      </w:pPr>
      <w:r w:rsidRPr="0001674D">
        <w:rPr>
          <w:rFonts w:cs="Times New Roman"/>
          <w:szCs w:val="24"/>
          <w:lang w:eastAsia="en-AU"/>
        </w:rPr>
        <w:t xml:space="preserve">the Junior Medical Officer Programme to support clinical training positions for junior medical practitioners prior to the commencement of specialist training; </w:t>
      </w:r>
    </w:p>
    <w:p w:rsidR="00EB77E0" w:rsidRDefault="002B3CF2" w:rsidP="00B77C43">
      <w:pPr>
        <w:pStyle w:val="ListParagraph"/>
        <w:numPr>
          <w:ilvl w:val="0"/>
          <w:numId w:val="2"/>
        </w:numPr>
        <w:spacing w:after="120"/>
        <w:rPr>
          <w:rFonts w:cs="Times New Roman"/>
          <w:szCs w:val="24"/>
          <w:lang w:eastAsia="en-AU"/>
        </w:rPr>
      </w:pPr>
      <w:r w:rsidRPr="0001674D">
        <w:rPr>
          <w:rFonts w:cs="Times New Roman"/>
          <w:szCs w:val="24"/>
          <w:lang w:eastAsia="en-AU"/>
        </w:rPr>
        <w:t>the National Bowel Cancer Screening Programme that supports the prevention and early detection of bowel cancer to reduce morbidity and mortality from the disease;</w:t>
      </w:r>
    </w:p>
    <w:p w:rsidR="002B3CF2" w:rsidRDefault="002B3CF2" w:rsidP="00B77C43">
      <w:pPr>
        <w:pStyle w:val="ListParagraph"/>
        <w:numPr>
          <w:ilvl w:val="0"/>
          <w:numId w:val="2"/>
        </w:numPr>
        <w:spacing w:after="120"/>
        <w:rPr>
          <w:rFonts w:cs="Times New Roman"/>
          <w:szCs w:val="24"/>
          <w:lang w:eastAsia="en-AU"/>
        </w:rPr>
      </w:pPr>
      <w:r w:rsidRPr="0001674D">
        <w:rPr>
          <w:rFonts w:cs="Times New Roman"/>
          <w:szCs w:val="24"/>
          <w:lang w:eastAsia="en-AU"/>
        </w:rPr>
        <w:t xml:space="preserve">improving the uptake of vaccines under the National Immunisation Programme; </w:t>
      </w:r>
    </w:p>
    <w:p w:rsidR="002B3CF2" w:rsidRDefault="002B3CF2" w:rsidP="00B77C43">
      <w:pPr>
        <w:pStyle w:val="ListParagraph"/>
        <w:numPr>
          <w:ilvl w:val="0"/>
          <w:numId w:val="2"/>
        </w:numPr>
        <w:spacing w:after="120"/>
        <w:rPr>
          <w:rFonts w:cs="Times New Roman"/>
          <w:szCs w:val="24"/>
          <w:lang w:eastAsia="en-AU"/>
        </w:rPr>
      </w:pPr>
      <w:r w:rsidRPr="0001674D">
        <w:rPr>
          <w:rFonts w:cs="Times New Roman"/>
          <w:szCs w:val="24"/>
          <w:lang w:eastAsia="en-AU"/>
        </w:rPr>
        <w:t xml:space="preserve">the Health Workforce Scholarship Programme to increase participation in, and promote better distribution of, health workforces; </w:t>
      </w:r>
    </w:p>
    <w:p w:rsidR="002B3CF2" w:rsidRDefault="002B3CF2" w:rsidP="00B77C43">
      <w:pPr>
        <w:pStyle w:val="ListParagraph"/>
        <w:numPr>
          <w:ilvl w:val="0"/>
          <w:numId w:val="2"/>
        </w:numPr>
        <w:spacing w:after="120"/>
        <w:rPr>
          <w:rFonts w:cs="Times New Roman"/>
          <w:szCs w:val="24"/>
          <w:lang w:eastAsia="en-AU"/>
        </w:rPr>
      </w:pPr>
      <w:r w:rsidRPr="0001674D">
        <w:rPr>
          <w:rFonts w:cs="Times New Roman"/>
          <w:szCs w:val="24"/>
          <w:lang w:eastAsia="en-AU"/>
        </w:rPr>
        <w:t xml:space="preserve">the establishment and ongoing maintenance of a National Cancer Screening Register; </w:t>
      </w:r>
    </w:p>
    <w:p w:rsidR="002B3CF2" w:rsidRDefault="002B3CF2" w:rsidP="00B77C43">
      <w:pPr>
        <w:pStyle w:val="ListParagraph"/>
        <w:numPr>
          <w:ilvl w:val="0"/>
          <w:numId w:val="2"/>
        </w:numPr>
        <w:spacing w:after="120"/>
        <w:rPr>
          <w:rFonts w:cs="Times New Roman"/>
          <w:szCs w:val="24"/>
          <w:lang w:eastAsia="en-AU"/>
        </w:rPr>
      </w:pPr>
      <w:r w:rsidRPr="0001674D">
        <w:rPr>
          <w:rFonts w:cs="Times New Roman"/>
          <w:szCs w:val="24"/>
          <w:lang w:eastAsia="en-AU"/>
        </w:rPr>
        <w:t xml:space="preserve">measures to improve organ and tissue donation rates and access to organ and tissue transplantation support; </w:t>
      </w:r>
    </w:p>
    <w:p w:rsidR="002B3CF2" w:rsidRDefault="002B3CF2" w:rsidP="00B77C43">
      <w:pPr>
        <w:pStyle w:val="ListParagraph"/>
        <w:numPr>
          <w:ilvl w:val="0"/>
          <w:numId w:val="2"/>
        </w:numPr>
        <w:spacing w:after="120"/>
        <w:rPr>
          <w:rFonts w:cs="Times New Roman"/>
          <w:szCs w:val="24"/>
          <w:lang w:eastAsia="en-AU"/>
        </w:rPr>
      </w:pPr>
      <w:r w:rsidRPr="0001674D">
        <w:rPr>
          <w:rFonts w:cs="Times New Roman"/>
          <w:szCs w:val="24"/>
          <w:lang w:eastAsia="en-AU"/>
        </w:rPr>
        <w:t>funding professional pharmacy programmes and services under the Sixth Community Pharmacy Agreement;</w:t>
      </w:r>
      <w:r>
        <w:rPr>
          <w:rFonts w:cs="Times New Roman"/>
          <w:szCs w:val="24"/>
          <w:lang w:eastAsia="en-AU"/>
        </w:rPr>
        <w:t xml:space="preserve"> </w:t>
      </w:r>
    </w:p>
    <w:p w:rsidR="00B46175" w:rsidRPr="00AE031A" w:rsidRDefault="002B3CF2" w:rsidP="00B77C43">
      <w:pPr>
        <w:pStyle w:val="ListParagraph"/>
        <w:numPr>
          <w:ilvl w:val="0"/>
          <w:numId w:val="2"/>
        </w:numPr>
        <w:spacing w:after="120"/>
        <w:rPr>
          <w:rFonts w:cs="Times New Roman"/>
          <w:szCs w:val="24"/>
          <w:lang w:eastAsia="en-AU"/>
        </w:rPr>
      </w:pPr>
      <w:r w:rsidRPr="00C3411C">
        <w:rPr>
          <w:rFonts w:cs="Times New Roman"/>
          <w:szCs w:val="24"/>
          <w:lang w:eastAsia="en-AU"/>
        </w:rPr>
        <w:t xml:space="preserve">funding the Australian Men’s Shed Association to promote and provide medical services for the treatment and management of physical and mental health conditions; and </w:t>
      </w:r>
    </w:p>
    <w:p w:rsidR="002B3CF2" w:rsidRDefault="002B3CF2" w:rsidP="00B77C43">
      <w:pPr>
        <w:pStyle w:val="ListParagraph"/>
        <w:numPr>
          <w:ilvl w:val="0"/>
          <w:numId w:val="2"/>
        </w:numPr>
        <w:ind w:left="714" w:hanging="357"/>
        <w:rPr>
          <w:rFonts w:cs="Times New Roman"/>
          <w:szCs w:val="24"/>
          <w:lang w:eastAsia="en-AU"/>
        </w:rPr>
      </w:pPr>
      <w:r w:rsidRPr="00C3411C">
        <w:rPr>
          <w:rFonts w:cs="Times New Roman"/>
          <w:szCs w:val="24"/>
          <w:lang w:eastAsia="en-AU"/>
        </w:rPr>
        <w:t>funding health peak and advisory bodies for activities that focus on informing and supporting the Government’s health agenda</w:t>
      </w:r>
      <w:r w:rsidR="00B77C43">
        <w:rPr>
          <w:rFonts w:cs="Times New Roman"/>
          <w:szCs w:val="24"/>
          <w:lang w:eastAsia="en-AU"/>
        </w:rPr>
        <w:t>.</w:t>
      </w:r>
    </w:p>
    <w:p w:rsidR="00AE031A" w:rsidRPr="00B77C43" w:rsidRDefault="00AE031A" w:rsidP="00AE031A">
      <w:pPr>
        <w:rPr>
          <w:rFonts w:ascii="Times New Roman" w:hAnsi="Times New Roman"/>
          <w:sz w:val="24"/>
          <w:szCs w:val="24"/>
        </w:rPr>
      </w:pPr>
    </w:p>
    <w:p w:rsidR="0035036D" w:rsidRPr="0001674D" w:rsidRDefault="0035036D" w:rsidP="00E669A7">
      <w:pPr>
        <w:spacing w:after="120"/>
        <w:contextualSpacing/>
        <w:rPr>
          <w:rFonts w:ascii="Times New Roman" w:hAnsi="Times New Roman"/>
          <w:sz w:val="24"/>
          <w:szCs w:val="24"/>
        </w:rPr>
      </w:pPr>
      <w:r w:rsidRPr="0001674D">
        <w:rPr>
          <w:rFonts w:ascii="Times New Roman" w:hAnsi="Times New Roman"/>
          <w:color w:val="000000" w:themeColor="text1"/>
          <w:sz w:val="24"/>
          <w:szCs w:val="24"/>
        </w:rPr>
        <w:t>The items specified in Schedule 1AB are the responsibility of the relevant Minister</w:t>
      </w:r>
      <w:r w:rsidR="00D005D7" w:rsidRPr="0001674D">
        <w:rPr>
          <w:rFonts w:ascii="Times New Roman" w:hAnsi="Times New Roman"/>
          <w:color w:val="000000" w:themeColor="text1"/>
          <w:sz w:val="24"/>
          <w:szCs w:val="24"/>
        </w:rPr>
        <w:t>s who have</w:t>
      </w:r>
      <w:r w:rsidRPr="0001674D">
        <w:rPr>
          <w:rFonts w:ascii="Times New Roman" w:hAnsi="Times New Roman"/>
          <w:color w:val="000000" w:themeColor="text1"/>
          <w:sz w:val="24"/>
          <w:szCs w:val="24"/>
        </w:rPr>
        <w:t xml:space="preserve"> portfolio responsibility for the matter</w:t>
      </w:r>
      <w:r w:rsidR="00D005D7" w:rsidRPr="0001674D">
        <w:rPr>
          <w:rFonts w:ascii="Times New Roman" w:hAnsi="Times New Roman"/>
          <w:color w:val="000000" w:themeColor="text1"/>
          <w:sz w:val="24"/>
          <w:szCs w:val="24"/>
        </w:rPr>
        <w:t>s</w:t>
      </w:r>
      <w:r w:rsidRPr="0001674D">
        <w:rPr>
          <w:rFonts w:ascii="Times New Roman" w:hAnsi="Times New Roman"/>
          <w:color w:val="000000" w:themeColor="text1"/>
          <w:sz w:val="24"/>
          <w:szCs w:val="24"/>
        </w:rPr>
        <w:t>.</w:t>
      </w:r>
    </w:p>
    <w:p w:rsidR="0035036D" w:rsidRPr="0001674D" w:rsidRDefault="0035036D" w:rsidP="00E669A7">
      <w:pPr>
        <w:spacing w:after="120"/>
        <w:ind w:right="91"/>
        <w:contextualSpacing/>
        <w:rPr>
          <w:rFonts w:ascii="Times New Roman" w:hAnsi="Times New Roman"/>
          <w:sz w:val="24"/>
          <w:szCs w:val="24"/>
        </w:rPr>
      </w:pPr>
    </w:p>
    <w:p w:rsidR="00B46175" w:rsidRPr="00AE031A" w:rsidRDefault="0035036D" w:rsidP="00AE031A">
      <w:pPr>
        <w:spacing w:after="120"/>
        <w:contextualSpacing/>
        <w:rPr>
          <w:rFonts w:ascii="Times New Roman" w:hAnsi="Times New Roman"/>
          <w:b/>
          <w:sz w:val="24"/>
          <w:szCs w:val="24"/>
        </w:rPr>
      </w:pPr>
      <w:r w:rsidRPr="00AE031A">
        <w:rPr>
          <w:rFonts w:ascii="Times New Roman" w:hAnsi="Times New Roman"/>
          <w:b/>
          <w:sz w:val="24"/>
          <w:szCs w:val="24"/>
        </w:rPr>
        <w:t>Human rights implications</w:t>
      </w:r>
    </w:p>
    <w:p w:rsidR="0035036D" w:rsidRPr="00B46175" w:rsidRDefault="0035036D" w:rsidP="00E669A7">
      <w:pPr>
        <w:pStyle w:val="paranumbering0"/>
        <w:spacing w:before="0" w:beforeAutospacing="0" w:after="120" w:afterAutospacing="0"/>
        <w:contextualSpacing/>
        <w:rPr>
          <w:b/>
        </w:rPr>
      </w:pPr>
      <w:r w:rsidRPr="0001674D">
        <w:t>The Regulation does not engage any of the applicable rights or freedoms.</w:t>
      </w:r>
    </w:p>
    <w:p w:rsidR="0035036D" w:rsidRPr="0001674D" w:rsidRDefault="0035036D" w:rsidP="00E669A7">
      <w:pPr>
        <w:pStyle w:val="paranumbering0"/>
        <w:spacing w:before="0" w:beforeAutospacing="0" w:after="120" w:afterAutospacing="0"/>
        <w:contextualSpacing/>
      </w:pPr>
    </w:p>
    <w:p w:rsidR="0035036D" w:rsidRPr="0001674D" w:rsidRDefault="0035036D" w:rsidP="00E669A7">
      <w:pPr>
        <w:spacing w:after="120"/>
        <w:contextualSpacing/>
        <w:rPr>
          <w:rFonts w:ascii="Times New Roman" w:hAnsi="Times New Roman"/>
          <w:b/>
          <w:sz w:val="24"/>
          <w:szCs w:val="24"/>
        </w:rPr>
      </w:pPr>
      <w:r w:rsidRPr="0001674D">
        <w:rPr>
          <w:rFonts w:ascii="Times New Roman" w:hAnsi="Times New Roman"/>
          <w:b/>
          <w:sz w:val="24"/>
          <w:szCs w:val="24"/>
        </w:rPr>
        <w:t>Conclusion</w:t>
      </w:r>
    </w:p>
    <w:p w:rsidR="0035036D" w:rsidRPr="0001674D" w:rsidRDefault="0035036D" w:rsidP="00E669A7">
      <w:pPr>
        <w:pStyle w:val="paranumbering0"/>
        <w:spacing w:before="0" w:beforeAutospacing="0" w:after="120" w:afterAutospacing="0"/>
        <w:contextualSpacing/>
      </w:pPr>
      <w:r w:rsidRPr="0001674D">
        <w:t>This Regulation is compatible with human rights as it does not raise any human rights issues.</w:t>
      </w:r>
    </w:p>
    <w:p w:rsidR="0035036D" w:rsidRPr="0001674D" w:rsidRDefault="0035036D" w:rsidP="00E669A7">
      <w:pPr>
        <w:pStyle w:val="paranumbering0"/>
        <w:spacing w:before="0" w:beforeAutospacing="0" w:after="120" w:afterAutospacing="0"/>
        <w:contextualSpacing/>
      </w:pPr>
    </w:p>
    <w:p w:rsidR="0035036D" w:rsidRPr="0001674D" w:rsidRDefault="0035036D" w:rsidP="00E669A7">
      <w:pPr>
        <w:pStyle w:val="paranumbering0"/>
        <w:spacing w:before="0" w:beforeAutospacing="0" w:after="120" w:afterAutospacing="0"/>
        <w:contextualSpacing/>
      </w:pPr>
    </w:p>
    <w:p w:rsidR="0035036D" w:rsidRPr="0001674D" w:rsidRDefault="0035036D" w:rsidP="00E669A7">
      <w:pPr>
        <w:pStyle w:val="paranumbering0"/>
        <w:spacing w:before="0" w:beforeAutospacing="0" w:after="120" w:afterAutospacing="0"/>
        <w:contextualSpacing/>
      </w:pPr>
    </w:p>
    <w:p w:rsidR="0035036D" w:rsidRDefault="0035036D" w:rsidP="00E669A7">
      <w:pPr>
        <w:pStyle w:val="paranumbering0"/>
        <w:spacing w:before="0" w:beforeAutospacing="0" w:after="120" w:afterAutospacing="0"/>
        <w:contextualSpacing/>
      </w:pPr>
    </w:p>
    <w:p w:rsidR="00714220" w:rsidRPr="0001674D" w:rsidRDefault="00714220" w:rsidP="00E669A7">
      <w:pPr>
        <w:pStyle w:val="paranumbering0"/>
        <w:spacing w:before="0" w:beforeAutospacing="0" w:after="120" w:afterAutospacing="0"/>
        <w:contextualSpacing/>
      </w:pPr>
    </w:p>
    <w:p w:rsidR="0035036D" w:rsidRPr="0001674D" w:rsidRDefault="0035036D" w:rsidP="00E669A7">
      <w:pPr>
        <w:pStyle w:val="paranumbering0"/>
        <w:spacing w:before="0" w:beforeAutospacing="0" w:after="120" w:afterAutospacing="0"/>
        <w:contextualSpacing/>
        <w:jc w:val="center"/>
        <w:rPr>
          <w:b/>
        </w:rPr>
      </w:pPr>
      <w:r w:rsidRPr="0001674D">
        <w:rPr>
          <w:b/>
        </w:rPr>
        <w:t>Senator the Hon Mathias Cormann</w:t>
      </w:r>
    </w:p>
    <w:p w:rsidR="00755D44" w:rsidRPr="0001674D" w:rsidRDefault="0035036D" w:rsidP="00B46175">
      <w:pPr>
        <w:pStyle w:val="paranumbering0"/>
        <w:spacing w:before="0" w:beforeAutospacing="0" w:after="120" w:afterAutospacing="0"/>
        <w:contextualSpacing/>
        <w:jc w:val="center"/>
      </w:pPr>
      <w:r w:rsidRPr="0001674D">
        <w:rPr>
          <w:b/>
        </w:rPr>
        <w:t>Minister for Finance</w:t>
      </w:r>
    </w:p>
    <w:sectPr w:rsidR="00755D44" w:rsidRPr="0001674D" w:rsidSect="000D2CFD">
      <w:headerReference w:type="default" r:id="rId13"/>
      <w:headerReference w:type="firs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9DA" w:rsidRDefault="002039DA" w:rsidP="00C449E2">
      <w:r>
        <w:separator/>
      </w:r>
    </w:p>
  </w:endnote>
  <w:endnote w:type="continuationSeparator" w:id="0">
    <w:p w:rsidR="002039DA" w:rsidRDefault="002039DA" w:rsidP="00C4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9DA" w:rsidRDefault="002039DA" w:rsidP="00C449E2">
      <w:r>
        <w:separator/>
      </w:r>
    </w:p>
  </w:footnote>
  <w:footnote w:type="continuationSeparator" w:id="0">
    <w:p w:rsidR="002039DA" w:rsidRDefault="002039DA" w:rsidP="00C44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3760"/>
      <w:docPartObj>
        <w:docPartGallery w:val="Page Numbers (Top of Page)"/>
        <w:docPartUnique/>
      </w:docPartObj>
    </w:sdtPr>
    <w:sdtEndPr/>
    <w:sdtContent>
      <w:p w:rsidR="002039DA" w:rsidRDefault="005A7435">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2039DA" w:rsidRDefault="002039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DA" w:rsidRPr="00CA76CF" w:rsidRDefault="002039DA" w:rsidP="0035036D">
    <w:pPr>
      <w:pStyle w:val="Header"/>
      <w:jc w:val="right"/>
      <w:rPr>
        <w:b/>
        <w:u w:val="single"/>
      </w:rPr>
    </w:pPr>
  </w:p>
  <w:p w:rsidR="002039DA" w:rsidRDefault="002039DA">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3761"/>
      <w:docPartObj>
        <w:docPartGallery w:val="Page Numbers (Top of Page)"/>
        <w:docPartUnique/>
      </w:docPartObj>
    </w:sdtPr>
    <w:sdtEndPr/>
    <w:sdtContent>
      <w:p w:rsidR="002039DA" w:rsidRDefault="005A7435">
        <w:pPr>
          <w:pStyle w:val="Header"/>
          <w:jc w:val="center"/>
        </w:pPr>
        <w:r>
          <w:fldChar w:fldCharType="begin"/>
        </w:r>
        <w:r>
          <w:instrText xml:space="preserve"> PAGE  </w:instrText>
        </w:r>
        <w:r>
          <w:instrText xml:space="preserve"> \* MERGEFORMAT </w:instrText>
        </w:r>
        <w:r>
          <w:fldChar w:fldCharType="separate"/>
        </w:r>
        <w:r>
          <w:rPr>
            <w:noProof/>
          </w:rPr>
          <w:t>26</w:t>
        </w:r>
        <w:r>
          <w:rPr>
            <w:noProof/>
          </w:rPr>
          <w:fldChar w:fldCharType="end"/>
        </w:r>
      </w:p>
    </w:sdtContent>
  </w:sdt>
  <w:p w:rsidR="002039DA" w:rsidRDefault="002039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DA" w:rsidRPr="00CA76CF" w:rsidRDefault="002039DA" w:rsidP="0035036D">
    <w:pPr>
      <w:pStyle w:val="Header"/>
      <w:jc w:val="right"/>
      <w:rPr>
        <w:b/>
        <w:u w:val="single"/>
      </w:rPr>
    </w:pPr>
    <w:r w:rsidRPr="0088187F">
      <w:rPr>
        <w:b/>
        <w:u w:val="single"/>
      </w:rPr>
      <w:t>Attachment A</w:t>
    </w:r>
  </w:p>
  <w:p w:rsidR="002039DA" w:rsidRDefault="002039DA">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3763"/>
      <w:docPartObj>
        <w:docPartGallery w:val="Page Numbers (Top of Page)"/>
        <w:docPartUnique/>
      </w:docPartObj>
    </w:sdtPr>
    <w:sdtEndPr/>
    <w:sdtContent>
      <w:p w:rsidR="002039DA" w:rsidRDefault="005A743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2039DA" w:rsidRDefault="002039D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DA" w:rsidRPr="00CA76CF" w:rsidRDefault="002039DA" w:rsidP="0035036D">
    <w:pPr>
      <w:pStyle w:val="Header"/>
      <w:jc w:val="right"/>
      <w:rPr>
        <w:b/>
        <w:u w:val="single"/>
      </w:rPr>
    </w:pPr>
    <w:r w:rsidRPr="0088187F">
      <w:rPr>
        <w:b/>
        <w:u w:val="single"/>
      </w:rPr>
      <w:t xml:space="preserve">Attachment </w:t>
    </w:r>
    <w:r>
      <w:rPr>
        <w:b/>
        <w:u w:val="single"/>
      </w:rPr>
      <w:t>B</w:t>
    </w:r>
  </w:p>
  <w:p w:rsidR="002039DA" w:rsidRDefault="002039D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3659"/>
    <w:multiLevelType w:val="multilevel"/>
    <w:tmpl w:val="DEBEE1DE"/>
    <w:lvl w:ilvl="0">
      <w:start w:val="1"/>
      <w:numFmt w:val="bullet"/>
      <w:lvlText w:val=""/>
      <w:lvlJc w:val="left"/>
      <w:pPr>
        <w:ind w:left="357" w:hanging="357"/>
      </w:pPr>
      <w:rPr>
        <w:rFonts w:ascii="Symbol" w:hAnsi="Symbol" w:hint="default"/>
        <w:sz w:val="20"/>
      </w:rPr>
    </w:lvl>
    <w:lvl w:ilvl="1">
      <w:start w:val="1"/>
      <w:numFmt w:val="bullet"/>
      <w:lvlText w:val="-"/>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5C162C7"/>
    <w:multiLevelType w:val="multilevel"/>
    <w:tmpl w:val="283832D2"/>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86A0DE3"/>
    <w:multiLevelType w:val="multilevel"/>
    <w:tmpl w:val="33D6E76E"/>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04A10E4"/>
    <w:multiLevelType w:val="multilevel"/>
    <w:tmpl w:val="E41CBFA8"/>
    <w:lvl w:ilvl="0">
      <w:start w:val="1"/>
      <w:numFmt w:val="bullet"/>
      <w:lvlText w:val=""/>
      <w:lvlJc w:val="left"/>
      <w:pPr>
        <w:ind w:left="357" w:hanging="357"/>
      </w:pPr>
      <w:rPr>
        <w:rFonts w:ascii="Symbol" w:hAnsi="Symbol" w:hint="default"/>
        <w:color w:val="auto"/>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16C00A39"/>
    <w:multiLevelType w:val="multilevel"/>
    <w:tmpl w:val="D4E2637E"/>
    <w:lvl w:ilvl="0">
      <w:start w:val="1"/>
      <w:numFmt w:val="bullet"/>
      <w:lvlText w:val=""/>
      <w:lvlJc w:val="left"/>
      <w:pPr>
        <w:ind w:left="357" w:hanging="357"/>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1434FFE"/>
    <w:multiLevelType w:val="hybridMultilevel"/>
    <w:tmpl w:val="0FEC17BC"/>
    <w:lvl w:ilvl="0" w:tplc="E1CCFA7A">
      <w:start w:val="1"/>
      <w:numFmt w:val="bullet"/>
      <w:lvlText w:val=""/>
      <w:lvlJc w:val="left"/>
      <w:pPr>
        <w:ind w:left="360" w:hanging="360"/>
      </w:pPr>
      <w:rPr>
        <w:rFonts w:ascii="Symbol" w:hAnsi="Symbol"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1A57CCA"/>
    <w:multiLevelType w:val="multilevel"/>
    <w:tmpl w:val="1A06B1EA"/>
    <w:lvl w:ilvl="0">
      <w:start w:val="1"/>
      <w:numFmt w:val="bullet"/>
      <w:lvlText w:val=""/>
      <w:lvlJc w:val="left"/>
      <w:pPr>
        <w:ind w:left="357" w:hanging="357"/>
      </w:pPr>
      <w:rPr>
        <w:rFonts w:ascii="Symbol" w:hAnsi="Symbo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38862B2"/>
    <w:multiLevelType w:val="multilevel"/>
    <w:tmpl w:val="D900774E"/>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27076E18"/>
    <w:multiLevelType w:val="multilevel"/>
    <w:tmpl w:val="65EEDC12"/>
    <w:lvl w:ilvl="0">
      <w:start w:val="1"/>
      <w:numFmt w:val="bullet"/>
      <w:lvlText w:val=""/>
      <w:lvlJc w:val="left"/>
      <w:pPr>
        <w:ind w:left="357" w:hanging="357"/>
      </w:pPr>
      <w:rPr>
        <w:rFonts w:ascii="Symbol" w:hAnsi="Symbol" w:hint="default"/>
        <w:sz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
    <w:nsid w:val="2E1A526A"/>
    <w:multiLevelType w:val="hybridMultilevel"/>
    <w:tmpl w:val="F5C2A8BA"/>
    <w:lvl w:ilvl="0" w:tplc="E1CCFA7A">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EB63707"/>
    <w:multiLevelType w:val="multilevel"/>
    <w:tmpl w:val="831666C8"/>
    <w:lvl w:ilvl="0">
      <w:numFmt w:val="bullet"/>
      <w:lvlText w:val="•"/>
      <w:lvlJc w:val="left"/>
      <w:pPr>
        <w:ind w:left="357" w:hanging="357"/>
      </w:pPr>
      <w:rPr>
        <w:rFonts w:ascii="Calibri" w:hAnsi="Calibri"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332671E8"/>
    <w:multiLevelType w:val="multilevel"/>
    <w:tmpl w:val="52842CBA"/>
    <w:lvl w:ilvl="0">
      <w:start w:val="1"/>
      <w:numFmt w:val="bullet"/>
      <w:lvlText w:val=""/>
      <w:lvlJc w:val="left"/>
      <w:pPr>
        <w:ind w:left="720" w:hanging="360"/>
      </w:pPr>
      <w:rPr>
        <w:rFonts w:ascii="Symbol" w:hAnsi="Symbol" w:hint="default"/>
      </w:rPr>
    </w:lvl>
    <w:lvl w:ilvl="1">
      <w:start w:val="1"/>
      <w:numFmt w:val="bullet"/>
      <w:lvlText w:val="-"/>
      <w:lvlJc w:val="left"/>
      <w:pPr>
        <w:ind w:left="1073"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38E155A"/>
    <w:multiLevelType w:val="multilevel"/>
    <w:tmpl w:val="D534DE76"/>
    <w:lvl w:ilvl="0">
      <w:start w:val="1"/>
      <w:numFmt w:val="bullet"/>
      <w:lvlText w:val=""/>
      <w:lvlJc w:val="left"/>
      <w:pPr>
        <w:ind w:left="363" w:hanging="363"/>
      </w:pPr>
      <w:rPr>
        <w:rFonts w:ascii="Symbol" w:hAnsi="Symbol" w:hint="default"/>
        <w:sz w:val="20"/>
      </w:rPr>
    </w:lvl>
    <w:lvl w:ilvl="1">
      <w:start w:val="1"/>
      <w:numFmt w:val="bullet"/>
      <w:lvlText w:val=""/>
      <w:lvlJc w:val="left"/>
      <w:pPr>
        <w:ind w:left="363" w:hanging="363"/>
      </w:pPr>
      <w:rPr>
        <w:rFonts w:ascii="Symbol" w:hAnsi="Symbol"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3">
    <w:nsid w:val="36B2765C"/>
    <w:multiLevelType w:val="multilevel"/>
    <w:tmpl w:val="6FCEB5E4"/>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7A15E7B"/>
    <w:multiLevelType w:val="hybridMultilevel"/>
    <w:tmpl w:val="B2E45C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A6E1FE3"/>
    <w:multiLevelType w:val="multilevel"/>
    <w:tmpl w:val="BEF6962C"/>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4B0E1793"/>
    <w:multiLevelType w:val="multilevel"/>
    <w:tmpl w:val="6226C4E0"/>
    <w:lvl w:ilvl="0">
      <w:start w:val="1"/>
      <w:numFmt w:val="bullet"/>
      <w:lvlText w:val=""/>
      <w:lvlJc w:val="left"/>
      <w:pPr>
        <w:ind w:left="720" w:hanging="360"/>
      </w:pPr>
      <w:rPr>
        <w:rFonts w:ascii="Symbol" w:hAnsi="Symbol" w:hint="default"/>
      </w:rPr>
    </w:lvl>
    <w:lvl w:ilvl="1">
      <w:start w:val="1"/>
      <w:numFmt w:val="bullet"/>
      <w:lvlText w:val="-"/>
      <w:lvlJc w:val="left"/>
      <w:pPr>
        <w:ind w:left="1073"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ED46B84"/>
    <w:multiLevelType w:val="multilevel"/>
    <w:tmpl w:val="AABA3848"/>
    <w:lvl w:ilvl="0">
      <w:numFmt w:val="bullet"/>
      <w:lvlText w:val="•"/>
      <w:lvlJc w:val="left"/>
      <w:pPr>
        <w:ind w:left="357" w:hanging="357"/>
      </w:pPr>
      <w:rPr>
        <w:rFonts w:ascii="Calibri" w:hAnsi="Calibri"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4F0F3C0F"/>
    <w:multiLevelType w:val="multilevel"/>
    <w:tmpl w:val="4EF80D2C"/>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5015776C"/>
    <w:multiLevelType w:val="multilevel"/>
    <w:tmpl w:val="DC843FF2"/>
    <w:lvl w:ilvl="0">
      <w:numFmt w:val="bullet"/>
      <w:lvlText w:val="•"/>
      <w:lvlJc w:val="left"/>
      <w:pPr>
        <w:ind w:left="357" w:hanging="357"/>
      </w:pPr>
      <w:rPr>
        <w:rFonts w:ascii="Calibri" w:hAnsi="Calibri" w:hint="default"/>
        <w:sz w:val="20"/>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0">
    <w:nsid w:val="551D7E67"/>
    <w:multiLevelType w:val="multilevel"/>
    <w:tmpl w:val="1990007A"/>
    <w:lvl w:ilvl="0">
      <w:numFmt w:val="bullet"/>
      <w:lvlText w:val=""/>
      <w:lvlJc w:val="left"/>
      <w:pPr>
        <w:ind w:left="357" w:hanging="357"/>
      </w:pPr>
      <w:rPr>
        <w:rFonts w:ascii="Symbol" w:hAnsi="Symbol" w:hint="default"/>
        <w:sz w:val="20"/>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21">
    <w:nsid w:val="57797678"/>
    <w:multiLevelType w:val="multilevel"/>
    <w:tmpl w:val="4E568778"/>
    <w:lvl w:ilvl="0">
      <w:start w:val="1"/>
      <w:numFmt w:val="bullet"/>
      <w:lvlText w:val=""/>
      <w:lvlJc w:val="left"/>
      <w:pPr>
        <w:ind w:left="360" w:hanging="360"/>
      </w:pPr>
      <w:rPr>
        <w:rFonts w:ascii="Symbol" w:hAnsi="Symbol" w:hint="default"/>
        <w:sz w:val="20"/>
      </w:rPr>
    </w:lvl>
    <w:lvl w:ilvl="1">
      <w:start w:val="3"/>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577B63FA"/>
    <w:multiLevelType w:val="multilevel"/>
    <w:tmpl w:val="3390A6CE"/>
    <w:lvl w:ilvl="0">
      <w:start w:val="1"/>
      <w:numFmt w:val="bullet"/>
      <w:lvlText w:val=""/>
      <w:lvlJc w:val="left"/>
      <w:pPr>
        <w:ind w:left="357" w:hanging="357"/>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9AD0120"/>
    <w:multiLevelType w:val="multilevel"/>
    <w:tmpl w:val="98B28D0E"/>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600C033C"/>
    <w:multiLevelType w:val="hybridMultilevel"/>
    <w:tmpl w:val="A07C31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6F10450"/>
    <w:multiLevelType w:val="multilevel"/>
    <w:tmpl w:val="41ACEC1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E3241E9"/>
    <w:multiLevelType w:val="multilevel"/>
    <w:tmpl w:val="94C27F1C"/>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6E741E6D"/>
    <w:multiLevelType w:val="multilevel"/>
    <w:tmpl w:val="14FA3C8C"/>
    <w:lvl w:ilvl="0">
      <w:start w:val="1"/>
      <w:numFmt w:val="bullet"/>
      <w:lvlText w:val=""/>
      <w:lvlJc w:val="left"/>
      <w:pPr>
        <w:ind w:left="360" w:hanging="360"/>
      </w:pPr>
      <w:rPr>
        <w:rFonts w:ascii="Symbol" w:hAnsi="Symbol" w:hint="default"/>
        <w:sz w:val="20"/>
      </w:rPr>
    </w:lvl>
    <w:lvl w:ilvl="1">
      <w:start w:val="1"/>
      <w:numFmt w:val="bullet"/>
      <w:lvlText w:val="-"/>
      <w:lvlJc w:val="left"/>
      <w:pPr>
        <w:ind w:left="774" w:hanging="414"/>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75395E68"/>
    <w:multiLevelType w:val="multilevel"/>
    <w:tmpl w:val="5DD89F7E"/>
    <w:lvl w:ilvl="0">
      <w:start w:val="1"/>
      <w:numFmt w:val="bullet"/>
      <w:lvlText w:val=""/>
      <w:lvlJc w:val="left"/>
      <w:pPr>
        <w:ind w:left="720" w:hanging="363"/>
      </w:pPr>
      <w:rPr>
        <w:rFonts w:ascii="Symbol" w:hAnsi="Symbol" w:hint="default"/>
      </w:rPr>
    </w:lvl>
    <w:lvl w:ilvl="1">
      <w:start w:val="1"/>
      <w:numFmt w:val="bullet"/>
      <w:lvlText w:val="-"/>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9045E9E"/>
    <w:multiLevelType w:val="multilevel"/>
    <w:tmpl w:val="79BCBCB4"/>
    <w:lvl w:ilvl="0">
      <w:start w:val="1"/>
      <w:numFmt w:val="bullet"/>
      <w:lvlText w:val=""/>
      <w:lvlJc w:val="left"/>
      <w:pPr>
        <w:tabs>
          <w:tab w:val="num" w:pos="567"/>
        </w:tabs>
        <w:ind w:left="357" w:hanging="357"/>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29"/>
  </w:num>
  <w:num w:numId="4">
    <w:abstractNumId w:val="19"/>
  </w:num>
  <w:num w:numId="5">
    <w:abstractNumId w:val="17"/>
  </w:num>
  <w:num w:numId="6">
    <w:abstractNumId w:val="10"/>
  </w:num>
  <w:num w:numId="7">
    <w:abstractNumId w:val="22"/>
  </w:num>
  <w:num w:numId="8">
    <w:abstractNumId w:val="20"/>
  </w:num>
  <w:num w:numId="9">
    <w:abstractNumId w:val="8"/>
  </w:num>
  <w:num w:numId="10">
    <w:abstractNumId w:val="13"/>
  </w:num>
  <w:num w:numId="11">
    <w:abstractNumId w:val="0"/>
  </w:num>
  <w:num w:numId="12">
    <w:abstractNumId w:val="11"/>
  </w:num>
  <w:num w:numId="13">
    <w:abstractNumId w:val="21"/>
  </w:num>
  <w:num w:numId="14">
    <w:abstractNumId w:val="2"/>
  </w:num>
  <w:num w:numId="15">
    <w:abstractNumId w:val="9"/>
  </w:num>
  <w:num w:numId="16">
    <w:abstractNumId w:val="3"/>
  </w:num>
  <w:num w:numId="17">
    <w:abstractNumId w:val="24"/>
  </w:num>
  <w:num w:numId="18">
    <w:abstractNumId w:val="6"/>
  </w:num>
  <w:num w:numId="19">
    <w:abstractNumId w:val="18"/>
  </w:num>
  <w:num w:numId="20">
    <w:abstractNumId w:val="14"/>
  </w:num>
  <w:num w:numId="21">
    <w:abstractNumId w:val="1"/>
  </w:num>
  <w:num w:numId="22">
    <w:abstractNumId w:val="23"/>
  </w:num>
  <w:num w:numId="23">
    <w:abstractNumId w:val="7"/>
  </w:num>
  <w:num w:numId="24">
    <w:abstractNumId w:val="16"/>
  </w:num>
  <w:num w:numId="25">
    <w:abstractNumId w:val="5"/>
  </w:num>
  <w:num w:numId="26">
    <w:abstractNumId w:val="27"/>
  </w:num>
  <w:num w:numId="27">
    <w:abstractNumId w:val="15"/>
  </w:num>
  <w:num w:numId="28">
    <w:abstractNumId w:val="26"/>
  </w:num>
  <w:num w:numId="29">
    <w:abstractNumId w:val="4"/>
  </w:num>
  <w:num w:numId="30">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8ED"/>
    <w:rsid w:val="0001674D"/>
    <w:rsid w:val="000208F3"/>
    <w:rsid w:val="00034562"/>
    <w:rsid w:val="000532CA"/>
    <w:rsid w:val="00054097"/>
    <w:rsid w:val="00064106"/>
    <w:rsid w:val="000657BB"/>
    <w:rsid w:val="00071D19"/>
    <w:rsid w:val="00072FE9"/>
    <w:rsid w:val="00074D5D"/>
    <w:rsid w:val="00077FE4"/>
    <w:rsid w:val="000901F4"/>
    <w:rsid w:val="000A1CB9"/>
    <w:rsid w:val="000D2CFD"/>
    <w:rsid w:val="000E1F09"/>
    <w:rsid w:val="000F04E7"/>
    <w:rsid w:val="00105514"/>
    <w:rsid w:val="00117857"/>
    <w:rsid w:val="00130D1E"/>
    <w:rsid w:val="00132AB8"/>
    <w:rsid w:val="00146E98"/>
    <w:rsid w:val="00147B8B"/>
    <w:rsid w:val="0015727F"/>
    <w:rsid w:val="00170111"/>
    <w:rsid w:val="001816BB"/>
    <w:rsid w:val="001827BF"/>
    <w:rsid w:val="00196BE2"/>
    <w:rsid w:val="001A008F"/>
    <w:rsid w:val="001B1604"/>
    <w:rsid w:val="001C1D66"/>
    <w:rsid w:val="001D0990"/>
    <w:rsid w:val="001E3784"/>
    <w:rsid w:val="002039DA"/>
    <w:rsid w:val="002273C0"/>
    <w:rsid w:val="00267859"/>
    <w:rsid w:val="00267AB8"/>
    <w:rsid w:val="00272473"/>
    <w:rsid w:val="00280F8C"/>
    <w:rsid w:val="00292A10"/>
    <w:rsid w:val="00294621"/>
    <w:rsid w:val="002A0567"/>
    <w:rsid w:val="002A20CE"/>
    <w:rsid w:val="002A6336"/>
    <w:rsid w:val="002B0958"/>
    <w:rsid w:val="002B1D71"/>
    <w:rsid w:val="002B3CF2"/>
    <w:rsid w:val="002B630C"/>
    <w:rsid w:val="002C4CBD"/>
    <w:rsid w:val="002D0855"/>
    <w:rsid w:val="002E0570"/>
    <w:rsid w:val="00337B62"/>
    <w:rsid w:val="00340C36"/>
    <w:rsid w:val="003443DD"/>
    <w:rsid w:val="0035036D"/>
    <w:rsid w:val="00352054"/>
    <w:rsid w:val="00380DE4"/>
    <w:rsid w:val="003918ED"/>
    <w:rsid w:val="003A2533"/>
    <w:rsid w:val="003F0863"/>
    <w:rsid w:val="0041488C"/>
    <w:rsid w:val="00425AF1"/>
    <w:rsid w:val="00430A86"/>
    <w:rsid w:val="0045426D"/>
    <w:rsid w:val="004738FF"/>
    <w:rsid w:val="00481A57"/>
    <w:rsid w:val="0049233D"/>
    <w:rsid w:val="004A4F0D"/>
    <w:rsid w:val="004F62D6"/>
    <w:rsid w:val="0050468E"/>
    <w:rsid w:val="00531025"/>
    <w:rsid w:val="00535B28"/>
    <w:rsid w:val="0057266F"/>
    <w:rsid w:val="00581DC4"/>
    <w:rsid w:val="00585A18"/>
    <w:rsid w:val="005A015A"/>
    <w:rsid w:val="005A2128"/>
    <w:rsid w:val="005A7435"/>
    <w:rsid w:val="005B134F"/>
    <w:rsid w:val="005B69B7"/>
    <w:rsid w:val="005D2186"/>
    <w:rsid w:val="005D5783"/>
    <w:rsid w:val="005E25A5"/>
    <w:rsid w:val="005E78E2"/>
    <w:rsid w:val="0060188E"/>
    <w:rsid w:val="006043CF"/>
    <w:rsid w:val="00633D73"/>
    <w:rsid w:val="00636047"/>
    <w:rsid w:val="00646427"/>
    <w:rsid w:val="00666BE0"/>
    <w:rsid w:val="00673799"/>
    <w:rsid w:val="006A2858"/>
    <w:rsid w:val="006A7C52"/>
    <w:rsid w:val="006B7DDC"/>
    <w:rsid w:val="006C71E6"/>
    <w:rsid w:val="006E4631"/>
    <w:rsid w:val="006F5BCF"/>
    <w:rsid w:val="007014D1"/>
    <w:rsid w:val="00703C5F"/>
    <w:rsid w:val="00712E69"/>
    <w:rsid w:val="00714220"/>
    <w:rsid w:val="00755B9A"/>
    <w:rsid w:val="00755D44"/>
    <w:rsid w:val="00762101"/>
    <w:rsid w:val="00772590"/>
    <w:rsid w:val="00776A56"/>
    <w:rsid w:val="007941A2"/>
    <w:rsid w:val="007A1C81"/>
    <w:rsid w:val="007D460F"/>
    <w:rsid w:val="007E3AD9"/>
    <w:rsid w:val="007F2BF3"/>
    <w:rsid w:val="00827D4B"/>
    <w:rsid w:val="00834C0F"/>
    <w:rsid w:val="00837CEB"/>
    <w:rsid w:val="0084083C"/>
    <w:rsid w:val="008501F3"/>
    <w:rsid w:val="00852945"/>
    <w:rsid w:val="00861515"/>
    <w:rsid w:val="00861D45"/>
    <w:rsid w:val="00866847"/>
    <w:rsid w:val="00873337"/>
    <w:rsid w:val="0088288F"/>
    <w:rsid w:val="008833BF"/>
    <w:rsid w:val="00885587"/>
    <w:rsid w:val="0088767B"/>
    <w:rsid w:val="00891A41"/>
    <w:rsid w:val="008A5985"/>
    <w:rsid w:val="008C4C98"/>
    <w:rsid w:val="008D1B60"/>
    <w:rsid w:val="008D3928"/>
    <w:rsid w:val="008D613F"/>
    <w:rsid w:val="008E0F8F"/>
    <w:rsid w:val="008E3D63"/>
    <w:rsid w:val="008E5C49"/>
    <w:rsid w:val="008F166D"/>
    <w:rsid w:val="008F1903"/>
    <w:rsid w:val="008F20AC"/>
    <w:rsid w:val="009021AD"/>
    <w:rsid w:val="00922DD8"/>
    <w:rsid w:val="00925D3C"/>
    <w:rsid w:val="00951F99"/>
    <w:rsid w:val="00987B89"/>
    <w:rsid w:val="00997502"/>
    <w:rsid w:val="009A4B0C"/>
    <w:rsid w:val="009B0605"/>
    <w:rsid w:val="009B6586"/>
    <w:rsid w:val="009D3889"/>
    <w:rsid w:val="00A063D8"/>
    <w:rsid w:val="00A13B57"/>
    <w:rsid w:val="00A25D0F"/>
    <w:rsid w:val="00A316B9"/>
    <w:rsid w:val="00A35D03"/>
    <w:rsid w:val="00A436B4"/>
    <w:rsid w:val="00A66873"/>
    <w:rsid w:val="00A763B2"/>
    <w:rsid w:val="00A810B8"/>
    <w:rsid w:val="00A92F8C"/>
    <w:rsid w:val="00A93173"/>
    <w:rsid w:val="00AA66BC"/>
    <w:rsid w:val="00AB2F59"/>
    <w:rsid w:val="00AE031A"/>
    <w:rsid w:val="00AF7310"/>
    <w:rsid w:val="00B318DB"/>
    <w:rsid w:val="00B36CC1"/>
    <w:rsid w:val="00B46175"/>
    <w:rsid w:val="00B51BD4"/>
    <w:rsid w:val="00B652BC"/>
    <w:rsid w:val="00B74BA1"/>
    <w:rsid w:val="00B77C43"/>
    <w:rsid w:val="00B81331"/>
    <w:rsid w:val="00B840FA"/>
    <w:rsid w:val="00B84411"/>
    <w:rsid w:val="00BA0719"/>
    <w:rsid w:val="00BA20DF"/>
    <w:rsid w:val="00BB5E38"/>
    <w:rsid w:val="00BC2243"/>
    <w:rsid w:val="00BD3CDD"/>
    <w:rsid w:val="00C049E6"/>
    <w:rsid w:val="00C27A74"/>
    <w:rsid w:val="00C30D11"/>
    <w:rsid w:val="00C3411C"/>
    <w:rsid w:val="00C449E2"/>
    <w:rsid w:val="00C53784"/>
    <w:rsid w:val="00C74E60"/>
    <w:rsid w:val="00C92A12"/>
    <w:rsid w:val="00C934D1"/>
    <w:rsid w:val="00C95943"/>
    <w:rsid w:val="00CB028C"/>
    <w:rsid w:val="00CB7458"/>
    <w:rsid w:val="00CD0985"/>
    <w:rsid w:val="00CD283D"/>
    <w:rsid w:val="00CD521F"/>
    <w:rsid w:val="00CE0876"/>
    <w:rsid w:val="00CE1170"/>
    <w:rsid w:val="00CF4556"/>
    <w:rsid w:val="00CF5BE9"/>
    <w:rsid w:val="00D005D7"/>
    <w:rsid w:val="00D04E83"/>
    <w:rsid w:val="00D117E5"/>
    <w:rsid w:val="00D11FAF"/>
    <w:rsid w:val="00D27028"/>
    <w:rsid w:val="00D618A8"/>
    <w:rsid w:val="00D70024"/>
    <w:rsid w:val="00D7121F"/>
    <w:rsid w:val="00D8482F"/>
    <w:rsid w:val="00D85D1C"/>
    <w:rsid w:val="00D9380D"/>
    <w:rsid w:val="00D93B3A"/>
    <w:rsid w:val="00DA39E6"/>
    <w:rsid w:val="00DC4A23"/>
    <w:rsid w:val="00DF57C8"/>
    <w:rsid w:val="00DF6A50"/>
    <w:rsid w:val="00E13736"/>
    <w:rsid w:val="00E167E4"/>
    <w:rsid w:val="00E34C0C"/>
    <w:rsid w:val="00E4026F"/>
    <w:rsid w:val="00E4601A"/>
    <w:rsid w:val="00E51009"/>
    <w:rsid w:val="00E669A7"/>
    <w:rsid w:val="00E76F5B"/>
    <w:rsid w:val="00E90438"/>
    <w:rsid w:val="00E90874"/>
    <w:rsid w:val="00E91155"/>
    <w:rsid w:val="00E97503"/>
    <w:rsid w:val="00EA14EE"/>
    <w:rsid w:val="00EB77E0"/>
    <w:rsid w:val="00EC0776"/>
    <w:rsid w:val="00ED3CAB"/>
    <w:rsid w:val="00EF5B01"/>
    <w:rsid w:val="00F041EF"/>
    <w:rsid w:val="00F07F22"/>
    <w:rsid w:val="00F20BD2"/>
    <w:rsid w:val="00F318CF"/>
    <w:rsid w:val="00F403EA"/>
    <w:rsid w:val="00F55CA5"/>
    <w:rsid w:val="00F91CD7"/>
    <w:rsid w:val="00F948C7"/>
    <w:rsid w:val="00F94B2B"/>
    <w:rsid w:val="00FA0849"/>
    <w:rsid w:val="00FB7CD8"/>
    <w:rsid w:val="00FC3F53"/>
    <w:rsid w:val="00FD7A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ED"/>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8ED"/>
    <w:pPr>
      <w:ind w:left="720"/>
      <w:contextualSpacing/>
    </w:pPr>
    <w:rPr>
      <w:rFonts w:ascii="Times New Roman" w:eastAsiaTheme="minorHAnsi" w:hAnsi="Times New Roman" w:cstheme="minorBidi"/>
      <w:color w:val="000000" w:themeColor="text1"/>
      <w:sz w:val="24"/>
      <w:lang w:eastAsia="en-US"/>
    </w:rPr>
  </w:style>
  <w:style w:type="character" w:styleId="CommentReference">
    <w:name w:val="annotation reference"/>
    <w:basedOn w:val="DefaultParagraphFont"/>
    <w:uiPriority w:val="99"/>
    <w:semiHidden/>
    <w:unhideWhenUsed/>
    <w:rsid w:val="008A5985"/>
    <w:rPr>
      <w:sz w:val="16"/>
      <w:szCs w:val="16"/>
    </w:rPr>
  </w:style>
  <w:style w:type="paragraph" w:styleId="CommentText">
    <w:name w:val="annotation text"/>
    <w:basedOn w:val="Normal"/>
    <w:link w:val="CommentTextChar"/>
    <w:uiPriority w:val="99"/>
    <w:semiHidden/>
    <w:unhideWhenUsed/>
    <w:rsid w:val="008A5985"/>
    <w:rPr>
      <w:sz w:val="20"/>
      <w:szCs w:val="20"/>
    </w:rPr>
  </w:style>
  <w:style w:type="character" w:customStyle="1" w:styleId="CommentTextChar">
    <w:name w:val="Comment Text Char"/>
    <w:basedOn w:val="DefaultParagraphFont"/>
    <w:link w:val="CommentText"/>
    <w:uiPriority w:val="99"/>
    <w:semiHidden/>
    <w:rsid w:val="008A5985"/>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A5985"/>
    <w:rPr>
      <w:b/>
      <w:bCs/>
    </w:rPr>
  </w:style>
  <w:style w:type="character" w:customStyle="1" w:styleId="CommentSubjectChar">
    <w:name w:val="Comment Subject Char"/>
    <w:basedOn w:val="CommentTextChar"/>
    <w:link w:val="CommentSubject"/>
    <w:uiPriority w:val="99"/>
    <w:semiHidden/>
    <w:rsid w:val="008A5985"/>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8A5985"/>
    <w:rPr>
      <w:rFonts w:ascii="Tahoma" w:hAnsi="Tahoma" w:cs="Tahoma"/>
      <w:sz w:val="16"/>
      <w:szCs w:val="16"/>
    </w:rPr>
  </w:style>
  <w:style w:type="character" w:customStyle="1" w:styleId="BalloonTextChar">
    <w:name w:val="Balloon Text Char"/>
    <w:basedOn w:val="DefaultParagraphFont"/>
    <w:link w:val="BalloonText"/>
    <w:uiPriority w:val="99"/>
    <w:semiHidden/>
    <w:rsid w:val="008A5985"/>
    <w:rPr>
      <w:rFonts w:ascii="Tahoma" w:eastAsia="Calibri" w:hAnsi="Tahoma" w:cs="Tahoma"/>
      <w:sz w:val="16"/>
      <w:szCs w:val="16"/>
      <w:lang w:eastAsia="en-AU"/>
    </w:rPr>
  </w:style>
  <w:style w:type="character" w:customStyle="1" w:styleId="ColoursectionlistChar">
    <w:name w:val="Colour section list Char"/>
    <w:basedOn w:val="DefaultParagraphFont"/>
    <w:link w:val="Coloursectionlist"/>
    <w:locked/>
    <w:rsid w:val="00A763B2"/>
    <w:rPr>
      <w:rFonts w:ascii="Verdana" w:hAnsi="Verdana"/>
      <w:shd w:val="clear" w:color="auto" w:fill="F79646"/>
      <w:lang w:eastAsia="ja-JP"/>
    </w:rPr>
  </w:style>
  <w:style w:type="paragraph" w:customStyle="1" w:styleId="Coloursectionlist">
    <w:name w:val="Colour section list"/>
    <w:basedOn w:val="Normal"/>
    <w:link w:val="ColoursectionlistChar"/>
    <w:rsid w:val="00A763B2"/>
    <w:pPr>
      <w:shd w:val="clear" w:color="auto" w:fill="F79646"/>
      <w:spacing w:after="240" w:line="276" w:lineRule="auto"/>
      <w:contextualSpacing/>
      <w:jc w:val="both"/>
    </w:pPr>
    <w:rPr>
      <w:rFonts w:ascii="Verdana" w:eastAsiaTheme="minorHAnsi" w:hAnsi="Verdana" w:cstheme="minorBidi"/>
      <w:lang w:eastAsia="ja-JP"/>
    </w:rPr>
  </w:style>
  <w:style w:type="paragraph" w:styleId="Header">
    <w:name w:val="header"/>
    <w:basedOn w:val="Normal"/>
    <w:link w:val="HeaderChar"/>
    <w:rsid w:val="00EC0776"/>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rsid w:val="00EC0776"/>
    <w:rPr>
      <w:rFonts w:ascii="Times New Roman" w:eastAsia="Times New Roman" w:hAnsi="Times New Roman" w:cs="Times New Roman"/>
      <w:sz w:val="24"/>
      <w:szCs w:val="20"/>
      <w:lang w:eastAsia="en-AU"/>
    </w:rPr>
  </w:style>
  <w:style w:type="paragraph" w:customStyle="1" w:styleId="ParaNumbering">
    <w:name w:val="Para Numbering"/>
    <w:basedOn w:val="Normal"/>
    <w:rsid w:val="00EC0776"/>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Dot point 1.5 line spacing Char,L Char,bullet point list Char,List Paragraph - bullets Char,Bullet point Char,DDM Gen Text Char"/>
    <w:basedOn w:val="DefaultParagraphFont"/>
    <w:link w:val="ListParagraph"/>
    <w:uiPriority w:val="34"/>
    <w:locked/>
    <w:rsid w:val="00EC0776"/>
    <w:rPr>
      <w:rFonts w:ascii="Times New Roman" w:hAnsi="Times New Roman"/>
      <w:color w:val="000000" w:themeColor="text1"/>
      <w:sz w:val="24"/>
    </w:rPr>
  </w:style>
  <w:style w:type="character" w:styleId="Hyperlink">
    <w:name w:val="Hyperlink"/>
    <w:basedOn w:val="DefaultParagraphFont"/>
    <w:uiPriority w:val="99"/>
    <w:unhideWhenUsed/>
    <w:rsid w:val="00196BE2"/>
    <w:rPr>
      <w:color w:val="0000FF" w:themeColor="hyperlink"/>
      <w:u w:val="single"/>
    </w:rPr>
  </w:style>
  <w:style w:type="paragraph" w:customStyle="1" w:styleId="paranumbering0">
    <w:name w:val="paranumbering"/>
    <w:basedOn w:val="Normal"/>
    <w:uiPriority w:val="99"/>
    <w:rsid w:val="0035036D"/>
    <w:pPr>
      <w:spacing w:before="100" w:beforeAutospacing="1" w:after="100" w:afterAutospacing="1"/>
    </w:pPr>
    <w:rPr>
      <w:rFonts w:ascii="Times New Roman" w:eastAsiaTheme="minorHAnsi" w:hAnsi="Times New Roman"/>
      <w:sz w:val="24"/>
      <w:szCs w:val="24"/>
    </w:rPr>
  </w:style>
  <w:style w:type="paragraph" w:styleId="Footer">
    <w:name w:val="footer"/>
    <w:basedOn w:val="Normal"/>
    <w:link w:val="FooterChar"/>
    <w:uiPriority w:val="99"/>
    <w:semiHidden/>
    <w:unhideWhenUsed/>
    <w:rsid w:val="0035036D"/>
    <w:pPr>
      <w:tabs>
        <w:tab w:val="center" w:pos="4513"/>
        <w:tab w:val="right" w:pos="9026"/>
      </w:tabs>
    </w:pPr>
  </w:style>
  <w:style w:type="character" w:customStyle="1" w:styleId="FooterChar">
    <w:name w:val="Footer Char"/>
    <w:basedOn w:val="DefaultParagraphFont"/>
    <w:link w:val="Footer"/>
    <w:uiPriority w:val="99"/>
    <w:semiHidden/>
    <w:rsid w:val="0035036D"/>
    <w:rPr>
      <w:rFonts w:ascii="Calibri" w:eastAsia="Calibri" w:hAnsi="Calibri" w:cs="Times New Roman"/>
      <w:lang w:eastAsia="en-AU"/>
    </w:rPr>
  </w:style>
  <w:style w:type="paragraph" w:customStyle="1" w:styleId="Default">
    <w:name w:val="Default"/>
    <w:rsid w:val="00CD0985"/>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772590"/>
  </w:style>
  <w:style w:type="character" w:styleId="Emphasis">
    <w:name w:val="Emphasis"/>
    <w:basedOn w:val="DefaultParagraphFont"/>
    <w:uiPriority w:val="20"/>
    <w:qFormat/>
    <w:rsid w:val="00772590"/>
    <w:rPr>
      <w:i/>
      <w:iCs/>
    </w:rPr>
  </w:style>
  <w:style w:type="paragraph" w:customStyle="1" w:styleId="CABNETParagraphAtt">
    <w:name w:val="CABNET Paragraph Att"/>
    <w:basedOn w:val="Normal"/>
    <w:link w:val="CABNETParagraphAttChar"/>
    <w:qFormat/>
    <w:rsid w:val="0001674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01674D"/>
    <w:rPr>
      <w:rFonts w:ascii="Verdana" w:eastAsia="Times New Roman" w:hAnsi="Verdana"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ED"/>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8ED"/>
    <w:pPr>
      <w:ind w:left="720"/>
      <w:contextualSpacing/>
    </w:pPr>
    <w:rPr>
      <w:rFonts w:ascii="Times New Roman" w:eastAsiaTheme="minorHAnsi" w:hAnsi="Times New Roman" w:cstheme="minorBidi"/>
      <w:color w:val="000000" w:themeColor="text1"/>
      <w:sz w:val="24"/>
      <w:lang w:eastAsia="en-US"/>
    </w:rPr>
  </w:style>
  <w:style w:type="character" w:styleId="CommentReference">
    <w:name w:val="annotation reference"/>
    <w:basedOn w:val="DefaultParagraphFont"/>
    <w:uiPriority w:val="99"/>
    <w:semiHidden/>
    <w:unhideWhenUsed/>
    <w:rsid w:val="008A5985"/>
    <w:rPr>
      <w:sz w:val="16"/>
      <w:szCs w:val="16"/>
    </w:rPr>
  </w:style>
  <w:style w:type="paragraph" w:styleId="CommentText">
    <w:name w:val="annotation text"/>
    <w:basedOn w:val="Normal"/>
    <w:link w:val="CommentTextChar"/>
    <w:uiPriority w:val="99"/>
    <w:semiHidden/>
    <w:unhideWhenUsed/>
    <w:rsid w:val="008A5985"/>
    <w:rPr>
      <w:sz w:val="20"/>
      <w:szCs w:val="20"/>
    </w:rPr>
  </w:style>
  <w:style w:type="character" w:customStyle="1" w:styleId="CommentTextChar">
    <w:name w:val="Comment Text Char"/>
    <w:basedOn w:val="DefaultParagraphFont"/>
    <w:link w:val="CommentText"/>
    <w:uiPriority w:val="99"/>
    <w:semiHidden/>
    <w:rsid w:val="008A5985"/>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A5985"/>
    <w:rPr>
      <w:b/>
      <w:bCs/>
    </w:rPr>
  </w:style>
  <w:style w:type="character" w:customStyle="1" w:styleId="CommentSubjectChar">
    <w:name w:val="Comment Subject Char"/>
    <w:basedOn w:val="CommentTextChar"/>
    <w:link w:val="CommentSubject"/>
    <w:uiPriority w:val="99"/>
    <w:semiHidden/>
    <w:rsid w:val="008A5985"/>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8A5985"/>
    <w:rPr>
      <w:rFonts w:ascii="Tahoma" w:hAnsi="Tahoma" w:cs="Tahoma"/>
      <w:sz w:val="16"/>
      <w:szCs w:val="16"/>
    </w:rPr>
  </w:style>
  <w:style w:type="character" w:customStyle="1" w:styleId="BalloonTextChar">
    <w:name w:val="Balloon Text Char"/>
    <w:basedOn w:val="DefaultParagraphFont"/>
    <w:link w:val="BalloonText"/>
    <w:uiPriority w:val="99"/>
    <w:semiHidden/>
    <w:rsid w:val="008A5985"/>
    <w:rPr>
      <w:rFonts w:ascii="Tahoma" w:eastAsia="Calibri" w:hAnsi="Tahoma" w:cs="Tahoma"/>
      <w:sz w:val="16"/>
      <w:szCs w:val="16"/>
      <w:lang w:eastAsia="en-AU"/>
    </w:rPr>
  </w:style>
  <w:style w:type="character" w:customStyle="1" w:styleId="ColoursectionlistChar">
    <w:name w:val="Colour section list Char"/>
    <w:basedOn w:val="DefaultParagraphFont"/>
    <w:link w:val="Coloursectionlist"/>
    <w:locked/>
    <w:rsid w:val="00A763B2"/>
    <w:rPr>
      <w:rFonts w:ascii="Verdana" w:hAnsi="Verdana"/>
      <w:shd w:val="clear" w:color="auto" w:fill="F79646"/>
      <w:lang w:eastAsia="ja-JP"/>
    </w:rPr>
  </w:style>
  <w:style w:type="paragraph" w:customStyle="1" w:styleId="Coloursectionlist">
    <w:name w:val="Colour section list"/>
    <w:basedOn w:val="Normal"/>
    <w:link w:val="ColoursectionlistChar"/>
    <w:rsid w:val="00A763B2"/>
    <w:pPr>
      <w:shd w:val="clear" w:color="auto" w:fill="F79646"/>
      <w:spacing w:after="240" w:line="276" w:lineRule="auto"/>
      <w:contextualSpacing/>
      <w:jc w:val="both"/>
    </w:pPr>
    <w:rPr>
      <w:rFonts w:ascii="Verdana" w:eastAsiaTheme="minorHAnsi" w:hAnsi="Verdana" w:cstheme="minorBidi"/>
      <w:lang w:eastAsia="ja-JP"/>
    </w:rPr>
  </w:style>
  <w:style w:type="paragraph" w:styleId="Header">
    <w:name w:val="header"/>
    <w:basedOn w:val="Normal"/>
    <w:link w:val="HeaderChar"/>
    <w:rsid w:val="00EC0776"/>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rsid w:val="00EC0776"/>
    <w:rPr>
      <w:rFonts w:ascii="Times New Roman" w:eastAsia="Times New Roman" w:hAnsi="Times New Roman" w:cs="Times New Roman"/>
      <w:sz w:val="24"/>
      <w:szCs w:val="20"/>
      <w:lang w:eastAsia="en-AU"/>
    </w:rPr>
  </w:style>
  <w:style w:type="paragraph" w:customStyle="1" w:styleId="ParaNumbering">
    <w:name w:val="Para Numbering"/>
    <w:basedOn w:val="Normal"/>
    <w:rsid w:val="00EC0776"/>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Dot point 1.5 line spacing Char,L Char,bullet point list Char,List Paragraph - bullets Char,Bullet point Char,DDM Gen Text Char"/>
    <w:basedOn w:val="DefaultParagraphFont"/>
    <w:link w:val="ListParagraph"/>
    <w:uiPriority w:val="34"/>
    <w:locked/>
    <w:rsid w:val="00EC0776"/>
    <w:rPr>
      <w:rFonts w:ascii="Times New Roman" w:hAnsi="Times New Roman"/>
      <w:color w:val="000000" w:themeColor="text1"/>
      <w:sz w:val="24"/>
    </w:rPr>
  </w:style>
  <w:style w:type="character" w:styleId="Hyperlink">
    <w:name w:val="Hyperlink"/>
    <w:basedOn w:val="DefaultParagraphFont"/>
    <w:uiPriority w:val="99"/>
    <w:unhideWhenUsed/>
    <w:rsid w:val="00196BE2"/>
    <w:rPr>
      <w:color w:val="0000FF" w:themeColor="hyperlink"/>
      <w:u w:val="single"/>
    </w:rPr>
  </w:style>
  <w:style w:type="paragraph" w:customStyle="1" w:styleId="paranumbering0">
    <w:name w:val="paranumbering"/>
    <w:basedOn w:val="Normal"/>
    <w:uiPriority w:val="99"/>
    <w:rsid w:val="0035036D"/>
    <w:pPr>
      <w:spacing w:before="100" w:beforeAutospacing="1" w:after="100" w:afterAutospacing="1"/>
    </w:pPr>
    <w:rPr>
      <w:rFonts w:ascii="Times New Roman" w:eastAsiaTheme="minorHAnsi" w:hAnsi="Times New Roman"/>
      <w:sz w:val="24"/>
      <w:szCs w:val="24"/>
    </w:rPr>
  </w:style>
  <w:style w:type="paragraph" w:styleId="Footer">
    <w:name w:val="footer"/>
    <w:basedOn w:val="Normal"/>
    <w:link w:val="FooterChar"/>
    <w:uiPriority w:val="99"/>
    <w:semiHidden/>
    <w:unhideWhenUsed/>
    <w:rsid w:val="0035036D"/>
    <w:pPr>
      <w:tabs>
        <w:tab w:val="center" w:pos="4513"/>
        <w:tab w:val="right" w:pos="9026"/>
      </w:tabs>
    </w:pPr>
  </w:style>
  <w:style w:type="character" w:customStyle="1" w:styleId="FooterChar">
    <w:name w:val="Footer Char"/>
    <w:basedOn w:val="DefaultParagraphFont"/>
    <w:link w:val="Footer"/>
    <w:uiPriority w:val="99"/>
    <w:semiHidden/>
    <w:rsid w:val="0035036D"/>
    <w:rPr>
      <w:rFonts w:ascii="Calibri" w:eastAsia="Calibri" w:hAnsi="Calibri" w:cs="Times New Roman"/>
      <w:lang w:eastAsia="en-AU"/>
    </w:rPr>
  </w:style>
  <w:style w:type="paragraph" w:customStyle="1" w:styleId="Default">
    <w:name w:val="Default"/>
    <w:rsid w:val="00CD0985"/>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772590"/>
  </w:style>
  <w:style w:type="character" w:styleId="Emphasis">
    <w:name w:val="Emphasis"/>
    <w:basedOn w:val="DefaultParagraphFont"/>
    <w:uiPriority w:val="20"/>
    <w:qFormat/>
    <w:rsid w:val="00772590"/>
    <w:rPr>
      <w:i/>
      <w:iCs/>
    </w:rPr>
  </w:style>
  <w:style w:type="paragraph" w:customStyle="1" w:styleId="CABNETParagraphAtt">
    <w:name w:val="CABNET Paragraph Att"/>
    <w:basedOn w:val="Normal"/>
    <w:link w:val="CABNETParagraphAttChar"/>
    <w:qFormat/>
    <w:rsid w:val="0001674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01674D"/>
    <w:rPr>
      <w:rFonts w:ascii="Verdana" w:eastAsia="Times New Roman" w:hAnsi="Verdana"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6104">
      <w:bodyDiv w:val="1"/>
      <w:marLeft w:val="0"/>
      <w:marRight w:val="0"/>
      <w:marTop w:val="0"/>
      <w:marBottom w:val="0"/>
      <w:divBdr>
        <w:top w:val="none" w:sz="0" w:space="0" w:color="auto"/>
        <w:left w:val="none" w:sz="0" w:space="0" w:color="auto"/>
        <w:bottom w:val="none" w:sz="0" w:space="0" w:color="auto"/>
        <w:right w:val="none" w:sz="0" w:space="0" w:color="auto"/>
      </w:divBdr>
    </w:div>
    <w:div w:id="161701723">
      <w:bodyDiv w:val="1"/>
      <w:marLeft w:val="0"/>
      <w:marRight w:val="0"/>
      <w:marTop w:val="0"/>
      <w:marBottom w:val="0"/>
      <w:divBdr>
        <w:top w:val="none" w:sz="0" w:space="0" w:color="auto"/>
        <w:left w:val="none" w:sz="0" w:space="0" w:color="auto"/>
        <w:bottom w:val="none" w:sz="0" w:space="0" w:color="auto"/>
        <w:right w:val="none" w:sz="0" w:space="0" w:color="auto"/>
      </w:divBdr>
    </w:div>
    <w:div w:id="265427931">
      <w:bodyDiv w:val="1"/>
      <w:marLeft w:val="0"/>
      <w:marRight w:val="0"/>
      <w:marTop w:val="0"/>
      <w:marBottom w:val="0"/>
      <w:divBdr>
        <w:top w:val="none" w:sz="0" w:space="0" w:color="auto"/>
        <w:left w:val="none" w:sz="0" w:space="0" w:color="auto"/>
        <w:bottom w:val="none" w:sz="0" w:space="0" w:color="auto"/>
        <w:right w:val="none" w:sz="0" w:space="0" w:color="auto"/>
      </w:divBdr>
    </w:div>
    <w:div w:id="1244603563">
      <w:bodyDiv w:val="1"/>
      <w:marLeft w:val="0"/>
      <w:marRight w:val="0"/>
      <w:marTop w:val="0"/>
      <w:marBottom w:val="0"/>
      <w:divBdr>
        <w:top w:val="none" w:sz="0" w:space="0" w:color="auto"/>
        <w:left w:val="none" w:sz="0" w:space="0" w:color="auto"/>
        <w:bottom w:val="none" w:sz="0" w:space="0" w:color="auto"/>
        <w:right w:val="none" w:sz="0" w:space="0" w:color="auto"/>
      </w:divBdr>
    </w:div>
    <w:div w:id="1608003750">
      <w:bodyDiv w:val="1"/>
      <w:marLeft w:val="0"/>
      <w:marRight w:val="0"/>
      <w:marTop w:val="0"/>
      <w:marBottom w:val="0"/>
      <w:divBdr>
        <w:top w:val="none" w:sz="0" w:space="0" w:color="auto"/>
        <w:left w:val="none" w:sz="0" w:space="0" w:color="auto"/>
        <w:bottom w:val="none" w:sz="0" w:space="0" w:color="auto"/>
        <w:right w:val="none" w:sz="0" w:space="0" w:color="auto"/>
      </w:divBdr>
    </w:div>
    <w:div w:id="18510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18544-FF3A-4AC9-BA57-1CE8DE4B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14398</Words>
  <Characters>76171</Characters>
  <Application>Microsoft Office Word</Application>
  <DocSecurity>0</DocSecurity>
  <Lines>6347</Lines>
  <Paragraphs>3773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FORTRESS - ROBINSON,Esther</dc:creator>
  <cp:keywords>[SEC=PROTECTED]</cp:keywords>
  <cp:lastModifiedBy>Gibson, Vikki</cp:lastModifiedBy>
  <cp:revision>3</cp:revision>
  <cp:lastPrinted>2015-06-21T05:24:00Z</cp:lastPrinted>
  <dcterms:created xsi:type="dcterms:W3CDTF">2015-06-24T01:51:00Z</dcterms:created>
  <dcterms:modified xsi:type="dcterms:W3CDTF">2015-06-24T01:51:00Z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PROTECTED</vt:lpwstr>
  </property>
  <property fmtid="{D5CDD505-2E9C-101B-9397-08002B2CF9AE}" pid="3" name="PM_Qualifier">
    <vt:lpwstr/>
  </property>
  <property fmtid="{D5CDD505-2E9C-101B-9397-08002B2CF9AE}" pid="4" name="PM_DisplayValueSecClassificationWithQualifier">
    <vt:lpwstr>PROTECTED</vt:lpwstr>
  </property>
  <property fmtid="{D5CDD505-2E9C-101B-9397-08002B2CF9AE}" pid="5" name="PM_InsertionValue">
    <vt:lpwstr>PROTECTED\r\n</vt:lpwstr>
  </property>
  <property fmtid="{D5CDD505-2E9C-101B-9397-08002B2CF9AE}" pid="6" name="PM_Originator_Hash_SHA1">
    <vt:lpwstr>21296CEF20ED18AE4D678FE65BE218F38FE654FB</vt:lpwstr>
  </property>
  <property fmtid="{D5CDD505-2E9C-101B-9397-08002B2CF9AE}" pid="7" name="PM_Hash_Version">
    <vt:lpwstr>2014.1</vt:lpwstr>
  </property>
  <property fmtid="{D5CDD505-2E9C-101B-9397-08002B2CF9AE}" pid="8" name="PM_Hash_Salt">
    <vt:lpwstr>D7608828A24DEC0030B0FE05AE4D0695</vt:lpwstr>
  </property>
  <property fmtid="{D5CDD505-2E9C-101B-9397-08002B2CF9AE}" pid="9" name="PM_Hash_SHA1">
    <vt:lpwstr>498CEA64408CAA317167FDDD6070F2615CCAB748</vt:lpwstr>
  </property>
</Properties>
</file>