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41900" w:rsidRDefault="00193461" w:rsidP="00C63713">
      <w:pPr>
        <w:rPr>
          <w:sz w:val="28"/>
        </w:rPr>
      </w:pPr>
      <w:r w:rsidRPr="00141900">
        <w:rPr>
          <w:noProof/>
          <w:lang w:eastAsia="en-AU"/>
        </w:rPr>
        <w:drawing>
          <wp:inline distT="0" distB="0" distL="0" distR="0" wp14:anchorId="0920F82B" wp14:editId="50DD435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141900" w:rsidRDefault="0048364F" w:rsidP="0048364F">
      <w:pPr>
        <w:rPr>
          <w:sz w:val="19"/>
        </w:rPr>
      </w:pPr>
    </w:p>
    <w:p w:rsidR="0048364F" w:rsidRPr="00141900" w:rsidRDefault="004128EF" w:rsidP="0048364F">
      <w:pPr>
        <w:pStyle w:val="ShortT"/>
      </w:pPr>
      <w:r w:rsidRPr="00141900">
        <w:t>Financial Framework (Supplementary Powers) Amendment (2015 Measures No.</w:t>
      </w:r>
      <w:r w:rsidR="00141900" w:rsidRPr="00141900">
        <w:t> </w:t>
      </w:r>
      <w:r w:rsidRPr="00141900">
        <w:t>6) Regulation</w:t>
      </w:r>
      <w:r w:rsidR="00141900" w:rsidRPr="00141900">
        <w:t> </w:t>
      </w:r>
      <w:r w:rsidRPr="00141900">
        <w:t>2015</w:t>
      </w:r>
    </w:p>
    <w:p w:rsidR="0048364F" w:rsidRPr="00141900" w:rsidRDefault="0048364F" w:rsidP="0048364F"/>
    <w:p w:rsidR="0048364F" w:rsidRPr="00141900" w:rsidRDefault="00A4361F" w:rsidP="00680F17">
      <w:pPr>
        <w:pStyle w:val="InstNo"/>
      </w:pPr>
      <w:r w:rsidRPr="00141900">
        <w:t>Select Legislative Instrument</w:t>
      </w:r>
      <w:r w:rsidR="00154EAC" w:rsidRPr="00141900">
        <w:t xml:space="preserve"> </w:t>
      </w:r>
      <w:bookmarkStart w:id="0" w:name="BKCheck15B_1"/>
      <w:bookmarkEnd w:id="0"/>
      <w:r w:rsidR="00D0104A" w:rsidRPr="00141900">
        <w:fldChar w:fldCharType="begin"/>
      </w:r>
      <w:r w:rsidR="00D0104A" w:rsidRPr="00141900">
        <w:instrText xml:space="preserve"> DOCPROPERTY  ActNo </w:instrText>
      </w:r>
      <w:r w:rsidR="00D0104A" w:rsidRPr="00141900">
        <w:fldChar w:fldCharType="separate"/>
      </w:r>
      <w:r w:rsidR="00766424">
        <w:t>No. 99, 2015</w:t>
      </w:r>
      <w:r w:rsidR="00D0104A" w:rsidRPr="00141900">
        <w:fldChar w:fldCharType="end"/>
      </w:r>
    </w:p>
    <w:p w:rsidR="000D3E2B" w:rsidRPr="00141900" w:rsidRDefault="000D3E2B" w:rsidP="00F663E8">
      <w:pPr>
        <w:pStyle w:val="SignCoverPageStart"/>
        <w:spacing w:before="240"/>
        <w:rPr>
          <w:szCs w:val="22"/>
        </w:rPr>
      </w:pPr>
      <w:r w:rsidRPr="00141900">
        <w:rPr>
          <w:szCs w:val="22"/>
        </w:rPr>
        <w:t>I, General the Honourable Sir Peter Cosgrove AK MC (</w:t>
      </w:r>
      <w:proofErr w:type="spellStart"/>
      <w:r w:rsidRPr="00141900">
        <w:rPr>
          <w:szCs w:val="22"/>
        </w:rPr>
        <w:t>Ret’d</w:t>
      </w:r>
      <w:proofErr w:type="spellEnd"/>
      <w:r w:rsidRPr="00141900">
        <w:rPr>
          <w:szCs w:val="22"/>
        </w:rPr>
        <w:t xml:space="preserve">), </w:t>
      </w:r>
      <w:r w:rsidR="00141900" w:rsidRPr="00141900">
        <w:rPr>
          <w:szCs w:val="22"/>
        </w:rPr>
        <w:t>Governor</w:t>
      </w:r>
      <w:r w:rsidR="00141900">
        <w:rPr>
          <w:szCs w:val="22"/>
        </w:rPr>
        <w:noBreakHyphen/>
      </w:r>
      <w:r w:rsidR="00141900" w:rsidRPr="00141900">
        <w:rPr>
          <w:szCs w:val="22"/>
        </w:rPr>
        <w:t>General</w:t>
      </w:r>
      <w:r w:rsidRPr="00141900">
        <w:rPr>
          <w:szCs w:val="22"/>
        </w:rPr>
        <w:t xml:space="preserve"> of the Commonwealth of Australia, acting with the advice of the Federal Executive Council, make the following regulation.</w:t>
      </w:r>
    </w:p>
    <w:p w:rsidR="000D3E2B" w:rsidRPr="00141900" w:rsidRDefault="000D3E2B" w:rsidP="00F663E8">
      <w:pPr>
        <w:keepNext/>
        <w:spacing w:before="720" w:line="240" w:lineRule="atLeast"/>
        <w:ind w:right="397"/>
        <w:jc w:val="both"/>
        <w:rPr>
          <w:szCs w:val="22"/>
        </w:rPr>
      </w:pPr>
      <w:r w:rsidRPr="00141900">
        <w:rPr>
          <w:szCs w:val="22"/>
        </w:rPr>
        <w:t xml:space="preserve">Dated </w:t>
      </w:r>
      <w:bookmarkStart w:id="1" w:name="BKCheck15B_2"/>
      <w:bookmarkEnd w:id="1"/>
      <w:r w:rsidRPr="00141900">
        <w:rPr>
          <w:szCs w:val="22"/>
        </w:rPr>
        <w:fldChar w:fldCharType="begin"/>
      </w:r>
      <w:r w:rsidRPr="00141900">
        <w:rPr>
          <w:szCs w:val="22"/>
        </w:rPr>
        <w:instrText xml:space="preserve"> DOCPROPERTY  DateMade </w:instrText>
      </w:r>
      <w:r w:rsidRPr="00141900">
        <w:rPr>
          <w:szCs w:val="22"/>
        </w:rPr>
        <w:fldChar w:fldCharType="separate"/>
      </w:r>
      <w:r w:rsidR="00766424">
        <w:rPr>
          <w:szCs w:val="22"/>
        </w:rPr>
        <w:t>25 June 2015</w:t>
      </w:r>
      <w:r w:rsidRPr="00141900">
        <w:rPr>
          <w:szCs w:val="22"/>
        </w:rPr>
        <w:fldChar w:fldCharType="end"/>
      </w:r>
    </w:p>
    <w:p w:rsidR="000D3E2B" w:rsidRPr="00141900" w:rsidRDefault="000D3E2B" w:rsidP="00F663E8">
      <w:pPr>
        <w:keepNext/>
        <w:tabs>
          <w:tab w:val="left" w:pos="3402"/>
        </w:tabs>
        <w:spacing w:before="1080" w:line="300" w:lineRule="atLeast"/>
        <w:ind w:left="397" w:right="397"/>
        <w:jc w:val="right"/>
        <w:rPr>
          <w:szCs w:val="22"/>
        </w:rPr>
      </w:pPr>
      <w:r w:rsidRPr="00141900">
        <w:rPr>
          <w:szCs w:val="22"/>
        </w:rPr>
        <w:t>Peter Cosgrove</w:t>
      </w:r>
    </w:p>
    <w:p w:rsidR="000D3E2B" w:rsidRPr="00141900" w:rsidRDefault="00141900" w:rsidP="00F663E8">
      <w:pPr>
        <w:keepNext/>
        <w:tabs>
          <w:tab w:val="left" w:pos="3402"/>
        </w:tabs>
        <w:spacing w:line="300" w:lineRule="atLeast"/>
        <w:ind w:left="397" w:right="397"/>
        <w:jc w:val="right"/>
        <w:rPr>
          <w:szCs w:val="22"/>
        </w:rPr>
      </w:pPr>
      <w:r w:rsidRPr="00141900">
        <w:rPr>
          <w:szCs w:val="22"/>
        </w:rPr>
        <w:t>Governor</w:t>
      </w:r>
      <w:r>
        <w:rPr>
          <w:szCs w:val="22"/>
        </w:rPr>
        <w:noBreakHyphen/>
      </w:r>
      <w:r w:rsidRPr="00141900">
        <w:rPr>
          <w:szCs w:val="22"/>
        </w:rPr>
        <w:t>General</w:t>
      </w:r>
    </w:p>
    <w:p w:rsidR="000D3E2B" w:rsidRPr="00141900" w:rsidRDefault="000D3E2B" w:rsidP="00CF2AE3">
      <w:pPr>
        <w:keepNext/>
        <w:tabs>
          <w:tab w:val="left" w:pos="3402"/>
        </w:tabs>
        <w:spacing w:before="600" w:after="1080" w:line="300" w:lineRule="atLeast"/>
        <w:ind w:right="397"/>
        <w:rPr>
          <w:szCs w:val="22"/>
        </w:rPr>
      </w:pPr>
      <w:r w:rsidRPr="00141900">
        <w:rPr>
          <w:szCs w:val="22"/>
        </w:rPr>
        <w:t>By His Excellency’s Command</w:t>
      </w:r>
    </w:p>
    <w:p w:rsidR="000D3E2B" w:rsidRPr="00141900" w:rsidRDefault="00C4003A" w:rsidP="00F663E8">
      <w:pPr>
        <w:keepNext/>
        <w:tabs>
          <w:tab w:val="left" w:pos="3402"/>
        </w:tabs>
        <w:spacing w:before="480" w:line="300" w:lineRule="atLeast"/>
        <w:ind w:right="397"/>
        <w:rPr>
          <w:b/>
          <w:szCs w:val="22"/>
        </w:rPr>
      </w:pPr>
      <w:r w:rsidRPr="00141900">
        <w:rPr>
          <w:szCs w:val="22"/>
        </w:rPr>
        <w:t xml:space="preserve">Mathias </w:t>
      </w:r>
      <w:proofErr w:type="spellStart"/>
      <w:r w:rsidRPr="00141900">
        <w:rPr>
          <w:szCs w:val="22"/>
        </w:rPr>
        <w:t>Cormann</w:t>
      </w:r>
      <w:proofErr w:type="spellEnd"/>
    </w:p>
    <w:p w:rsidR="000D3E2B" w:rsidRPr="00141900" w:rsidRDefault="000D3E2B" w:rsidP="00F663E8">
      <w:pPr>
        <w:pStyle w:val="SignCoverPageEnd"/>
        <w:rPr>
          <w:szCs w:val="22"/>
        </w:rPr>
      </w:pPr>
      <w:r w:rsidRPr="00141900">
        <w:rPr>
          <w:szCs w:val="22"/>
        </w:rPr>
        <w:t>Minister for Finance</w:t>
      </w:r>
    </w:p>
    <w:p w:rsidR="000D3E2B" w:rsidRPr="00141900" w:rsidRDefault="000D3E2B" w:rsidP="000D3E2B"/>
    <w:p w:rsidR="0048364F" w:rsidRPr="00141900" w:rsidRDefault="0048364F" w:rsidP="0048364F">
      <w:pPr>
        <w:pStyle w:val="Header"/>
        <w:tabs>
          <w:tab w:val="clear" w:pos="4150"/>
          <w:tab w:val="clear" w:pos="8307"/>
        </w:tabs>
      </w:pPr>
      <w:r w:rsidRPr="00141900">
        <w:rPr>
          <w:rStyle w:val="CharAmSchNo"/>
        </w:rPr>
        <w:t xml:space="preserve"> </w:t>
      </w:r>
      <w:r w:rsidRPr="00141900">
        <w:rPr>
          <w:rStyle w:val="CharAmSchText"/>
        </w:rPr>
        <w:t xml:space="preserve"> </w:t>
      </w:r>
    </w:p>
    <w:p w:rsidR="0048364F" w:rsidRPr="00141900" w:rsidRDefault="0048364F" w:rsidP="0048364F">
      <w:pPr>
        <w:pStyle w:val="Header"/>
        <w:tabs>
          <w:tab w:val="clear" w:pos="4150"/>
          <w:tab w:val="clear" w:pos="8307"/>
        </w:tabs>
      </w:pPr>
      <w:r w:rsidRPr="00141900">
        <w:rPr>
          <w:rStyle w:val="CharAmPartNo"/>
        </w:rPr>
        <w:t xml:space="preserve"> </w:t>
      </w:r>
      <w:r w:rsidRPr="00141900">
        <w:rPr>
          <w:rStyle w:val="CharAmPartText"/>
        </w:rPr>
        <w:t xml:space="preserve"> </w:t>
      </w:r>
    </w:p>
    <w:p w:rsidR="0048364F" w:rsidRPr="00141900" w:rsidRDefault="0048364F" w:rsidP="0048364F">
      <w:pPr>
        <w:sectPr w:rsidR="0048364F" w:rsidRPr="00141900" w:rsidSect="001E5F1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141900" w:rsidRDefault="0048364F" w:rsidP="00F13565">
      <w:pPr>
        <w:rPr>
          <w:sz w:val="36"/>
        </w:rPr>
      </w:pPr>
      <w:r w:rsidRPr="00141900">
        <w:rPr>
          <w:sz w:val="36"/>
        </w:rPr>
        <w:lastRenderedPageBreak/>
        <w:t>Contents</w:t>
      </w:r>
    </w:p>
    <w:bookmarkStart w:id="2" w:name="BKCheck15B_3"/>
    <w:bookmarkEnd w:id="2"/>
    <w:p w:rsidR="00CC4F50" w:rsidRPr="00141900" w:rsidRDefault="00CC4F50">
      <w:pPr>
        <w:pStyle w:val="TOC5"/>
        <w:rPr>
          <w:rFonts w:asciiTheme="minorHAnsi" w:eastAsiaTheme="minorEastAsia" w:hAnsiTheme="minorHAnsi" w:cstheme="minorBidi"/>
          <w:noProof/>
          <w:kern w:val="0"/>
          <w:sz w:val="22"/>
          <w:szCs w:val="22"/>
        </w:rPr>
      </w:pPr>
      <w:r w:rsidRPr="00141900">
        <w:fldChar w:fldCharType="begin"/>
      </w:r>
      <w:r w:rsidRPr="00141900">
        <w:instrText xml:space="preserve"> TOC \o "1-9" </w:instrText>
      </w:r>
      <w:r w:rsidRPr="00141900">
        <w:fldChar w:fldCharType="separate"/>
      </w:r>
      <w:r w:rsidRPr="00141900">
        <w:rPr>
          <w:noProof/>
        </w:rPr>
        <w:t>1</w:t>
      </w:r>
      <w:r w:rsidRPr="00141900">
        <w:rPr>
          <w:noProof/>
        </w:rPr>
        <w:tab/>
        <w:t>Name</w:t>
      </w:r>
      <w:r w:rsidRPr="00141900">
        <w:rPr>
          <w:noProof/>
        </w:rPr>
        <w:tab/>
      </w:r>
      <w:r w:rsidRPr="00141900">
        <w:rPr>
          <w:noProof/>
        </w:rPr>
        <w:fldChar w:fldCharType="begin"/>
      </w:r>
      <w:r w:rsidRPr="00141900">
        <w:rPr>
          <w:noProof/>
        </w:rPr>
        <w:instrText xml:space="preserve"> PAGEREF _Toc421874139 \h </w:instrText>
      </w:r>
      <w:r w:rsidRPr="00141900">
        <w:rPr>
          <w:noProof/>
        </w:rPr>
      </w:r>
      <w:r w:rsidRPr="00141900">
        <w:rPr>
          <w:noProof/>
        </w:rPr>
        <w:fldChar w:fldCharType="separate"/>
      </w:r>
      <w:r w:rsidR="00766424">
        <w:rPr>
          <w:noProof/>
        </w:rPr>
        <w:t>1</w:t>
      </w:r>
      <w:r w:rsidRPr="00141900">
        <w:rPr>
          <w:noProof/>
        </w:rPr>
        <w:fldChar w:fldCharType="end"/>
      </w:r>
    </w:p>
    <w:p w:rsidR="00CC4F50" w:rsidRPr="00141900" w:rsidRDefault="00CC4F50">
      <w:pPr>
        <w:pStyle w:val="TOC5"/>
        <w:rPr>
          <w:rFonts w:asciiTheme="minorHAnsi" w:eastAsiaTheme="minorEastAsia" w:hAnsiTheme="minorHAnsi" w:cstheme="minorBidi"/>
          <w:noProof/>
          <w:kern w:val="0"/>
          <w:sz w:val="22"/>
          <w:szCs w:val="22"/>
        </w:rPr>
      </w:pPr>
      <w:r w:rsidRPr="00141900">
        <w:rPr>
          <w:noProof/>
        </w:rPr>
        <w:t>2</w:t>
      </w:r>
      <w:r w:rsidRPr="00141900">
        <w:rPr>
          <w:noProof/>
        </w:rPr>
        <w:tab/>
        <w:t>Commencement</w:t>
      </w:r>
      <w:r w:rsidRPr="00141900">
        <w:rPr>
          <w:noProof/>
        </w:rPr>
        <w:tab/>
      </w:r>
      <w:r w:rsidRPr="00141900">
        <w:rPr>
          <w:noProof/>
        </w:rPr>
        <w:fldChar w:fldCharType="begin"/>
      </w:r>
      <w:r w:rsidRPr="00141900">
        <w:rPr>
          <w:noProof/>
        </w:rPr>
        <w:instrText xml:space="preserve"> PAGEREF _Toc421874140 \h </w:instrText>
      </w:r>
      <w:r w:rsidRPr="00141900">
        <w:rPr>
          <w:noProof/>
        </w:rPr>
      </w:r>
      <w:r w:rsidRPr="00141900">
        <w:rPr>
          <w:noProof/>
        </w:rPr>
        <w:fldChar w:fldCharType="separate"/>
      </w:r>
      <w:r w:rsidR="00766424">
        <w:rPr>
          <w:noProof/>
        </w:rPr>
        <w:t>1</w:t>
      </w:r>
      <w:r w:rsidRPr="00141900">
        <w:rPr>
          <w:noProof/>
        </w:rPr>
        <w:fldChar w:fldCharType="end"/>
      </w:r>
    </w:p>
    <w:p w:rsidR="00CC4F50" w:rsidRPr="00141900" w:rsidRDefault="00CC4F50">
      <w:pPr>
        <w:pStyle w:val="TOC5"/>
        <w:rPr>
          <w:rFonts w:asciiTheme="minorHAnsi" w:eastAsiaTheme="minorEastAsia" w:hAnsiTheme="minorHAnsi" w:cstheme="minorBidi"/>
          <w:noProof/>
          <w:kern w:val="0"/>
          <w:sz w:val="22"/>
          <w:szCs w:val="22"/>
        </w:rPr>
      </w:pPr>
      <w:r w:rsidRPr="00141900">
        <w:rPr>
          <w:noProof/>
        </w:rPr>
        <w:t>3</w:t>
      </w:r>
      <w:r w:rsidRPr="00141900">
        <w:rPr>
          <w:noProof/>
        </w:rPr>
        <w:tab/>
        <w:t>Authority</w:t>
      </w:r>
      <w:r w:rsidRPr="00141900">
        <w:rPr>
          <w:noProof/>
        </w:rPr>
        <w:tab/>
      </w:r>
      <w:r w:rsidRPr="00141900">
        <w:rPr>
          <w:noProof/>
        </w:rPr>
        <w:fldChar w:fldCharType="begin"/>
      </w:r>
      <w:r w:rsidRPr="00141900">
        <w:rPr>
          <w:noProof/>
        </w:rPr>
        <w:instrText xml:space="preserve"> PAGEREF _Toc421874141 \h </w:instrText>
      </w:r>
      <w:r w:rsidRPr="00141900">
        <w:rPr>
          <w:noProof/>
        </w:rPr>
      </w:r>
      <w:r w:rsidRPr="00141900">
        <w:rPr>
          <w:noProof/>
        </w:rPr>
        <w:fldChar w:fldCharType="separate"/>
      </w:r>
      <w:r w:rsidR="00766424">
        <w:rPr>
          <w:noProof/>
        </w:rPr>
        <w:t>1</w:t>
      </w:r>
      <w:r w:rsidRPr="00141900">
        <w:rPr>
          <w:noProof/>
        </w:rPr>
        <w:fldChar w:fldCharType="end"/>
      </w:r>
    </w:p>
    <w:p w:rsidR="00CC4F50" w:rsidRPr="00141900" w:rsidRDefault="00CC4F50">
      <w:pPr>
        <w:pStyle w:val="TOC5"/>
        <w:rPr>
          <w:rFonts w:asciiTheme="minorHAnsi" w:eastAsiaTheme="minorEastAsia" w:hAnsiTheme="minorHAnsi" w:cstheme="minorBidi"/>
          <w:noProof/>
          <w:kern w:val="0"/>
          <w:sz w:val="22"/>
          <w:szCs w:val="22"/>
        </w:rPr>
      </w:pPr>
      <w:r w:rsidRPr="00141900">
        <w:rPr>
          <w:noProof/>
        </w:rPr>
        <w:t>4</w:t>
      </w:r>
      <w:r w:rsidRPr="00141900">
        <w:rPr>
          <w:noProof/>
        </w:rPr>
        <w:tab/>
        <w:t>Schedules</w:t>
      </w:r>
      <w:r w:rsidRPr="00141900">
        <w:rPr>
          <w:noProof/>
        </w:rPr>
        <w:tab/>
      </w:r>
      <w:r w:rsidRPr="00141900">
        <w:rPr>
          <w:noProof/>
        </w:rPr>
        <w:fldChar w:fldCharType="begin"/>
      </w:r>
      <w:r w:rsidRPr="00141900">
        <w:rPr>
          <w:noProof/>
        </w:rPr>
        <w:instrText xml:space="preserve"> PAGEREF _Toc421874142 \h </w:instrText>
      </w:r>
      <w:r w:rsidRPr="00141900">
        <w:rPr>
          <w:noProof/>
        </w:rPr>
      </w:r>
      <w:r w:rsidRPr="00141900">
        <w:rPr>
          <w:noProof/>
        </w:rPr>
        <w:fldChar w:fldCharType="separate"/>
      </w:r>
      <w:r w:rsidR="00766424">
        <w:rPr>
          <w:noProof/>
        </w:rPr>
        <w:t>1</w:t>
      </w:r>
      <w:r w:rsidRPr="00141900">
        <w:rPr>
          <w:noProof/>
        </w:rPr>
        <w:fldChar w:fldCharType="end"/>
      </w:r>
    </w:p>
    <w:p w:rsidR="00CC4F50" w:rsidRPr="00141900" w:rsidRDefault="00CC4F50">
      <w:pPr>
        <w:pStyle w:val="TOC6"/>
        <w:rPr>
          <w:rFonts w:asciiTheme="minorHAnsi" w:eastAsiaTheme="minorEastAsia" w:hAnsiTheme="minorHAnsi" w:cstheme="minorBidi"/>
          <w:b w:val="0"/>
          <w:noProof/>
          <w:kern w:val="0"/>
          <w:sz w:val="22"/>
          <w:szCs w:val="22"/>
        </w:rPr>
      </w:pPr>
      <w:r w:rsidRPr="00141900">
        <w:rPr>
          <w:noProof/>
        </w:rPr>
        <w:t>Schedule</w:t>
      </w:r>
      <w:r w:rsidR="00141900" w:rsidRPr="00141900">
        <w:rPr>
          <w:noProof/>
        </w:rPr>
        <w:t> </w:t>
      </w:r>
      <w:r w:rsidRPr="00141900">
        <w:rPr>
          <w:noProof/>
        </w:rPr>
        <w:t>1—Amendments</w:t>
      </w:r>
      <w:r w:rsidRPr="00141900">
        <w:rPr>
          <w:b w:val="0"/>
          <w:noProof/>
          <w:sz w:val="18"/>
        </w:rPr>
        <w:tab/>
      </w:r>
      <w:r w:rsidRPr="00141900">
        <w:rPr>
          <w:b w:val="0"/>
          <w:noProof/>
          <w:sz w:val="18"/>
        </w:rPr>
        <w:fldChar w:fldCharType="begin"/>
      </w:r>
      <w:r w:rsidRPr="00141900">
        <w:rPr>
          <w:b w:val="0"/>
          <w:noProof/>
          <w:sz w:val="18"/>
        </w:rPr>
        <w:instrText xml:space="preserve"> PAGEREF _Toc421874143 \h </w:instrText>
      </w:r>
      <w:r w:rsidRPr="00141900">
        <w:rPr>
          <w:b w:val="0"/>
          <w:noProof/>
          <w:sz w:val="18"/>
        </w:rPr>
      </w:r>
      <w:r w:rsidRPr="00141900">
        <w:rPr>
          <w:b w:val="0"/>
          <w:noProof/>
          <w:sz w:val="18"/>
        </w:rPr>
        <w:fldChar w:fldCharType="separate"/>
      </w:r>
      <w:r w:rsidR="00766424">
        <w:rPr>
          <w:b w:val="0"/>
          <w:noProof/>
          <w:sz w:val="18"/>
        </w:rPr>
        <w:t>2</w:t>
      </w:r>
      <w:r w:rsidRPr="00141900">
        <w:rPr>
          <w:b w:val="0"/>
          <w:noProof/>
          <w:sz w:val="18"/>
        </w:rPr>
        <w:fldChar w:fldCharType="end"/>
      </w:r>
    </w:p>
    <w:p w:rsidR="00CC4F50" w:rsidRPr="00141900" w:rsidRDefault="00CC4F50">
      <w:pPr>
        <w:pStyle w:val="TOC9"/>
        <w:rPr>
          <w:rFonts w:asciiTheme="minorHAnsi" w:eastAsiaTheme="minorEastAsia" w:hAnsiTheme="minorHAnsi" w:cstheme="minorBidi"/>
          <w:i w:val="0"/>
          <w:noProof/>
          <w:kern w:val="0"/>
          <w:sz w:val="22"/>
          <w:szCs w:val="22"/>
        </w:rPr>
      </w:pPr>
      <w:r w:rsidRPr="00141900">
        <w:rPr>
          <w:noProof/>
        </w:rPr>
        <w:t>Financial Framework (Supplementary Powers) Regulations</w:t>
      </w:r>
      <w:r w:rsidR="00141900" w:rsidRPr="00141900">
        <w:rPr>
          <w:noProof/>
        </w:rPr>
        <w:t> </w:t>
      </w:r>
      <w:r w:rsidRPr="00141900">
        <w:rPr>
          <w:noProof/>
        </w:rPr>
        <w:t>1997</w:t>
      </w:r>
      <w:r w:rsidRPr="00141900">
        <w:rPr>
          <w:i w:val="0"/>
          <w:noProof/>
          <w:sz w:val="18"/>
        </w:rPr>
        <w:tab/>
      </w:r>
      <w:r w:rsidRPr="00141900">
        <w:rPr>
          <w:i w:val="0"/>
          <w:noProof/>
          <w:sz w:val="18"/>
        </w:rPr>
        <w:fldChar w:fldCharType="begin"/>
      </w:r>
      <w:r w:rsidRPr="00141900">
        <w:rPr>
          <w:i w:val="0"/>
          <w:noProof/>
          <w:sz w:val="18"/>
        </w:rPr>
        <w:instrText xml:space="preserve"> PAGEREF _Toc421874144 \h </w:instrText>
      </w:r>
      <w:r w:rsidRPr="00141900">
        <w:rPr>
          <w:i w:val="0"/>
          <w:noProof/>
          <w:sz w:val="18"/>
        </w:rPr>
      </w:r>
      <w:r w:rsidRPr="00141900">
        <w:rPr>
          <w:i w:val="0"/>
          <w:noProof/>
          <w:sz w:val="18"/>
        </w:rPr>
        <w:fldChar w:fldCharType="separate"/>
      </w:r>
      <w:r w:rsidR="00766424">
        <w:rPr>
          <w:i w:val="0"/>
          <w:noProof/>
          <w:sz w:val="18"/>
        </w:rPr>
        <w:t>2</w:t>
      </w:r>
      <w:r w:rsidRPr="00141900">
        <w:rPr>
          <w:i w:val="0"/>
          <w:noProof/>
          <w:sz w:val="18"/>
        </w:rPr>
        <w:fldChar w:fldCharType="end"/>
      </w:r>
    </w:p>
    <w:p w:rsidR="00833416" w:rsidRPr="00141900" w:rsidRDefault="00CC4F50" w:rsidP="0048364F">
      <w:r w:rsidRPr="00141900">
        <w:fldChar w:fldCharType="end"/>
      </w:r>
    </w:p>
    <w:p w:rsidR="00722023" w:rsidRPr="00141900" w:rsidRDefault="00722023" w:rsidP="0048364F">
      <w:pPr>
        <w:sectPr w:rsidR="00722023" w:rsidRPr="00141900" w:rsidSect="001E5F10">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141900" w:rsidRDefault="0048364F" w:rsidP="0048364F">
      <w:pPr>
        <w:pStyle w:val="ActHead5"/>
      </w:pPr>
      <w:bookmarkStart w:id="3" w:name="_Toc421874139"/>
      <w:r w:rsidRPr="00141900">
        <w:rPr>
          <w:rStyle w:val="CharSectno"/>
        </w:rPr>
        <w:lastRenderedPageBreak/>
        <w:t>1</w:t>
      </w:r>
      <w:r w:rsidRPr="00141900">
        <w:t xml:space="preserve">  </w:t>
      </w:r>
      <w:r w:rsidR="004F676E" w:rsidRPr="00141900">
        <w:t>Name</w:t>
      </w:r>
      <w:bookmarkEnd w:id="3"/>
    </w:p>
    <w:p w:rsidR="0048364F" w:rsidRPr="00141900" w:rsidRDefault="0048364F" w:rsidP="0048364F">
      <w:pPr>
        <w:pStyle w:val="subsection"/>
      </w:pPr>
      <w:r w:rsidRPr="00141900">
        <w:tab/>
      </w:r>
      <w:r w:rsidRPr="00141900">
        <w:tab/>
        <w:t>Th</w:t>
      </w:r>
      <w:r w:rsidR="00F24C35" w:rsidRPr="00141900">
        <w:t>is</w:t>
      </w:r>
      <w:r w:rsidRPr="00141900">
        <w:t xml:space="preserve"> </w:t>
      </w:r>
      <w:r w:rsidR="00F24C35" w:rsidRPr="00141900">
        <w:t>is</w:t>
      </w:r>
      <w:r w:rsidR="003801D0" w:rsidRPr="00141900">
        <w:t xml:space="preserve"> the</w:t>
      </w:r>
      <w:r w:rsidRPr="00141900">
        <w:t xml:space="preserve"> </w:t>
      </w:r>
      <w:bookmarkStart w:id="4" w:name="BKCheck15B_4"/>
      <w:bookmarkEnd w:id="4"/>
      <w:r w:rsidR="00CB0180" w:rsidRPr="00141900">
        <w:rPr>
          <w:i/>
        </w:rPr>
        <w:fldChar w:fldCharType="begin"/>
      </w:r>
      <w:r w:rsidR="00CB0180" w:rsidRPr="00141900">
        <w:rPr>
          <w:i/>
        </w:rPr>
        <w:instrText xml:space="preserve"> STYLEREF  ShortT </w:instrText>
      </w:r>
      <w:r w:rsidR="00CB0180" w:rsidRPr="00141900">
        <w:rPr>
          <w:i/>
        </w:rPr>
        <w:fldChar w:fldCharType="separate"/>
      </w:r>
      <w:r w:rsidR="00766424">
        <w:rPr>
          <w:i/>
          <w:noProof/>
        </w:rPr>
        <w:t>Financial Framework (Supplementary Powers) Amendment (2015 Measures No. 6) Regulation 2015</w:t>
      </w:r>
      <w:r w:rsidR="00CB0180" w:rsidRPr="00141900">
        <w:rPr>
          <w:i/>
        </w:rPr>
        <w:fldChar w:fldCharType="end"/>
      </w:r>
      <w:r w:rsidRPr="00141900">
        <w:t>.</w:t>
      </w:r>
    </w:p>
    <w:p w:rsidR="0048364F" w:rsidRPr="00141900" w:rsidRDefault="0048364F" w:rsidP="0048364F">
      <w:pPr>
        <w:pStyle w:val="ActHead5"/>
      </w:pPr>
      <w:bookmarkStart w:id="5" w:name="_Toc421874140"/>
      <w:r w:rsidRPr="00141900">
        <w:rPr>
          <w:rStyle w:val="CharSectno"/>
        </w:rPr>
        <w:t>2</w:t>
      </w:r>
      <w:r w:rsidRPr="00141900">
        <w:t xml:space="preserve">  Commencement</w:t>
      </w:r>
      <w:bookmarkEnd w:id="5"/>
    </w:p>
    <w:p w:rsidR="004128EF" w:rsidRPr="00141900" w:rsidRDefault="004128EF" w:rsidP="00F663E8">
      <w:pPr>
        <w:pStyle w:val="subsection"/>
      </w:pPr>
      <w:r w:rsidRPr="00141900">
        <w:tab/>
        <w:t>(1)</w:t>
      </w:r>
      <w:r w:rsidRPr="00141900">
        <w:tab/>
        <w:t>Each provision of this instrument specified in column 1 of the table commences, or is taken to have commenced, in accordance with column 2 of the table. Any other statement in column 2 has effect according to its terms.</w:t>
      </w:r>
    </w:p>
    <w:p w:rsidR="004128EF" w:rsidRPr="00141900" w:rsidRDefault="004128EF" w:rsidP="00F663E8">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4128EF" w:rsidRPr="00141900" w:rsidTr="00F663E8">
        <w:trPr>
          <w:tblHeader/>
        </w:trPr>
        <w:tc>
          <w:tcPr>
            <w:tcW w:w="7111" w:type="dxa"/>
            <w:gridSpan w:val="3"/>
            <w:tcBorders>
              <w:top w:val="single" w:sz="12" w:space="0" w:color="auto"/>
              <w:bottom w:val="single" w:sz="2" w:space="0" w:color="auto"/>
            </w:tcBorders>
            <w:shd w:val="clear" w:color="auto" w:fill="auto"/>
            <w:hideMark/>
          </w:tcPr>
          <w:p w:rsidR="004128EF" w:rsidRPr="00141900" w:rsidRDefault="004128EF" w:rsidP="00F663E8">
            <w:pPr>
              <w:pStyle w:val="TableHeading"/>
            </w:pPr>
            <w:r w:rsidRPr="00141900">
              <w:t>Commencement information</w:t>
            </w:r>
          </w:p>
        </w:tc>
      </w:tr>
      <w:tr w:rsidR="004128EF" w:rsidRPr="00141900" w:rsidTr="00F663E8">
        <w:trPr>
          <w:tblHeader/>
        </w:trPr>
        <w:tc>
          <w:tcPr>
            <w:tcW w:w="1701" w:type="dxa"/>
            <w:tcBorders>
              <w:top w:val="single" w:sz="2" w:space="0" w:color="auto"/>
              <w:bottom w:val="single" w:sz="2" w:space="0" w:color="auto"/>
            </w:tcBorders>
            <w:shd w:val="clear" w:color="auto" w:fill="auto"/>
            <w:hideMark/>
          </w:tcPr>
          <w:p w:rsidR="004128EF" w:rsidRPr="00141900" w:rsidRDefault="004128EF" w:rsidP="00F663E8">
            <w:pPr>
              <w:pStyle w:val="TableHeading"/>
            </w:pPr>
            <w:r w:rsidRPr="00141900">
              <w:t>Column 1</w:t>
            </w:r>
          </w:p>
        </w:tc>
        <w:tc>
          <w:tcPr>
            <w:tcW w:w="3828" w:type="dxa"/>
            <w:tcBorders>
              <w:top w:val="single" w:sz="2" w:space="0" w:color="auto"/>
              <w:bottom w:val="single" w:sz="2" w:space="0" w:color="auto"/>
            </w:tcBorders>
            <w:shd w:val="clear" w:color="auto" w:fill="auto"/>
            <w:hideMark/>
          </w:tcPr>
          <w:p w:rsidR="004128EF" w:rsidRPr="00141900" w:rsidRDefault="004128EF" w:rsidP="00F663E8">
            <w:pPr>
              <w:pStyle w:val="TableHeading"/>
            </w:pPr>
            <w:r w:rsidRPr="00141900">
              <w:t>Column 2</w:t>
            </w:r>
          </w:p>
        </w:tc>
        <w:tc>
          <w:tcPr>
            <w:tcW w:w="1582" w:type="dxa"/>
            <w:tcBorders>
              <w:top w:val="single" w:sz="2" w:space="0" w:color="auto"/>
              <w:bottom w:val="single" w:sz="2" w:space="0" w:color="auto"/>
            </w:tcBorders>
            <w:shd w:val="clear" w:color="auto" w:fill="auto"/>
            <w:hideMark/>
          </w:tcPr>
          <w:p w:rsidR="004128EF" w:rsidRPr="00141900" w:rsidRDefault="004128EF" w:rsidP="00F663E8">
            <w:pPr>
              <w:pStyle w:val="TableHeading"/>
            </w:pPr>
            <w:r w:rsidRPr="00141900">
              <w:t>Column 3</w:t>
            </w:r>
          </w:p>
        </w:tc>
      </w:tr>
      <w:tr w:rsidR="004128EF" w:rsidRPr="00141900" w:rsidTr="00F663E8">
        <w:trPr>
          <w:tblHeader/>
        </w:trPr>
        <w:tc>
          <w:tcPr>
            <w:tcW w:w="1701" w:type="dxa"/>
            <w:tcBorders>
              <w:top w:val="single" w:sz="2" w:space="0" w:color="auto"/>
              <w:bottom w:val="single" w:sz="12" w:space="0" w:color="auto"/>
            </w:tcBorders>
            <w:shd w:val="clear" w:color="auto" w:fill="auto"/>
            <w:hideMark/>
          </w:tcPr>
          <w:p w:rsidR="004128EF" w:rsidRPr="00141900" w:rsidRDefault="004128EF" w:rsidP="00F663E8">
            <w:pPr>
              <w:pStyle w:val="TableHeading"/>
            </w:pPr>
            <w:r w:rsidRPr="00141900">
              <w:t>Provisions</w:t>
            </w:r>
          </w:p>
        </w:tc>
        <w:tc>
          <w:tcPr>
            <w:tcW w:w="3828" w:type="dxa"/>
            <w:tcBorders>
              <w:top w:val="single" w:sz="2" w:space="0" w:color="auto"/>
              <w:bottom w:val="single" w:sz="12" w:space="0" w:color="auto"/>
            </w:tcBorders>
            <w:shd w:val="clear" w:color="auto" w:fill="auto"/>
            <w:hideMark/>
          </w:tcPr>
          <w:p w:rsidR="004128EF" w:rsidRPr="00141900" w:rsidRDefault="004128EF" w:rsidP="00F663E8">
            <w:pPr>
              <w:pStyle w:val="TableHeading"/>
            </w:pPr>
            <w:r w:rsidRPr="00141900">
              <w:t>Commencement</w:t>
            </w:r>
          </w:p>
        </w:tc>
        <w:tc>
          <w:tcPr>
            <w:tcW w:w="1582" w:type="dxa"/>
            <w:tcBorders>
              <w:top w:val="single" w:sz="2" w:space="0" w:color="auto"/>
              <w:bottom w:val="single" w:sz="12" w:space="0" w:color="auto"/>
            </w:tcBorders>
            <w:shd w:val="clear" w:color="auto" w:fill="auto"/>
            <w:hideMark/>
          </w:tcPr>
          <w:p w:rsidR="004128EF" w:rsidRPr="00141900" w:rsidRDefault="004128EF" w:rsidP="00F663E8">
            <w:pPr>
              <w:pStyle w:val="TableHeading"/>
            </w:pPr>
            <w:r w:rsidRPr="00141900">
              <w:t>Date/Details</w:t>
            </w:r>
          </w:p>
        </w:tc>
      </w:tr>
      <w:tr w:rsidR="004128EF" w:rsidRPr="00141900" w:rsidTr="004128EF">
        <w:tc>
          <w:tcPr>
            <w:tcW w:w="1701" w:type="dxa"/>
            <w:tcBorders>
              <w:top w:val="single" w:sz="12" w:space="0" w:color="auto"/>
              <w:bottom w:val="single" w:sz="12" w:space="0" w:color="auto"/>
            </w:tcBorders>
            <w:shd w:val="clear" w:color="auto" w:fill="auto"/>
            <w:hideMark/>
          </w:tcPr>
          <w:p w:rsidR="004128EF" w:rsidRPr="00141900" w:rsidRDefault="004128EF" w:rsidP="00F663E8">
            <w:pPr>
              <w:pStyle w:val="Tabletext"/>
            </w:pPr>
            <w:r w:rsidRPr="00141900">
              <w:t>1.  The whole of this instrument</w:t>
            </w:r>
          </w:p>
        </w:tc>
        <w:tc>
          <w:tcPr>
            <w:tcW w:w="3828" w:type="dxa"/>
            <w:tcBorders>
              <w:top w:val="single" w:sz="12" w:space="0" w:color="auto"/>
              <w:bottom w:val="single" w:sz="12" w:space="0" w:color="auto"/>
            </w:tcBorders>
            <w:shd w:val="clear" w:color="auto" w:fill="auto"/>
          </w:tcPr>
          <w:p w:rsidR="004128EF" w:rsidRPr="00141900" w:rsidRDefault="002E287B" w:rsidP="00F663E8">
            <w:pPr>
              <w:pStyle w:val="Tabletext"/>
            </w:pPr>
            <w:r w:rsidRPr="00141900">
              <w:t>The day after this instrument is registered.</w:t>
            </w:r>
          </w:p>
        </w:tc>
        <w:tc>
          <w:tcPr>
            <w:tcW w:w="1582" w:type="dxa"/>
            <w:tcBorders>
              <w:top w:val="single" w:sz="12" w:space="0" w:color="auto"/>
              <w:bottom w:val="single" w:sz="12" w:space="0" w:color="auto"/>
            </w:tcBorders>
            <w:shd w:val="clear" w:color="auto" w:fill="auto"/>
          </w:tcPr>
          <w:p w:rsidR="004128EF" w:rsidRPr="00141900" w:rsidRDefault="00BA1F01" w:rsidP="00F663E8">
            <w:pPr>
              <w:pStyle w:val="Tabletext"/>
            </w:pPr>
            <w:r>
              <w:t>26 June 2015</w:t>
            </w:r>
            <w:bookmarkStart w:id="6" w:name="_GoBack"/>
            <w:bookmarkEnd w:id="6"/>
          </w:p>
        </w:tc>
      </w:tr>
    </w:tbl>
    <w:p w:rsidR="004128EF" w:rsidRPr="00141900" w:rsidRDefault="004128EF" w:rsidP="00F663E8">
      <w:pPr>
        <w:pStyle w:val="notetext"/>
      </w:pPr>
      <w:r w:rsidRPr="00141900">
        <w:rPr>
          <w:snapToGrid w:val="0"/>
          <w:lang w:eastAsia="en-US"/>
        </w:rPr>
        <w:t xml:space="preserve">Note: </w:t>
      </w:r>
      <w:r w:rsidRPr="00141900">
        <w:rPr>
          <w:snapToGrid w:val="0"/>
          <w:lang w:eastAsia="en-US"/>
        </w:rPr>
        <w:tab/>
        <w:t xml:space="preserve">This table relates only to the provisions of this </w:t>
      </w:r>
      <w:r w:rsidRPr="00141900">
        <w:t xml:space="preserve">instrument </w:t>
      </w:r>
      <w:r w:rsidRPr="00141900">
        <w:rPr>
          <w:snapToGrid w:val="0"/>
          <w:lang w:eastAsia="en-US"/>
        </w:rPr>
        <w:t xml:space="preserve">as originally made. It will not be amended to deal with any later amendments of this </w:t>
      </w:r>
      <w:r w:rsidRPr="00141900">
        <w:t>instrument</w:t>
      </w:r>
      <w:r w:rsidRPr="00141900">
        <w:rPr>
          <w:snapToGrid w:val="0"/>
          <w:lang w:eastAsia="en-US"/>
        </w:rPr>
        <w:t>.</w:t>
      </w:r>
    </w:p>
    <w:p w:rsidR="004128EF" w:rsidRPr="00141900" w:rsidRDefault="004128EF" w:rsidP="00F663E8">
      <w:pPr>
        <w:pStyle w:val="subsection"/>
      </w:pPr>
      <w:r w:rsidRPr="00141900">
        <w:tab/>
        <w:t>(2)</w:t>
      </w:r>
      <w:r w:rsidRPr="00141900">
        <w:tab/>
        <w:t>Any information in column 3 of the table is not part of this instrument. Information may be inserted in this column, or information in it may be edited, in any published version of this instrument.</w:t>
      </w:r>
    </w:p>
    <w:p w:rsidR="007769D4" w:rsidRPr="00141900" w:rsidRDefault="007769D4" w:rsidP="007769D4">
      <w:pPr>
        <w:pStyle w:val="ActHead5"/>
      </w:pPr>
      <w:bookmarkStart w:id="7" w:name="_Toc421874141"/>
      <w:r w:rsidRPr="00141900">
        <w:rPr>
          <w:rStyle w:val="CharSectno"/>
        </w:rPr>
        <w:t>3</w:t>
      </w:r>
      <w:r w:rsidRPr="00141900">
        <w:t xml:space="preserve">  Authority</w:t>
      </w:r>
      <w:bookmarkEnd w:id="7"/>
    </w:p>
    <w:p w:rsidR="007769D4" w:rsidRPr="00141900" w:rsidRDefault="007769D4" w:rsidP="007769D4">
      <w:pPr>
        <w:pStyle w:val="subsection"/>
      </w:pPr>
      <w:r w:rsidRPr="00141900">
        <w:tab/>
      </w:r>
      <w:r w:rsidRPr="00141900">
        <w:tab/>
      </w:r>
      <w:r w:rsidR="00AF0336" w:rsidRPr="00141900">
        <w:t xml:space="preserve">This </w:t>
      </w:r>
      <w:r w:rsidR="004128EF" w:rsidRPr="00141900">
        <w:t>instrument</w:t>
      </w:r>
      <w:r w:rsidR="00AF0336" w:rsidRPr="00141900">
        <w:t xml:space="preserve"> is made under the </w:t>
      </w:r>
      <w:r w:rsidR="004128EF" w:rsidRPr="00141900">
        <w:rPr>
          <w:i/>
        </w:rPr>
        <w:t>Financial Framework (Supplementary Powers) Act 1997</w:t>
      </w:r>
      <w:r w:rsidR="00D83D21" w:rsidRPr="00141900">
        <w:rPr>
          <w:i/>
        </w:rPr>
        <w:t>.</w:t>
      </w:r>
    </w:p>
    <w:p w:rsidR="00557C7A" w:rsidRPr="00141900" w:rsidRDefault="007769D4" w:rsidP="00557C7A">
      <w:pPr>
        <w:pStyle w:val="ActHead5"/>
      </w:pPr>
      <w:bookmarkStart w:id="8" w:name="_Toc421874142"/>
      <w:r w:rsidRPr="00141900">
        <w:rPr>
          <w:rStyle w:val="CharSectno"/>
        </w:rPr>
        <w:t>4</w:t>
      </w:r>
      <w:r w:rsidR="00557C7A" w:rsidRPr="00141900">
        <w:t xml:space="preserve">  </w:t>
      </w:r>
      <w:r w:rsidR="00B332B8" w:rsidRPr="00141900">
        <w:t>Schedules</w:t>
      </w:r>
      <w:bookmarkEnd w:id="8"/>
    </w:p>
    <w:p w:rsidR="000F6B02" w:rsidRPr="00141900" w:rsidRDefault="00557C7A" w:rsidP="000F6B02">
      <w:pPr>
        <w:pStyle w:val="subsection"/>
      </w:pPr>
      <w:r w:rsidRPr="00141900">
        <w:tab/>
      </w:r>
      <w:r w:rsidRPr="00141900">
        <w:tab/>
      </w:r>
      <w:r w:rsidR="000F6B02" w:rsidRPr="00141900">
        <w:t xml:space="preserve">Each instrument that is specified in a Schedule to </w:t>
      </w:r>
      <w:r w:rsidR="004128EF" w:rsidRPr="00141900">
        <w:t>this instrument</w:t>
      </w:r>
      <w:r w:rsidR="000F6B02" w:rsidRPr="00141900">
        <w:t xml:space="preserve"> is amended or repealed as set out in the applicable items in the Schedule concerned, and any other item in a Schedule to </w:t>
      </w:r>
      <w:r w:rsidR="004128EF" w:rsidRPr="00141900">
        <w:t>this instrument</w:t>
      </w:r>
      <w:r w:rsidR="000F6B02" w:rsidRPr="00141900">
        <w:t xml:space="preserve"> has effect according to its terms.</w:t>
      </w:r>
    </w:p>
    <w:p w:rsidR="0048364F" w:rsidRPr="00141900" w:rsidRDefault="0048364F" w:rsidP="00FF3089">
      <w:pPr>
        <w:pStyle w:val="ActHead6"/>
        <w:pageBreakBefore/>
      </w:pPr>
      <w:bookmarkStart w:id="9" w:name="_Toc421874143"/>
      <w:bookmarkStart w:id="10" w:name="opcAmSched"/>
      <w:bookmarkStart w:id="11" w:name="opcCurrentFind"/>
      <w:r w:rsidRPr="00141900">
        <w:rPr>
          <w:rStyle w:val="CharAmSchNo"/>
        </w:rPr>
        <w:t>Schedule</w:t>
      </w:r>
      <w:r w:rsidR="00141900" w:rsidRPr="00141900">
        <w:rPr>
          <w:rStyle w:val="CharAmSchNo"/>
        </w:rPr>
        <w:t> </w:t>
      </w:r>
      <w:r w:rsidRPr="00141900">
        <w:rPr>
          <w:rStyle w:val="CharAmSchNo"/>
        </w:rPr>
        <w:t>1</w:t>
      </w:r>
      <w:r w:rsidRPr="00141900">
        <w:t>—</w:t>
      </w:r>
      <w:r w:rsidR="00460499" w:rsidRPr="00141900">
        <w:rPr>
          <w:rStyle w:val="CharAmSchText"/>
        </w:rPr>
        <w:t>Amendments</w:t>
      </w:r>
      <w:bookmarkEnd w:id="9"/>
    </w:p>
    <w:bookmarkEnd w:id="10"/>
    <w:bookmarkEnd w:id="11"/>
    <w:p w:rsidR="0004044E" w:rsidRPr="00141900" w:rsidRDefault="0004044E" w:rsidP="0004044E">
      <w:pPr>
        <w:pStyle w:val="Header"/>
      </w:pPr>
      <w:r w:rsidRPr="00141900">
        <w:rPr>
          <w:rStyle w:val="CharAmPartNo"/>
        </w:rPr>
        <w:t xml:space="preserve"> </w:t>
      </w:r>
      <w:r w:rsidRPr="00141900">
        <w:rPr>
          <w:rStyle w:val="CharAmPartText"/>
        </w:rPr>
        <w:t xml:space="preserve"> </w:t>
      </w:r>
    </w:p>
    <w:p w:rsidR="003936F6" w:rsidRPr="00141900" w:rsidRDefault="003936F6" w:rsidP="003936F6">
      <w:pPr>
        <w:pStyle w:val="ActHead9"/>
      </w:pPr>
      <w:bookmarkStart w:id="12" w:name="_Toc421874144"/>
      <w:r w:rsidRPr="00141900">
        <w:t>Financial Framework (Supplementary Powers) Regulations</w:t>
      </w:r>
      <w:r w:rsidR="00141900" w:rsidRPr="00141900">
        <w:t> </w:t>
      </w:r>
      <w:r w:rsidRPr="00141900">
        <w:t>1997</w:t>
      </w:r>
      <w:bookmarkEnd w:id="12"/>
    </w:p>
    <w:p w:rsidR="003936F6" w:rsidRPr="00141900" w:rsidRDefault="003936F6" w:rsidP="003936F6">
      <w:pPr>
        <w:pStyle w:val="ItemHead"/>
      </w:pPr>
      <w:r w:rsidRPr="00141900">
        <w:t>1  Part</w:t>
      </w:r>
      <w:r w:rsidR="00141900" w:rsidRPr="00141900">
        <w:t> </w:t>
      </w:r>
      <w:r w:rsidRPr="00141900">
        <w:t>3 of Schedule</w:t>
      </w:r>
      <w:r w:rsidR="00141900" w:rsidRPr="00141900">
        <w:t> </w:t>
      </w:r>
      <w:r w:rsidRPr="00141900">
        <w:t>1AB (at the end of the table)</w:t>
      </w:r>
    </w:p>
    <w:p w:rsidR="003936F6" w:rsidRPr="00141900" w:rsidRDefault="003936F6" w:rsidP="003936F6">
      <w:pPr>
        <w:pStyle w:val="Item"/>
      </w:pPr>
      <w:r w:rsidRPr="00141900">
        <w:t>Add:</w:t>
      </w:r>
    </w:p>
    <w:tbl>
      <w:tblPr>
        <w:tblW w:w="7139" w:type="dxa"/>
        <w:tblInd w:w="80" w:type="dxa"/>
        <w:tblLayout w:type="fixed"/>
        <w:tblLook w:val="0000" w:firstRow="0" w:lastRow="0" w:firstColumn="0" w:lastColumn="0" w:noHBand="0" w:noVBand="0"/>
      </w:tblPr>
      <w:tblGrid>
        <w:gridCol w:w="630"/>
        <w:gridCol w:w="2128"/>
        <w:gridCol w:w="4381"/>
      </w:tblGrid>
      <w:tr w:rsidR="003936F6" w:rsidRPr="00141900" w:rsidTr="00F663E8">
        <w:tc>
          <w:tcPr>
            <w:tcW w:w="630" w:type="dxa"/>
            <w:shd w:val="clear" w:color="auto" w:fill="auto"/>
          </w:tcPr>
          <w:p w:rsidR="003936F6" w:rsidRPr="00141900" w:rsidRDefault="003936F6" w:rsidP="00F663E8">
            <w:pPr>
              <w:pStyle w:val="Tabletext"/>
            </w:pPr>
            <w:r w:rsidRPr="00141900">
              <w:t>7</w:t>
            </w:r>
          </w:p>
        </w:tc>
        <w:tc>
          <w:tcPr>
            <w:tcW w:w="2128" w:type="dxa"/>
            <w:shd w:val="clear" w:color="auto" w:fill="auto"/>
          </w:tcPr>
          <w:p w:rsidR="003936F6" w:rsidRPr="00141900" w:rsidRDefault="00094C60" w:rsidP="00F663E8">
            <w:pPr>
              <w:pStyle w:val="Tabletext"/>
            </w:pPr>
            <w:r w:rsidRPr="00141900">
              <w:t>Grants for research and development relating to energy use data</w:t>
            </w:r>
          </w:p>
        </w:tc>
        <w:tc>
          <w:tcPr>
            <w:tcW w:w="4381" w:type="dxa"/>
            <w:shd w:val="clear" w:color="auto" w:fill="auto"/>
          </w:tcPr>
          <w:p w:rsidR="003C5078" w:rsidRPr="00141900" w:rsidRDefault="003C5078" w:rsidP="003C5078">
            <w:pPr>
              <w:pStyle w:val="Tabletext"/>
            </w:pPr>
            <w:r w:rsidRPr="00141900">
              <w:t xml:space="preserve">To improve Australia’s national capacity to collect, organise, analyse and communicate energy use data, </w:t>
            </w:r>
            <w:r w:rsidR="00544A65" w:rsidRPr="00141900">
              <w:t>by</w:t>
            </w:r>
            <w:r w:rsidRPr="00141900">
              <w:t xml:space="preserve"> </w:t>
            </w:r>
            <w:r w:rsidR="00EE162A" w:rsidRPr="00141900">
              <w:t xml:space="preserve">contributing </w:t>
            </w:r>
            <w:r w:rsidR="00836E84" w:rsidRPr="00141900">
              <w:t xml:space="preserve">to the </w:t>
            </w:r>
            <w:r w:rsidR="00EE162A" w:rsidRPr="00141900">
              <w:t xml:space="preserve">funding </w:t>
            </w:r>
            <w:r w:rsidR="00836E84" w:rsidRPr="00141900">
              <w:t xml:space="preserve">of </w:t>
            </w:r>
            <w:r w:rsidR="00EE162A" w:rsidRPr="00141900">
              <w:t>the following activities</w:t>
            </w:r>
            <w:r w:rsidRPr="00141900">
              <w:t>:</w:t>
            </w:r>
          </w:p>
          <w:p w:rsidR="003C5078" w:rsidRPr="00141900" w:rsidRDefault="003C5078" w:rsidP="003C5078">
            <w:pPr>
              <w:pStyle w:val="Tablea"/>
            </w:pPr>
            <w:r w:rsidRPr="00141900">
              <w:t>(a) research and investigation into energy use in Australia, energy use data and related data;</w:t>
            </w:r>
          </w:p>
          <w:p w:rsidR="003C5078" w:rsidRPr="00141900" w:rsidRDefault="003C5078" w:rsidP="003C5078">
            <w:pPr>
              <w:pStyle w:val="Tablea"/>
            </w:pPr>
            <w:r w:rsidRPr="00141900">
              <w:t>(b) dissemination of the results of such research and investigation;</w:t>
            </w:r>
          </w:p>
          <w:p w:rsidR="006D009B" w:rsidRPr="00141900" w:rsidRDefault="00836E84" w:rsidP="003C5078">
            <w:pPr>
              <w:pStyle w:val="Tablea"/>
            </w:pPr>
            <w:r w:rsidRPr="00141900">
              <w:t xml:space="preserve">(c) </w:t>
            </w:r>
            <w:r w:rsidR="003C5078" w:rsidRPr="00141900">
              <w:t>the development, implementation and operation of supporting syste</w:t>
            </w:r>
            <w:r w:rsidR="006D009B" w:rsidRPr="00141900">
              <w:t>ms and governance arrangements;</w:t>
            </w:r>
          </w:p>
          <w:p w:rsidR="003C5078" w:rsidRPr="00141900" w:rsidRDefault="003C5078" w:rsidP="006D009B">
            <w:pPr>
              <w:pStyle w:val="Tabletext"/>
            </w:pPr>
            <w:r w:rsidRPr="00141900">
              <w:t>to the extent that:</w:t>
            </w:r>
          </w:p>
          <w:p w:rsidR="003C5078" w:rsidRPr="00141900" w:rsidRDefault="006D009B" w:rsidP="006D009B">
            <w:pPr>
              <w:pStyle w:val="Tablea"/>
            </w:pPr>
            <w:r w:rsidRPr="00141900">
              <w:t xml:space="preserve">(d) </w:t>
            </w:r>
            <w:r w:rsidR="003C5078" w:rsidRPr="00141900">
              <w:t>the data is statistical in nature</w:t>
            </w:r>
            <w:r w:rsidRPr="00141900">
              <w:t>; or</w:t>
            </w:r>
          </w:p>
          <w:p w:rsidR="006D009B" w:rsidRPr="00141900" w:rsidRDefault="006D009B" w:rsidP="006D009B">
            <w:pPr>
              <w:pStyle w:val="Tablea"/>
            </w:pPr>
            <w:r w:rsidRPr="00141900">
              <w:t xml:space="preserve">(e) the activities are peculiarly adapted to the government of a nation and cannot otherwise be carried </w:t>
            </w:r>
            <w:r w:rsidR="004B4B12" w:rsidRPr="00141900">
              <w:t>on</w:t>
            </w:r>
            <w:r w:rsidRPr="00141900">
              <w:t xml:space="preserve"> for the benefit of the nation; or</w:t>
            </w:r>
          </w:p>
          <w:p w:rsidR="003936F6" w:rsidRPr="00141900" w:rsidRDefault="006D009B" w:rsidP="00152034">
            <w:pPr>
              <w:pStyle w:val="Tablea"/>
            </w:pPr>
            <w:r w:rsidRPr="00141900">
              <w:t xml:space="preserve">(f) </w:t>
            </w:r>
            <w:r w:rsidR="004B4B12" w:rsidRPr="00141900">
              <w:t xml:space="preserve">the activities </w:t>
            </w:r>
            <w:r w:rsidR="003C5078" w:rsidRPr="00141900">
              <w:t>will assist Australia to meet its</w:t>
            </w:r>
            <w:r w:rsidR="00094B87" w:rsidRPr="00141900">
              <w:t xml:space="preserve"> </w:t>
            </w:r>
            <w:r w:rsidR="003C5078" w:rsidRPr="00141900">
              <w:t>obligations under the United Nations Framework Convention on Climate Change.</w:t>
            </w:r>
          </w:p>
        </w:tc>
      </w:tr>
    </w:tbl>
    <w:p w:rsidR="003936F6" w:rsidRPr="00141900" w:rsidRDefault="003936F6" w:rsidP="003936F6">
      <w:pPr>
        <w:pStyle w:val="Tabletext"/>
      </w:pPr>
    </w:p>
    <w:p w:rsidR="006D3667" w:rsidRPr="00141900" w:rsidRDefault="003936F6" w:rsidP="006C2C12">
      <w:pPr>
        <w:pStyle w:val="ItemHead"/>
        <w:tabs>
          <w:tab w:val="left" w:pos="6663"/>
        </w:tabs>
      </w:pPr>
      <w:r w:rsidRPr="00141900">
        <w:t>2</w:t>
      </w:r>
      <w:r w:rsidR="00BB6E79" w:rsidRPr="00141900">
        <w:t xml:space="preserve">  </w:t>
      </w:r>
      <w:r w:rsidRPr="00141900">
        <w:t>Part</w:t>
      </w:r>
      <w:r w:rsidR="00141900" w:rsidRPr="00141900">
        <w:t> </w:t>
      </w:r>
      <w:r w:rsidRPr="00141900">
        <w:t>4 of Schedule</w:t>
      </w:r>
      <w:r w:rsidR="00141900" w:rsidRPr="00141900">
        <w:t> </w:t>
      </w:r>
      <w:r w:rsidRPr="00141900">
        <w:t>1AB (at the end of the table)</w:t>
      </w:r>
    </w:p>
    <w:p w:rsidR="003936F6" w:rsidRPr="00141900" w:rsidRDefault="003936F6" w:rsidP="003936F6">
      <w:pPr>
        <w:pStyle w:val="Item"/>
      </w:pPr>
      <w:r w:rsidRPr="00141900">
        <w:t>Add:</w:t>
      </w:r>
    </w:p>
    <w:tbl>
      <w:tblPr>
        <w:tblW w:w="7139" w:type="dxa"/>
        <w:tblInd w:w="80" w:type="dxa"/>
        <w:tblLayout w:type="fixed"/>
        <w:tblLook w:val="0000" w:firstRow="0" w:lastRow="0" w:firstColumn="0" w:lastColumn="0" w:noHBand="0" w:noVBand="0"/>
      </w:tblPr>
      <w:tblGrid>
        <w:gridCol w:w="630"/>
        <w:gridCol w:w="2128"/>
        <w:gridCol w:w="4381"/>
      </w:tblGrid>
      <w:tr w:rsidR="003936F6" w:rsidRPr="00141900" w:rsidTr="001A01EF">
        <w:tc>
          <w:tcPr>
            <w:tcW w:w="630" w:type="dxa"/>
            <w:tcBorders>
              <w:bottom w:val="single" w:sz="4" w:space="0" w:color="auto"/>
            </w:tcBorders>
            <w:shd w:val="clear" w:color="auto" w:fill="auto"/>
          </w:tcPr>
          <w:p w:rsidR="003936F6" w:rsidRPr="00141900" w:rsidRDefault="003936F6" w:rsidP="00F663E8">
            <w:pPr>
              <w:pStyle w:val="Tabletext"/>
            </w:pPr>
            <w:r w:rsidRPr="00141900">
              <w:t>85</w:t>
            </w:r>
          </w:p>
        </w:tc>
        <w:tc>
          <w:tcPr>
            <w:tcW w:w="2128" w:type="dxa"/>
            <w:tcBorders>
              <w:bottom w:val="single" w:sz="4" w:space="0" w:color="auto"/>
            </w:tcBorders>
            <w:shd w:val="clear" w:color="auto" w:fill="auto"/>
          </w:tcPr>
          <w:p w:rsidR="003936F6" w:rsidRPr="00141900" w:rsidRDefault="00CE266F" w:rsidP="000D6DB3">
            <w:pPr>
              <w:pStyle w:val="Tabletext"/>
            </w:pPr>
            <w:r w:rsidRPr="00141900">
              <w:t>Australian Apprenticeship Support Network</w:t>
            </w:r>
          </w:p>
        </w:tc>
        <w:tc>
          <w:tcPr>
            <w:tcW w:w="4381" w:type="dxa"/>
            <w:tcBorders>
              <w:bottom w:val="single" w:sz="4" w:space="0" w:color="auto"/>
            </w:tcBorders>
            <w:shd w:val="clear" w:color="auto" w:fill="auto"/>
          </w:tcPr>
          <w:p w:rsidR="00610C1A" w:rsidRPr="00141900" w:rsidRDefault="00645F5D" w:rsidP="00610C1A">
            <w:pPr>
              <w:pStyle w:val="Tabletext"/>
            </w:pPr>
            <w:r w:rsidRPr="00141900">
              <w:t xml:space="preserve">To support the Commonwealth’s employment and vocational education and training policies by providing </w:t>
            </w:r>
            <w:r w:rsidR="00610C1A" w:rsidRPr="00141900">
              <w:t>support</w:t>
            </w:r>
            <w:r w:rsidRPr="00141900">
              <w:t xml:space="preserve"> to apprentices</w:t>
            </w:r>
            <w:r w:rsidR="00610C1A" w:rsidRPr="00141900">
              <w:t>,</w:t>
            </w:r>
            <w:r w:rsidRPr="00141900">
              <w:t xml:space="preserve"> and in relation to </w:t>
            </w:r>
            <w:r w:rsidR="00610C1A" w:rsidRPr="00141900">
              <w:t>connecting with, undertaking, and completing apprenticeships, to the extent that:</w:t>
            </w:r>
          </w:p>
          <w:p w:rsidR="00610C1A" w:rsidRPr="00141900" w:rsidRDefault="00610C1A" w:rsidP="00610C1A">
            <w:pPr>
              <w:pStyle w:val="Tablea"/>
            </w:pPr>
            <w:r w:rsidRPr="00141900">
              <w:t xml:space="preserve">(a) the support is the provision of, or incidental to the provision of, benefits to students; </w:t>
            </w:r>
            <w:r w:rsidR="00152034" w:rsidRPr="00141900">
              <w:t>or</w:t>
            </w:r>
          </w:p>
          <w:p w:rsidR="00610C1A" w:rsidRPr="00141900" w:rsidRDefault="00610C1A" w:rsidP="000D6DB3">
            <w:pPr>
              <w:pStyle w:val="Tablea"/>
            </w:pPr>
            <w:r w:rsidRPr="00141900">
              <w:t xml:space="preserve">(b) the provision of the support </w:t>
            </w:r>
            <w:r w:rsidR="00416179" w:rsidRPr="00141900">
              <w:t xml:space="preserve">will give effect to Australia’s </w:t>
            </w:r>
            <w:r w:rsidRPr="00141900">
              <w:t xml:space="preserve">obligations </w:t>
            </w:r>
            <w:r w:rsidR="000D6DB3" w:rsidRPr="00141900">
              <w:t>under the International Covenant on Economic, Social and Cultural Rights, the Human Resources Development Convention, and the Employment Policy Convention</w:t>
            </w:r>
            <w:r w:rsidRPr="00141900">
              <w:t>.</w:t>
            </w:r>
          </w:p>
        </w:tc>
      </w:tr>
      <w:tr w:rsidR="00E56EC3" w:rsidRPr="00141900" w:rsidTr="001A01EF">
        <w:tc>
          <w:tcPr>
            <w:tcW w:w="630" w:type="dxa"/>
            <w:tcBorders>
              <w:top w:val="single" w:sz="4" w:space="0" w:color="auto"/>
              <w:bottom w:val="single" w:sz="4" w:space="0" w:color="auto"/>
            </w:tcBorders>
            <w:shd w:val="clear" w:color="auto" w:fill="auto"/>
          </w:tcPr>
          <w:p w:rsidR="00E56EC3" w:rsidRPr="00141900" w:rsidRDefault="00E56EC3" w:rsidP="00F663E8">
            <w:pPr>
              <w:pStyle w:val="Tabletext"/>
            </w:pPr>
            <w:r w:rsidRPr="00141900">
              <w:t>86</w:t>
            </w:r>
          </w:p>
        </w:tc>
        <w:tc>
          <w:tcPr>
            <w:tcW w:w="2128" w:type="dxa"/>
            <w:tcBorders>
              <w:top w:val="single" w:sz="4" w:space="0" w:color="auto"/>
              <w:bottom w:val="single" w:sz="4" w:space="0" w:color="auto"/>
            </w:tcBorders>
            <w:shd w:val="clear" w:color="auto" w:fill="auto"/>
          </w:tcPr>
          <w:p w:rsidR="00E56EC3" w:rsidRPr="00141900" w:rsidRDefault="00785BD0" w:rsidP="00CE266F">
            <w:pPr>
              <w:pStyle w:val="Tabletext"/>
            </w:pPr>
            <w:r w:rsidRPr="00141900">
              <w:t>Infrastructure investment</w:t>
            </w:r>
          </w:p>
        </w:tc>
        <w:tc>
          <w:tcPr>
            <w:tcW w:w="4381" w:type="dxa"/>
            <w:tcBorders>
              <w:top w:val="single" w:sz="4" w:space="0" w:color="auto"/>
              <w:bottom w:val="single" w:sz="4" w:space="0" w:color="auto"/>
            </w:tcBorders>
            <w:shd w:val="clear" w:color="auto" w:fill="auto"/>
          </w:tcPr>
          <w:p w:rsidR="00E56EC3" w:rsidRPr="00141900" w:rsidRDefault="00785BD0" w:rsidP="00610C1A">
            <w:pPr>
              <w:pStyle w:val="Tabletext"/>
            </w:pPr>
            <w:r w:rsidRPr="00141900">
              <w:t>To facilitate the construction of infrastructure by providing funds for the making of loans:</w:t>
            </w:r>
          </w:p>
          <w:p w:rsidR="00785BD0" w:rsidRPr="00141900" w:rsidRDefault="00785BD0" w:rsidP="00785BD0">
            <w:pPr>
              <w:pStyle w:val="Tablea"/>
            </w:pPr>
            <w:r w:rsidRPr="00141900">
              <w:t xml:space="preserve">(a) </w:t>
            </w:r>
            <w:r w:rsidR="002A0C65" w:rsidRPr="00141900">
              <w:t>in connection with trade and commerce with other countries, or among the States and Territories; or</w:t>
            </w:r>
          </w:p>
          <w:p w:rsidR="002A0C65" w:rsidRPr="00141900" w:rsidRDefault="002A0C65" w:rsidP="00785BD0">
            <w:pPr>
              <w:pStyle w:val="Tablea"/>
            </w:pPr>
            <w:r w:rsidRPr="00141900">
              <w:t>(b) as financial assistance to a State or Territory;</w:t>
            </w:r>
            <w:r w:rsidR="00220F3D" w:rsidRPr="00141900">
              <w:t xml:space="preserve"> or</w:t>
            </w:r>
          </w:p>
          <w:p w:rsidR="002A0C65" w:rsidRPr="00141900" w:rsidRDefault="002A0C65" w:rsidP="00785BD0">
            <w:pPr>
              <w:pStyle w:val="Tablea"/>
            </w:pPr>
            <w:r w:rsidRPr="00141900">
              <w:t>(c) for the construction or extension of railways in any State with the consent of that State; or</w:t>
            </w:r>
          </w:p>
          <w:p w:rsidR="002A0C65" w:rsidRPr="00141900" w:rsidRDefault="002A0C65" w:rsidP="00785BD0">
            <w:pPr>
              <w:pStyle w:val="Tablea"/>
            </w:pPr>
            <w:r w:rsidRPr="00141900">
              <w:t>(d) in or in relation to a Territory; or</w:t>
            </w:r>
          </w:p>
          <w:p w:rsidR="002A0C65" w:rsidRPr="00141900" w:rsidRDefault="002A0C65" w:rsidP="0092564F">
            <w:pPr>
              <w:pStyle w:val="Tablea"/>
            </w:pPr>
            <w:r w:rsidRPr="00141900">
              <w:t xml:space="preserve">(e) to </w:t>
            </w:r>
            <w:r w:rsidR="0092564F" w:rsidRPr="00141900">
              <w:t>the extent that the construction, or the making of the loan,</w:t>
            </w:r>
            <w:r w:rsidRPr="00141900">
              <w:t xml:space="preserve"> </w:t>
            </w:r>
            <w:r w:rsidR="0092564F" w:rsidRPr="00141900">
              <w:t xml:space="preserve">is </w:t>
            </w:r>
            <w:r w:rsidRPr="00141900">
              <w:t>peculiarly adapted to the government of a nation and cannot otherwise be carried on for the benefit of the nation.</w:t>
            </w:r>
          </w:p>
        </w:tc>
      </w:tr>
      <w:tr w:rsidR="001A01EF" w:rsidRPr="00141900" w:rsidTr="00F663E8">
        <w:tc>
          <w:tcPr>
            <w:tcW w:w="630" w:type="dxa"/>
            <w:tcBorders>
              <w:top w:val="single" w:sz="4" w:space="0" w:color="auto"/>
              <w:bottom w:val="single" w:sz="4" w:space="0" w:color="auto"/>
            </w:tcBorders>
            <w:shd w:val="clear" w:color="auto" w:fill="auto"/>
          </w:tcPr>
          <w:p w:rsidR="001A01EF" w:rsidRPr="00141900" w:rsidRDefault="001A01EF" w:rsidP="00F663E8">
            <w:pPr>
              <w:pStyle w:val="Tabletext"/>
            </w:pPr>
            <w:r w:rsidRPr="00141900">
              <w:t>87</w:t>
            </w:r>
          </w:p>
        </w:tc>
        <w:tc>
          <w:tcPr>
            <w:tcW w:w="2128" w:type="dxa"/>
            <w:tcBorders>
              <w:top w:val="single" w:sz="4" w:space="0" w:color="auto"/>
              <w:bottom w:val="single" w:sz="4" w:space="0" w:color="auto"/>
            </w:tcBorders>
            <w:shd w:val="clear" w:color="auto" w:fill="auto"/>
          </w:tcPr>
          <w:p w:rsidR="001A01EF" w:rsidRPr="00141900" w:rsidRDefault="002361AA" w:rsidP="00CE266F">
            <w:pPr>
              <w:pStyle w:val="Tabletext"/>
            </w:pPr>
            <w:r w:rsidRPr="00141900">
              <w:t>Justice Services—</w:t>
            </w:r>
            <w:r w:rsidR="001A01EF" w:rsidRPr="00141900">
              <w:t>Community Legal Services Program</w:t>
            </w:r>
            <w:r w:rsidRPr="00141900">
              <w:t>me</w:t>
            </w:r>
          </w:p>
        </w:tc>
        <w:tc>
          <w:tcPr>
            <w:tcW w:w="4381" w:type="dxa"/>
            <w:tcBorders>
              <w:top w:val="single" w:sz="4" w:space="0" w:color="auto"/>
              <w:bottom w:val="single" w:sz="4" w:space="0" w:color="auto"/>
            </w:tcBorders>
            <w:shd w:val="clear" w:color="auto" w:fill="auto"/>
          </w:tcPr>
          <w:p w:rsidR="001A01EF" w:rsidRPr="00141900" w:rsidRDefault="001A01EF" w:rsidP="00610C1A">
            <w:pPr>
              <w:pStyle w:val="Tabletext"/>
            </w:pPr>
            <w:r w:rsidRPr="00141900">
              <w:t xml:space="preserve">To </w:t>
            </w:r>
            <w:r w:rsidR="00D940B0" w:rsidRPr="00141900">
              <w:t>support the provision of</w:t>
            </w:r>
            <w:r w:rsidR="002361AA" w:rsidRPr="00141900">
              <w:t xml:space="preserve"> </w:t>
            </w:r>
            <w:r w:rsidRPr="00141900">
              <w:t xml:space="preserve">legal assistance to the community, </w:t>
            </w:r>
            <w:r w:rsidR="004571F5" w:rsidRPr="00141900">
              <w:t>including through</w:t>
            </w:r>
            <w:r w:rsidRPr="00141900">
              <w:t xml:space="preserve"> community</w:t>
            </w:r>
            <w:r w:rsidR="00141900">
              <w:noBreakHyphen/>
            </w:r>
            <w:r w:rsidRPr="00141900">
              <w:t>based</w:t>
            </w:r>
            <w:r w:rsidR="002361AA" w:rsidRPr="00141900">
              <w:t xml:space="preserve"> </w:t>
            </w:r>
            <w:r w:rsidRPr="00141900">
              <w:t>organisations, by funding</w:t>
            </w:r>
            <w:r w:rsidR="00195559" w:rsidRPr="00141900">
              <w:t xml:space="preserve"> the following:</w:t>
            </w:r>
          </w:p>
          <w:p w:rsidR="00195559" w:rsidRPr="00141900" w:rsidRDefault="00195559" w:rsidP="00195559">
            <w:pPr>
              <w:pStyle w:val="Tablea"/>
            </w:pPr>
            <w:r w:rsidRPr="00141900">
              <w:t xml:space="preserve">(a) services for </w:t>
            </w:r>
            <w:r w:rsidR="00A40A21" w:rsidRPr="00141900">
              <w:t>unrepresented</w:t>
            </w:r>
            <w:r w:rsidRPr="00141900">
              <w:t xml:space="preserve"> parties in the federal jurisdiction</w:t>
            </w:r>
            <w:r w:rsidR="0043493F" w:rsidRPr="00141900">
              <w:t>;</w:t>
            </w:r>
          </w:p>
          <w:p w:rsidR="002A3CAC" w:rsidRPr="00141900" w:rsidRDefault="002A3CAC" w:rsidP="00195559">
            <w:pPr>
              <w:pStyle w:val="Tablea"/>
            </w:pPr>
            <w:r w:rsidRPr="00141900">
              <w:t>(b) pro bono services in relation to matters in the federal jurisdiction;</w:t>
            </w:r>
          </w:p>
          <w:p w:rsidR="00195559" w:rsidRPr="00141900" w:rsidRDefault="00195559" w:rsidP="00195559">
            <w:pPr>
              <w:pStyle w:val="Tablea"/>
            </w:pPr>
            <w:r w:rsidRPr="00141900">
              <w:t>(</w:t>
            </w:r>
            <w:r w:rsidR="002A3CAC" w:rsidRPr="00141900">
              <w:t>c</w:t>
            </w:r>
            <w:r w:rsidRPr="00141900">
              <w:t xml:space="preserve">) </w:t>
            </w:r>
            <w:r w:rsidR="00D940B0" w:rsidRPr="00141900">
              <w:t>a national information and advice service</w:t>
            </w:r>
            <w:r w:rsidR="00632C5C" w:rsidRPr="00141900">
              <w:t xml:space="preserve"> for children and young people </w:t>
            </w:r>
            <w:r w:rsidR="00D940B0" w:rsidRPr="00141900">
              <w:t>about</w:t>
            </w:r>
            <w:r w:rsidR="00632C5C" w:rsidRPr="00141900">
              <w:t xml:space="preserve"> </w:t>
            </w:r>
            <w:r w:rsidR="00D940B0" w:rsidRPr="00141900">
              <w:t>the l</w:t>
            </w:r>
            <w:r w:rsidR="0043493F" w:rsidRPr="00141900">
              <w:t xml:space="preserve">aw </w:t>
            </w:r>
            <w:r w:rsidR="00D940B0" w:rsidRPr="00141900">
              <w:t>and th</w:t>
            </w:r>
            <w:r w:rsidR="0043493F" w:rsidRPr="00141900">
              <w:t>eir rights and responsibilities</w:t>
            </w:r>
            <w:r w:rsidR="00D940B0" w:rsidRPr="00141900">
              <w:t>;</w:t>
            </w:r>
          </w:p>
          <w:p w:rsidR="00D940B0" w:rsidRPr="00141900" w:rsidRDefault="00D940B0" w:rsidP="00D940B0">
            <w:pPr>
              <w:pStyle w:val="Tablea"/>
            </w:pPr>
            <w:r w:rsidRPr="00141900">
              <w:t>(</w:t>
            </w:r>
            <w:r w:rsidR="002A3CAC" w:rsidRPr="00141900">
              <w:t>d</w:t>
            </w:r>
            <w:r w:rsidRPr="00141900">
              <w:t xml:space="preserve">) access to legal services through </w:t>
            </w:r>
            <w:r w:rsidR="00632C5C" w:rsidRPr="00141900">
              <w:t xml:space="preserve">the use of the </w:t>
            </w:r>
            <w:r w:rsidRPr="00141900">
              <w:t>telephone and online communication services;</w:t>
            </w:r>
          </w:p>
          <w:p w:rsidR="002308B5" w:rsidRPr="00141900" w:rsidRDefault="002308B5" w:rsidP="002308B5">
            <w:pPr>
              <w:pStyle w:val="Tablea"/>
            </w:pPr>
            <w:r w:rsidRPr="00141900">
              <w:t>(</w:t>
            </w:r>
            <w:r w:rsidR="002A3CAC" w:rsidRPr="00141900">
              <w:t>e</w:t>
            </w:r>
            <w:r w:rsidRPr="00141900">
              <w:t>) a Community Lega</w:t>
            </w:r>
            <w:r w:rsidR="001A7F21" w:rsidRPr="00141900">
              <w:t xml:space="preserve">l Services Information System, </w:t>
            </w:r>
            <w:r w:rsidRPr="00141900">
              <w:t>and support and training activities</w:t>
            </w:r>
            <w:r w:rsidR="001A7F21" w:rsidRPr="00141900">
              <w:t xml:space="preserve"> in relation to the System;</w:t>
            </w:r>
          </w:p>
          <w:p w:rsidR="002308B5" w:rsidRPr="00141900" w:rsidRDefault="002308B5" w:rsidP="002308B5">
            <w:pPr>
              <w:pStyle w:val="Tablea"/>
            </w:pPr>
            <w:r w:rsidRPr="00141900">
              <w:t>(</w:t>
            </w:r>
            <w:r w:rsidR="002A3CAC" w:rsidRPr="00141900">
              <w:t>f</w:t>
            </w:r>
            <w:r w:rsidRPr="00141900">
              <w:t xml:space="preserve">) the National </w:t>
            </w:r>
            <w:r w:rsidR="00EC1C77" w:rsidRPr="00141900">
              <w:t>Association</w:t>
            </w:r>
            <w:r w:rsidRPr="00141900">
              <w:t xml:space="preserve"> of Community Legal Centres to undertake sector coordination</w:t>
            </w:r>
            <w:r w:rsidR="002B7DB1" w:rsidRPr="00141900">
              <w:t>,</w:t>
            </w:r>
            <w:r w:rsidRPr="00141900">
              <w:t xml:space="preserve"> </w:t>
            </w:r>
            <w:r w:rsidR="002B7DB1" w:rsidRPr="00141900">
              <w:t xml:space="preserve">activities in support of the sector, and liaison between the sector and </w:t>
            </w:r>
            <w:r w:rsidRPr="00141900">
              <w:t>the Commonwealth</w:t>
            </w:r>
            <w:r w:rsidR="002B7DB1" w:rsidRPr="00141900">
              <w:t>;</w:t>
            </w:r>
          </w:p>
          <w:p w:rsidR="006E0C9D" w:rsidRPr="00141900" w:rsidRDefault="00EC1C77" w:rsidP="002308B5">
            <w:pPr>
              <w:pStyle w:val="Tablea"/>
            </w:pPr>
            <w:r w:rsidRPr="00141900">
              <w:t>(</w:t>
            </w:r>
            <w:r w:rsidR="002A3CAC" w:rsidRPr="00141900">
              <w:t>g</w:t>
            </w:r>
            <w:r w:rsidRPr="00141900">
              <w:t xml:space="preserve">) the provision </w:t>
            </w:r>
            <w:r w:rsidR="006E0C9D" w:rsidRPr="00141900">
              <w:t xml:space="preserve">of legal assistance to </w:t>
            </w:r>
            <w:r w:rsidR="002B7DB1" w:rsidRPr="00141900">
              <w:t xml:space="preserve">artists who are </w:t>
            </w:r>
            <w:r w:rsidR="006E0C9D" w:rsidRPr="00141900">
              <w:t xml:space="preserve">Aboriginal </w:t>
            </w:r>
            <w:r w:rsidR="003C6431" w:rsidRPr="00141900">
              <w:t xml:space="preserve">persons </w:t>
            </w:r>
            <w:r w:rsidR="00043AD9" w:rsidRPr="00141900">
              <w:t>or</w:t>
            </w:r>
            <w:r w:rsidR="006E0C9D" w:rsidRPr="00141900">
              <w:t xml:space="preserve"> Torres Strait Islander</w:t>
            </w:r>
            <w:r w:rsidR="003C6431" w:rsidRPr="00141900">
              <w:t>s</w:t>
            </w:r>
            <w:r w:rsidR="002B7DB1" w:rsidRPr="00141900">
              <w:t xml:space="preserve"> </w:t>
            </w:r>
            <w:r w:rsidR="006E0C9D" w:rsidRPr="00141900">
              <w:t xml:space="preserve">in relation to the protection of </w:t>
            </w:r>
            <w:r w:rsidR="002B7DB1" w:rsidRPr="00141900">
              <w:t>the artists’ art and culture</w:t>
            </w:r>
            <w:r w:rsidR="002A3CAC" w:rsidRPr="00141900">
              <w:t>;</w:t>
            </w:r>
          </w:p>
          <w:p w:rsidR="00817C7D" w:rsidRPr="00141900" w:rsidRDefault="002A3CAC" w:rsidP="00817C7D">
            <w:pPr>
              <w:pStyle w:val="Tabletext"/>
            </w:pPr>
            <w:r w:rsidRPr="00141900">
              <w:t>as measures:</w:t>
            </w:r>
          </w:p>
          <w:p w:rsidR="002A3CAC" w:rsidRPr="00141900" w:rsidRDefault="002A3CAC" w:rsidP="002A3CAC">
            <w:pPr>
              <w:pStyle w:val="Tablea"/>
            </w:pPr>
            <w:r w:rsidRPr="00141900">
              <w:t>(h) incidental to the legislative powers vested in the Commonwealth; or</w:t>
            </w:r>
          </w:p>
          <w:p w:rsidR="00094B87" w:rsidRPr="00141900" w:rsidRDefault="00817C7D" w:rsidP="00094B87">
            <w:pPr>
              <w:pStyle w:val="Tablea"/>
            </w:pPr>
            <w:r w:rsidRPr="00141900">
              <w:t>(</w:t>
            </w:r>
            <w:proofErr w:type="spellStart"/>
            <w:r w:rsidR="002A3CAC" w:rsidRPr="00141900">
              <w:t>i</w:t>
            </w:r>
            <w:proofErr w:type="spellEnd"/>
            <w:r w:rsidRPr="00141900">
              <w:t xml:space="preserve">) </w:t>
            </w:r>
            <w:r w:rsidR="002A3CAC" w:rsidRPr="00141900">
              <w:t xml:space="preserve">done </w:t>
            </w:r>
            <w:r w:rsidR="00094B87" w:rsidRPr="00141900">
              <w:t>in the exercise of the executive power of the Commonwealth; or</w:t>
            </w:r>
          </w:p>
          <w:p w:rsidR="00094B87" w:rsidRPr="00141900" w:rsidRDefault="00094B87" w:rsidP="00094B87">
            <w:pPr>
              <w:pStyle w:val="Tablea"/>
            </w:pPr>
            <w:r w:rsidRPr="00141900">
              <w:t>(</w:t>
            </w:r>
            <w:r w:rsidR="002A3CAC" w:rsidRPr="00141900">
              <w:t>j</w:t>
            </w:r>
            <w:r w:rsidRPr="00141900">
              <w:t xml:space="preserve">) </w:t>
            </w:r>
            <w:r w:rsidR="006C3319" w:rsidRPr="00141900">
              <w:t>to give effect to</w:t>
            </w:r>
            <w:r w:rsidRPr="00141900">
              <w:t xml:space="preserve"> Australia</w:t>
            </w:r>
            <w:r w:rsidR="006C3319" w:rsidRPr="00141900">
              <w:t>’s</w:t>
            </w:r>
            <w:r w:rsidRPr="00141900">
              <w:t xml:space="preserve"> obligations under the Convention on the Rights of the Child; or</w:t>
            </w:r>
          </w:p>
          <w:p w:rsidR="006C3319" w:rsidRPr="00141900" w:rsidRDefault="006C3319" w:rsidP="006C3319">
            <w:pPr>
              <w:pStyle w:val="Tablea"/>
            </w:pPr>
            <w:r w:rsidRPr="00141900">
              <w:t>(</w:t>
            </w:r>
            <w:r w:rsidR="002A3CAC" w:rsidRPr="00141900">
              <w:t>k</w:t>
            </w:r>
            <w:r w:rsidRPr="00141900">
              <w:t>) involving the use of telegraphic, telephonic</w:t>
            </w:r>
            <w:r w:rsidR="00C73DD3" w:rsidRPr="00141900">
              <w:t>, and</w:t>
            </w:r>
            <w:r w:rsidRPr="00141900">
              <w:t xml:space="preserve"> other like services; or</w:t>
            </w:r>
          </w:p>
          <w:p w:rsidR="006C3319" w:rsidRPr="00141900" w:rsidRDefault="006C3319" w:rsidP="006C3319">
            <w:pPr>
              <w:pStyle w:val="Tablea"/>
            </w:pPr>
            <w:r w:rsidRPr="00141900">
              <w:t>(</w:t>
            </w:r>
            <w:r w:rsidR="002A3CAC" w:rsidRPr="00141900">
              <w:t>l</w:t>
            </w:r>
            <w:r w:rsidRPr="00141900">
              <w:t>) involving statistics; or</w:t>
            </w:r>
          </w:p>
          <w:p w:rsidR="006C3319" w:rsidRPr="00141900" w:rsidRDefault="006C3319" w:rsidP="002A3CAC">
            <w:pPr>
              <w:pStyle w:val="Tablea"/>
            </w:pPr>
            <w:r w:rsidRPr="00141900">
              <w:t>(</w:t>
            </w:r>
            <w:r w:rsidR="002A3CAC" w:rsidRPr="00141900">
              <w:t>m</w:t>
            </w:r>
            <w:r w:rsidRPr="00141900">
              <w:t>) with respect to the people of any race for whom it is deemed necessary to make special laws.</w:t>
            </w:r>
          </w:p>
        </w:tc>
      </w:tr>
      <w:tr w:rsidR="00F663E8" w:rsidRPr="00141900" w:rsidTr="00F87C06">
        <w:tc>
          <w:tcPr>
            <w:tcW w:w="630" w:type="dxa"/>
            <w:tcBorders>
              <w:top w:val="single" w:sz="4" w:space="0" w:color="auto"/>
              <w:bottom w:val="single" w:sz="4" w:space="0" w:color="auto"/>
            </w:tcBorders>
            <w:shd w:val="clear" w:color="auto" w:fill="auto"/>
          </w:tcPr>
          <w:p w:rsidR="00F663E8" w:rsidRPr="00141900" w:rsidRDefault="00F663E8" w:rsidP="00F663E8">
            <w:pPr>
              <w:pStyle w:val="Tabletext"/>
            </w:pPr>
            <w:r w:rsidRPr="00141900">
              <w:t>88</w:t>
            </w:r>
          </w:p>
        </w:tc>
        <w:tc>
          <w:tcPr>
            <w:tcW w:w="2128" w:type="dxa"/>
            <w:tcBorders>
              <w:top w:val="single" w:sz="4" w:space="0" w:color="auto"/>
              <w:bottom w:val="single" w:sz="4" w:space="0" w:color="auto"/>
            </w:tcBorders>
            <w:shd w:val="clear" w:color="auto" w:fill="auto"/>
          </w:tcPr>
          <w:p w:rsidR="00F663E8" w:rsidRPr="00141900" w:rsidRDefault="007E0B47" w:rsidP="00CE266F">
            <w:pPr>
              <w:pStyle w:val="Tabletext"/>
            </w:pPr>
            <w:r w:rsidRPr="00141900">
              <w:t>Arts and Cultural Development—</w:t>
            </w:r>
            <w:r w:rsidR="00F663E8" w:rsidRPr="00141900">
              <w:t>National Programme for Excellence in the Arts</w:t>
            </w:r>
          </w:p>
        </w:tc>
        <w:tc>
          <w:tcPr>
            <w:tcW w:w="4381" w:type="dxa"/>
            <w:tcBorders>
              <w:top w:val="single" w:sz="4" w:space="0" w:color="auto"/>
              <w:bottom w:val="single" w:sz="4" w:space="0" w:color="auto"/>
            </w:tcBorders>
            <w:shd w:val="clear" w:color="auto" w:fill="auto"/>
          </w:tcPr>
          <w:p w:rsidR="00F663E8" w:rsidRPr="00141900" w:rsidRDefault="00F663E8" w:rsidP="00F663E8">
            <w:pPr>
              <w:pStyle w:val="Tabletext"/>
            </w:pPr>
            <w:r w:rsidRPr="00141900">
              <w:t xml:space="preserve">To allocate funding </w:t>
            </w:r>
            <w:r w:rsidR="00767168" w:rsidRPr="00141900">
              <w:t xml:space="preserve">for the arts </w:t>
            </w:r>
            <w:r w:rsidRPr="00141900">
              <w:t xml:space="preserve">on a national basis </w:t>
            </w:r>
            <w:r w:rsidR="00767168" w:rsidRPr="00141900">
              <w:t>through</w:t>
            </w:r>
            <w:r w:rsidRPr="00141900">
              <w:t xml:space="preserve"> the following types of grants:</w:t>
            </w:r>
          </w:p>
          <w:p w:rsidR="00F663E8" w:rsidRPr="00141900" w:rsidRDefault="00F663E8" w:rsidP="00F663E8">
            <w:pPr>
              <w:pStyle w:val="Tablea"/>
            </w:pPr>
            <w:r w:rsidRPr="00141900">
              <w:t xml:space="preserve">(a) endowment incentive grants that assist organisations to </w:t>
            </w:r>
            <w:r w:rsidR="004571F5" w:rsidRPr="00141900">
              <w:t>undertake projects through partnerships and collaborations</w:t>
            </w:r>
            <w:r w:rsidRPr="00141900">
              <w:t xml:space="preserve"> </w:t>
            </w:r>
            <w:r w:rsidR="00330CCC" w:rsidRPr="00141900">
              <w:t>or</w:t>
            </w:r>
            <w:r w:rsidRPr="00141900">
              <w:t xml:space="preserve"> </w:t>
            </w:r>
            <w:r w:rsidR="00D90C56" w:rsidRPr="00141900">
              <w:t xml:space="preserve">to </w:t>
            </w:r>
            <w:r w:rsidRPr="00141900">
              <w:t>support capital projects;</w:t>
            </w:r>
          </w:p>
          <w:p w:rsidR="00F663E8" w:rsidRPr="00141900" w:rsidRDefault="00F663E8" w:rsidP="00F663E8">
            <w:pPr>
              <w:pStyle w:val="Tablea"/>
            </w:pPr>
            <w:r w:rsidRPr="00141900">
              <w:t xml:space="preserve">(b) </w:t>
            </w:r>
            <w:r w:rsidR="00330CCC" w:rsidRPr="00141900">
              <w:t>grants</w:t>
            </w:r>
            <w:r w:rsidRPr="00141900">
              <w:t xml:space="preserve"> that support international touring, exchanges and cultural </w:t>
            </w:r>
            <w:r w:rsidR="00EC1C77" w:rsidRPr="00141900">
              <w:t xml:space="preserve">diplomacy, with a focus on </w:t>
            </w:r>
            <w:r w:rsidR="00557FCE" w:rsidRPr="00141900">
              <w:t>significant initiatives</w:t>
            </w:r>
            <w:r w:rsidRPr="00141900">
              <w:t xml:space="preserve"> with </w:t>
            </w:r>
            <w:r w:rsidR="00767168" w:rsidRPr="00141900">
              <w:t>demonstrable</w:t>
            </w:r>
            <w:r w:rsidRPr="00141900">
              <w:t xml:space="preserve"> benefits for Australia;</w:t>
            </w:r>
          </w:p>
          <w:p w:rsidR="00F663E8" w:rsidRPr="00141900" w:rsidRDefault="00F663E8" w:rsidP="00F663E8">
            <w:pPr>
              <w:pStyle w:val="Tablea"/>
            </w:pPr>
            <w:r w:rsidRPr="00141900">
              <w:t xml:space="preserve">(c) </w:t>
            </w:r>
            <w:r w:rsidR="00330CCC" w:rsidRPr="00141900">
              <w:t>strategic</w:t>
            </w:r>
            <w:r w:rsidRPr="00141900">
              <w:t xml:space="preserve"> grants that support</w:t>
            </w:r>
            <w:r w:rsidR="00EC1C77" w:rsidRPr="00141900">
              <w:t xml:space="preserve"> projects by arts organisations;</w:t>
            </w:r>
          </w:p>
          <w:p w:rsidR="00F663E8" w:rsidRPr="00141900" w:rsidRDefault="00F663E8" w:rsidP="00F663E8">
            <w:pPr>
              <w:pStyle w:val="Tablea"/>
            </w:pPr>
            <w:r w:rsidRPr="00141900">
              <w:t xml:space="preserve">(d) </w:t>
            </w:r>
            <w:r w:rsidR="00330CCC" w:rsidRPr="00141900">
              <w:t>grants</w:t>
            </w:r>
            <w:r w:rsidRPr="00141900">
              <w:t xml:space="preserve"> that support arts festivals in </w:t>
            </w:r>
            <w:r w:rsidR="00EC1C77" w:rsidRPr="00141900">
              <w:t xml:space="preserve">metropolitan </w:t>
            </w:r>
            <w:r w:rsidR="00F20C1D" w:rsidRPr="00141900">
              <w:t>or</w:t>
            </w:r>
            <w:r w:rsidR="00EC1C77" w:rsidRPr="00141900">
              <w:t xml:space="preserve"> regional areas;</w:t>
            </w:r>
          </w:p>
          <w:p w:rsidR="00F663E8" w:rsidRPr="00141900" w:rsidRDefault="00F663E8" w:rsidP="00F663E8">
            <w:pPr>
              <w:pStyle w:val="Tablea"/>
            </w:pPr>
            <w:r w:rsidRPr="00141900">
              <w:t xml:space="preserve">(e) </w:t>
            </w:r>
            <w:r w:rsidR="00330CCC" w:rsidRPr="00141900">
              <w:t>grants</w:t>
            </w:r>
            <w:r w:rsidRPr="00141900">
              <w:t xml:space="preserve"> that support touring of exhibitions to </w:t>
            </w:r>
            <w:r w:rsidR="008E7319" w:rsidRPr="00141900">
              <w:t>or</w:t>
            </w:r>
            <w:r w:rsidR="00557FCE" w:rsidRPr="00141900">
              <w:t xml:space="preserve"> from </w:t>
            </w:r>
            <w:r w:rsidRPr="00141900">
              <w:t xml:space="preserve">regional </w:t>
            </w:r>
            <w:r w:rsidR="00F20C1D" w:rsidRPr="00141900">
              <w:t>or</w:t>
            </w:r>
            <w:r w:rsidRPr="00141900">
              <w:t xml:space="preserve"> remote Australia.</w:t>
            </w:r>
          </w:p>
          <w:p w:rsidR="00F663E8" w:rsidRPr="00141900" w:rsidRDefault="00F663E8" w:rsidP="00F663E8">
            <w:pPr>
              <w:pStyle w:val="Tabletext"/>
            </w:pPr>
            <w:r w:rsidRPr="00141900">
              <w:t>This objective also has the effect it would have if it were limited to providing funding or support:</w:t>
            </w:r>
          </w:p>
          <w:p w:rsidR="00F663E8" w:rsidRPr="00141900" w:rsidRDefault="00F663E8" w:rsidP="00F663E8">
            <w:pPr>
              <w:pStyle w:val="Tablea"/>
            </w:pPr>
            <w:r w:rsidRPr="00141900">
              <w:t>(a) by engaging in measures that are peculiarly adapted to the government of a nation and cannot otherwise be carried on for the benefit of the nation;</w:t>
            </w:r>
            <w:r w:rsidR="00F87C06" w:rsidRPr="00141900">
              <w:t xml:space="preserve"> or</w:t>
            </w:r>
          </w:p>
          <w:p w:rsidR="00F663E8" w:rsidRPr="00141900" w:rsidRDefault="00F663E8" w:rsidP="00F663E8">
            <w:pPr>
              <w:pStyle w:val="Tablea"/>
            </w:pPr>
            <w:r w:rsidRPr="00141900">
              <w:t>(b) in relation to aliens or immigrants;</w:t>
            </w:r>
            <w:r w:rsidR="00F87C06" w:rsidRPr="00141900">
              <w:t xml:space="preserve"> or</w:t>
            </w:r>
          </w:p>
          <w:p w:rsidR="00F663E8" w:rsidRPr="00141900" w:rsidRDefault="00F663E8" w:rsidP="00F663E8">
            <w:pPr>
              <w:pStyle w:val="Tablea"/>
            </w:pPr>
            <w:r w:rsidRPr="00141900">
              <w:t>(c) in connection with trade and commerce with other countries, or among</w:t>
            </w:r>
            <w:r w:rsidR="00F87C06" w:rsidRPr="00141900">
              <w:t xml:space="preserve"> the States and Territories; or</w:t>
            </w:r>
          </w:p>
          <w:p w:rsidR="00F663E8" w:rsidRPr="00141900" w:rsidRDefault="00F663E8" w:rsidP="00F663E8">
            <w:pPr>
              <w:pStyle w:val="Tablea"/>
            </w:pPr>
            <w:r w:rsidRPr="00141900">
              <w:t>(d) in relation to places, persons, matters or things external to Australia or matters affecting Australia’s relations with foreign countries.</w:t>
            </w:r>
          </w:p>
        </w:tc>
      </w:tr>
      <w:tr w:rsidR="00F87C06" w:rsidRPr="00141900" w:rsidTr="00300F4A">
        <w:tc>
          <w:tcPr>
            <w:tcW w:w="630" w:type="dxa"/>
            <w:tcBorders>
              <w:top w:val="single" w:sz="4" w:space="0" w:color="auto"/>
              <w:bottom w:val="single" w:sz="4" w:space="0" w:color="auto"/>
            </w:tcBorders>
            <w:shd w:val="clear" w:color="auto" w:fill="auto"/>
          </w:tcPr>
          <w:p w:rsidR="00F87C06" w:rsidRPr="00141900" w:rsidRDefault="00F87C06" w:rsidP="00F663E8">
            <w:pPr>
              <w:pStyle w:val="Tabletext"/>
            </w:pPr>
            <w:r w:rsidRPr="00141900">
              <w:t>89</w:t>
            </w:r>
          </w:p>
        </w:tc>
        <w:tc>
          <w:tcPr>
            <w:tcW w:w="2128" w:type="dxa"/>
            <w:tcBorders>
              <w:top w:val="single" w:sz="4" w:space="0" w:color="auto"/>
              <w:bottom w:val="single" w:sz="4" w:space="0" w:color="auto"/>
            </w:tcBorders>
            <w:shd w:val="clear" w:color="auto" w:fill="auto"/>
          </w:tcPr>
          <w:p w:rsidR="00F87C06" w:rsidRPr="00141900" w:rsidRDefault="00AD6A4A" w:rsidP="00CE266F">
            <w:pPr>
              <w:pStyle w:val="Tabletext"/>
            </w:pPr>
            <w:r w:rsidRPr="00141900">
              <w:t>Arts and Cultural Development—</w:t>
            </w:r>
            <w:r w:rsidR="00F87C06" w:rsidRPr="00141900">
              <w:t>Matched Funding Programme</w:t>
            </w:r>
          </w:p>
        </w:tc>
        <w:tc>
          <w:tcPr>
            <w:tcW w:w="4381" w:type="dxa"/>
            <w:tcBorders>
              <w:top w:val="single" w:sz="4" w:space="0" w:color="auto"/>
              <w:bottom w:val="single" w:sz="4" w:space="0" w:color="auto"/>
            </w:tcBorders>
            <w:shd w:val="clear" w:color="auto" w:fill="auto"/>
          </w:tcPr>
          <w:p w:rsidR="00F87C06" w:rsidRPr="00141900" w:rsidRDefault="00F87C06" w:rsidP="00F87C06">
            <w:pPr>
              <w:pStyle w:val="Tabletext"/>
            </w:pPr>
            <w:r w:rsidRPr="00141900">
              <w:t>To encourage private sector support for the arts by supporting projects that develop the arts sector’s capacity to use innovative funding strategies and build partnerships with the corporate and philanthropic sectors.</w:t>
            </w:r>
          </w:p>
          <w:p w:rsidR="00F87C06" w:rsidRPr="00141900" w:rsidRDefault="00F87C06" w:rsidP="00F87C06">
            <w:pPr>
              <w:pStyle w:val="Tabletext"/>
            </w:pPr>
            <w:r w:rsidRPr="00141900">
              <w:t>This objective also has the effect it would have if it were limited to providing funding or support by engaging in measures that are peculiarly adapted to the government of a nation and cannot otherwise be carried on for the benefit of the nation.</w:t>
            </w:r>
          </w:p>
        </w:tc>
      </w:tr>
      <w:tr w:rsidR="00300F4A" w:rsidRPr="00141900" w:rsidTr="00C20247">
        <w:tc>
          <w:tcPr>
            <w:tcW w:w="630" w:type="dxa"/>
            <w:tcBorders>
              <w:top w:val="single" w:sz="4" w:space="0" w:color="auto"/>
              <w:bottom w:val="single" w:sz="4" w:space="0" w:color="auto"/>
            </w:tcBorders>
            <w:shd w:val="clear" w:color="auto" w:fill="auto"/>
          </w:tcPr>
          <w:p w:rsidR="00300F4A" w:rsidRPr="00141900" w:rsidRDefault="004A2508" w:rsidP="00F663E8">
            <w:pPr>
              <w:pStyle w:val="Tabletext"/>
            </w:pPr>
            <w:r w:rsidRPr="00141900">
              <w:t>90</w:t>
            </w:r>
          </w:p>
        </w:tc>
        <w:tc>
          <w:tcPr>
            <w:tcW w:w="2128" w:type="dxa"/>
            <w:tcBorders>
              <w:top w:val="single" w:sz="4" w:space="0" w:color="auto"/>
              <w:bottom w:val="single" w:sz="4" w:space="0" w:color="auto"/>
            </w:tcBorders>
            <w:shd w:val="clear" w:color="auto" w:fill="auto"/>
          </w:tcPr>
          <w:p w:rsidR="00300F4A" w:rsidRPr="00141900" w:rsidRDefault="00300F4A" w:rsidP="00A66C14">
            <w:pPr>
              <w:pStyle w:val="Tabletext"/>
            </w:pPr>
            <w:r w:rsidRPr="00141900">
              <w:t>Disability and Carers</w:t>
            </w:r>
            <w:r w:rsidR="00A66C14" w:rsidRPr="00141900">
              <w:t>—</w:t>
            </w:r>
            <w:r w:rsidRPr="00141900">
              <w:t>Disability, Mental Health and Carers</w:t>
            </w:r>
            <w:r w:rsidR="00A66C14" w:rsidRPr="00141900">
              <w:t>—</w:t>
            </w:r>
            <w:r w:rsidRPr="00141900">
              <w:t>Individual Placement and Support</w:t>
            </w:r>
          </w:p>
        </w:tc>
        <w:tc>
          <w:tcPr>
            <w:tcW w:w="4381" w:type="dxa"/>
            <w:tcBorders>
              <w:top w:val="single" w:sz="4" w:space="0" w:color="auto"/>
              <w:bottom w:val="single" w:sz="4" w:space="0" w:color="auto"/>
            </w:tcBorders>
            <w:shd w:val="clear" w:color="auto" w:fill="auto"/>
          </w:tcPr>
          <w:p w:rsidR="00300F4A" w:rsidRPr="00141900" w:rsidRDefault="00300F4A" w:rsidP="00300F4A">
            <w:pPr>
              <w:pStyle w:val="Tabletext"/>
            </w:pPr>
            <w:r w:rsidRPr="00141900">
              <w:t>To undertake a national trial of a vocational assistance model, involving:</w:t>
            </w:r>
          </w:p>
          <w:p w:rsidR="00300F4A" w:rsidRPr="00141900" w:rsidRDefault="00300F4A" w:rsidP="00300F4A">
            <w:pPr>
              <w:pStyle w:val="Tablea"/>
            </w:pPr>
            <w:r w:rsidRPr="00141900">
              <w:t>(a) placement of employment specialists with youth mental health services; and</w:t>
            </w:r>
          </w:p>
          <w:p w:rsidR="00CE3C29" w:rsidRPr="00141900" w:rsidRDefault="00300F4A" w:rsidP="0027058A">
            <w:pPr>
              <w:pStyle w:val="Tablea"/>
            </w:pPr>
            <w:r w:rsidRPr="00141900">
              <w:t>(b) associated evaluation and research activity</w:t>
            </w:r>
            <w:r w:rsidR="0027058A" w:rsidRPr="00141900">
              <w:t>;</w:t>
            </w:r>
          </w:p>
          <w:p w:rsidR="0027058A" w:rsidRPr="00141900" w:rsidRDefault="0027058A" w:rsidP="0027058A">
            <w:pPr>
              <w:pStyle w:val="Tabletext"/>
            </w:pPr>
            <w:r w:rsidRPr="00141900">
              <w:t>to the extent that undertaking the trial:</w:t>
            </w:r>
          </w:p>
          <w:p w:rsidR="00300F4A" w:rsidRPr="00141900" w:rsidRDefault="00300F4A" w:rsidP="00300F4A">
            <w:pPr>
              <w:pStyle w:val="Tablea"/>
            </w:pPr>
            <w:r w:rsidRPr="00141900">
              <w:t xml:space="preserve">(c) </w:t>
            </w:r>
            <w:r w:rsidR="0027058A" w:rsidRPr="00141900">
              <w:t xml:space="preserve">is </w:t>
            </w:r>
            <w:r w:rsidRPr="00141900">
              <w:t>directed to compliance</w:t>
            </w:r>
            <w:r w:rsidR="009B5471" w:rsidRPr="00141900">
              <w:t xml:space="preserve"> </w:t>
            </w:r>
            <w:r w:rsidRPr="00141900">
              <w:t>with Australia’s obligations under the Convention on the Rights of Persons with Disabilities; or</w:t>
            </w:r>
          </w:p>
          <w:p w:rsidR="00300F4A" w:rsidRPr="00141900" w:rsidRDefault="00300F4A" w:rsidP="0027058A">
            <w:pPr>
              <w:pStyle w:val="Tablea"/>
            </w:pPr>
            <w:r w:rsidRPr="00141900">
              <w:t xml:space="preserve">(d) </w:t>
            </w:r>
            <w:r w:rsidR="0027058A" w:rsidRPr="00141900">
              <w:t>involves</w:t>
            </w:r>
            <w:r w:rsidRPr="00141900">
              <w:t xml:space="preserve"> the provision of sickness or unemployment benefits.</w:t>
            </w:r>
          </w:p>
        </w:tc>
      </w:tr>
      <w:tr w:rsidR="00C20247" w:rsidRPr="00141900" w:rsidTr="00C20247">
        <w:tc>
          <w:tcPr>
            <w:tcW w:w="630" w:type="dxa"/>
            <w:tcBorders>
              <w:top w:val="single" w:sz="4" w:space="0" w:color="auto"/>
              <w:bottom w:val="single" w:sz="4" w:space="0" w:color="auto"/>
            </w:tcBorders>
            <w:shd w:val="clear" w:color="auto" w:fill="auto"/>
          </w:tcPr>
          <w:p w:rsidR="00C20247" w:rsidRPr="00141900" w:rsidRDefault="004A2508" w:rsidP="003360E5">
            <w:pPr>
              <w:pStyle w:val="Tabletext"/>
            </w:pPr>
            <w:r w:rsidRPr="00141900">
              <w:t>91</w:t>
            </w:r>
          </w:p>
        </w:tc>
        <w:tc>
          <w:tcPr>
            <w:tcW w:w="2128"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Digital Technologies and Communications Services: Spatial Data</w:t>
            </w:r>
          </w:p>
        </w:tc>
        <w:tc>
          <w:tcPr>
            <w:tcW w:w="4381"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To provide open and free public access to national geocoded address data.</w:t>
            </w:r>
          </w:p>
          <w:p w:rsidR="00C20247" w:rsidRPr="00141900" w:rsidRDefault="00C20247" w:rsidP="003360E5">
            <w:pPr>
              <w:pStyle w:val="Tabletext"/>
            </w:pPr>
            <w:r w:rsidRPr="00141900">
              <w:t>This objective also has the effect it would have if it were limited to providing funding or support to engage in measures with respect to postal, telegraphic, telephonic, and other like services.</w:t>
            </w:r>
          </w:p>
        </w:tc>
      </w:tr>
      <w:tr w:rsidR="00C20247" w:rsidRPr="00141900" w:rsidTr="00C20247">
        <w:tc>
          <w:tcPr>
            <w:tcW w:w="630" w:type="dxa"/>
            <w:tcBorders>
              <w:top w:val="single" w:sz="4" w:space="0" w:color="auto"/>
              <w:bottom w:val="single" w:sz="4" w:space="0" w:color="auto"/>
            </w:tcBorders>
            <w:shd w:val="clear" w:color="auto" w:fill="auto"/>
          </w:tcPr>
          <w:p w:rsidR="00C20247" w:rsidRPr="00141900" w:rsidRDefault="004A2508" w:rsidP="003360E5">
            <w:pPr>
              <w:pStyle w:val="Tabletext"/>
            </w:pPr>
            <w:r w:rsidRPr="00141900">
              <w:t>92</w:t>
            </w:r>
          </w:p>
        </w:tc>
        <w:tc>
          <w:tcPr>
            <w:tcW w:w="2128"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Stronger Communities Programme</w:t>
            </w:r>
          </w:p>
        </w:tc>
        <w:tc>
          <w:tcPr>
            <w:tcW w:w="4381"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To provide grants for community projects to strengthen and benefit local communities.</w:t>
            </w:r>
          </w:p>
          <w:p w:rsidR="00C20247" w:rsidRPr="00141900" w:rsidRDefault="00C20247" w:rsidP="003360E5">
            <w:pPr>
              <w:pStyle w:val="Tabletext"/>
            </w:pPr>
            <w:r w:rsidRPr="00141900">
              <w:t>This objective also has the effect it would have if it were limited to providing grants:</w:t>
            </w:r>
          </w:p>
          <w:p w:rsidR="00C20247" w:rsidRPr="00141900" w:rsidRDefault="002B4358" w:rsidP="003360E5">
            <w:pPr>
              <w:pStyle w:val="Tablea"/>
            </w:pPr>
            <w:r w:rsidRPr="00141900">
              <w:t xml:space="preserve">(a) </w:t>
            </w:r>
            <w:r w:rsidR="00C20247" w:rsidRPr="00141900">
              <w:t>in connection with trade and commerce with other countries, or among the States and Territories; or</w:t>
            </w:r>
          </w:p>
          <w:p w:rsidR="00C20247" w:rsidRPr="00141900" w:rsidRDefault="002B4358" w:rsidP="003360E5">
            <w:pPr>
              <w:pStyle w:val="Tablea"/>
            </w:pPr>
            <w:r w:rsidRPr="00141900">
              <w:t xml:space="preserve">(b) </w:t>
            </w:r>
            <w:r w:rsidR="00C20247" w:rsidRPr="00141900">
              <w:t>in or in relation to a Territory; or</w:t>
            </w:r>
          </w:p>
          <w:p w:rsidR="00C20247" w:rsidRPr="00141900" w:rsidRDefault="002B4358" w:rsidP="003360E5">
            <w:pPr>
              <w:pStyle w:val="Tablea"/>
            </w:pPr>
            <w:r w:rsidRPr="00141900">
              <w:t xml:space="preserve">(c) </w:t>
            </w:r>
            <w:r w:rsidR="00C20247" w:rsidRPr="00141900">
              <w:t>to or in relation to Indigenous Australians and particular groups of Indigenous Australians; or</w:t>
            </w:r>
          </w:p>
          <w:p w:rsidR="00C20247" w:rsidRPr="00141900" w:rsidRDefault="002B4358" w:rsidP="003360E5">
            <w:pPr>
              <w:pStyle w:val="Tablea"/>
            </w:pPr>
            <w:r w:rsidRPr="00141900">
              <w:t xml:space="preserve">(d) </w:t>
            </w:r>
            <w:r w:rsidR="00C20247" w:rsidRPr="00141900">
              <w:t>to commemorate Australians killed or injured in war, and support veterans and defence force members and their families and communities; or</w:t>
            </w:r>
          </w:p>
          <w:p w:rsidR="00C20247" w:rsidRPr="00141900" w:rsidRDefault="002B4358" w:rsidP="003360E5">
            <w:pPr>
              <w:pStyle w:val="Tablea"/>
            </w:pPr>
            <w:r w:rsidRPr="00141900">
              <w:t xml:space="preserve">(e) </w:t>
            </w:r>
            <w:r w:rsidR="00C20247" w:rsidRPr="00141900">
              <w:t>in relation to aliens or immigrants; or</w:t>
            </w:r>
          </w:p>
          <w:p w:rsidR="00C20247" w:rsidRPr="00141900" w:rsidRDefault="002B4358" w:rsidP="003360E5">
            <w:pPr>
              <w:pStyle w:val="Tablea"/>
            </w:pPr>
            <w:r w:rsidRPr="00141900">
              <w:t xml:space="preserve">(f) </w:t>
            </w:r>
            <w:r w:rsidR="00C20247" w:rsidRPr="00141900">
              <w:t>in connection with assisting Australia to meet its obligations under international agreements; or</w:t>
            </w:r>
          </w:p>
          <w:p w:rsidR="00C20247" w:rsidRPr="00141900" w:rsidRDefault="002B4358" w:rsidP="003360E5">
            <w:pPr>
              <w:pStyle w:val="Tablea"/>
            </w:pPr>
            <w:r w:rsidRPr="00141900">
              <w:t xml:space="preserve">(g) </w:t>
            </w:r>
            <w:r w:rsidR="00C20247" w:rsidRPr="00141900">
              <w:t>to provide medical services, unemployment, pharmaceutical, sickness and hospital benefits and benefits to students, and for</w:t>
            </w:r>
            <w:r w:rsidR="00C20247" w:rsidRPr="00141900">
              <w:rPr>
                <w:i/>
              </w:rPr>
              <w:t xml:space="preserve"> </w:t>
            </w:r>
            <w:r w:rsidR="00C20247" w:rsidRPr="00141900">
              <w:t>measures incidental to the provision of those matters; or</w:t>
            </w:r>
          </w:p>
          <w:p w:rsidR="00C20247" w:rsidRPr="00141900" w:rsidRDefault="002B4358" w:rsidP="003360E5">
            <w:pPr>
              <w:pStyle w:val="Tablea"/>
            </w:pPr>
            <w:r w:rsidRPr="00141900">
              <w:t xml:space="preserve">(h) </w:t>
            </w:r>
            <w:r w:rsidR="00C20247" w:rsidRPr="00141900">
              <w:t>in connection with electronic communications; or</w:t>
            </w:r>
          </w:p>
          <w:p w:rsidR="00C20247" w:rsidRPr="00141900" w:rsidRDefault="002B4358" w:rsidP="003360E5">
            <w:pPr>
              <w:pStyle w:val="Tablea"/>
            </w:pPr>
            <w:r w:rsidRPr="00141900">
              <w:t>(</w:t>
            </w:r>
            <w:proofErr w:type="spellStart"/>
            <w:r w:rsidRPr="00141900">
              <w:t>i</w:t>
            </w:r>
            <w:proofErr w:type="spellEnd"/>
            <w:r w:rsidRPr="00141900">
              <w:t xml:space="preserve">) </w:t>
            </w:r>
            <w:r w:rsidR="00C20247" w:rsidRPr="00141900">
              <w:t>to provide for measures that are peculiarly adapted to the government of a nation and cannot otherwise be carried on for the benefit of the nation; or</w:t>
            </w:r>
          </w:p>
          <w:p w:rsidR="00C20247" w:rsidRPr="00141900" w:rsidRDefault="002B4358" w:rsidP="003360E5">
            <w:pPr>
              <w:pStyle w:val="Tablea"/>
            </w:pPr>
            <w:r w:rsidRPr="00141900">
              <w:t xml:space="preserve">(j) </w:t>
            </w:r>
            <w:r w:rsidR="00C20247" w:rsidRPr="00141900">
              <w:t>in the exercise of the executive power of the Commonwealth.</w:t>
            </w:r>
          </w:p>
        </w:tc>
      </w:tr>
      <w:tr w:rsidR="00C20247" w:rsidRPr="00141900" w:rsidTr="00C20247">
        <w:tc>
          <w:tcPr>
            <w:tcW w:w="630" w:type="dxa"/>
            <w:tcBorders>
              <w:top w:val="single" w:sz="4" w:space="0" w:color="auto"/>
              <w:bottom w:val="single" w:sz="4" w:space="0" w:color="auto"/>
            </w:tcBorders>
            <w:shd w:val="clear" w:color="auto" w:fill="auto"/>
          </w:tcPr>
          <w:p w:rsidR="00C20247" w:rsidRPr="00141900" w:rsidRDefault="004A2508" w:rsidP="003360E5">
            <w:pPr>
              <w:pStyle w:val="Tabletext"/>
            </w:pPr>
            <w:r w:rsidRPr="00141900">
              <w:t>93</w:t>
            </w:r>
          </w:p>
        </w:tc>
        <w:tc>
          <w:tcPr>
            <w:tcW w:w="2128"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Drought Communities Programme</w:t>
            </w:r>
          </w:p>
        </w:tc>
        <w:tc>
          <w:tcPr>
            <w:tcW w:w="4381"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To provide grants to drought</w:t>
            </w:r>
            <w:r w:rsidR="00141900">
              <w:noBreakHyphen/>
            </w:r>
            <w:r w:rsidRPr="00141900">
              <w:t>affected communities for local infrastructure projects, particularly to address drought</w:t>
            </w:r>
            <w:r w:rsidR="00141900">
              <w:noBreakHyphen/>
            </w:r>
            <w:r w:rsidRPr="00141900">
              <w:t>caused unemployment and to support and enhance the viability and competitiveness of drought</w:t>
            </w:r>
            <w:r w:rsidR="00141900">
              <w:noBreakHyphen/>
            </w:r>
            <w:r w:rsidRPr="00141900">
              <w:t>affected agriculture.</w:t>
            </w:r>
          </w:p>
          <w:p w:rsidR="00C20247" w:rsidRPr="00141900" w:rsidRDefault="00C20247" w:rsidP="003360E5">
            <w:pPr>
              <w:pStyle w:val="Tabletext"/>
            </w:pPr>
            <w:r w:rsidRPr="00141900">
              <w:t>This objective also has the effect it would have if it were limited to providing grants:</w:t>
            </w:r>
          </w:p>
          <w:p w:rsidR="00C20247" w:rsidRPr="00141900" w:rsidRDefault="002B4358" w:rsidP="003360E5">
            <w:pPr>
              <w:pStyle w:val="Tablea"/>
            </w:pPr>
            <w:r w:rsidRPr="00141900">
              <w:t xml:space="preserve">(a) </w:t>
            </w:r>
            <w:r w:rsidR="00C20247" w:rsidRPr="00141900">
              <w:t>in connection with trade and commerce with other countries, or among the States and Territories; or</w:t>
            </w:r>
          </w:p>
          <w:p w:rsidR="00C20247" w:rsidRPr="00141900" w:rsidRDefault="002B4358" w:rsidP="003360E5">
            <w:pPr>
              <w:pStyle w:val="Tablea"/>
            </w:pPr>
            <w:r w:rsidRPr="00141900">
              <w:t xml:space="preserve">(b) </w:t>
            </w:r>
            <w:r w:rsidR="00C20247" w:rsidRPr="00141900">
              <w:t>in or in relation to a Territory; or</w:t>
            </w:r>
          </w:p>
          <w:p w:rsidR="00C20247" w:rsidRPr="00141900" w:rsidRDefault="002B4358" w:rsidP="003360E5">
            <w:pPr>
              <w:pStyle w:val="Tablea"/>
            </w:pPr>
            <w:r w:rsidRPr="00141900">
              <w:t xml:space="preserve">(c) </w:t>
            </w:r>
            <w:r w:rsidR="00C20247" w:rsidRPr="00141900">
              <w:t>as financial assistance to a State or Territory; or</w:t>
            </w:r>
          </w:p>
          <w:p w:rsidR="00C20247" w:rsidRPr="00141900" w:rsidRDefault="002B4358" w:rsidP="003360E5">
            <w:pPr>
              <w:pStyle w:val="Tablea"/>
            </w:pPr>
            <w:r w:rsidRPr="00141900">
              <w:t xml:space="preserve">(d) </w:t>
            </w:r>
            <w:r w:rsidR="00C20247" w:rsidRPr="00141900">
              <w:t>to commemorate Australians killed or injured in war, and support veterans and defence force members and their families and communities; or</w:t>
            </w:r>
          </w:p>
          <w:p w:rsidR="00C20247" w:rsidRPr="00141900" w:rsidRDefault="002B4358" w:rsidP="003360E5">
            <w:pPr>
              <w:pStyle w:val="Tablea"/>
            </w:pPr>
            <w:r w:rsidRPr="00141900">
              <w:t xml:space="preserve">(e) </w:t>
            </w:r>
            <w:r w:rsidR="00C20247" w:rsidRPr="00141900">
              <w:t>for the construction or extension of railways in any State with the consent of that State; or</w:t>
            </w:r>
          </w:p>
          <w:p w:rsidR="00C20247" w:rsidRPr="00141900" w:rsidRDefault="002B4358" w:rsidP="003360E5">
            <w:pPr>
              <w:pStyle w:val="Tablea"/>
            </w:pPr>
            <w:r w:rsidRPr="00141900">
              <w:t xml:space="preserve">(f) </w:t>
            </w:r>
            <w:r w:rsidR="00C20247" w:rsidRPr="00141900">
              <w:t>to or in relation to Indigenous Australians and particular groups of Indigenous Australians; or</w:t>
            </w:r>
          </w:p>
          <w:p w:rsidR="00C20247" w:rsidRPr="00141900" w:rsidRDefault="002B4358" w:rsidP="003360E5">
            <w:pPr>
              <w:pStyle w:val="Tablea"/>
            </w:pPr>
            <w:r w:rsidRPr="00141900">
              <w:t xml:space="preserve">(g) </w:t>
            </w:r>
            <w:r w:rsidR="00C20247" w:rsidRPr="00141900">
              <w:t>in connection with assisting Australia to meet its obligations under international agreements; or</w:t>
            </w:r>
          </w:p>
          <w:p w:rsidR="00C20247" w:rsidRPr="00141900" w:rsidRDefault="002B4358" w:rsidP="003360E5">
            <w:pPr>
              <w:pStyle w:val="Tablea"/>
            </w:pPr>
            <w:r w:rsidRPr="00141900">
              <w:t xml:space="preserve">(h) </w:t>
            </w:r>
            <w:r w:rsidR="00C20247" w:rsidRPr="00141900">
              <w:t>to provide medical services, unemployment, pharmaceutical, sickness and hospital benefits and benefits to students, and for measures incidental to the provision of those matters; or</w:t>
            </w:r>
          </w:p>
          <w:p w:rsidR="00C20247" w:rsidRPr="00141900" w:rsidRDefault="002B4358" w:rsidP="003360E5">
            <w:pPr>
              <w:pStyle w:val="Tablea"/>
            </w:pPr>
            <w:r w:rsidRPr="00141900">
              <w:t>(</w:t>
            </w:r>
            <w:proofErr w:type="spellStart"/>
            <w:r w:rsidRPr="00141900">
              <w:t>i</w:t>
            </w:r>
            <w:proofErr w:type="spellEnd"/>
            <w:r w:rsidRPr="00141900">
              <w:t xml:space="preserve">) </w:t>
            </w:r>
            <w:r w:rsidR="00C20247" w:rsidRPr="00141900">
              <w:t>in connection with electronic communications; or</w:t>
            </w:r>
          </w:p>
          <w:p w:rsidR="00C20247" w:rsidRPr="00141900" w:rsidRDefault="002B4358" w:rsidP="003360E5">
            <w:pPr>
              <w:pStyle w:val="Tablea"/>
            </w:pPr>
            <w:r w:rsidRPr="00141900">
              <w:t xml:space="preserve">(j) </w:t>
            </w:r>
            <w:r w:rsidR="00C20247" w:rsidRPr="00141900">
              <w:t>to provide for measures that are peculiarly adapted to the government of a nation and cannot otherwise be carried on for the benefit of the nation; or</w:t>
            </w:r>
          </w:p>
          <w:p w:rsidR="00C20247" w:rsidRPr="00141900" w:rsidRDefault="002B4358" w:rsidP="003360E5">
            <w:pPr>
              <w:pStyle w:val="Tablea"/>
            </w:pPr>
            <w:r w:rsidRPr="00141900">
              <w:t xml:space="preserve">(k) </w:t>
            </w:r>
            <w:r w:rsidR="00C20247" w:rsidRPr="00141900">
              <w:t>in the exercise of the executive power of the Commonwealth.</w:t>
            </w:r>
          </w:p>
        </w:tc>
      </w:tr>
      <w:tr w:rsidR="00C20247" w:rsidRPr="00141900" w:rsidTr="00C20247">
        <w:tc>
          <w:tcPr>
            <w:tcW w:w="630" w:type="dxa"/>
            <w:tcBorders>
              <w:top w:val="single" w:sz="4" w:space="0" w:color="auto"/>
              <w:bottom w:val="single" w:sz="4" w:space="0" w:color="auto"/>
            </w:tcBorders>
            <w:shd w:val="clear" w:color="auto" w:fill="auto"/>
          </w:tcPr>
          <w:p w:rsidR="00C20247" w:rsidRPr="00141900" w:rsidRDefault="004A2508" w:rsidP="003360E5">
            <w:pPr>
              <w:pStyle w:val="Tabletext"/>
            </w:pPr>
            <w:r w:rsidRPr="00141900">
              <w:t>94</w:t>
            </w:r>
          </w:p>
        </w:tc>
        <w:tc>
          <w:tcPr>
            <w:tcW w:w="2128"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General Practice Rural Incentives Programme</w:t>
            </w:r>
          </w:p>
        </w:tc>
        <w:tc>
          <w:tcPr>
            <w:tcW w:w="4381"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To encourage medical practitioners (including general practitioners, general practice registrars and specialists) to practise in regional and remote areas:</w:t>
            </w:r>
          </w:p>
          <w:p w:rsidR="00C20247" w:rsidRPr="00141900" w:rsidRDefault="00C20247" w:rsidP="003360E5">
            <w:pPr>
              <w:pStyle w:val="Tablea"/>
            </w:pPr>
            <w:r w:rsidRPr="00141900">
              <w:t>(a) for the purpose of providing medical services; or</w:t>
            </w:r>
          </w:p>
          <w:p w:rsidR="00C20247" w:rsidRPr="00141900" w:rsidRDefault="00C20247" w:rsidP="003360E5">
            <w:pPr>
              <w:pStyle w:val="Tablea"/>
            </w:pPr>
            <w:r w:rsidRPr="00141900">
              <w:t>(b) to meet Australia’s obligations under the International Covenant on Economic, Social and Cultural Rights.</w:t>
            </w:r>
          </w:p>
        </w:tc>
      </w:tr>
      <w:tr w:rsidR="00C20247" w:rsidRPr="00141900" w:rsidTr="00C20247">
        <w:tc>
          <w:tcPr>
            <w:tcW w:w="630" w:type="dxa"/>
            <w:tcBorders>
              <w:top w:val="single" w:sz="4" w:space="0" w:color="auto"/>
              <w:bottom w:val="single" w:sz="4" w:space="0" w:color="auto"/>
            </w:tcBorders>
            <w:shd w:val="clear" w:color="auto" w:fill="auto"/>
          </w:tcPr>
          <w:p w:rsidR="00C20247" w:rsidRPr="00141900" w:rsidRDefault="004A2508" w:rsidP="003360E5">
            <w:pPr>
              <w:pStyle w:val="Tabletext"/>
            </w:pPr>
            <w:r w:rsidRPr="00141900">
              <w:t>95</w:t>
            </w:r>
          </w:p>
        </w:tc>
        <w:tc>
          <w:tcPr>
            <w:tcW w:w="2128" w:type="dxa"/>
            <w:tcBorders>
              <w:top w:val="single" w:sz="4" w:space="0" w:color="auto"/>
              <w:bottom w:val="single" w:sz="4" w:space="0" w:color="auto"/>
            </w:tcBorders>
            <w:shd w:val="clear" w:color="auto" w:fill="auto"/>
          </w:tcPr>
          <w:p w:rsidR="00C20247" w:rsidRPr="00141900" w:rsidRDefault="00C20247" w:rsidP="003360E5">
            <w:pPr>
              <w:pStyle w:val="Tabletext"/>
            </w:pPr>
            <w:proofErr w:type="spellStart"/>
            <w:r w:rsidRPr="00141900">
              <w:t>Haemopoietic</w:t>
            </w:r>
            <w:proofErr w:type="spellEnd"/>
            <w:r w:rsidRPr="00141900">
              <w:t xml:space="preserve"> Progenitor Cells Programme</w:t>
            </w:r>
          </w:p>
        </w:tc>
        <w:tc>
          <w:tcPr>
            <w:tcW w:w="4381"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 xml:space="preserve">To support the location and procurement of </w:t>
            </w:r>
            <w:proofErr w:type="spellStart"/>
            <w:r w:rsidRPr="00141900">
              <w:t>haemopoietic</w:t>
            </w:r>
            <w:proofErr w:type="spellEnd"/>
            <w:r w:rsidRPr="00141900">
              <w:t xml:space="preserve"> progenitor cells from overseas for Australian patients as the provision of sickness benefits and medical services, and by engaging in measures incidental to the provision of those benefits and services.</w:t>
            </w:r>
          </w:p>
        </w:tc>
      </w:tr>
      <w:tr w:rsidR="00C20247" w:rsidRPr="00141900" w:rsidTr="00C20247">
        <w:tc>
          <w:tcPr>
            <w:tcW w:w="630" w:type="dxa"/>
            <w:tcBorders>
              <w:top w:val="single" w:sz="4" w:space="0" w:color="auto"/>
              <w:bottom w:val="single" w:sz="4" w:space="0" w:color="auto"/>
            </w:tcBorders>
            <w:shd w:val="clear" w:color="auto" w:fill="auto"/>
          </w:tcPr>
          <w:p w:rsidR="00C20247" w:rsidRPr="00141900" w:rsidRDefault="004A2508" w:rsidP="003360E5">
            <w:pPr>
              <w:pStyle w:val="Tabletext"/>
            </w:pPr>
            <w:r w:rsidRPr="00141900">
              <w:t>96</w:t>
            </w:r>
          </w:p>
        </w:tc>
        <w:tc>
          <w:tcPr>
            <w:tcW w:w="2128"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Improve Safety and Quality in Health Care Programme</w:t>
            </w:r>
          </w:p>
        </w:tc>
        <w:tc>
          <w:tcPr>
            <w:tcW w:w="4381"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To establish and maintain clinical quality registries to assess and improve the quality of health care:</w:t>
            </w:r>
          </w:p>
          <w:p w:rsidR="00C20247" w:rsidRPr="00141900" w:rsidRDefault="00C20247" w:rsidP="003360E5">
            <w:pPr>
              <w:pStyle w:val="Tablea"/>
            </w:pPr>
            <w:r w:rsidRPr="00141900">
              <w:t>(a) as the provision of medical services, and by engaging in measures incidental to the provision of those services; or</w:t>
            </w:r>
          </w:p>
          <w:p w:rsidR="00C20247" w:rsidRPr="00141900" w:rsidRDefault="00C20247" w:rsidP="003360E5">
            <w:pPr>
              <w:pStyle w:val="Tablea"/>
            </w:pPr>
            <w:r w:rsidRPr="00141900">
              <w:t>(b) by collecting, analysing, disseminating and using statistics; or</w:t>
            </w:r>
          </w:p>
          <w:p w:rsidR="00C20247" w:rsidRPr="00141900" w:rsidRDefault="00C20247" w:rsidP="003360E5">
            <w:pPr>
              <w:pStyle w:val="Tablea"/>
            </w:pPr>
            <w:r w:rsidRPr="00141900">
              <w:t>(c) to meet Australia’s obligations under the International Covenant on Economic, Social and Cultural Rights.</w:t>
            </w:r>
          </w:p>
        </w:tc>
      </w:tr>
      <w:tr w:rsidR="00C20247" w:rsidRPr="00141900" w:rsidTr="00C20247">
        <w:tc>
          <w:tcPr>
            <w:tcW w:w="630" w:type="dxa"/>
            <w:tcBorders>
              <w:top w:val="single" w:sz="4" w:space="0" w:color="auto"/>
              <w:bottom w:val="single" w:sz="4" w:space="0" w:color="auto"/>
            </w:tcBorders>
            <w:shd w:val="clear" w:color="auto" w:fill="auto"/>
          </w:tcPr>
          <w:p w:rsidR="00C20247" w:rsidRPr="00141900" w:rsidRDefault="004A2508" w:rsidP="003360E5">
            <w:pPr>
              <w:pStyle w:val="Tabletext"/>
            </w:pPr>
            <w:r w:rsidRPr="00141900">
              <w:t>97</w:t>
            </w:r>
          </w:p>
        </w:tc>
        <w:tc>
          <w:tcPr>
            <w:tcW w:w="2128"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Junior Medical Officer Programme</w:t>
            </w:r>
          </w:p>
        </w:tc>
        <w:tc>
          <w:tcPr>
            <w:tcW w:w="4381"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To support clinical training positions for junior medical practitioners, prior to the commencement of specialist training, as the provision of benefits to students, and by engaging in measures incidental to the provision of those benefits.</w:t>
            </w:r>
          </w:p>
        </w:tc>
      </w:tr>
      <w:tr w:rsidR="00C20247" w:rsidRPr="00141900" w:rsidTr="00C20247">
        <w:tc>
          <w:tcPr>
            <w:tcW w:w="630" w:type="dxa"/>
            <w:tcBorders>
              <w:top w:val="single" w:sz="4" w:space="0" w:color="auto"/>
              <w:bottom w:val="single" w:sz="4" w:space="0" w:color="auto"/>
            </w:tcBorders>
            <w:shd w:val="clear" w:color="auto" w:fill="auto"/>
          </w:tcPr>
          <w:p w:rsidR="00C20247" w:rsidRPr="00141900" w:rsidRDefault="004A2508" w:rsidP="003360E5">
            <w:pPr>
              <w:pStyle w:val="Tabletext"/>
            </w:pPr>
            <w:r w:rsidRPr="00141900">
              <w:t>98</w:t>
            </w:r>
          </w:p>
        </w:tc>
        <w:tc>
          <w:tcPr>
            <w:tcW w:w="2128"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National Bowel Cancer Screening Programme</w:t>
            </w:r>
          </w:p>
        </w:tc>
        <w:tc>
          <w:tcPr>
            <w:tcW w:w="4381"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To support the prevention and early detection of bowel cancer, and reduce morbidity and mortality from the disease:</w:t>
            </w:r>
          </w:p>
          <w:p w:rsidR="00C20247" w:rsidRPr="00141900" w:rsidRDefault="00C20247" w:rsidP="003360E5">
            <w:pPr>
              <w:pStyle w:val="Tablea"/>
            </w:pPr>
            <w:r w:rsidRPr="00141900">
              <w:t>(a) as the provision of medical services, and by engaging in measures incidental to the provision of those services; or</w:t>
            </w:r>
          </w:p>
          <w:p w:rsidR="00C20247" w:rsidRPr="00141900" w:rsidRDefault="00C20247" w:rsidP="003360E5">
            <w:pPr>
              <w:pStyle w:val="Tablea"/>
            </w:pPr>
            <w:r w:rsidRPr="00141900">
              <w:t>(b) to meet Australia’s obligations under the International Covenant on Economic, Social and Cultural Rights; or</w:t>
            </w:r>
          </w:p>
          <w:p w:rsidR="00C20247" w:rsidRPr="00141900" w:rsidRDefault="00C20247" w:rsidP="003360E5">
            <w:pPr>
              <w:pStyle w:val="Tablea"/>
            </w:pPr>
            <w:r w:rsidRPr="00141900">
              <w:t>(c) by engaging in scientific research for the benefit of the nation.</w:t>
            </w:r>
          </w:p>
        </w:tc>
      </w:tr>
      <w:tr w:rsidR="00C20247" w:rsidRPr="00141900" w:rsidTr="00C20247">
        <w:tc>
          <w:tcPr>
            <w:tcW w:w="630" w:type="dxa"/>
            <w:tcBorders>
              <w:top w:val="single" w:sz="4" w:space="0" w:color="auto"/>
              <w:bottom w:val="single" w:sz="4" w:space="0" w:color="auto"/>
            </w:tcBorders>
            <w:shd w:val="clear" w:color="auto" w:fill="auto"/>
          </w:tcPr>
          <w:p w:rsidR="00C20247" w:rsidRPr="00141900" w:rsidRDefault="004A2508" w:rsidP="003360E5">
            <w:pPr>
              <w:pStyle w:val="Tabletext"/>
            </w:pPr>
            <w:r w:rsidRPr="00141900">
              <w:t>99</w:t>
            </w:r>
          </w:p>
        </w:tc>
        <w:tc>
          <w:tcPr>
            <w:tcW w:w="2128"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Improving Immunisation Coverage Rates</w:t>
            </w:r>
          </w:p>
        </w:tc>
        <w:tc>
          <w:tcPr>
            <w:tcW w:w="4381"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To improve the uptake of vaccines under the National Immunisation Programme, including through the collection of data, the provision of financial incentives to immunisation providers, and communication activities relevant to that Programme, as the provision of pharmaceutical benefits and medical services, and by engaging in measures incidental to the provision of those benefits and services.</w:t>
            </w:r>
          </w:p>
        </w:tc>
      </w:tr>
      <w:tr w:rsidR="00C20247" w:rsidRPr="00141900" w:rsidTr="00C20247">
        <w:tc>
          <w:tcPr>
            <w:tcW w:w="630" w:type="dxa"/>
            <w:tcBorders>
              <w:top w:val="single" w:sz="4" w:space="0" w:color="auto"/>
              <w:bottom w:val="single" w:sz="4" w:space="0" w:color="auto"/>
            </w:tcBorders>
            <w:shd w:val="clear" w:color="auto" w:fill="auto"/>
          </w:tcPr>
          <w:p w:rsidR="00C20247" w:rsidRPr="00141900" w:rsidRDefault="004A2508" w:rsidP="003360E5">
            <w:pPr>
              <w:pStyle w:val="Tabletext"/>
            </w:pPr>
            <w:r w:rsidRPr="00141900">
              <w:t>100</w:t>
            </w:r>
          </w:p>
        </w:tc>
        <w:tc>
          <w:tcPr>
            <w:tcW w:w="2128"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Health Workforce Scholarship</w:t>
            </w:r>
            <w:r w:rsidRPr="00141900">
              <w:rPr>
                <w:b/>
              </w:rPr>
              <w:t xml:space="preserve"> </w:t>
            </w:r>
            <w:r w:rsidRPr="00141900">
              <w:t>Programme</w:t>
            </w:r>
          </w:p>
        </w:tc>
        <w:tc>
          <w:tcPr>
            <w:tcW w:w="4381"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To increase participation in, and promote better distribution of, health workforces by providing, and supporting the provision of:</w:t>
            </w:r>
          </w:p>
          <w:p w:rsidR="00C20247" w:rsidRPr="00141900" w:rsidRDefault="00C20247" w:rsidP="003360E5">
            <w:pPr>
              <w:pStyle w:val="Tablea"/>
            </w:pPr>
            <w:r w:rsidRPr="00141900">
              <w:t>(a) scholarships to health students, to the extent that the scholarships are benefits to students; or</w:t>
            </w:r>
          </w:p>
          <w:p w:rsidR="00C20247" w:rsidRPr="00141900" w:rsidRDefault="00C20247" w:rsidP="003360E5">
            <w:pPr>
              <w:pStyle w:val="Tablea"/>
            </w:pPr>
            <w:r w:rsidRPr="00141900">
              <w:t>(b) scholarships to health students who are Aboriginal persons or Torres Strait Islanders.</w:t>
            </w:r>
          </w:p>
        </w:tc>
      </w:tr>
      <w:tr w:rsidR="00C20247" w:rsidRPr="00141900" w:rsidTr="00C20247">
        <w:tc>
          <w:tcPr>
            <w:tcW w:w="630" w:type="dxa"/>
            <w:tcBorders>
              <w:top w:val="single" w:sz="4" w:space="0" w:color="auto"/>
              <w:bottom w:val="single" w:sz="4" w:space="0" w:color="auto"/>
            </w:tcBorders>
            <w:shd w:val="clear" w:color="auto" w:fill="auto"/>
          </w:tcPr>
          <w:p w:rsidR="00C20247" w:rsidRPr="00141900" w:rsidRDefault="004A2508" w:rsidP="003360E5">
            <w:pPr>
              <w:pStyle w:val="Tabletext"/>
            </w:pPr>
            <w:r w:rsidRPr="00141900">
              <w:t>101</w:t>
            </w:r>
          </w:p>
        </w:tc>
        <w:tc>
          <w:tcPr>
            <w:tcW w:w="2128"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National Cancer Screening Register</w:t>
            </w:r>
          </w:p>
        </w:tc>
        <w:tc>
          <w:tcPr>
            <w:tcW w:w="4381"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To establish, maintain and publicise a national register of cancer screening data that will inform clinical decisions across current and future cancer screening programmes:</w:t>
            </w:r>
          </w:p>
          <w:p w:rsidR="00C20247" w:rsidRPr="00141900" w:rsidRDefault="00C20247" w:rsidP="003360E5">
            <w:pPr>
              <w:pStyle w:val="Tablea"/>
            </w:pPr>
            <w:r w:rsidRPr="00141900">
              <w:t>(a) as the provision of medical services, and by engaging in measures incidental to the provision of those services; or</w:t>
            </w:r>
          </w:p>
          <w:p w:rsidR="00C20247" w:rsidRPr="00141900" w:rsidRDefault="00C20247" w:rsidP="003360E5">
            <w:pPr>
              <w:pStyle w:val="Tablea"/>
            </w:pPr>
            <w:r w:rsidRPr="00141900">
              <w:t>(b) by collecting, analysing, disseminating and using statistics; or</w:t>
            </w:r>
          </w:p>
          <w:p w:rsidR="00C20247" w:rsidRPr="00141900" w:rsidRDefault="00C20247" w:rsidP="003360E5">
            <w:pPr>
              <w:pStyle w:val="Tablea"/>
            </w:pPr>
            <w:r w:rsidRPr="00141900">
              <w:t>(c) by engaging in measures with respect to postal, telegraphic, telephonic, and other like services; or</w:t>
            </w:r>
          </w:p>
          <w:p w:rsidR="00C20247" w:rsidRPr="00141900" w:rsidRDefault="00C20247" w:rsidP="003360E5">
            <w:pPr>
              <w:pStyle w:val="Tablea"/>
            </w:pPr>
            <w:r w:rsidRPr="00141900">
              <w:t>(d) to meet Australia’s obligations under the International Covenant on Economic, Social and Cultural Rights.</w:t>
            </w:r>
          </w:p>
        </w:tc>
      </w:tr>
      <w:tr w:rsidR="00C20247" w:rsidRPr="00141900" w:rsidTr="00C20247">
        <w:tc>
          <w:tcPr>
            <w:tcW w:w="630" w:type="dxa"/>
            <w:tcBorders>
              <w:top w:val="single" w:sz="4" w:space="0" w:color="auto"/>
              <w:bottom w:val="single" w:sz="4" w:space="0" w:color="auto"/>
            </w:tcBorders>
            <w:shd w:val="clear" w:color="auto" w:fill="auto"/>
          </w:tcPr>
          <w:p w:rsidR="00C20247" w:rsidRPr="00141900" w:rsidRDefault="004A2508" w:rsidP="003360E5">
            <w:pPr>
              <w:pStyle w:val="Tabletext"/>
            </w:pPr>
            <w:r w:rsidRPr="00141900">
              <w:t>102</w:t>
            </w:r>
          </w:p>
        </w:tc>
        <w:tc>
          <w:tcPr>
            <w:tcW w:w="2128"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Organ and Tissue Donation for Transplantation</w:t>
            </w:r>
          </w:p>
        </w:tc>
        <w:tc>
          <w:tcPr>
            <w:tcW w:w="4381"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To fund measures to improve organ and tissue donation rates and access to organ and tissue transplantation services:</w:t>
            </w:r>
          </w:p>
          <w:p w:rsidR="00C20247" w:rsidRPr="00141900" w:rsidRDefault="00C20247" w:rsidP="003360E5">
            <w:pPr>
              <w:pStyle w:val="Tablea"/>
            </w:pPr>
            <w:r w:rsidRPr="00141900">
              <w:t>(a) as the provision of sickness benefits, and by engaging in measures incidental to the provision of those benefits; or</w:t>
            </w:r>
          </w:p>
          <w:p w:rsidR="00C20247" w:rsidRPr="00141900" w:rsidRDefault="00C20247" w:rsidP="003360E5">
            <w:pPr>
              <w:pStyle w:val="Tablea"/>
            </w:pPr>
            <w:r w:rsidRPr="00141900">
              <w:t>(b) by engaging in measures with respect to postal, telegraphic, telephonic, and other like services; or</w:t>
            </w:r>
          </w:p>
          <w:p w:rsidR="00C20247" w:rsidRPr="00141900" w:rsidRDefault="00C20247" w:rsidP="003360E5">
            <w:pPr>
              <w:pStyle w:val="Tablea"/>
            </w:pPr>
            <w:r w:rsidRPr="00141900">
              <w:t xml:space="preserve">(c) to meet Australia’s obligations under the International Covenant on Economic, Social and Cultural Rights. </w:t>
            </w:r>
          </w:p>
        </w:tc>
      </w:tr>
      <w:tr w:rsidR="00C20247" w:rsidRPr="00141900" w:rsidTr="00C20247">
        <w:tc>
          <w:tcPr>
            <w:tcW w:w="630" w:type="dxa"/>
            <w:tcBorders>
              <w:top w:val="single" w:sz="4" w:space="0" w:color="auto"/>
              <w:bottom w:val="single" w:sz="4" w:space="0" w:color="auto"/>
            </w:tcBorders>
            <w:shd w:val="clear" w:color="auto" w:fill="auto"/>
          </w:tcPr>
          <w:p w:rsidR="00C20247" w:rsidRPr="00141900" w:rsidRDefault="004A2508" w:rsidP="003360E5">
            <w:pPr>
              <w:pStyle w:val="Tabletext"/>
            </w:pPr>
            <w:r w:rsidRPr="00141900">
              <w:t>103</w:t>
            </w:r>
          </w:p>
        </w:tc>
        <w:tc>
          <w:tcPr>
            <w:tcW w:w="2128"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Professional pharmacy programmes and services under the Community Pharmacy Agreement</w:t>
            </w:r>
          </w:p>
        </w:tc>
        <w:tc>
          <w:tcPr>
            <w:tcW w:w="4381"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To support access to, and the quality use of, Pharmaceutical Benefits Scheme medicines, and the delivery and development of professional services that will improve health outcomes, by providing funding and allowances to community pharmacies:</w:t>
            </w:r>
          </w:p>
          <w:p w:rsidR="00C20247" w:rsidRPr="00141900" w:rsidRDefault="00C20247" w:rsidP="003360E5">
            <w:pPr>
              <w:pStyle w:val="Tablea"/>
            </w:pPr>
            <w:r w:rsidRPr="00141900">
              <w:t>(a) as the provision of pharmaceutical and sickness benefits and medical services, and by engaging in measures incidental to the provision of those benefits and services; or</w:t>
            </w:r>
          </w:p>
          <w:p w:rsidR="00C20247" w:rsidRPr="00141900" w:rsidRDefault="00C20247" w:rsidP="003360E5">
            <w:pPr>
              <w:pStyle w:val="Tablea"/>
            </w:pPr>
            <w:r w:rsidRPr="00141900">
              <w:t>(b) to benefit Aboriginal persons or Torres Strait Islanders; or</w:t>
            </w:r>
          </w:p>
          <w:p w:rsidR="00C20247" w:rsidRPr="00141900" w:rsidRDefault="00C20247" w:rsidP="003360E5">
            <w:pPr>
              <w:pStyle w:val="Tablea"/>
            </w:pPr>
            <w:r w:rsidRPr="00141900">
              <w:t>(c) to meet Australia’s obligations under the International Covenant on Economic, Social and Cultural Rights.</w:t>
            </w:r>
          </w:p>
        </w:tc>
      </w:tr>
      <w:tr w:rsidR="00C20247" w:rsidRPr="00141900" w:rsidTr="00C20247">
        <w:tc>
          <w:tcPr>
            <w:tcW w:w="630" w:type="dxa"/>
            <w:tcBorders>
              <w:top w:val="single" w:sz="4" w:space="0" w:color="auto"/>
              <w:bottom w:val="single" w:sz="4" w:space="0" w:color="auto"/>
            </w:tcBorders>
            <w:shd w:val="clear" w:color="auto" w:fill="auto"/>
          </w:tcPr>
          <w:p w:rsidR="00C20247" w:rsidRPr="00141900" w:rsidRDefault="004A2508" w:rsidP="003360E5">
            <w:pPr>
              <w:pStyle w:val="Tabletext"/>
            </w:pPr>
            <w:r w:rsidRPr="00141900">
              <w:t>104</w:t>
            </w:r>
          </w:p>
        </w:tc>
        <w:tc>
          <w:tcPr>
            <w:tcW w:w="2128"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Australian Men’s Shed Association</w:t>
            </w:r>
          </w:p>
        </w:tc>
        <w:tc>
          <w:tcPr>
            <w:tcW w:w="4381" w:type="dxa"/>
            <w:tcBorders>
              <w:top w:val="single" w:sz="4" w:space="0" w:color="auto"/>
              <w:bottom w:val="single" w:sz="4" w:space="0" w:color="auto"/>
            </w:tcBorders>
            <w:shd w:val="clear" w:color="auto" w:fill="auto"/>
          </w:tcPr>
          <w:p w:rsidR="00C20247" w:rsidRPr="00141900" w:rsidRDefault="00C20247" w:rsidP="003360E5">
            <w:pPr>
              <w:pStyle w:val="Tabletext"/>
            </w:pPr>
            <w:r w:rsidRPr="00141900">
              <w:t>To support activities that raise community awareness of preventative health strategies, to promote and provide medical services for the treatment and management of physical and mental health conditions, and to target the health needs of specific sectors of the community:</w:t>
            </w:r>
          </w:p>
          <w:p w:rsidR="00C20247" w:rsidRPr="00141900" w:rsidRDefault="00C20247" w:rsidP="003360E5">
            <w:pPr>
              <w:pStyle w:val="Tablea"/>
            </w:pPr>
            <w:r w:rsidRPr="00141900">
              <w:t>(a) as the provision of medical services, and by engaging in measures incidental to the provision of those services; or</w:t>
            </w:r>
          </w:p>
          <w:p w:rsidR="00C20247" w:rsidRPr="00141900" w:rsidRDefault="00C20247" w:rsidP="003360E5">
            <w:pPr>
              <w:pStyle w:val="Tablea"/>
            </w:pPr>
            <w:r w:rsidRPr="00141900">
              <w:t>(b) by developing and providing online educational, research and resource material; or</w:t>
            </w:r>
          </w:p>
          <w:p w:rsidR="00C20247" w:rsidRPr="00141900" w:rsidRDefault="00C20247" w:rsidP="003360E5">
            <w:pPr>
              <w:pStyle w:val="Tablea"/>
            </w:pPr>
            <w:r w:rsidRPr="00141900">
              <w:t>(c) by developing appropriate health prevention and promotion strategies for men who are Aboriginal persons, Torres Strait Islanders, immigrants or aliens; or</w:t>
            </w:r>
          </w:p>
          <w:p w:rsidR="00C20247" w:rsidRPr="00141900" w:rsidRDefault="00C20247" w:rsidP="003360E5">
            <w:pPr>
              <w:pStyle w:val="Tablea"/>
            </w:pPr>
            <w:r w:rsidRPr="00141900">
              <w:t>(d) by developing appropriate health prevention and promotion strategies for men who are veterans; or</w:t>
            </w:r>
          </w:p>
          <w:p w:rsidR="00C20247" w:rsidRPr="00141900" w:rsidRDefault="00C20247" w:rsidP="003360E5">
            <w:pPr>
              <w:pStyle w:val="Tablea"/>
            </w:pPr>
            <w:r w:rsidRPr="00141900">
              <w:t>(e) by developing appropriate health prevention and promotion strategies for men who are unemployed; or</w:t>
            </w:r>
          </w:p>
          <w:p w:rsidR="00C20247" w:rsidRPr="00141900" w:rsidRDefault="00C20247" w:rsidP="003360E5">
            <w:pPr>
              <w:pStyle w:val="Tablea"/>
            </w:pPr>
            <w:r w:rsidRPr="00141900">
              <w:t>(f) to meet Australia’s obligations under the International Covenant on Economic, Social and Cultural Rights and the Convention on the Rights of Persons with Disabilities; or</w:t>
            </w:r>
          </w:p>
          <w:p w:rsidR="00C20247" w:rsidRPr="00141900" w:rsidRDefault="00C20247" w:rsidP="003360E5">
            <w:pPr>
              <w:pStyle w:val="Tablea"/>
            </w:pPr>
            <w:r w:rsidRPr="00141900">
              <w:t>(g) by cooperating with the States and Territories under an intergovernmental agreement to achieve the objective of the programme.</w:t>
            </w:r>
          </w:p>
        </w:tc>
      </w:tr>
      <w:tr w:rsidR="00C20247" w:rsidRPr="00141900" w:rsidTr="001A01EF">
        <w:tc>
          <w:tcPr>
            <w:tcW w:w="630" w:type="dxa"/>
            <w:tcBorders>
              <w:top w:val="single" w:sz="4" w:space="0" w:color="auto"/>
            </w:tcBorders>
            <w:shd w:val="clear" w:color="auto" w:fill="auto"/>
          </w:tcPr>
          <w:p w:rsidR="00C20247" w:rsidRPr="00141900" w:rsidRDefault="004A2508" w:rsidP="003360E5">
            <w:pPr>
              <w:pStyle w:val="Tabletext"/>
            </w:pPr>
            <w:r w:rsidRPr="00141900">
              <w:t>105</w:t>
            </w:r>
          </w:p>
        </w:tc>
        <w:tc>
          <w:tcPr>
            <w:tcW w:w="2128" w:type="dxa"/>
            <w:tcBorders>
              <w:top w:val="single" w:sz="4" w:space="0" w:color="auto"/>
            </w:tcBorders>
            <w:shd w:val="clear" w:color="auto" w:fill="auto"/>
          </w:tcPr>
          <w:p w:rsidR="00C20247" w:rsidRPr="00141900" w:rsidRDefault="00C20247" w:rsidP="003360E5">
            <w:pPr>
              <w:pStyle w:val="Tabletext"/>
            </w:pPr>
            <w:r w:rsidRPr="00141900">
              <w:t>Health Peak and Advisory Bodies Programme</w:t>
            </w:r>
          </w:p>
        </w:tc>
        <w:tc>
          <w:tcPr>
            <w:tcW w:w="4381" w:type="dxa"/>
            <w:tcBorders>
              <w:top w:val="single" w:sz="4" w:space="0" w:color="auto"/>
            </w:tcBorders>
            <w:shd w:val="clear" w:color="auto" w:fill="auto"/>
          </w:tcPr>
          <w:p w:rsidR="00C20247" w:rsidRPr="00141900" w:rsidRDefault="00C20247" w:rsidP="003360E5">
            <w:pPr>
              <w:pStyle w:val="Tabletext"/>
            </w:pPr>
            <w:r w:rsidRPr="00141900">
              <w:t>To provide funding to health peak and advisory bodies for such a body to carry out one or more of the following activities:</w:t>
            </w:r>
          </w:p>
          <w:p w:rsidR="00C20247" w:rsidRPr="00141900" w:rsidRDefault="00C20247" w:rsidP="003360E5">
            <w:pPr>
              <w:pStyle w:val="Tablea"/>
            </w:pPr>
            <w:r w:rsidRPr="00141900">
              <w:t>(a) to disseminate information and raise awareness about the following matters relating to the body’s sector:</w:t>
            </w:r>
          </w:p>
          <w:p w:rsidR="00C20247" w:rsidRPr="00141900" w:rsidRDefault="00C20247" w:rsidP="003360E5">
            <w:pPr>
              <w:pStyle w:val="Tablei"/>
            </w:pPr>
            <w:r w:rsidRPr="00141900">
              <w:t>(</w:t>
            </w:r>
            <w:proofErr w:type="spellStart"/>
            <w:r w:rsidRPr="00141900">
              <w:t>i</w:t>
            </w:r>
            <w:proofErr w:type="spellEnd"/>
            <w:r w:rsidRPr="00141900">
              <w:t>) Commonwealth policies and programmes;</w:t>
            </w:r>
          </w:p>
          <w:p w:rsidR="00C20247" w:rsidRPr="00141900" w:rsidRDefault="00C20247" w:rsidP="003360E5">
            <w:pPr>
              <w:pStyle w:val="Tablei"/>
            </w:pPr>
            <w:r w:rsidRPr="00141900">
              <w:t>(ii) medical services;</w:t>
            </w:r>
          </w:p>
          <w:p w:rsidR="00C20247" w:rsidRPr="00141900" w:rsidRDefault="00C20247" w:rsidP="003360E5">
            <w:pPr>
              <w:pStyle w:val="Tablea"/>
            </w:pPr>
            <w:r w:rsidRPr="00141900">
              <w:t>(b) to disseminate information and raise awareness about the following matters relating to the body’s sector, to the extent that these activities would assist Australia to meet its obligations under the International Covenant on Economic, Social and Cultural Rights:</w:t>
            </w:r>
          </w:p>
          <w:p w:rsidR="00C20247" w:rsidRPr="00141900" w:rsidRDefault="00C20247" w:rsidP="003360E5">
            <w:pPr>
              <w:pStyle w:val="Tablei"/>
            </w:pPr>
            <w:r w:rsidRPr="00141900">
              <w:t>(</w:t>
            </w:r>
            <w:proofErr w:type="spellStart"/>
            <w:r w:rsidRPr="00141900">
              <w:t>i</w:t>
            </w:r>
            <w:proofErr w:type="spellEnd"/>
            <w:r w:rsidRPr="00141900">
              <w:t>) health services that are provided to persons in the event of sickness;</w:t>
            </w:r>
          </w:p>
          <w:p w:rsidR="00C20247" w:rsidRPr="00141900" w:rsidRDefault="00C20247" w:rsidP="003360E5">
            <w:pPr>
              <w:pStyle w:val="Tablei"/>
            </w:pPr>
            <w:r w:rsidRPr="00141900">
              <w:t>(ii) the prevention, treatment and control of diseases;</w:t>
            </w:r>
          </w:p>
          <w:p w:rsidR="00C20247" w:rsidRPr="00141900" w:rsidRDefault="00C20247" w:rsidP="003360E5">
            <w:pPr>
              <w:pStyle w:val="Tablea"/>
            </w:pPr>
            <w:r w:rsidRPr="00141900">
              <w:t>(c) to develop and publish information, and raise awareness, about matters relating to the body’s sector, by means of electronic communications;</w:t>
            </w:r>
          </w:p>
          <w:p w:rsidR="00C20247" w:rsidRPr="00141900" w:rsidRDefault="00C20247" w:rsidP="003360E5">
            <w:pPr>
              <w:pStyle w:val="Tablea"/>
            </w:pPr>
            <w:r w:rsidRPr="00141900">
              <w:t>(d) to conduct inquiries, investigations and consultations in relation to:</w:t>
            </w:r>
          </w:p>
          <w:p w:rsidR="00C20247" w:rsidRPr="00141900" w:rsidRDefault="00C20247" w:rsidP="003360E5">
            <w:pPr>
              <w:pStyle w:val="Tablei"/>
            </w:pPr>
            <w:r w:rsidRPr="00141900">
              <w:t>(</w:t>
            </w:r>
            <w:proofErr w:type="spellStart"/>
            <w:r w:rsidRPr="00141900">
              <w:t>i</w:t>
            </w:r>
            <w:proofErr w:type="spellEnd"/>
            <w:r w:rsidRPr="00141900">
              <w:t>) matters affecting public health; and</w:t>
            </w:r>
          </w:p>
          <w:p w:rsidR="00C20247" w:rsidRPr="00141900" w:rsidRDefault="00C20247" w:rsidP="003360E5">
            <w:pPr>
              <w:pStyle w:val="Tablei"/>
            </w:pPr>
            <w:r w:rsidRPr="00141900">
              <w:t>(ii) diseases and the provision of health services, to the extent that these activities would assist Australia to meet its obligations under the International Covenant on Economic, Social and Cultural Rights;</w:t>
            </w:r>
          </w:p>
          <w:p w:rsidR="00C20247" w:rsidRPr="00141900" w:rsidRDefault="00C20247" w:rsidP="003360E5">
            <w:pPr>
              <w:pStyle w:val="Tablea"/>
            </w:pPr>
            <w:r w:rsidRPr="00141900">
              <w:t>(e) to collect, compile, analyse and disseminate statistics about matters relating to the body’s sector;</w:t>
            </w:r>
          </w:p>
          <w:p w:rsidR="00C20247" w:rsidRPr="00141900" w:rsidRDefault="00C20247" w:rsidP="003360E5">
            <w:pPr>
              <w:pStyle w:val="Tablea"/>
            </w:pPr>
            <w:r w:rsidRPr="00141900">
              <w:t>(f) to provide telephone information services;</w:t>
            </w:r>
          </w:p>
          <w:p w:rsidR="00C20247" w:rsidRPr="00141900" w:rsidRDefault="00C20247" w:rsidP="003360E5">
            <w:pPr>
              <w:pStyle w:val="Tablea"/>
            </w:pPr>
            <w:r w:rsidRPr="00141900">
              <w:t>(g) to provide education and training to medical practitioners working in the body’s sector (including general practitioners, nurses and allied health professionals), to the extent that the education and training:</w:t>
            </w:r>
          </w:p>
          <w:p w:rsidR="00C20247" w:rsidRPr="00141900" w:rsidRDefault="00C20247" w:rsidP="003360E5">
            <w:pPr>
              <w:pStyle w:val="Tablei"/>
            </w:pPr>
            <w:r w:rsidRPr="00141900">
              <w:t>(</w:t>
            </w:r>
            <w:proofErr w:type="spellStart"/>
            <w:r w:rsidRPr="00141900">
              <w:t>i</w:t>
            </w:r>
            <w:proofErr w:type="spellEnd"/>
            <w:r w:rsidRPr="00141900">
              <w:t>) is directed at improving the quality of medical services; or</w:t>
            </w:r>
          </w:p>
          <w:p w:rsidR="00C20247" w:rsidRPr="00141900" w:rsidRDefault="00C20247" w:rsidP="003360E5">
            <w:pPr>
              <w:pStyle w:val="Tablei"/>
            </w:pPr>
            <w:r w:rsidRPr="00141900">
              <w:t>(ii) would assist Australia to meet its obligations under the International Covenant on Economic, Social and Cultural Rights.</w:t>
            </w:r>
          </w:p>
        </w:tc>
      </w:tr>
    </w:tbl>
    <w:p w:rsidR="00CE3C29" w:rsidRPr="00141900" w:rsidRDefault="00CE3C29" w:rsidP="00BA0FD0">
      <w:pPr>
        <w:pStyle w:val="Tabletext"/>
      </w:pPr>
    </w:p>
    <w:sectPr w:rsidR="00CE3C29" w:rsidRPr="00141900" w:rsidSect="001E5F10">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3E8" w:rsidRDefault="00F663E8" w:rsidP="0048364F">
      <w:pPr>
        <w:spacing w:line="240" w:lineRule="auto"/>
      </w:pPr>
      <w:r>
        <w:separator/>
      </w:r>
    </w:p>
  </w:endnote>
  <w:endnote w:type="continuationSeparator" w:id="0">
    <w:p w:rsidR="00F663E8" w:rsidRDefault="00F663E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E8" w:rsidRPr="001E5F10" w:rsidRDefault="00F663E8" w:rsidP="001E5F10">
    <w:pPr>
      <w:pStyle w:val="Footer"/>
      <w:tabs>
        <w:tab w:val="clear" w:pos="4153"/>
        <w:tab w:val="clear" w:pos="8306"/>
        <w:tab w:val="center" w:pos="4150"/>
        <w:tab w:val="right" w:pos="8307"/>
      </w:tabs>
      <w:spacing w:before="120"/>
      <w:rPr>
        <w:i/>
        <w:sz w:val="18"/>
      </w:rPr>
    </w:pPr>
    <w:r w:rsidRPr="001E5F10">
      <w:rPr>
        <w:i/>
        <w:sz w:val="18"/>
      </w:rPr>
      <w:t xml:space="preserve"> </w:t>
    </w:r>
    <w:r w:rsidR="001E5F10" w:rsidRPr="001E5F10">
      <w:rPr>
        <w:i/>
        <w:sz w:val="18"/>
      </w:rPr>
      <w:t>OPC61334 -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10" w:rsidRDefault="001E5F10" w:rsidP="001E5F10">
    <w:pPr>
      <w:pStyle w:val="Footer"/>
    </w:pPr>
    <w:r w:rsidRPr="001E5F10">
      <w:rPr>
        <w:i/>
        <w:sz w:val="18"/>
      </w:rPr>
      <w:t>OPC61334 -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E8" w:rsidRPr="001E5F10" w:rsidRDefault="00F663E8" w:rsidP="00486382">
    <w:pPr>
      <w:pStyle w:val="Footer"/>
      <w:rPr>
        <w:sz w:val="18"/>
      </w:rPr>
    </w:pPr>
  </w:p>
  <w:p w:rsidR="00F663E8" w:rsidRPr="001E5F10" w:rsidRDefault="001E5F10" w:rsidP="001E5F10">
    <w:pPr>
      <w:pStyle w:val="Footer"/>
      <w:rPr>
        <w:sz w:val="18"/>
      </w:rPr>
    </w:pPr>
    <w:r w:rsidRPr="001E5F10">
      <w:rPr>
        <w:i/>
        <w:sz w:val="18"/>
      </w:rPr>
      <w:t>OPC61334 -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E8" w:rsidRPr="001E5F10" w:rsidRDefault="00F663E8"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F663E8" w:rsidRPr="001E5F10" w:rsidTr="00E33C1C">
      <w:tc>
        <w:tcPr>
          <w:tcW w:w="533" w:type="dxa"/>
          <w:tcBorders>
            <w:top w:val="nil"/>
            <w:left w:val="nil"/>
            <w:bottom w:val="nil"/>
            <w:right w:val="nil"/>
          </w:tcBorders>
        </w:tcPr>
        <w:p w:rsidR="00F663E8" w:rsidRPr="001E5F10" w:rsidRDefault="00F663E8" w:rsidP="00E33C1C">
          <w:pPr>
            <w:spacing w:line="0" w:lineRule="atLeast"/>
            <w:rPr>
              <w:rFonts w:cs="Times New Roman"/>
              <w:i/>
              <w:sz w:val="18"/>
            </w:rPr>
          </w:pPr>
          <w:r w:rsidRPr="001E5F10">
            <w:rPr>
              <w:rFonts w:cs="Times New Roman"/>
              <w:i/>
              <w:sz w:val="18"/>
            </w:rPr>
            <w:fldChar w:fldCharType="begin"/>
          </w:r>
          <w:r w:rsidRPr="001E5F10">
            <w:rPr>
              <w:rFonts w:cs="Times New Roman"/>
              <w:i/>
              <w:sz w:val="18"/>
            </w:rPr>
            <w:instrText xml:space="preserve"> PAGE </w:instrText>
          </w:r>
          <w:r w:rsidRPr="001E5F10">
            <w:rPr>
              <w:rFonts w:cs="Times New Roman"/>
              <w:i/>
              <w:sz w:val="18"/>
            </w:rPr>
            <w:fldChar w:fldCharType="separate"/>
          </w:r>
          <w:r w:rsidR="006E6039">
            <w:rPr>
              <w:rFonts w:cs="Times New Roman"/>
              <w:i/>
              <w:noProof/>
              <w:sz w:val="18"/>
            </w:rPr>
            <w:t>ii</w:t>
          </w:r>
          <w:r w:rsidRPr="001E5F10">
            <w:rPr>
              <w:rFonts w:cs="Times New Roman"/>
              <w:i/>
              <w:sz w:val="18"/>
            </w:rPr>
            <w:fldChar w:fldCharType="end"/>
          </w:r>
        </w:p>
      </w:tc>
      <w:tc>
        <w:tcPr>
          <w:tcW w:w="5387" w:type="dxa"/>
          <w:tcBorders>
            <w:top w:val="nil"/>
            <w:left w:val="nil"/>
            <w:bottom w:val="nil"/>
            <w:right w:val="nil"/>
          </w:tcBorders>
        </w:tcPr>
        <w:p w:rsidR="00F663E8" w:rsidRPr="001E5F10" w:rsidRDefault="00F663E8" w:rsidP="00E33C1C">
          <w:pPr>
            <w:spacing w:line="0" w:lineRule="atLeast"/>
            <w:jc w:val="center"/>
            <w:rPr>
              <w:rFonts w:cs="Times New Roman"/>
              <w:i/>
              <w:sz w:val="18"/>
            </w:rPr>
          </w:pPr>
          <w:r w:rsidRPr="001E5F10">
            <w:rPr>
              <w:rFonts w:cs="Times New Roman"/>
              <w:i/>
              <w:sz w:val="18"/>
            </w:rPr>
            <w:fldChar w:fldCharType="begin"/>
          </w:r>
          <w:r w:rsidRPr="001E5F10">
            <w:rPr>
              <w:rFonts w:cs="Times New Roman"/>
              <w:i/>
              <w:sz w:val="18"/>
            </w:rPr>
            <w:instrText xml:space="preserve"> DOCPROPERTY ShortT </w:instrText>
          </w:r>
          <w:r w:rsidRPr="001E5F10">
            <w:rPr>
              <w:rFonts w:cs="Times New Roman"/>
              <w:i/>
              <w:sz w:val="18"/>
            </w:rPr>
            <w:fldChar w:fldCharType="separate"/>
          </w:r>
          <w:r w:rsidR="00766424">
            <w:rPr>
              <w:rFonts w:cs="Times New Roman"/>
              <w:i/>
              <w:sz w:val="18"/>
            </w:rPr>
            <w:t>Financial Framework (Supplementary Powers) Amendment (2015 Measures No. 6) Regulation 2015</w:t>
          </w:r>
          <w:r w:rsidRPr="001E5F10">
            <w:rPr>
              <w:rFonts w:cs="Times New Roman"/>
              <w:i/>
              <w:sz w:val="18"/>
            </w:rPr>
            <w:fldChar w:fldCharType="end"/>
          </w:r>
        </w:p>
      </w:tc>
      <w:tc>
        <w:tcPr>
          <w:tcW w:w="1383" w:type="dxa"/>
          <w:tcBorders>
            <w:top w:val="nil"/>
            <w:left w:val="nil"/>
            <w:bottom w:val="nil"/>
            <w:right w:val="nil"/>
          </w:tcBorders>
        </w:tcPr>
        <w:p w:rsidR="00F663E8" w:rsidRPr="001E5F10" w:rsidRDefault="00F663E8" w:rsidP="00E33C1C">
          <w:pPr>
            <w:spacing w:line="0" w:lineRule="atLeast"/>
            <w:jc w:val="right"/>
            <w:rPr>
              <w:rFonts w:cs="Times New Roman"/>
              <w:i/>
              <w:sz w:val="18"/>
            </w:rPr>
          </w:pPr>
          <w:r w:rsidRPr="001E5F10">
            <w:rPr>
              <w:rFonts w:cs="Times New Roman"/>
              <w:i/>
              <w:sz w:val="18"/>
            </w:rPr>
            <w:fldChar w:fldCharType="begin"/>
          </w:r>
          <w:r w:rsidRPr="001E5F10">
            <w:rPr>
              <w:rFonts w:cs="Times New Roman"/>
              <w:i/>
              <w:sz w:val="18"/>
            </w:rPr>
            <w:instrText xml:space="preserve"> DOCPROPERTY ActNo </w:instrText>
          </w:r>
          <w:r w:rsidRPr="001E5F10">
            <w:rPr>
              <w:rFonts w:cs="Times New Roman"/>
              <w:i/>
              <w:sz w:val="18"/>
            </w:rPr>
            <w:fldChar w:fldCharType="separate"/>
          </w:r>
          <w:r w:rsidR="00766424">
            <w:rPr>
              <w:rFonts w:cs="Times New Roman"/>
              <w:i/>
              <w:sz w:val="18"/>
            </w:rPr>
            <w:t>No. 99, 2015</w:t>
          </w:r>
          <w:r w:rsidRPr="001E5F10">
            <w:rPr>
              <w:rFonts w:cs="Times New Roman"/>
              <w:i/>
              <w:sz w:val="18"/>
            </w:rPr>
            <w:fldChar w:fldCharType="end"/>
          </w:r>
        </w:p>
      </w:tc>
    </w:tr>
  </w:tbl>
  <w:p w:rsidR="00F663E8" w:rsidRPr="001E5F10" w:rsidRDefault="001E5F10" w:rsidP="001E5F10">
    <w:pPr>
      <w:rPr>
        <w:rFonts w:cs="Times New Roman"/>
        <w:i/>
        <w:sz w:val="18"/>
      </w:rPr>
    </w:pPr>
    <w:r w:rsidRPr="001E5F10">
      <w:rPr>
        <w:rFonts w:cs="Times New Roman"/>
        <w:i/>
        <w:sz w:val="18"/>
      </w:rPr>
      <w:t>OPC61334 -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E8" w:rsidRPr="00E33C1C" w:rsidRDefault="00F663E8"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F663E8" w:rsidTr="00E33C1C">
      <w:tc>
        <w:tcPr>
          <w:tcW w:w="1383" w:type="dxa"/>
          <w:tcBorders>
            <w:top w:val="nil"/>
            <w:left w:val="nil"/>
            <w:bottom w:val="nil"/>
            <w:right w:val="nil"/>
          </w:tcBorders>
        </w:tcPr>
        <w:p w:rsidR="00F663E8" w:rsidRDefault="00F663E8"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66424">
            <w:rPr>
              <w:i/>
              <w:sz w:val="18"/>
            </w:rPr>
            <w:t>No. 99, 2015</w:t>
          </w:r>
          <w:r w:rsidRPr="007A1328">
            <w:rPr>
              <w:i/>
              <w:sz w:val="18"/>
            </w:rPr>
            <w:fldChar w:fldCharType="end"/>
          </w:r>
        </w:p>
      </w:tc>
      <w:tc>
        <w:tcPr>
          <w:tcW w:w="5387" w:type="dxa"/>
          <w:tcBorders>
            <w:top w:val="nil"/>
            <w:left w:val="nil"/>
            <w:bottom w:val="nil"/>
            <w:right w:val="nil"/>
          </w:tcBorders>
        </w:tcPr>
        <w:p w:rsidR="00F663E8" w:rsidRDefault="00F663E8"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6424">
            <w:rPr>
              <w:i/>
              <w:sz w:val="18"/>
            </w:rPr>
            <w:t>Financial Framework (Supplementary Powers) Amendment (2015 Measures No. 6) Regulation 2015</w:t>
          </w:r>
          <w:r w:rsidRPr="007A1328">
            <w:rPr>
              <w:i/>
              <w:sz w:val="18"/>
            </w:rPr>
            <w:fldChar w:fldCharType="end"/>
          </w:r>
        </w:p>
      </w:tc>
      <w:tc>
        <w:tcPr>
          <w:tcW w:w="533" w:type="dxa"/>
          <w:tcBorders>
            <w:top w:val="nil"/>
            <w:left w:val="nil"/>
            <w:bottom w:val="nil"/>
            <w:right w:val="nil"/>
          </w:tcBorders>
        </w:tcPr>
        <w:p w:rsidR="00F663E8" w:rsidRDefault="00F663E8"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A1F01">
            <w:rPr>
              <w:i/>
              <w:noProof/>
              <w:sz w:val="18"/>
            </w:rPr>
            <w:t>i</w:t>
          </w:r>
          <w:r w:rsidRPr="00ED79B6">
            <w:rPr>
              <w:i/>
              <w:sz w:val="18"/>
            </w:rPr>
            <w:fldChar w:fldCharType="end"/>
          </w:r>
        </w:p>
      </w:tc>
    </w:tr>
  </w:tbl>
  <w:p w:rsidR="00F663E8" w:rsidRPr="00ED79B6" w:rsidRDefault="001E5F10" w:rsidP="001E5F10">
    <w:pPr>
      <w:rPr>
        <w:i/>
        <w:sz w:val="18"/>
      </w:rPr>
    </w:pPr>
    <w:r w:rsidRPr="001E5F10">
      <w:rPr>
        <w:rFonts w:cs="Times New Roman"/>
        <w:i/>
        <w:sz w:val="18"/>
      </w:rPr>
      <w:t>OPC61334 -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E8" w:rsidRPr="001E5F10" w:rsidRDefault="00F663E8"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F663E8" w:rsidRPr="001E5F10" w:rsidTr="00E33C1C">
      <w:tc>
        <w:tcPr>
          <w:tcW w:w="533" w:type="dxa"/>
          <w:tcBorders>
            <w:top w:val="nil"/>
            <w:left w:val="nil"/>
            <w:bottom w:val="nil"/>
            <w:right w:val="nil"/>
          </w:tcBorders>
        </w:tcPr>
        <w:p w:rsidR="00F663E8" w:rsidRPr="001E5F10" w:rsidRDefault="00F663E8" w:rsidP="00E33C1C">
          <w:pPr>
            <w:spacing w:line="0" w:lineRule="atLeast"/>
            <w:rPr>
              <w:rFonts w:cs="Times New Roman"/>
              <w:i/>
              <w:sz w:val="18"/>
            </w:rPr>
          </w:pPr>
          <w:r w:rsidRPr="001E5F10">
            <w:rPr>
              <w:rFonts w:cs="Times New Roman"/>
              <w:i/>
              <w:sz w:val="18"/>
            </w:rPr>
            <w:fldChar w:fldCharType="begin"/>
          </w:r>
          <w:r w:rsidRPr="001E5F10">
            <w:rPr>
              <w:rFonts w:cs="Times New Roman"/>
              <w:i/>
              <w:sz w:val="18"/>
            </w:rPr>
            <w:instrText xml:space="preserve"> PAGE </w:instrText>
          </w:r>
          <w:r w:rsidRPr="001E5F10">
            <w:rPr>
              <w:rFonts w:cs="Times New Roman"/>
              <w:i/>
              <w:sz w:val="18"/>
            </w:rPr>
            <w:fldChar w:fldCharType="separate"/>
          </w:r>
          <w:r w:rsidR="00BA1F01">
            <w:rPr>
              <w:rFonts w:cs="Times New Roman"/>
              <w:i/>
              <w:noProof/>
              <w:sz w:val="18"/>
            </w:rPr>
            <w:t>10</w:t>
          </w:r>
          <w:r w:rsidRPr="001E5F10">
            <w:rPr>
              <w:rFonts w:cs="Times New Roman"/>
              <w:i/>
              <w:sz w:val="18"/>
            </w:rPr>
            <w:fldChar w:fldCharType="end"/>
          </w:r>
        </w:p>
      </w:tc>
      <w:tc>
        <w:tcPr>
          <w:tcW w:w="5387" w:type="dxa"/>
          <w:tcBorders>
            <w:top w:val="nil"/>
            <w:left w:val="nil"/>
            <w:bottom w:val="nil"/>
            <w:right w:val="nil"/>
          </w:tcBorders>
        </w:tcPr>
        <w:p w:rsidR="00F663E8" w:rsidRPr="001E5F10" w:rsidRDefault="00F663E8" w:rsidP="00E33C1C">
          <w:pPr>
            <w:spacing w:line="0" w:lineRule="atLeast"/>
            <w:jc w:val="center"/>
            <w:rPr>
              <w:rFonts w:cs="Times New Roman"/>
              <w:i/>
              <w:sz w:val="18"/>
            </w:rPr>
          </w:pPr>
          <w:r w:rsidRPr="001E5F10">
            <w:rPr>
              <w:rFonts w:cs="Times New Roman"/>
              <w:i/>
              <w:sz w:val="18"/>
            </w:rPr>
            <w:fldChar w:fldCharType="begin"/>
          </w:r>
          <w:r w:rsidRPr="001E5F10">
            <w:rPr>
              <w:rFonts w:cs="Times New Roman"/>
              <w:i/>
              <w:sz w:val="18"/>
            </w:rPr>
            <w:instrText xml:space="preserve"> DOCPROPERTY ShortT </w:instrText>
          </w:r>
          <w:r w:rsidRPr="001E5F10">
            <w:rPr>
              <w:rFonts w:cs="Times New Roman"/>
              <w:i/>
              <w:sz w:val="18"/>
            </w:rPr>
            <w:fldChar w:fldCharType="separate"/>
          </w:r>
          <w:r w:rsidR="00766424">
            <w:rPr>
              <w:rFonts w:cs="Times New Roman"/>
              <w:i/>
              <w:sz w:val="18"/>
            </w:rPr>
            <w:t>Financial Framework (Supplementary Powers) Amendment (2015 Measures No. 6) Regulation 2015</w:t>
          </w:r>
          <w:r w:rsidRPr="001E5F10">
            <w:rPr>
              <w:rFonts w:cs="Times New Roman"/>
              <w:i/>
              <w:sz w:val="18"/>
            </w:rPr>
            <w:fldChar w:fldCharType="end"/>
          </w:r>
        </w:p>
      </w:tc>
      <w:tc>
        <w:tcPr>
          <w:tcW w:w="1383" w:type="dxa"/>
          <w:tcBorders>
            <w:top w:val="nil"/>
            <w:left w:val="nil"/>
            <w:bottom w:val="nil"/>
            <w:right w:val="nil"/>
          </w:tcBorders>
        </w:tcPr>
        <w:p w:rsidR="00F663E8" w:rsidRPr="001E5F10" w:rsidRDefault="00F663E8" w:rsidP="00E33C1C">
          <w:pPr>
            <w:spacing w:line="0" w:lineRule="atLeast"/>
            <w:jc w:val="right"/>
            <w:rPr>
              <w:rFonts w:cs="Times New Roman"/>
              <w:i/>
              <w:sz w:val="18"/>
            </w:rPr>
          </w:pPr>
          <w:r w:rsidRPr="001E5F10">
            <w:rPr>
              <w:rFonts w:cs="Times New Roman"/>
              <w:i/>
              <w:sz w:val="18"/>
            </w:rPr>
            <w:fldChar w:fldCharType="begin"/>
          </w:r>
          <w:r w:rsidRPr="001E5F10">
            <w:rPr>
              <w:rFonts w:cs="Times New Roman"/>
              <w:i/>
              <w:sz w:val="18"/>
            </w:rPr>
            <w:instrText xml:space="preserve"> DOCPROPERTY ActNo </w:instrText>
          </w:r>
          <w:r w:rsidRPr="001E5F10">
            <w:rPr>
              <w:rFonts w:cs="Times New Roman"/>
              <w:i/>
              <w:sz w:val="18"/>
            </w:rPr>
            <w:fldChar w:fldCharType="separate"/>
          </w:r>
          <w:r w:rsidR="00766424">
            <w:rPr>
              <w:rFonts w:cs="Times New Roman"/>
              <w:i/>
              <w:sz w:val="18"/>
            </w:rPr>
            <w:t>No. 99, 2015</w:t>
          </w:r>
          <w:r w:rsidRPr="001E5F10">
            <w:rPr>
              <w:rFonts w:cs="Times New Roman"/>
              <w:i/>
              <w:sz w:val="18"/>
            </w:rPr>
            <w:fldChar w:fldCharType="end"/>
          </w:r>
        </w:p>
      </w:tc>
    </w:tr>
  </w:tbl>
  <w:p w:rsidR="00F663E8" w:rsidRPr="001E5F10" w:rsidRDefault="001E5F10" w:rsidP="001E5F10">
    <w:pPr>
      <w:rPr>
        <w:rFonts w:cs="Times New Roman"/>
        <w:i/>
        <w:sz w:val="18"/>
      </w:rPr>
    </w:pPr>
    <w:r w:rsidRPr="001E5F10">
      <w:rPr>
        <w:rFonts w:cs="Times New Roman"/>
        <w:i/>
        <w:sz w:val="18"/>
      </w:rPr>
      <w:t>OPC61334 -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E8" w:rsidRPr="00E33C1C" w:rsidRDefault="00F663E8"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F663E8" w:rsidTr="00E33C1C">
      <w:tc>
        <w:tcPr>
          <w:tcW w:w="1383" w:type="dxa"/>
          <w:tcBorders>
            <w:top w:val="nil"/>
            <w:left w:val="nil"/>
            <w:bottom w:val="nil"/>
            <w:right w:val="nil"/>
          </w:tcBorders>
        </w:tcPr>
        <w:p w:rsidR="00F663E8" w:rsidRDefault="00F663E8"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66424">
            <w:rPr>
              <w:i/>
              <w:sz w:val="18"/>
            </w:rPr>
            <w:t>No. 99, 2015</w:t>
          </w:r>
          <w:r w:rsidRPr="007A1328">
            <w:rPr>
              <w:i/>
              <w:sz w:val="18"/>
            </w:rPr>
            <w:fldChar w:fldCharType="end"/>
          </w:r>
        </w:p>
      </w:tc>
      <w:tc>
        <w:tcPr>
          <w:tcW w:w="5387" w:type="dxa"/>
          <w:tcBorders>
            <w:top w:val="nil"/>
            <w:left w:val="nil"/>
            <w:bottom w:val="nil"/>
            <w:right w:val="nil"/>
          </w:tcBorders>
        </w:tcPr>
        <w:p w:rsidR="00F663E8" w:rsidRDefault="00F663E8"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6424">
            <w:rPr>
              <w:i/>
              <w:sz w:val="18"/>
            </w:rPr>
            <w:t>Financial Framework (Supplementary Powers) Amendment (2015 Measures No. 6) Regulation 2015</w:t>
          </w:r>
          <w:r w:rsidRPr="007A1328">
            <w:rPr>
              <w:i/>
              <w:sz w:val="18"/>
            </w:rPr>
            <w:fldChar w:fldCharType="end"/>
          </w:r>
        </w:p>
      </w:tc>
      <w:tc>
        <w:tcPr>
          <w:tcW w:w="533" w:type="dxa"/>
          <w:tcBorders>
            <w:top w:val="nil"/>
            <w:left w:val="nil"/>
            <w:bottom w:val="nil"/>
            <w:right w:val="nil"/>
          </w:tcBorders>
        </w:tcPr>
        <w:p w:rsidR="00F663E8" w:rsidRDefault="00F663E8"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A1F01">
            <w:rPr>
              <w:i/>
              <w:noProof/>
              <w:sz w:val="18"/>
            </w:rPr>
            <w:t>1</w:t>
          </w:r>
          <w:r w:rsidRPr="00ED79B6">
            <w:rPr>
              <w:i/>
              <w:sz w:val="18"/>
            </w:rPr>
            <w:fldChar w:fldCharType="end"/>
          </w:r>
        </w:p>
      </w:tc>
    </w:tr>
  </w:tbl>
  <w:p w:rsidR="00F663E8" w:rsidRPr="00ED79B6" w:rsidRDefault="001E5F10" w:rsidP="001E5F10">
    <w:pPr>
      <w:rPr>
        <w:i/>
        <w:sz w:val="18"/>
      </w:rPr>
    </w:pPr>
    <w:r w:rsidRPr="001E5F10">
      <w:rPr>
        <w:rFonts w:cs="Times New Roman"/>
        <w:i/>
        <w:sz w:val="18"/>
      </w:rPr>
      <w:t>OPC61334 -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E8" w:rsidRPr="00E33C1C" w:rsidRDefault="00F663E8"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F663E8" w:rsidTr="00F663E8">
      <w:tc>
        <w:tcPr>
          <w:tcW w:w="1383" w:type="dxa"/>
          <w:tcBorders>
            <w:top w:val="nil"/>
            <w:left w:val="nil"/>
            <w:bottom w:val="nil"/>
            <w:right w:val="nil"/>
          </w:tcBorders>
        </w:tcPr>
        <w:p w:rsidR="00F663E8" w:rsidRDefault="00F663E8" w:rsidP="00F663E8">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66424">
            <w:rPr>
              <w:i/>
              <w:sz w:val="18"/>
            </w:rPr>
            <w:t>No. 99, 2015</w:t>
          </w:r>
          <w:r w:rsidRPr="007A1328">
            <w:rPr>
              <w:i/>
              <w:sz w:val="18"/>
            </w:rPr>
            <w:fldChar w:fldCharType="end"/>
          </w:r>
        </w:p>
      </w:tc>
      <w:tc>
        <w:tcPr>
          <w:tcW w:w="5387" w:type="dxa"/>
          <w:tcBorders>
            <w:top w:val="nil"/>
            <w:left w:val="nil"/>
            <w:bottom w:val="nil"/>
            <w:right w:val="nil"/>
          </w:tcBorders>
        </w:tcPr>
        <w:p w:rsidR="00F663E8" w:rsidRDefault="00F663E8" w:rsidP="00F663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6424">
            <w:rPr>
              <w:i/>
              <w:sz w:val="18"/>
            </w:rPr>
            <w:t>Financial Framework (Supplementary Powers) Amendment (2015 Measures No. 6) Regulation 2015</w:t>
          </w:r>
          <w:r w:rsidRPr="007A1328">
            <w:rPr>
              <w:i/>
              <w:sz w:val="18"/>
            </w:rPr>
            <w:fldChar w:fldCharType="end"/>
          </w:r>
        </w:p>
      </w:tc>
      <w:tc>
        <w:tcPr>
          <w:tcW w:w="533" w:type="dxa"/>
          <w:tcBorders>
            <w:top w:val="nil"/>
            <w:left w:val="nil"/>
            <w:bottom w:val="nil"/>
            <w:right w:val="nil"/>
          </w:tcBorders>
        </w:tcPr>
        <w:p w:rsidR="00F663E8" w:rsidRDefault="00F663E8" w:rsidP="00F663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6039">
            <w:rPr>
              <w:i/>
              <w:noProof/>
              <w:sz w:val="18"/>
            </w:rPr>
            <w:t>2</w:t>
          </w:r>
          <w:r w:rsidRPr="00ED79B6">
            <w:rPr>
              <w:i/>
              <w:sz w:val="18"/>
            </w:rPr>
            <w:fldChar w:fldCharType="end"/>
          </w:r>
        </w:p>
      </w:tc>
    </w:tr>
  </w:tbl>
  <w:p w:rsidR="00F663E8" w:rsidRPr="00ED79B6" w:rsidRDefault="00F663E8"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3E8" w:rsidRDefault="00F663E8" w:rsidP="0048364F">
      <w:pPr>
        <w:spacing w:line="240" w:lineRule="auto"/>
      </w:pPr>
      <w:r>
        <w:separator/>
      </w:r>
    </w:p>
  </w:footnote>
  <w:footnote w:type="continuationSeparator" w:id="0">
    <w:p w:rsidR="00F663E8" w:rsidRDefault="00F663E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E8" w:rsidRPr="005F1388" w:rsidRDefault="00F663E8"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E8" w:rsidRPr="005F1388" w:rsidRDefault="00F663E8"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E8" w:rsidRPr="005F1388" w:rsidRDefault="00F663E8"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E8" w:rsidRPr="00ED79B6" w:rsidRDefault="00F663E8"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E8" w:rsidRPr="00ED79B6" w:rsidRDefault="00F663E8"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E8" w:rsidRPr="00ED79B6" w:rsidRDefault="00F663E8"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E8" w:rsidRPr="00A961C4" w:rsidRDefault="00F663E8" w:rsidP="00B63BDE">
    <w:pPr>
      <w:rPr>
        <w:b/>
        <w:sz w:val="20"/>
      </w:rPr>
    </w:pPr>
    <w:r>
      <w:rPr>
        <w:b/>
        <w:sz w:val="20"/>
      </w:rPr>
      <w:fldChar w:fldCharType="begin"/>
    </w:r>
    <w:r>
      <w:rPr>
        <w:b/>
        <w:sz w:val="20"/>
      </w:rPr>
      <w:instrText xml:space="preserve"> STYLEREF CharAmSchNo </w:instrText>
    </w:r>
    <w:r>
      <w:rPr>
        <w:b/>
        <w:sz w:val="20"/>
      </w:rPr>
      <w:fldChar w:fldCharType="separate"/>
    </w:r>
    <w:r w:rsidR="00BA1F0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A1F01">
      <w:rPr>
        <w:noProof/>
        <w:sz w:val="20"/>
      </w:rPr>
      <w:t>Amendments</w:t>
    </w:r>
    <w:r>
      <w:rPr>
        <w:sz w:val="20"/>
      </w:rPr>
      <w:fldChar w:fldCharType="end"/>
    </w:r>
  </w:p>
  <w:p w:rsidR="00F663E8" w:rsidRPr="00A961C4" w:rsidRDefault="00F663E8"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663E8" w:rsidRPr="00A961C4" w:rsidRDefault="00F663E8"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E8" w:rsidRPr="00A961C4" w:rsidRDefault="00F663E8"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F663E8" w:rsidRPr="00A961C4" w:rsidRDefault="00F663E8"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663E8" w:rsidRPr="00A961C4" w:rsidRDefault="00F663E8"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E8" w:rsidRPr="00A961C4" w:rsidRDefault="00F663E8"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24D7F3B"/>
    <w:multiLevelType w:val="hybridMultilevel"/>
    <w:tmpl w:val="B30C4A4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1C056E"/>
    <w:multiLevelType w:val="multilevel"/>
    <w:tmpl w:val="B7B6341C"/>
    <w:lvl w:ilvl="0">
      <w:start w:val="1"/>
      <w:numFmt w:val="lowerLetter"/>
      <w:lvlText w:val="(%1)"/>
      <w:lvlJc w:val="left"/>
      <w:pPr>
        <w:ind w:left="1814" w:hanging="396"/>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3">
    <w:nsid w:val="1B5D01C3"/>
    <w:multiLevelType w:val="hybridMultilevel"/>
    <w:tmpl w:val="BCA4927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nsid w:val="266D6332"/>
    <w:multiLevelType w:val="hybridMultilevel"/>
    <w:tmpl w:val="FF82C5F0"/>
    <w:lvl w:ilvl="0" w:tplc="8F9A930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548115F4"/>
    <w:multiLevelType w:val="hybridMultilevel"/>
    <w:tmpl w:val="5950A45A"/>
    <w:lvl w:ilvl="0" w:tplc="3F70145E">
      <w:start w:val="1"/>
      <w:numFmt w:val="lowerLetter"/>
      <w:lvlText w:val="(%1)"/>
      <w:lvlJc w:val="left"/>
      <w:pPr>
        <w:ind w:left="1778" w:hanging="360"/>
      </w:pPr>
      <w:rPr>
        <w:rFonts w:hint="default"/>
      </w:rPr>
    </w:lvl>
    <w:lvl w:ilvl="1" w:tplc="0C090003">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7">
    <w:nsid w:val="5A9668F0"/>
    <w:multiLevelType w:val="multilevel"/>
    <w:tmpl w:val="5E6813D4"/>
    <w:lvl w:ilvl="0">
      <w:numFmt w:val="bullet"/>
      <w:lvlText w:val="-"/>
      <w:lvlJc w:val="left"/>
      <w:pPr>
        <w:ind w:left="1843" w:hanging="425"/>
      </w:pPr>
      <w:rPr>
        <w:rFonts w:ascii="Arial" w:hAnsi="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3"/>
  </w:num>
  <w:num w:numId="14">
    <w:abstractNumId w:val="10"/>
  </w:num>
  <w:num w:numId="15">
    <w:abstractNumId w:val="16"/>
  </w:num>
  <w:num w:numId="16">
    <w:abstractNumId w:val="14"/>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EF"/>
    <w:rsid w:val="000020CD"/>
    <w:rsid w:val="000041C6"/>
    <w:rsid w:val="000063E4"/>
    <w:rsid w:val="00011222"/>
    <w:rsid w:val="000113BC"/>
    <w:rsid w:val="000136AF"/>
    <w:rsid w:val="00025060"/>
    <w:rsid w:val="0004044E"/>
    <w:rsid w:val="00043AD9"/>
    <w:rsid w:val="000614BF"/>
    <w:rsid w:val="00077FC2"/>
    <w:rsid w:val="00094B87"/>
    <w:rsid w:val="00094C60"/>
    <w:rsid w:val="000C4E79"/>
    <w:rsid w:val="000D05EF"/>
    <w:rsid w:val="000D3E2B"/>
    <w:rsid w:val="000D6DB3"/>
    <w:rsid w:val="000F21C1"/>
    <w:rsid w:val="000F6B02"/>
    <w:rsid w:val="000F7427"/>
    <w:rsid w:val="0010421E"/>
    <w:rsid w:val="0010745C"/>
    <w:rsid w:val="00116975"/>
    <w:rsid w:val="00126F1A"/>
    <w:rsid w:val="00130FFE"/>
    <w:rsid w:val="00141900"/>
    <w:rsid w:val="00152034"/>
    <w:rsid w:val="00153584"/>
    <w:rsid w:val="00154EAC"/>
    <w:rsid w:val="001643C9"/>
    <w:rsid w:val="00165568"/>
    <w:rsid w:val="00166C2F"/>
    <w:rsid w:val="001716C9"/>
    <w:rsid w:val="00171EAE"/>
    <w:rsid w:val="001822A1"/>
    <w:rsid w:val="00191859"/>
    <w:rsid w:val="00193461"/>
    <w:rsid w:val="001939E1"/>
    <w:rsid w:val="00195382"/>
    <w:rsid w:val="00195559"/>
    <w:rsid w:val="001A01EF"/>
    <w:rsid w:val="001A7F21"/>
    <w:rsid w:val="001B3097"/>
    <w:rsid w:val="001B7A5D"/>
    <w:rsid w:val="001C69C4"/>
    <w:rsid w:val="001D4229"/>
    <w:rsid w:val="001D7F83"/>
    <w:rsid w:val="001E16D0"/>
    <w:rsid w:val="001E3036"/>
    <w:rsid w:val="001E3590"/>
    <w:rsid w:val="001E562E"/>
    <w:rsid w:val="001E5F10"/>
    <w:rsid w:val="001E7407"/>
    <w:rsid w:val="001F6924"/>
    <w:rsid w:val="00201D27"/>
    <w:rsid w:val="00220F3D"/>
    <w:rsid w:val="002308B5"/>
    <w:rsid w:val="0023104D"/>
    <w:rsid w:val="00231427"/>
    <w:rsid w:val="00231FBB"/>
    <w:rsid w:val="00233897"/>
    <w:rsid w:val="002361AA"/>
    <w:rsid w:val="00240749"/>
    <w:rsid w:val="00265FBC"/>
    <w:rsid w:val="00266D05"/>
    <w:rsid w:val="0027058A"/>
    <w:rsid w:val="002932B1"/>
    <w:rsid w:val="00295408"/>
    <w:rsid w:val="00297ECB"/>
    <w:rsid w:val="002A0C65"/>
    <w:rsid w:val="002A0FFD"/>
    <w:rsid w:val="002A3CAC"/>
    <w:rsid w:val="002B2731"/>
    <w:rsid w:val="002B4358"/>
    <w:rsid w:val="002B5B89"/>
    <w:rsid w:val="002B7D96"/>
    <w:rsid w:val="002B7DB1"/>
    <w:rsid w:val="002D043A"/>
    <w:rsid w:val="002E287B"/>
    <w:rsid w:val="00300F4A"/>
    <w:rsid w:val="00304E75"/>
    <w:rsid w:val="003072FA"/>
    <w:rsid w:val="0031713F"/>
    <w:rsid w:val="00325550"/>
    <w:rsid w:val="00330CCC"/>
    <w:rsid w:val="003415D3"/>
    <w:rsid w:val="00352B0F"/>
    <w:rsid w:val="00361BD9"/>
    <w:rsid w:val="0036256E"/>
    <w:rsid w:val="00363549"/>
    <w:rsid w:val="003801D0"/>
    <w:rsid w:val="0039228E"/>
    <w:rsid w:val="003926B5"/>
    <w:rsid w:val="003936F6"/>
    <w:rsid w:val="003A60B2"/>
    <w:rsid w:val="003B04EC"/>
    <w:rsid w:val="003C5078"/>
    <w:rsid w:val="003C5F2B"/>
    <w:rsid w:val="003C6431"/>
    <w:rsid w:val="003D0BFE"/>
    <w:rsid w:val="003D5700"/>
    <w:rsid w:val="003E5FF5"/>
    <w:rsid w:val="003F4CA9"/>
    <w:rsid w:val="003F567B"/>
    <w:rsid w:val="004010E7"/>
    <w:rsid w:val="00401403"/>
    <w:rsid w:val="004116CD"/>
    <w:rsid w:val="004128EF"/>
    <w:rsid w:val="00412B83"/>
    <w:rsid w:val="00416179"/>
    <w:rsid w:val="00416346"/>
    <w:rsid w:val="00424CA9"/>
    <w:rsid w:val="00433910"/>
    <w:rsid w:val="0043493F"/>
    <w:rsid w:val="00441C13"/>
    <w:rsid w:val="00441CC8"/>
    <w:rsid w:val="0044291A"/>
    <w:rsid w:val="0045384C"/>
    <w:rsid w:val="004541B9"/>
    <w:rsid w:val="004545CF"/>
    <w:rsid w:val="004571F5"/>
    <w:rsid w:val="00460499"/>
    <w:rsid w:val="00480FB9"/>
    <w:rsid w:val="0048364F"/>
    <w:rsid w:val="00486382"/>
    <w:rsid w:val="00496F97"/>
    <w:rsid w:val="004A2484"/>
    <w:rsid w:val="004A2508"/>
    <w:rsid w:val="004B4B12"/>
    <w:rsid w:val="004C0255"/>
    <w:rsid w:val="004C040F"/>
    <w:rsid w:val="004C5B5A"/>
    <w:rsid w:val="004C6444"/>
    <w:rsid w:val="004C6DE1"/>
    <w:rsid w:val="004F1FAC"/>
    <w:rsid w:val="004F3A90"/>
    <w:rsid w:val="004F676E"/>
    <w:rsid w:val="00506FA7"/>
    <w:rsid w:val="0051511B"/>
    <w:rsid w:val="00516B8D"/>
    <w:rsid w:val="00520A1E"/>
    <w:rsid w:val="00537FBC"/>
    <w:rsid w:val="00543469"/>
    <w:rsid w:val="00544A65"/>
    <w:rsid w:val="005577DC"/>
    <w:rsid w:val="00557C7A"/>
    <w:rsid w:val="00557FCE"/>
    <w:rsid w:val="00571777"/>
    <w:rsid w:val="00583042"/>
    <w:rsid w:val="00584811"/>
    <w:rsid w:val="005851A5"/>
    <w:rsid w:val="0058646E"/>
    <w:rsid w:val="00591E07"/>
    <w:rsid w:val="00593AA6"/>
    <w:rsid w:val="00594161"/>
    <w:rsid w:val="00594749"/>
    <w:rsid w:val="005B4067"/>
    <w:rsid w:val="005C12DE"/>
    <w:rsid w:val="005C3F41"/>
    <w:rsid w:val="005E552A"/>
    <w:rsid w:val="00600219"/>
    <w:rsid w:val="00600F61"/>
    <w:rsid w:val="00610C1A"/>
    <w:rsid w:val="006249E6"/>
    <w:rsid w:val="00630733"/>
    <w:rsid w:val="00632C5C"/>
    <w:rsid w:val="0064468A"/>
    <w:rsid w:val="00645F5D"/>
    <w:rsid w:val="00654CCA"/>
    <w:rsid w:val="00656DE9"/>
    <w:rsid w:val="00663BDD"/>
    <w:rsid w:val="00665D35"/>
    <w:rsid w:val="00677CC2"/>
    <w:rsid w:val="00680F17"/>
    <w:rsid w:val="00685F42"/>
    <w:rsid w:val="00687567"/>
    <w:rsid w:val="0069207B"/>
    <w:rsid w:val="006937E2"/>
    <w:rsid w:val="0069392E"/>
    <w:rsid w:val="006977FB"/>
    <w:rsid w:val="006B262A"/>
    <w:rsid w:val="006C2C12"/>
    <w:rsid w:val="006C3319"/>
    <w:rsid w:val="006C3FFF"/>
    <w:rsid w:val="006C7F8C"/>
    <w:rsid w:val="006D009B"/>
    <w:rsid w:val="006D0B44"/>
    <w:rsid w:val="006D3667"/>
    <w:rsid w:val="006D4E91"/>
    <w:rsid w:val="006E004B"/>
    <w:rsid w:val="006E0C9D"/>
    <w:rsid w:val="006E6039"/>
    <w:rsid w:val="006E7147"/>
    <w:rsid w:val="00700B2C"/>
    <w:rsid w:val="00701E6A"/>
    <w:rsid w:val="00713084"/>
    <w:rsid w:val="00722023"/>
    <w:rsid w:val="00731E00"/>
    <w:rsid w:val="007440B7"/>
    <w:rsid w:val="007634AD"/>
    <w:rsid w:val="00764121"/>
    <w:rsid w:val="00766424"/>
    <w:rsid w:val="00767168"/>
    <w:rsid w:val="007715C9"/>
    <w:rsid w:val="00774EDD"/>
    <w:rsid w:val="007757EC"/>
    <w:rsid w:val="007769D4"/>
    <w:rsid w:val="0077773F"/>
    <w:rsid w:val="00785AFA"/>
    <w:rsid w:val="00785BD0"/>
    <w:rsid w:val="007903AC"/>
    <w:rsid w:val="007A7F9F"/>
    <w:rsid w:val="007C684B"/>
    <w:rsid w:val="007D119D"/>
    <w:rsid w:val="007E0B47"/>
    <w:rsid w:val="007E7D4A"/>
    <w:rsid w:val="00810423"/>
    <w:rsid w:val="00810F2F"/>
    <w:rsid w:val="00817C7D"/>
    <w:rsid w:val="00826DA5"/>
    <w:rsid w:val="00833416"/>
    <w:rsid w:val="00836E84"/>
    <w:rsid w:val="00856A31"/>
    <w:rsid w:val="00874B69"/>
    <w:rsid w:val="008754D0"/>
    <w:rsid w:val="00877D48"/>
    <w:rsid w:val="00880795"/>
    <w:rsid w:val="0089783B"/>
    <w:rsid w:val="008C1485"/>
    <w:rsid w:val="008D0EE0"/>
    <w:rsid w:val="008E7319"/>
    <w:rsid w:val="008F07E3"/>
    <w:rsid w:val="008F4F1C"/>
    <w:rsid w:val="00907271"/>
    <w:rsid w:val="0092564F"/>
    <w:rsid w:val="00932377"/>
    <w:rsid w:val="00932A33"/>
    <w:rsid w:val="00946AE5"/>
    <w:rsid w:val="00983AEC"/>
    <w:rsid w:val="009848EC"/>
    <w:rsid w:val="009B3629"/>
    <w:rsid w:val="009B5471"/>
    <w:rsid w:val="009C32C3"/>
    <w:rsid w:val="009C49D8"/>
    <w:rsid w:val="009E3601"/>
    <w:rsid w:val="009E3634"/>
    <w:rsid w:val="009F727E"/>
    <w:rsid w:val="00A1027A"/>
    <w:rsid w:val="00A2057D"/>
    <w:rsid w:val="00A231E2"/>
    <w:rsid w:val="00A2550D"/>
    <w:rsid w:val="00A26DBE"/>
    <w:rsid w:val="00A326A4"/>
    <w:rsid w:val="00A327B1"/>
    <w:rsid w:val="00A40A21"/>
    <w:rsid w:val="00A4169B"/>
    <w:rsid w:val="00A41C10"/>
    <w:rsid w:val="00A4361F"/>
    <w:rsid w:val="00A5197F"/>
    <w:rsid w:val="00A51D50"/>
    <w:rsid w:val="00A60C8D"/>
    <w:rsid w:val="00A64912"/>
    <w:rsid w:val="00A66C14"/>
    <w:rsid w:val="00A70A74"/>
    <w:rsid w:val="00A71C4E"/>
    <w:rsid w:val="00A7491D"/>
    <w:rsid w:val="00A87AB9"/>
    <w:rsid w:val="00AB3315"/>
    <w:rsid w:val="00AB7B41"/>
    <w:rsid w:val="00AC06B3"/>
    <w:rsid w:val="00AD5641"/>
    <w:rsid w:val="00AD6A4A"/>
    <w:rsid w:val="00AE50A2"/>
    <w:rsid w:val="00AF0336"/>
    <w:rsid w:val="00AF6613"/>
    <w:rsid w:val="00B00902"/>
    <w:rsid w:val="00B032D8"/>
    <w:rsid w:val="00B233E9"/>
    <w:rsid w:val="00B332B8"/>
    <w:rsid w:val="00B33B3C"/>
    <w:rsid w:val="00B44657"/>
    <w:rsid w:val="00B45F42"/>
    <w:rsid w:val="00B61D2C"/>
    <w:rsid w:val="00B63BDE"/>
    <w:rsid w:val="00B736CD"/>
    <w:rsid w:val="00BA0FD0"/>
    <w:rsid w:val="00BA1F01"/>
    <w:rsid w:val="00BA5026"/>
    <w:rsid w:val="00BA628B"/>
    <w:rsid w:val="00BA78D8"/>
    <w:rsid w:val="00BB6E79"/>
    <w:rsid w:val="00BC4F91"/>
    <w:rsid w:val="00BD60E6"/>
    <w:rsid w:val="00BE253A"/>
    <w:rsid w:val="00BE719A"/>
    <w:rsid w:val="00BE720A"/>
    <w:rsid w:val="00BF4533"/>
    <w:rsid w:val="00C067E5"/>
    <w:rsid w:val="00C15528"/>
    <w:rsid w:val="00C164CA"/>
    <w:rsid w:val="00C20247"/>
    <w:rsid w:val="00C21B63"/>
    <w:rsid w:val="00C325DE"/>
    <w:rsid w:val="00C33CD8"/>
    <w:rsid w:val="00C4003A"/>
    <w:rsid w:val="00C42BF8"/>
    <w:rsid w:val="00C460AE"/>
    <w:rsid w:val="00C50043"/>
    <w:rsid w:val="00C63713"/>
    <w:rsid w:val="00C73DD3"/>
    <w:rsid w:val="00C7573B"/>
    <w:rsid w:val="00C76CF3"/>
    <w:rsid w:val="00C77E30"/>
    <w:rsid w:val="00C814F5"/>
    <w:rsid w:val="00CB0180"/>
    <w:rsid w:val="00CB3470"/>
    <w:rsid w:val="00CC4F50"/>
    <w:rsid w:val="00CD4F1B"/>
    <w:rsid w:val="00CD606E"/>
    <w:rsid w:val="00CD7ECB"/>
    <w:rsid w:val="00CE266F"/>
    <w:rsid w:val="00CE3C29"/>
    <w:rsid w:val="00CF0BB2"/>
    <w:rsid w:val="00CF2AE3"/>
    <w:rsid w:val="00D0104A"/>
    <w:rsid w:val="00D05444"/>
    <w:rsid w:val="00D13441"/>
    <w:rsid w:val="00D17B17"/>
    <w:rsid w:val="00D243A3"/>
    <w:rsid w:val="00D333D9"/>
    <w:rsid w:val="00D33440"/>
    <w:rsid w:val="00D40403"/>
    <w:rsid w:val="00D50C95"/>
    <w:rsid w:val="00D52EFE"/>
    <w:rsid w:val="00D63EF6"/>
    <w:rsid w:val="00D70DFB"/>
    <w:rsid w:val="00D766DF"/>
    <w:rsid w:val="00D83D21"/>
    <w:rsid w:val="00D84B58"/>
    <w:rsid w:val="00D90C56"/>
    <w:rsid w:val="00D925D1"/>
    <w:rsid w:val="00D940B0"/>
    <w:rsid w:val="00DA25A9"/>
    <w:rsid w:val="00DB0676"/>
    <w:rsid w:val="00DD3470"/>
    <w:rsid w:val="00DE3C56"/>
    <w:rsid w:val="00DF5DB5"/>
    <w:rsid w:val="00E05704"/>
    <w:rsid w:val="00E05C46"/>
    <w:rsid w:val="00E30206"/>
    <w:rsid w:val="00E33C1C"/>
    <w:rsid w:val="00E443FC"/>
    <w:rsid w:val="00E45FE7"/>
    <w:rsid w:val="00E476B8"/>
    <w:rsid w:val="00E54292"/>
    <w:rsid w:val="00E55BCD"/>
    <w:rsid w:val="00E56EC3"/>
    <w:rsid w:val="00E73BAE"/>
    <w:rsid w:val="00E73EC4"/>
    <w:rsid w:val="00E74DC7"/>
    <w:rsid w:val="00E76FAB"/>
    <w:rsid w:val="00E82107"/>
    <w:rsid w:val="00E83E2E"/>
    <w:rsid w:val="00E84B32"/>
    <w:rsid w:val="00E87699"/>
    <w:rsid w:val="00EA017D"/>
    <w:rsid w:val="00EC1C77"/>
    <w:rsid w:val="00ED3A7D"/>
    <w:rsid w:val="00EE0F36"/>
    <w:rsid w:val="00EE162A"/>
    <w:rsid w:val="00EF2E3A"/>
    <w:rsid w:val="00F047E2"/>
    <w:rsid w:val="00F078DC"/>
    <w:rsid w:val="00F13565"/>
    <w:rsid w:val="00F13E86"/>
    <w:rsid w:val="00F20C1D"/>
    <w:rsid w:val="00F24C35"/>
    <w:rsid w:val="00F25DE5"/>
    <w:rsid w:val="00F2674F"/>
    <w:rsid w:val="00F3280C"/>
    <w:rsid w:val="00F42AE6"/>
    <w:rsid w:val="00F441B1"/>
    <w:rsid w:val="00F56759"/>
    <w:rsid w:val="00F622CC"/>
    <w:rsid w:val="00F663E8"/>
    <w:rsid w:val="00F677A9"/>
    <w:rsid w:val="00F84CF5"/>
    <w:rsid w:val="00F87C06"/>
    <w:rsid w:val="00FA420B"/>
    <w:rsid w:val="00FB03B3"/>
    <w:rsid w:val="00FB192C"/>
    <w:rsid w:val="00FC4015"/>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1900"/>
    <w:pPr>
      <w:spacing w:line="260" w:lineRule="atLeast"/>
    </w:pPr>
    <w:rPr>
      <w:sz w:val="22"/>
    </w:rPr>
  </w:style>
  <w:style w:type="paragraph" w:styleId="Heading1">
    <w:name w:val="heading 1"/>
    <w:basedOn w:val="Normal"/>
    <w:next w:val="Normal"/>
    <w:link w:val="Heading1Char"/>
    <w:uiPriority w:val="9"/>
    <w:qFormat/>
    <w:rsid w:val="004128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128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28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28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28E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28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28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28E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128E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41900"/>
  </w:style>
  <w:style w:type="paragraph" w:customStyle="1" w:styleId="OPCParaBase">
    <w:name w:val="OPCParaBase"/>
    <w:qFormat/>
    <w:rsid w:val="00141900"/>
    <w:pPr>
      <w:spacing w:line="260" w:lineRule="atLeast"/>
    </w:pPr>
    <w:rPr>
      <w:rFonts w:eastAsia="Times New Roman" w:cs="Times New Roman"/>
      <w:sz w:val="22"/>
      <w:lang w:eastAsia="en-AU"/>
    </w:rPr>
  </w:style>
  <w:style w:type="paragraph" w:customStyle="1" w:styleId="ShortT">
    <w:name w:val="ShortT"/>
    <w:basedOn w:val="OPCParaBase"/>
    <w:next w:val="Normal"/>
    <w:qFormat/>
    <w:rsid w:val="00141900"/>
    <w:pPr>
      <w:spacing w:line="240" w:lineRule="auto"/>
    </w:pPr>
    <w:rPr>
      <w:b/>
      <w:sz w:val="40"/>
    </w:rPr>
  </w:style>
  <w:style w:type="paragraph" w:customStyle="1" w:styleId="ActHead1">
    <w:name w:val="ActHead 1"/>
    <w:aliases w:val="c"/>
    <w:basedOn w:val="OPCParaBase"/>
    <w:next w:val="Normal"/>
    <w:qFormat/>
    <w:rsid w:val="001419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19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19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19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419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19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19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19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19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41900"/>
  </w:style>
  <w:style w:type="paragraph" w:customStyle="1" w:styleId="Blocks">
    <w:name w:val="Blocks"/>
    <w:aliases w:val="bb"/>
    <w:basedOn w:val="OPCParaBase"/>
    <w:qFormat/>
    <w:rsid w:val="00141900"/>
    <w:pPr>
      <w:spacing w:line="240" w:lineRule="auto"/>
    </w:pPr>
    <w:rPr>
      <w:sz w:val="24"/>
    </w:rPr>
  </w:style>
  <w:style w:type="paragraph" w:customStyle="1" w:styleId="BoxText">
    <w:name w:val="BoxText"/>
    <w:aliases w:val="bt"/>
    <w:basedOn w:val="OPCParaBase"/>
    <w:qFormat/>
    <w:rsid w:val="001419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1900"/>
    <w:rPr>
      <w:b/>
    </w:rPr>
  </w:style>
  <w:style w:type="paragraph" w:customStyle="1" w:styleId="BoxHeadItalic">
    <w:name w:val="BoxHeadItalic"/>
    <w:aliases w:val="bhi"/>
    <w:basedOn w:val="BoxText"/>
    <w:next w:val="BoxStep"/>
    <w:qFormat/>
    <w:rsid w:val="00141900"/>
    <w:rPr>
      <w:i/>
    </w:rPr>
  </w:style>
  <w:style w:type="paragraph" w:customStyle="1" w:styleId="BoxList">
    <w:name w:val="BoxList"/>
    <w:aliases w:val="bl"/>
    <w:basedOn w:val="BoxText"/>
    <w:qFormat/>
    <w:rsid w:val="00141900"/>
    <w:pPr>
      <w:ind w:left="1559" w:hanging="425"/>
    </w:pPr>
  </w:style>
  <w:style w:type="paragraph" w:customStyle="1" w:styleId="BoxNote">
    <w:name w:val="BoxNote"/>
    <w:aliases w:val="bn"/>
    <w:basedOn w:val="BoxText"/>
    <w:qFormat/>
    <w:rsid w:val="00141900"/>
    <w:pPr>
      <w:tabs>
        <w:tab w:val="left" w:pos="1985"/>
      </w:tabs>
      <w:spacing w:before="122" w:line="198" w:lineRule="exact"/>
      <w:ind w:left="2948" w:hanging="1814"/>
    </w:pPr>
    <w:rPr>
      <w:sz w:val="18"/>
    </w:rPr>
  </w:style>
  <w:style w:type="paragraph" w:customStyle="1" w:styleId="BoxPara">
    <w:name w:val="BoxPara"/>
    <w:aliases w:val="bp"/>
    <w:basedOn w:val="BoxText"/>
    <w:qFormat/>
    <w:rsid w:val="00141900"/>
    <w:pPr>
      <w:tabs>
        <w:tab w:val="right" w:pos="2268"/>
      </w:tabs>
      <w:ind w:left="2552" w:hanging="1418"/>
    </w:pPr>
  </w:style>
  <w:style w:type="paragraph" w:customStyle="1" w:styleId="BoxStep">
    <w:name w:val="BoxStep"/>
    <w:aliases w:val="bs"/>
    <w:basedOn w:val="BoxText"/>
    <w:qFormat/>
    <w:rsid w:val="00141900"/>
    <w:pPr>
      <w:ind w:left="1985" w:hanging="851"/>
    </w:pPr>
  </w:style>
  <w:style w:type="character" w:customStyle="1" w:styleId="CharAmPartNo">
    <w:name w:val="CharAmPartNo"/>
    <w:basedOn w:val="OPCCharBase"/>
    <w:qFormat/>
    <w:rsid w:val="00141900"/>
  </w:style>
  <w:style w:type="character" w:customStyle="1" w:styleId="CharAmPartText">
    <w:name w:val="CharAmPartText"/>
    <w:basedOn w:val="OPCCharBase"/>
    <w:qFormat/>
    <w:rsid w:val="00141900"/>
  </w:style>
  <w:style w:type="character" w:customStyle="1" w:styleId="CharAmSchNo">
    <w:name w:val="CharAmSchNo"/>
    <w:basedOn w:val="OPCCharBase"/>
    <w:qFormat/>
    <w:rsid w:val="00141900"/>
  </w:style>
  <w:style w:type="character" w:customStyle="1" w:styleId="CharAmSchText">
    <w:name w:val="CharAmSchText"/>
    <w:basedOn w:val="OPCCharBase"/>
    <w:qFormat/>
    <w:rsid w:val="00141900"/>
  </w:style>
  <w:style w:type="character" w:customStyle="1" w:styleId="CharBoldItalic">
    <w:name w:val="CharBoldItalic"/>
    <w:basedOn w:val="OPCCharBase"/>
    <w:uiPriority w:val="1"/>
    <w:qFormat/>
    <w:rsid w:val="00141900"/>
    <w:rPr>
      <w:b/>
      <w:i/>
    </w:rPr>
  </w:style>
  <w:style w:type="character" w:customStyle="1" w:styleId="CharChapNo">
    <w:name w:val="CharChapNo"/>
    <w:basedOn w:val="OPCCharBase"/>
    <w:uiPriority w:val="1"/>
    <w:qFormat/>
    <w:rsid w:val="00141900"/>
  </w:style>
  <w:style w:type="character" w:customStyle="1" w:styleId="CharChapText">
    <w:name w:val="CharChapText"/>
    <w:basedOn w:val="OPCCharBase"/>
    <w:uiPriority w:val="1"/>
    <w:qFormat/>
    <w:rsid w:val="00141900"/>
  </w:style>
  <w:style w:type="character" w:customStyle="1" w:styleId="CharDivNo">
    <w:name w:val="CharDivNo"/>
    <w:basedOn w:val="OPCCharBase"/>
    <w:uiPriority w:val="1"/>
    <w:qFormat/>
    <w:rsid w:val="00141900"/>
  </w:style>
  <w:style w:type="character" w:customStyle="1" w:styleId="CharDivText">
    <w:name w:val="CharDivText"/>
    <w:basedOn w:val="OPCCharBase"/>
    <w:uiPriority w:val="1"/>
    <w:qFormat/>
    <w:rsid w:val="00141900"/>
  </w:style>
  <w:style w:type="character" w:customStyle="1" w:styleId="CharItalic">
    <w:name w:val="CharItalic"/>
    <w:basedOn w:val="OPCCharBase"/>
    <w:uiPriority w:val="1"/>
    <w:qFormat/>
    <w:rsid w:val="00141900"/>
    <w:rPr>
      <w:i/>
    </w:rPr>
  </w:style>
  <w:style w:type="character" w:customStyle="1" w:styleId="CharPartNo">
    <w:name w:val="CharPartNo"/>
    <w:basedOn w:val="OPCCharBase"/>
    <w:uiPriority w:val="1"/>
    <w:qFormat/>
    <w:rsid w:val="00141900"/>
  </w:style>
  <w:style w:type="character" w:customStyle="1" w:styleId="CharPartText">
    <w:name w:val="CharPartText"/>
    <w:basedOn w:val="OPCCharBase"/>
    <w:uiPriority w:val="1"/>
    <w:qFormat/>
    <w:rsid w:val="00141900"/>
  </w:style>
  <w:style w:type="character" w:customStyle="1" w:styleId="CharSectno">
    <w:name w:val="CharSectno"/>
    <w:basedOn w:val="OPCCharBase"/>
    <w:qFormat/>
    <w:rsid w:val="00141900"/>
  </w:style>
  <w:style w:type="character" w:customStyle="1" w:styleId="CharSubdNo">
    <w:name w:val="CharSubdNo"/>
    <w:basedOn w:val="OPCCharBase"/>
    <w:uiPriority w:val="1"/>
    <w:qFormat/>
    <w:rsid w:val="00141900"/>
  </w:style>
  <w:style w:type="character" w:customStyle="1" w:styleId="CharSubdText">
    <w:name w:val="CharSubdText"/>
    <w:basedOn w:val="OPCCharBase"/>
    <w:uiPriority w:val="1"/>
    <w:qFormat/>
    <w:rsid w:val="00141900"/>
  </w:style>
  <w:style w:type="paragraph" w:customStyle="1" w:styleId="CTA--">
    <w:name w:val="CTA --"/>
    <w:basedOn w:val="OPCParaBase"/>
    <w:next w:val="Normal"/>
    <w:rsid w:val="00141900"/>
    <w:pPr>
      <w:spacing w:before="60" w:line="240" w:lineRule="atLeast"/>
      <w:ind w:left="142" w:hanging="142"/>
    </w:pPr>
    <w:rPr>
      <w:sz w:val="20"/>
    </w:rPr>
  </w:style>
  <w:style w:type="paragraph" w:customStyle="1" w:styleId="CTA-">
    <w:name w:val="CTA -"/>
    <w:basedOn w:val="OPCParaBase"/>
    <w:rsid w:val="00141900"/>
    <w:pPr>
      <w:spacing w:before="60" w:line="240" w:lineRule="atLeast"/>
      <w:ind w:left="85" w:hanging="85"/>
    </w:pPr>
    <w:rPr>
      <w:sz w:val="20"/>
    </w:rPr>
  </w:style>
  <w:style w:type="paragraph" w:customStyle="1" w:styleId="CTA---">
    <w:name w:val="CTA ---"/>
    <w:basedOn w:val="OPCParaBase"/>
    <w:next w:val="Normal"/>
    <w:rsid w:val="00141900"/>
    <w:pPr>
      <w:spacing w:before="60" w:line="240" w:lineRule="atLeast"/>
      <w:ind w:left="198" w:hanging="198"/>
    </w:pPr>
    <w:rPr>
      <w:sz w:val="20"/>
    </w:rPr>
  </w:style>
  <w:style w:type="paragraph" w:customStyle="1" w:styleId="CTA----">
    <w:name w:val="CTA ----"/>
    <w:basedOn w:val="OPCParaBase"/>
    <w:next w:val="Normal"/>
    <w:rsid w:val="00141900"/>
    <w:pPr>
      <w:spacing w:before="60" w:line="240" w:lineRule="atLeast"/>
      <w:ind w:left="255" w:hanging="255"/>
    </w:pPr>
    <w:rPr>
      <w:sz w:val="20"/>
    </w:rPr>
  </w:style>
  <w:style w:type="paragraph" w:customStyle="1" w:styleId="CTA1a">
    <w:name w:val="CTA 1(a)"/>
    <w:basedOn w:val="OPCParaBase"/>
    <w:rsid w:val="00141900"/>
    <w:pPr>
      <w:tabs>
        <w:tab w:val="right" w:pos="414"/>
      </w:tabs>
      <w:spacing w:before="40" w:line="240" w:lineRule="atLeast"/>
      <w:ind w:left="675" w:hanging="675"/>
    </w:pPr>
    <w:rPr>
      <w:sz w:val="20"/>
    </w:rPr>
  </w:style>
  <w:style w:type="paragraph" w:customStyle="1" w:styleId="CTA1ai">
    <w:name w:val="CTA 1(a)(i)"/>
    <w:basedOn w:val="OPCParaBase"/>
    <w:rsid w:val="00141900"/>
    <w:pPr>
      <w:tabs>
        <w:tab w:val="right" w:pos="1004"/>
      </w:tabs>
      <w:spacing w:before="40" w:line="240" w:lineRule="atLeast"/>
      <w:ind w:left="1253" w:hanging="1253"/>
    </w:pPr>
    <w:rPr>
      <w:sz w:val="20"/>
    </w:rPr>
  </w:style>
  <w:style w:type="paragraph" w:customStyle="1" w:styleId="CTA2a">
    <w:name w:val="CTA 2(a)"/>
    <w:basedOn w:val="OPCParaBase"/>
    <w:rsid w:val="00141900"/>
    <w:pPr>
      <w:tabs>
        <w:tab w:val="right" w:pos="482"/>
      </w:tabs>
      <w:spacing w:before="40" w:line="240" w:lineRule="atLeast"/>
      <w:ind w:left="748" w:hanging="748"/>
    </w:pPr>
    <w:rPr>
      <w:sz w:val="20"/>
    </w:rPr>
  </w:style>
  <w:style w:type="paragraph" w:customStyle="1" w:styleId="CTA2ai">
    <w:name w:val="CTA 2(a)(i)"/>
    <w:basedOn w:val="OPCParaBase"/>
    <w:rsid w:val="00141900"/>
    <w:pPr>
      <w:tabs>
        <w:tab w:val="right" w:pos="1089"/>
      </w:tabs>
      <w:spacing w:before="40" w:line="240" w:lineRule="atLeast"/>
      <w:ind w:left="1327" w:hanging="1327"/>
    </w:pPr>
    <w:rPr>
      <w:sz w:val="20"/>
    </w:rPr>
  </w:style>
  <w:style w:type="paragraph" w:customStyle="1" w:styleId="CTA3a">
    <w:name w:val="CTA 3(a)"/>
    <w:basedOn w:val="OPCParaBase"/>
    <w:rsid w:val="00141900"/>
    <w:pPr>
      <w:tabs>
        <w:tab w:val="right" w:pos="556"/>
      </w:tabs>
      <w:spacing w:before="40" w:line="240" w:lineRule="atLeast"/>
      <w:ind w:left="805" w:hanging="805"/>
    </w:pPr>
    <w:rPr>
      <w:sz w:val="20"/>
    </w:rPr>
  </w:style>
  <w:style w:type="paragraph" w:customStyle="1" w:styleId="CTA3ai">
    <w:name w:val="CTA 3(a)(i)"/>
    <w:basedOn w:val="OPCParaBase"/>
    <w:rsid w:val="00141900"/>
    <w:pPr>
      <w:tabs>
        <w:tab w:val="right" w:pos="1140"/>
      </w:tabs>
      <w:spacing w:before="40" w:line="240" w:lineRule="atLeast"/>
      <w:ind w:left="1361" w:hanging="1361"/>
    </w:pPr>
    <w:rPr>
      <w:sz w:val="20"/>
    </w:rPr>
  </w:style>
  <w:style w:type="paragraph" w:customStyle="1" w:styleId="CTA4a">
    <w:name w:val="CTA 4(a)"/>
    <w:basedOn w:val="OPCParaBase"/>
    <w:rsid w:val="00141900"/>
    <w:pPr>
      <w:tabs>
        <w:tab w:val="right" w:pos="624"/>
      </w:tabs>
      <w:spacing w:before="40" w:line="240" w:lineRule="atLeast"/>
      <w:ind w:left="873" w:hanging="873"/>
    </w:pPr>
    <w:rPr>
      <w:sz w:val="20"/>
    </w:rPr>
  </w:style>
  <w:style w:type="paragraph" w:customStyle="1" w:styleId="CTA4ai">
    <w:name w:val="CTA 4(a)(i)"/>
    <w:basedOn w:val="OPCParaBase"/>
    <w:rsid w:val="00141900"/>
    <w:pPr>
      <w:tabs>
        <w:tab w:val="right" w:pos="1213"/>
      </w:tabs>
      <w:spacing w:before="40" w:line="240" w:lineRule="atLeast"/>
      <w:ind w:left="1452" w:hanging="1452"/>
    </w:pPr>
    <w:rPr>
      <w:sz w:val="20"/>
    </w:rPr>
  </w:style>
  <w:style w:type="paragraph" w:customStyle="1" w:styleId="CTACAPS">
    <w:name w:val="CTA CAPS"/>
    <w:basedOn w:val="OPCParaBase"/>
    <w:rsid w:val="00141900"/>
    <w:pPr>
      <w:spacing w:before="60" w:line="240" w:lineRule="atLeast"/>
    </w:pPr>
    <w:rPr>
      <w:sz w:val="20"/>
    </w:rPr>
  </w:style>
  <w:style w:type="paragraph" w:customStyle="1" w:styleId="CTAright">
    <w:name w:val="CTA right"/>
    <w:basedOn w:val="OPCParaBase"/>
    <w:rsid w:val="00141900"/>
    <w:pPr>
      <w:spacing w:before="60" w:line="240" w:lineRule="auto"/>
      <w:jc w:val="right"/>
    </w:pPr>
    <w:rPr>
      <w:sz w:val="20"/>
    </w:rPr>
  </w:style>
  <w:style w:type="paragraph" w:customStyle="1" w:styleId="subsection">
    <w:name w:val="subsection"/>
    <w:aliases w:val="ss"/>
    <w:basedOn w:val="OPCParaBase"/>
    <w:link w:val="subsectionChar"/>
    <w:rsid w:val="00141900"/>
    <w:pPr>
      <w:tabs>
        <w:tab w:val="right" w:pos="1021"/>
      </w:tabs>
      <w:spacing w:before="180" w:line="240" w:lineRule="auto"/>
      <w:ind w:left="1134" w:hanging="1134"/>
    </w:pPr>
  </w:style>
  <w:style w:type="paragraph" w:customStyle="1" w:styleId="Definition">
    <w:name w:val="Definition"/>
    <w:aliases w:val="dd"/>
    <w:basedOn w:val="OPCParaBase"/>
    <w:rsid w:val="00141900"/>
    <w:pPr>
      <w:spacing w:before="180" w:line="240" w:lineRule="auto"/>
      <w:ind w:left="1134"/>
    </w:pPr>
  </w:style>
  <w:style w:type="paragraph" w:customStyle="1" w:styleId="ETAsubitem">
    <w:name w:val="ETA(subitem)"/>
    <w:basedOn w:val="OPCParaBase"/>
    <w:rsid w:val="00141900"/>
    <w:pPr>
      <w:tabs>
        <w:tab w:val="right" w:pos="340"/>
      </w:tabs>
      <w:spacing w:before="60" w:line="240" w:lineRule="auto"/>
      <w:ind w:left="454" w:hanging="454"/>
    </w:pPr>
    <w:rPr>
      <w:sz w:val="20"/>
    </w:rPr>
  </w:style>
  <w:style w:type="paragraph" w:customStyle="1" w:styleId="ETApara">
    <w:name w:val="ETA(para)"/>
    <w:basedOn w:val="OPCParaBase"/>
    <w:rsid w:val="00141900"/>
    <w:pPr>
      <w:tabs>
        <w:tab w:val="right" w:pos="754"/>
      </w:tabs>
      <w:spacing w:before="60" w:line="240" w:lineRule="auto"/>
      <w:ind w:left="828" w:hanging="828"/>
    </w:pPr>
    <w:rPr>
      <w:sz w:val="20"/>
    </w:rPr>
  </w:style>
  <w:style w:type="paragraph" w:customStyle="1" w:styleId="ETAsubpara">
    <w:name w:val="ETA(subpara)"/>
    <w:basedOn w:val="OPCParaBase"/>
    <w:rsid w:val="00141900"/>
    <w:pPr>
      <w:tabs>
        <w:tab w:val="right" w:pos="1083"/>
      </w:tabs>
      <w:spacing w:before="60" w:line="240" w:lineRule="auto"/>
      <w:ind w:left="1191" w:hanging="1191"/>
    </w:pPr>
    <w:rPr>
      <w:sz w:val="20"/>
    </w:rPr>
  </w:style>
  <w:style w:type="paragraph" w:customStyle="1" w:styleId="ETAsub-subpara">
    <w:name w:val="ETA(sub-subpara)"/>
    <w:basedOn w:val="OPCParaBase"/>
    <w:rsid w:val="00141900"/>
    <w:pPr>
      <w:tabs>
        <w:tab w:val="right" w:pos="1412"/>
      </w:tabs>
      <w:spacing w:before="60" w:line="240" w:lineRule="auto"/>
      <w:ind w:left="1525" w:hanging="1525"/>
    </w:pPr>
    <w:rPr>
      <w:sz w:val="20"/>
    </w:rPr>
  </w:style>
  <w:style w:type="paragraph" w:customStyle="1" w:styleId="Formula">
    <w:name w:val="Formula"/>
    <w:basedOn w:val="OPCParaBase"/>
    <w:rsid w:val="00141900"/>
    <w:pPr>
      <w:spacing w:line="240" w:lineRule="auto"/>
      <w:ind w:left="1134"/>
    </w:pPr>
    <w:rPr>
      <w:sz w:val="20"/>
    </w:rPr>
  </w:style>
  <w:style w:type="paragraph" w:styleId="Header">
    <w:name w:val="header"/>
    <w:basedOn w:val="OPCParaBase"/>
    <w:link w:val="HeaderChar"/>
    <w:unhideWhenUsed/>
    <w:rsid w:val="001419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1900"/>
    <w:rPr>
      <w:rFonts w:eastAsia="Times New Roman" w:cs="Times New Roman"/>
      <w:sz w:val="16"/>
      <w:lang w:eastAsia="en-AU"/>
    </w:rPr>
  </w:style>
  <w:style w:type="paragraph" w:customStyle="1" w:styleId="House">
    <w:name w:val="House"/>
    <w:basedOn w:val="OPCParaBase"/>
    <w:rsid w:val="00141900"/>
    <w:pPr>
      <w:spacing w:line="240" w:lineRule="auto"/>
    </w:pPr>
    <w:rPr>
      <w:sz w:val="28"/>
    </w:rPr>
  </w:style>
  <w:style w:type="paragraph" w:customStyle="1" w:styleId="Item">
    <w:name w:val="Item"/>
    <w:aliases w:val="i"/>
    <w:basedOn w:val="OPCParaBase"/>
    <w:next w:val="ItemHead"/>
    <w:rsid w:val="00141900"/>
    <w:pPr>
      <w:keepLines/>
      <w:spacing w:before="80" w:line="240" w:lineRule="auto"/>
      <w:ind w:left="709"/>
    </w:pPr>
  </w:style>
  <w:style w:type="paragraph" w:customStyle="1" w:styleId="ItemHead">
    <w:name w:val="ItemHead"/>
    <w:aliases w:val="ih"/>
    <w:basedOn w:val="OPCParaBase"/>
    <w:next w:val="Item"/>
    <w:rsid w:val="0014190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1900"/>
    <w:pPr>
      <w:spacing w:line="240" w:lineRule="auto"/>
    </w:pPr>
    <w:rPr>
      <w:b/>
      <w:sz w:val="32"/>
    </w:rPr>
  </w:style>
  <w:style w:type="paragraph" w:customStyle="1" w:styleId="notedraft">
    <w:name w:val="note(draft)"/>
    <w:aliases w:val="nd"/>
    <w:basedOn w:val="OPCParaBase"/>
    <w:rsid w:val="00141900"/>
    <w:pPr>
      <w:spacing w:before="240" w:line="240" w:lineRule="auto"/>
      <w:ind w:left="284" w:hanging="284"/>
    </w:pPr>
    <w:rPr>
      <w:i/>
      <w:sz w:val="24"/>
    </w:rPr>
  </w:style>
  <w:style w:type="paragraph" w:customStyle="1" w:styleId="notemargin">
    <w:name w:val="note(margin)"/>
    <w:aliases w:val="nm"/>
    <w:basedOn w:val="OPCParaBase"/>
    <w:rsid w:val="00141900"/>
    <w:pPr>
      <w:tabs>
        <w:tab w:val="left" w:pos="709"/>
      </w:tabs>
      <w:spacing w:before="122" w:line="198" w:lineRule="exact"/>
      <w:ind w:left="709" w:hanging="709"/>
    </w:pPr>
    <w:rPr>
      <w:sz w:val="18"/>
    </w:rPr>
  </w:style>
  <w:style w:type="paragraph" w:customStyle="1" w:styleId="noteToPara">
    <w:name w:val="noteToPara"/>
    <w:aliases w:val="ntp"/>
    <w:basedOn w:val="OPCParaBase"/>
    <w:rsid w:val="00141900"/>
    <w:pPr>
      <w:spacing w:before="122" w:line="198" w:lineRule="exact"/>
      <w:ind w:left="2353" w:hanging="709"/>
    </w:pPr>
    <w:rPr>
      <w:sz w:val="18"/>
    </w:rPr>
  </w:style>
  <w:style w:type="paragraph" w:customStyle="1" w:styleId="noteParlAmend">
    <w:name w:val="note(ParlAmend)"/>
    <w:aliases w:val="npp"/>
    <w:basedOn w:val="OPCParaBase"/>
    <w:next w:val="ParlAmend"/>
    <w:rsid w:val="00141900"/>
    <w:pPr>
      <w:spacing w:line="240" w:lineRule="auto"/>
      <w:jc w:val="right"/>
    </w:pPr>
    <w:rPr>
      <w:rFonts w:ascii="Arial" w:hAnsi="Arial"/>
      <w:b/>
      <w:i/>
    </w:rPr>
  </w:style>
  <w:style w:type="paragraph" w:customStyle="1" w:styleId="Page1">
    <w:name w:val="Page1"/>
    <w:basedOn w:val="OPCParaBase"/>
    <w:rsid w:val="00141900"/>
    <w:pPr>
      <w:spacing w:before="5600" w:line="240" w:lineRule="auto"/>
    </w:pPr>
    <w:rPr>
      <w:b/>
      <w:sz w:val="32"/>
    </w:rPr>
  </w:style>
  <w:style w:type="paragraph" w:customStyle="1" w:styleId="PageBreak">
    <w:name w:val="PageBreak"/>
    <w:aliases w:val="pb"/>
    <w:basedOn w:val="OPCParaBase"/>
    <w:rsid w:val="00141900"/>
    <w:pPr>
      <w:spacing w:line="240" w:lineRule="auto"/>
    </w:pPr>
    <w:rPr>
      <w:sz w:val="20"/>
    </w:rPr>
  </w:style>
  <w:style w:type="paragraph" w:customStyle="1" w:styleId="paragraphsub">
    <w:name w:val="paragraph(sub)"/>
    <w:aliases w:val="aa"/>
    <w:basedOn w:val="OPCParaBase"/>
    <w:rsid w:val="00141900"/>
    <w:pPr>
      <w:tabs>
        <w:tab w:val="right" w:pos="1985"/>
      </w:tabs>
      <w:spacing w:before="40" w:line="240" w:lineRule="auto"/>
      <w:ind w:left="2098" w:hanging="2098"/>
    </w:pPr>
  </w:style>
  <w:style w:type="paragraph" w:customStyle="1" w:styleId="paragraphsub-sub">
    <w:name w:val="paragraph(sub-sub)"/>
    <w:aliases w:val="aaa"/>
    <w:basedOn w:val="OPCParaBase"/>
    <w:rsid w:val="00141900"/>
    <w:pPr>
      <w:tabs>
        <w:tab w:val="right" w:pos="2722"/>
      </w:tabs>
      <w:spacing w:before="40" w:line="240" w:lineRule="auto"/>
      <w:ind w:left="2835" w:hanging="2835"/>
    </w:pPr>
  </w:style>
  <w:style w:type="paragraph" w:customStyle="1" w:styleId="paragraph">
    <w:name w:val="paragraph"/>
    <w:aliases w:val="a"/>
    <w:basedOn w:val="OPCParaBase"/>
    <w:rsid w:val="00141900"/>
    <w:pPr>
      <w:tabs>
        <w:tab w:val="right" w:pos="1531"/>
      </w:tabs>
      <w:spacing w:before="40" w:line="240" w:lineRule="auto"/>
      <w:ind w:left="1644" w:hanging="1644"/>
    </w:pPr>
  </w:style>
  <w:style w:type="paragraph" w:customStyle="1" w:styleId="ParlAmend">
    <w:name w:val="ParlAmend"/>
    <w:aliases w:val="pp"/>
    <w:basedOn w:val="OPCParaBase"/>
    <w:rsid w:val="00141900"/>
    <w:pPr>
      <w:spacing w:before="240" w:line="240" w:lineRule="atLeast"/>
      <w:ind w:hanging="567"/>
    </w:pPr>
    <w:rPr>
      <w:sz w:val="24"/>
    </w:rPr>
  </w:style>
  <w:style w:type="paragraph" w:customStyle="1" w:styleId="Penalty">
    <w:name w:val="Penalty"/>
    <w:basedOn w:val="OPCParaBase"/>
    <w:rsid w:val="00141900"/>
    <w:pPr>
      <w:tabs>
        <w:tab w:val="left" w:pos="2977"/>
      </w:tabs>
      <w:spacing w:before="180" w:line="240" w:lineRule="auto"/>
      <w:ind w:left="1985" w:hanging="851"/>
    </w:pPr>
  </w:style>
  <w:style w:type="paragraph" w:customStyle="1" w:styleId="Portfolio">
    <w:name w:val="Portfolio"/>
    <w:basedOn w:val="OPCParaBase"/>
    <w:rsid w:val="00141900"/>
    <w:pPr>
      <w:spacing w:line="240" w:lineRule="auto"/>
    </w:pPr>
    <w:rPr>
      <w:i/>
      <w:sz w:val="20"/>
    </w:rPr>
  </w:style>
  <w:style w:type="paragraph" w:customStyle="1" w:styleId="Preamble">
    <w:name w:val="Preamble"/>
    <w:basedOn w:val="OPCParaBase"/>
    <w:next w:val="Normal"/>
    <w:rsid w:val="001419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1900"/>
    <w:pPr>
      <w:spacing w:line="240" w:lineRule="auto"/>
    </w:pPr>
    <w:rPr>
      <w:i/>
      <w:sz w:val="20"/>
    </w:rPr>
  </w:style>
  <w:style w:type="paragraph" w:customStyle="1" w:styleId="Session">
    <w:name w:val="Session"/>
    <w:basedOn w:val="OPCParaBase"/>
    <w:rsid w:val="00141900"/>
    <w:pPr>
      <w:spacing w:line="240" w:lineRule="auto"/>
    </w:pPr>
    <w:rPr>
      <w:sz w:val="28"/>
    </w:rPr>
  </w:style>
  <w:style w:type="paragraph" w:customStyle="1" w:styleId="Sponsor">
    <w:name w:val="Sponsor"/>
    <w:basedOn w:val="OPCParaBase"/>
    <w:rsid w:val="00141900"/>
    <w:pPr>
      <w:spacing w:line="240" w:lineRule="auto"/>
    </w:pPr>
    <w:rPr>
      <w:i/>
    </w:rPr>
  </w:style>
  <w:style w:type="paragraph" w:customStyle="1" w:styleId="Subitem">
    <w:name w:val="Subitem"/>
    <w:aliases w:val="iss"/>
    <w:basedOn w:val="OPCParaBase"/>
    <w:rsid w:val="00141900"/>
    <w:pPr>
      <w:spacing w:before="180" w:line="240" w:lineRule="auto"/>
      <w:ind w:left="709" w:hanging="709"/>
    </w:pPr>
  </w:style>
  <w:style w:type="paragraph" w:customStyle="1" w:styleId="SubitemHead">
    <w:name w:val="SubitemHead"/>
    <w:aliases w:val="issh"/>
    <w:basedOn w:val="OPCParaBase"/>
    <w:rsid w:val="001419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1900"/>
    <w:pPr>
      <w:spacing w:before="40" w:line="240" w:lineRule="auto"/>
      <w:ind w:left="1134"/>
    </w:pPr>
  </w:style>
  <w:style w:type="paragraph" w:customStyle="1" w:styleId="SubsectionHead">
    <w:name w:val="SubsectionHead"/>
    <w:aliases w:val="ssh"/>
    <w:basedOn w:val="OPCParaBase"/>
    <w:next w:val="subsection"/>
    <w:rsid w:val="00141900"/>
    <w:pPr>
      <w:keepNext/>
      <w:keepLines/>
      <w:spacing w:before="240" w:line="240" w:lineRule="auto"/>
      <w:ind w:left="1134"/>
    </w:pPr>
    <w:rPr>
      <w:i/>
    </w:rPr>
  </w:style>
  <w:style w:type="paragraph" w:customStyle="1" w:styleId="Tablea">
    <w:name w:val="Table(a)"/>
    <w:aliases w:val="ta"/>
    <w:basedOn w:val="OPCParaBase"/>
    <w:rsid w:val="00141900"/>
    <w:pPr>
      <w:spacing w:before="60" w:line="240" w:lineRule="auto"/>
      <w:ind w:left="284" w:hanging="284"/>
    </w:pPr>
    <w:rPr>
      <w:sz w:val="20"/>
    </w:rPr>
  </w:style>
  <w:style w:type="paragraph" w:customStyle="1" w:styleId="TableAA">
    <w:name w:val="Table(AA)"/>
    <w:aliases w:val="taaa"/>
    <w:basedOn w:val="OPCParaBase"/>
    <w:rsid w:val="001419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19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1900"/>
    <w:pPr>
      <w:spacing w:before="60" w:line="240" w:lineRule="atLeast"/>
    </w:pPr>
    <w:rPr>
      <w:sz w:val="20"/>
    </w:rPr>
  </w:style>
  <w:style w:type="paragraph" w:customStyle="1" w:styleId="TLPBoxTextnote">
    <w:name w:val="TLPBoxText(note"/>
    <w:aliases w:val="right)"/>
    <w:basedOn w:val="OPCParaBase"/>
    <w:rsid w:val="001419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190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1900"/>
    <w:pPr>
      <w:spacing w:before="122" w:line="198" w:lineRule="exact"/>
      <w:ind w:left="1985" w:hanging="851"/>
      <w:jc w:val="right"/>
    </w:pPr>
    <w:rPr>
      <w:sz w:val="18"/>
    </w:rPr>
  </w:style>
  <w:style w:type="paragraph" w:customStyle="1" w:styleId="TLPTableBullet">
    <w:name w:val="TLPTableBullet"/>
    <w:aliases w:val="ttb"/>
    <w:basedOn w:val="OPCParaBase"/>
    <w:rsid w:val="00141900"/>
    <w:pPr>
      <w:spacing w:line="240" w:lineRule="exact"/>
      <w:ind w:left="284" w:hanging="284"/>
    </w:pPr>
    <w:rPr>
      <w:sz w:val="20"/>
    </w:rPr>
  </w:style>
  <w:style w:type="paragraph" w:styleId="TOC1">
    <w:name w:val="toc 1"/>
    <w:basedOn w:val="OPCParaBase"/>
    <w:next w:val="Normal"/>
    <w:uiPriority w:val="39"/>
    <w:semiHidden/>
    <w:unhideWhenUsed/>
    <w:rsid w:val="0014190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4190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4190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4190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4190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4190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4190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4190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190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1900"/>
    <w:pPr>
      <w:keepLines/>
      <w:spacing w:before="240" w:after="120" w:line="240" w:lineRule="auto"/>
      <w:ind w:left="794"/>
    </w:pPr>
    <w:rPr>
      <w:b/>
      <w:kern w:val="28"/>
      <w:sz w:val="20"/>
    </w:rPr>
  </w:style>
  <w:style w:type="paragraph" w:customStyle="1" w:styleId="TofSectsHeading">
    <w:name w:val="TofSects(Heading)"/>
    <w:basedOn w:val="OPCParaBase"/>
    <w:rsid w:val="00141900"/>
    <w:pPr>
      <w:spacing w:before="240" w:after="120" w:line="240" w:lineRule="auto"/>
    </w:pPr>
    <w:rPr>
      <w:b/>
      <w:sz w:val="24"/>
    </w:rPr>
  </w:style>
  <w:style w:type="paragraph" w:customStyle="1" w:styleId="TofSectsSection">
    <w:name w:val="TofSects(Section)"/>
    <w:basedOn w:val="OPCParaBase"/>
    <w:rsid w:val="00141900"/>
    <w:pPr>
      <w:keepLines/>
      <w:spacing w:before="40" w:line="240" w:lineRule="auto"/>
      <w:ind w:left="1588" w:hanging="794"/>
    </w:pPr>
    <w:rPr>
      <w:kern w:val="28"/>
      <w:sz w:val="18"/>
    </w:rPr>
  </w:style>
  <w:style w:type="paragraph" w:customStyle="1" w:styleId="TofSectsSubdiv">
    <w:name w:val="TofSects(Subdiv)"/>
    <w:basedOn w:val="OPCParaBase"/>
    <w:rsid w:val="00141900"/>
    <w:pPr>
      <w:keepLines/>
      <w:spacing w:before="80" w:line="240" w:lineRule="auto"/>
      <w:ind w:left="1588" w:hanging="794"/>
    </w:pPr>
    <w:rPr>
      <w:kern w:val="28"/>
    </w:rPr>
  </w:style>
  <w:style w:type="paragraph" w:customStyle="1" w:styleId="WRStyle">
    <w:name w:val="WR Style"/>
    <w:aliases w:val="WR"/>
    <w:basedOn w:val="OPCParaBase"/>
    <w:rsid w:val="00141900"/>
    <w:pPr>
      <w:spacing w:before="240" w:line="240" w:lineRule="auto"/>
      <w:ind w:left="284" w:hanging="284"/>
    </w:pPr>
    <w:rPr>
      <w:b/>
      <w:i/>
      <w:kern w:val="28"/>
      <w:sz w:val="24"/>
    </w:rPr>
  </w:style>
  <w:style w:type="paragraph" w:customStyle="1" w:styleId="notepara">
    <w:name w:val="note(para)"/>
    <w:aliases w:val="na"/>
    <w:basedOn w:val="OPCParaBase"/>
    <w:rsid w:val="00141900"/>
    <w:pPr>
      <w:spacing w:before="40" w:line="198" w:lineRule="exact"/>
      <w:ind w:left="2354" w:hanging="369"/>
    </w:pPr>
    <w:rPr>
      <w:sz w:val="18"/>
    </w:rPr>
  </w:style>
  <w:style w:type="paragraph" w:styleId="Footer">
    <w:name w:val="footer"/>
    <w:link w:val="FooterChar"/>
    <w:rsid w:val="001419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1900"/>
    <w:rPr>
      <w:rFonts w:eastAsia="Times New Roman" w:cs="Times New Roman"/>
      <w:sz w:val="22"/>
      <w:szCs w:val="24"/>
      <w:lang w:eastAsia="en-AU"/>
    </w:rPr>
  </w:style>
  <w:style w:type="character" w:styleId="LineNumber">
    <w:name w:val="line number"/>
    <w:basedOn w:val="OPCCharBase"/>
    <w:uiPriority w:val="99"/>
    <w:semiHidden/>
    <w:unhideWhenUsed/>
    <w:rsid w:val="00141900"/>
    <w:rPr>
      <w:sz w:val="16"/>
    </w:rPr>
  </w:style>
  <w:style w:type="table" w:customStyle="1" w:styleId="CFlag">
    <w:name w:val="CFlag"/>
    <w:basedOn w:val="TableNormal"/>
    <w:uiPriority w:val="99"/>
    <w:rsid w:val="00141900"/>
    <w:rPr>
      <w:rFonts w:eastAsia="Times New Roman" w:cs="Times New Roman"/>
      <w:lang w:eastAsia="en-AU"/>
    </w:rPr>
    <w:tblPr/>
  </w:style>
  <w:style w:type="paragraph" w:styleId="BalloonText">
    <w:name w:val="Balloon Text"/>
    <w:basedOn w:val="Normal"/>
    <w:link w:val="BalloonTextChar"/>
    <w:uiPriority w:val="99"/>
    <w:semiHidden/>
    <w:unhideWhenUsed/>
    <w:rsid w:val="001419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900"/>
    <w:rPr>
      <w:rFonts w:ascii="Tahoma" w:hAnsi="Tahoma" w:cs="Tahoma"/>
      <w:sz w:val="16"/>
      <w:szCs w:val="16"/>
    </w:rPr>
  </w:style>
  <w:style w:type="character" w:styleId="Hyperlink">
    <w:name w:val="Hyperlink"/>
    <w:basedOn w:val="DefaultParagraphFont"/>
    <w:rsid w:val="00141900"/>
    <w:rPr>
      <w:color w:val="0000FF"/>
      <w:u w:val="single"/>
    </w:rPr>
  </w:style>
  <w:style w:type="table" w:styleId="TableGrid">
    <w:name w:val="Table Grid"/>
    <w:basedOn w:val="TableNormal"/>
    <w:uiPriority w:val="59"/>
    <w:rsid w:val="00141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41900"/>
    <w:rPr>
      <w:b/>
      <w:sz w:val="28"/>
      <w:szCs w:val="32"/>
    </w:rPr>
  </w:style>
  <w:style w:type="paragraph" w:customStyle="1" w:styleId="TerritoryT">
    <w:name w:val="TerritoryT"/>
    <w:basedOn w:val="OPCParaBase"/>
    <w:next w:val="Normal"/>
    <w:rsid w:val="00141900"/>
    <w:rPr>
      <w:b/>
      <w:sz w:val="32"/>
    </w:rPr>
  </w:style>
  <w:style w:type="paragraph" w:customStyle="1" w:styleId="LegislationMadeUnder">
    <w:name w:val="LegislationMadeUnder"/>
    <w:basedOn w:val="OPCParaBase"/>
    <w:next w:val="Normal"/>
    <w:rsid w:val="00141900"/>
    <w:rPr>
      <w:i/>
      <w:sz w:val="32"/>
      <w:szCs w:val="32"/>
    </w:rPr>
  </w:style>
  <w:style w:type="paragraph" w:customStyle="1" w:styleId="SignCoverPageEnd">
    <w:name w:val="SignCoverPageEnd"/>
    <w:basedOn w:val="OPCParaBase"/>
    <w:next w:val="Normal"/>
    <w:rsid w:val="0014190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41900"/>
    <w:pPr>
      <w:pBdr>
        <w:top w:val="single" w:sz="4" w:space="1" w:color="auto"/>
      </w:pBdr>
      <w:spacing w:before="360"/>
      <w:ind w:right="397"/>
      <w:jc w:val="both"/>
    </w:pPr>
  </w:style>
  <w:style w:type="paragraph" w:customStyle="1" w:styleId="NotesHeading1">
    <w:name w:val="NotesHeading 1"/>
    <w:basedOn w:val="OPCParaBase"/>
    <w:next w:val="Normal"/>
    <w:rsid w:val="00141900"/>
    <w:rPr>
      <w:b/>
      <w:sz w:val="28"/>
      <w:szCs w:val="28"/>
    </w:rPr>
  </w:style>
  <w:style w:type="paragraph" w:customStyle="1" w:styleId="NotesHeading2">
    <w:name w:val="NotesHeading 2"/>
    <w:basedOn w:val="OPCParaBase"/>
    <w:next w:val="Normal"/>
    <w:rsid w:val="00141900"/>
    <w:rPr>
      <w:b/>
      <w:sz w:val="28"/>
      <w:szCs w:val="28"/>
    </w:rPr>
  </w:style>
  <w:style w:type="paragraph" w:customStyle="1" w:styleId="ENotesText">
    <w:name w:val="ENotesText"/>
    <w:basedOn w:val="OPCParaBase"/>
    <w:next w:val="Normal"/>
    <w:rsid w:val="00141900"/>
  </w:style>
  <w:style w:type="paragraph" w:customStyle="1" w:styleId="CompiledActNo">
    <w:name w:val="CompiledActNo"/>
    <w:basedOn w:val="OPCParaBase"/>
    <w:next w:val="Normal"/>
    <w:rsid w:val="00141900"/>
    <w:rPr>
      <w:b/>
      <w:sz w:val="24"/>
      <w:szCs w:val="24"/>
    </w:rPr>
  </w:style>
  <w:style w:type="paragraph" w:customStyle="1" w:styleId="CompiledMadeUnder">
    <w:name w:val="CompiledMadeUnder"/>
    <w:basedOn w:val="OPCParaBase"/>
    <w:next w:val="Normal"/>
    <w:rsid w:val="00141900"/>
    <w:rPr>
      <w:i/>
      <w:sz w:val="24"/>
      <w:szCs w:val="24"/>
    </w:rPr>
  </w:style>
  <w:style w:type="paragraph" w:customStyle="1" w:styleId="Paragraphsub-sub-sub">
    <w:name w:val="Paragraph(sub-sub-sub)"/>
    <w:aliases w:val="aaaa"/>
    <w:basedOn w:val="OPCParaBase"/>
    <w:rsid w:val="00141900"/>
    <w:pPr>
      <w:tabs>
        <w:tab w:val="right" w:pos="3402"/>
      </w:tabs>
      <w:spacing w:before="40" w:line="240" w:lineRule="auto"/>
      <w:ind w:left="3402" w:hanging="3402"/>
    </w:pPr>
  </w:style>
  <w:style w:type="paragraph" w:customStyle="1" w:styleId="NoteToSubpara">
    <w:name w:val="NoteToSubpara"/>
    <w:aliases w:val="nts"/>
    <w:basedOn w:val="OPCParaBase"/>
    <w:rsid w:val="00141900"/>
    <w:pPr>
      <w:spacing w:before="40" w:line="198" w:lineRule="exact"/>
      <w:ind w:left="2835" w:hanging="709"/>
    </w:pPr>
    <w:rPr>
      <w:sz w:val="18"/>
    </w:rPr>
  </w:style>
  <w:style w:type="paragraph" w:customStyle="1" w:styleId="EndNotespara">
    <w:name w:val="EndNotes(para)"/>
    <w:aliases w:val="eta"/>
    <w:basedOn w:val="OPCParaBase"/>
    <w:next w:val="Normal"/>
    <w:rsid w:val="001419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19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419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190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41900"/>
    <w:pPr>
      <w:keepNext/>
      <w:spacing w:before="60" w:line="240" w:lineRule="atLeast"/>
    </w:pPr>
    <w:rPr>
      <w:rFonts w:ascii="Arial" w:hAnsi="Arial"/>
      <w:b/>
      <w:sz w:val="16"/>
    </w:rPr>
  </w:style>
  <w:style w:type="paragraph" w:customStyle="1" w:styleId="ENoteTTi">
    <w:name w:val="ENoteTTi"/>
    <w:aliases w:val="entti"/>
    <w:basedOn w:val="OPCParaBase"/>
    <w:rsid w:val="00141900"/>
    <w:pPr>
      <w:keepNext/>
      <w:spacing w:before="60" w:line="240" w:lineRule="atLeast"/>
      <w:ind w:left="170"/>
    </w:pPr>
    <w:rPr>
      <w:sz w:val="16"/>
    </w:rPr>
  </w:style>
  <w:style w:type="paragraph" w:customStyle="1" w:styleId="ENotesHeading1">
    <w:name w:val="ENotesHeading 1"/>
    <w:aliases w:val="Enh1"/>
    <w:basedOn w:val="OPCParaBase"/>
    <w:next w:val="Normal"/>
    <w:rsid w:val="00141900"/>
    <w:pPr>
      <w:spacing w:before="120"/>
      <w:outlineLvl w:val="1"/>
    </w:pPr>
    <w:rPr>
      <w:b/>
      <w:sz w:val="28"/>
      <w:szCs w:val="28"/>
    </w:rPr>
  </w:style>
  <w:style w:type="paragraph" w:customStyle="1" w:styleId="ENotesHeading2">
    <w:name w:val="ENotesHeading 2"/>
    <w:aliases w:val="Enh2"/>
    <w:basedOn w:val="OPCParaBase"/>
    <w:next w:val="Normal"/>
    <w:rsid w:val="00141900"/>
    <w:pPr>
      <w:spacing w:before="120" w:after="120"/>
      <w:outlineLvl w:val="2"/>
    </w:pPr>
    <w:rPr>
      <w:b/>
      <w:sz w:val="24"/>
      <w:szCs w:val="28"/>
    </w:rPr>
  </w:style>
  <w:style w:type="paragraph" w:customStyle="1" w:styleId="ENoteTTIndentHeading">
    <w:name w:val="ENoteTTIndentHeading"/>
    <w:aliases w:val="enTTHi"/>
    <w:basedOn w:val="OPCParaBase"/>
    <w:rsid w:val="001419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1900"/>
    <w:pPr>
      <w:spacing w:before="60" w:line="240" w:lineRule="atLeast"/>
    </w:pPr>
    <w:rPr>
      <w:sz w:val="16"/>
    </w:rPr>
  </w:style>
  <w:style w:type="paragraph" w:customStyle="1" w:styleId="MadeunderText">
    <w:name w:val="MadeunderText"/>
    <w:basedOn w:val="OPCParaBase"/>
    <w:next w:val="CompiledMadeUnder"/>
    <w:rsid w:val="00141900"/>
    <w:pPr>
      <w:spacing w:before="240"/>
    </w:pPr>
    <w:rPr>
      <w:sz w:val="24"/>
      <w:szCs w:val="24"/>
    </w:rPr>
  </w:style>
  <w:style w:type="paragraph" w:customStyle="1" w:styleId="ENotesHeading3">
    <w:name w:val="ENotesHeading 3"/>
    <w:aliases w:val="Enh3"/>
    <w:basedOn w:val="OPCParaBase"/>
    <w:next w:val="Normal"/>
    <w:rsid w:val="00141900"/>
    <w:pPr>
      <w:keepNext/>
      <w:spacing w:before="120" w:line="240" w:lineRule="auto"/>
      <w:outlineLvl w:val="4"/>
    </w:pPr>
    <w:rPr>
      <w:b/>
      <w:szCs w:val="24"/>
    </w:rPr>
  </w:style>
  <w:style w:type="character" w:customStyle="1" w:styleId="CharSubPartTextCASA">
    <w:name w:val="CharSubPartText(CASA)"/>
    <w:basedOn w:val="OPCCharBase"/>
    <w:uiPriority w:val="1"/>
    <w:rsid w:val="00141900"/>
  </w:style>
  <w:style w:type="character" w:customStyle="1" w:styleId="CharSubPartNoCASA">
    <w:name w:val="CharSubPartNo(CASA)"/>
    <w:basedOn w:val="OPCCharBase"/>
    <w:uiPriority w:val="1"/>
    <w:rsid w:val="00141900"/>
  </w:style>
  <w:style w:type="paragraph" w:customStyle="1" w:styleId="ENoteTTIndentHeadingSub">
    <w:name w:val="ENoteTTIndentHeadingSub"/>
    <w:aliases w:val="enTTHis"/>
    <w:basedOn w:val="OPCParaBase"/>
    <w:rsid w:val="00141900"/>
    <w:pPr>
      <w:keepNext/>
      <w:spacing w:before="60" w:line="240" w:lineRule="atLeast"/>
      <w:ind w:left="340"/>
    </w:pPr>
    <w:rPr>
      <w:b/>
      <w:sz w:val="16"/>
    </w:rPr>
  </w:style>
  <w:style w:type="paragraph" w:customStyle="1" w:styleId="ENoteTTiSub">
    <w:name w:val="ENoteTTiSub"/>
    <w:aliases w:val="enttis"/>
    <w:basedOn w:val="OPCParaBase"/>
    <w:rsid w:val="00141900"/>
    <w:pPr>
      <w:keepNext/>
      <w:spacing w:before="60" w:line="240" w:lineRule="atLeast"/>
      <w:ind w:left="340"/>
    </w:pPr>
    <w:rPr>
      <w:sz w:val="16"/>
    </w:rPr>
  </w:style>
  <w:style w:type="paragraph" w:customStyle="1" w:styleId="SubDivisionMigration">
    <w:name w:val="SubDivisionMigration"/>
    <w:aliases w:val="sdm"/>
    <w:basedOn w:val="OPCParaBase"/>
    <w:rsid w:val="001419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190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41900"/>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1419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1900"/>
    <w:rPr>
      <w:sz w:val="22"/>
    </w:rPr>
  </w:style>
  <w:style w:type="paragraph" w:customStyle="1" w:styleId="SOTextNote">
    <w:name w:val="SO TextNote"/>
    <w:aliases w:val="sont"/>
    <w:basedOn w:val="SOText"/>
    <w:qFormat/>
    <w:rsid w:val="00141900"/>
    <w:pPr>
      <w:spacing w:before="122" w:line="198" w:lineRule="exact"/>
      <w:ind w:left="1843" w:hanging="709"/>
    </w:pPr>
    <w:rPr>
      <w:sz w:val="18"/>
    </w:rPr>
  </w:style>
  <w:style w:type="paragraph" w:customStyle="1" w:styleId="SOPara">
    <w:name w:val="SO Para"/>
    <w:aliases w:val="soa"/>
    <w:basedOn w:val="SOText"/>
    <w:link w:val="SOParaChar"/>
    <w:qFormat/>
    <w:rsid w:val="00141900"/>
    <w:pPr>
      <w:tabs>
        <w:tab w:val="right" w:pos="1786"/>
      </w:tabs>
      <w:spacing w:before="40"/>
      <w:ind w:left="2070" w:hanging="936"/>
    </w:pPr>
  </w:style>
  <w:style w:type="character" w:customStyle="1" w:styleId="SOParaChar">
    <w:name w:val="SO Para Char"/>
    <w:aliases w:val="soa Char"/>
    <w:basedOn w:val="DefaultParagraphFont"/>
    <w:link w:val="SOPara"/>
    <w:rsid w:val="00141900"/>
    <w:rPr>
      <w:sz w:val="22"/>
    </w:rPr>
  </w:style>
  <w:style w:type="paragraph" w:customStyle="1" w:styleId="FileName">
    <w:name w:val="FileName"/>
    <w:basedOn w:val="Normal"/>
    <w:rsid w:val="00141900"/>
  </w:style>
  <w:style w:type="paragraph" w:customStyle="1" w:styleId="TableHeading">
    <w:name w:val="TableHeading"/>
    <w:aliases w:val="th"/>
    <w:basedOn w:val="OPCParaBase"/>
    <w:next w:val="Tabletext"/>
    <w:rsid w:val="00141900"/>
    <w:pPr>
      <w:keepNext/>
      <w:spacing w:before="60" w:line="240" w:lineRule="atLeast"/>
    </w:pPr>
    <w:rPr>
      <w:b/>
      <w:sz w:val="20"/>
    </w:rPr>
  </w:style>
  <w:style w:type="paragraph" w:customStyle="1" w:styleId="SOHeadBold">
    <w:name w:val="SO HeadBold"/>
    <w:aliases w:val="sohb"/>
    <w:basedOn w:val="SOText"/>
    <w:next w:val="SOText"/>
    <w:link w:val="SOHeadBoldChar"/>
    <w:qFormat/>
    <w:rsid w:val="00141900"/>
    <w:rPr>
      <w:b/>
    </w:rPr>
  </w:style>
  <w:style w:type="character" w:customStyle="1" w:styleId="SOHeadBoldChar">
    <w:name w:val="SO HeadBold Char"/>
    <w:aliases w:val="sohb Char"/>
    <w:basedOn w:val="DefaultParagraphFont"/>
    <w:link w:val="SOHeadBold"/>
    <w:rsid w:val="00141900"/>
    <w:rPr>
      <w:b/>
      <w:sz w:val="22"/>
    </w:rPr>
  </w:style>
  <w:style w:type="paragraph" w:customStyle="1" w:styleId="SOHeadItalic">
    <w:name w:val="SO HeadItalic"/>
    <w:aliases w:val="sohi"/>
    <w:basedOn w:val="SOText"/>
    <w:next w:val="SOText"/>
    <w:link w:val="SOHeadItalicChar"/>
    <w:qFormat/>
    <w:rsid w:val="00141900"/>
    <w:rPr>
      <w:i/>
    </w:rPr>
  </w:style>
  <w:style w:type="character" w:customStyle="1" w:styleId="SOHeadItalicChar">
    <w:name w:val="SO HeadItalic Char"/>
    <w:aliases w:val="sohi Char"/>
    <w:basedOn w:val="DefaultParagraphFont"/>
    <w:link w:val="SOHeadItalic"/>
    <w:rsid w:val="00141900"/>
    <w:rPr>
      <w:i/>
      <w:sz w:val="22"/>
    </w:rPr>
  </w:style>
  <w:style w:type="paragraph" w:customStyle="1" w:styleId="SOBullet">
    <w:name w:val="SO Bullet"/>
    <w:aliases w:val="sotb"/>
    <w:basedOn w:val="SOText"/>
    <w:link w:val="SOBulletChar"/>
    <w:qFormat/>
    <w:rsid w:val="00141900"/>
    <w:pPr>
      <w:ind w:left="1559" w:hanging="425"/>
    </w:pPr>
  </w:style>
  <w:style w:type="character" w:customStyle="1" w:styleId="SOBulletChar">
    <w:name w:val="SO Bullet Char"/>
    <w:aliases w:val="sotb Char"/>
    <w:basedOn w:val="DefaultParagraphFont"/>
    <w:link w:val="SOBullet"/>
    <w:rsid w:val="00141900"/>
    <w:rPr>
      <w:sz w:val="22"/>
    </w:rPr>
  </w:style>
  <w:style w:type="paragraph" w:customStyle="1" w:styleId="SOBulletNote">
    <w:name w:val="SO BulletNote"/>
    <w:aliases w:val="sonb"/>
    <w:basedOn w:val="SOTextNote"/>
    <w:link w:val="SOBulletNoteChar"/>
    <w:qFormat/>
    <w:rsid w:val="00141900"/>
    <w:pPr>
      <w:tabs>
        <w:tab w:val="left" w:pos="1560"/>
      </w:tabs>
      <w:ind w:left="2268" w:hanging="1134"/>
    </w:pPr>
  </w:style>
  <w:style w:type="character" w:customStyle="1" w:styleId="SOBulletNoteChar">
    <w:name w:val="SO BulletNote Char"/>
    <w:aliases w:val="sonb Char"/>
    <w:basedOn w:val="DefaultParagraphFont"/>
    <w:link w:val="SOBulletNote"/>
    <w:rsid w:val="00141900"/>
    <w:rPr>
      <w:sz w:val="18"/>
    </w:rPr>
  </w:style>
  <w:style w:type="paragraph" w:customStyle="1" w:styleId="SOText2">
    <w:name w:val="SO Text2"/>
    <w:aliases w:val="sot2"/>
    <w:basedOn w:val="Normal"/>
    <w:next w:val="SOText"/>
    <w:link w:val="SOText2Char"/>
    <w:rsid w:val="0014190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41900"/>
    <w:rPr>
      <w:sz w:val="22"/>
    </w:rPr>
  </w:style>
  <w:style w:type="paragraph" w:customStyle="1" w:styleId="SubPartCASA">
    <w:name w:val="SubPart(CASA)"/>
    <w:aliases w:val="csp"/>
    <w:basedOn w:val="OPCParaBase"/>
    <w:next w:val="ActHead3"/>
    <w:rsid w:val="0014190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128EF"/>
    <w:rPr>
      <w:rFonts w:eastAsia="Times New Roman" w:cs="Times New Roman"/>
      <w:sz w:val="22"/>
      <w:lang w:eastAsia="en-AU"/>
    </w:rPr>
  </w:style>
  <w:style w:type="character" w:customStyle="1" w:styleId="notetextChar">
    <w:name w:val="note(text) Char"/>
    <w:aliases w:val="n Char"/>
    <w:basedOn w:val="DefaultParagraphFont"/>
    <w:link w:val="notetext"/>
    <w:rsid w:val="004128EF"/>
    <w:rPr>
      <w:rFonts w:eastAsia="Times New Roman" w:cs="Times New Roman"/>
      <w:sz w:val="18"/>
      <w:lang w:eastAsia="en-AU"/>
    </w:rPr>
  </w:style>
  <w:style w:type="character" w:customStyle="1" w:styleId="Heading1Char">
    <w:name w:val="Heading 1 Char"/>
    <w:basedOn w:val="DefaultParagraphFont"/>
    <w:link w:val="Heading1"/>
    <w:uiPriority w:val="9"/>
    <w:rsid w:val="004128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128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128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128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128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128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128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128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128EF"/>
    <w:rPr>
      <w:rFonts w:asciiTheme="majorHAnsi" w:eastAsiaTheme="majorEastAsia" w:hAnsiTheme="majorHAnsi" w:cstheme="majorBidi"/>
      <w:i/>
      <w:iCs/>
      <w:color w:val="404040" w:themeColor="text1" w:themeTint="BF"/>
    </w:rPr>
  </w:style>
  <w:style w:type="paragraph" w:styleId="NoSpacing">
    <w:name w:val="No Spacing"/>
    <w:uiPriority w:val="1"/>
    <w:qFormat/>
    <w:rsid w:val="00300F4A"/>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1900"/>
    <w:pPr>
      <w:spacing w:line="260" w:lineRule="atLeast"/>
    </w:pPr>
    <w:rPr>
      <w:sz w:val="22"/>
    </w:rPr>
  </w:style>
  <w:style w:type="paragraph" w:styleId="Heading1">
    <w:name w:val="heading 1"/>
    <w:basedOn w:val="Normal"/>
    <w:next w:val="Normal"/>
    <w:link w:val="Heading1Char"/>
    <w:uiPriority w:val="9"/>
    <w:qFormat/>
    <w:rsid w:val="004128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128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28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28E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28E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28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28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28E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128E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41900"/>
  </w:style>
  <w:style w:type="paragraph" w:customStyle="1" w:styleId="OPCParaBase">
    <w:name w:val="OPCParaBase"/>
    <w:qFormat/>
    <w:rsid w:val="00141900"/>
    <w:pPr>
      <w:spacing w:line="260" w:lineRule="atLeast"/>
    </w:pPr>
    <w:rPr>
      <w:rFonts w:eastAsia="Times New Roman" w:cs="Times New Roman"/>
      <w:sz w:val="22"/>
      <w:lang w:eastAsia="en-AU"/>
    </w:rPr>
  </w:style>
  <w:style w:type="paragraph" w:customStyle="1" w:styleId="ShortT">
    <w:name w:val="ShortT"/>
    <w:basedOn w:val="OPCParaBase"/>
    <w:next w:val="Normal"/>
    <w:qFormat/>
    <w:rsid w:val="00141900"/>
    <w:pPr>
      <w:spacing w:line="240" w:lineRule="auto"/>
    </w:pPr>
    <w:rPr>
      <w:b/>
      <w:sz w:val="40"/>
    </w:rPr>
  </w:style>
  <w:style w:type="paragraph" w:customStyle="1" w:styleId="ActHead1">
    <w:name w:val="ActHead 1"/>
    <w:aliases w:val="c"/>
    <w:basedOn w:val="OPCParaBase"/>
    <w:next w:val="Normal"/>
    <w:qFormat/>
    <w:rsid w:val="001419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19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19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19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419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19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19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19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19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41900"/>
  </w:style>
  <w:style w:type="paragraph" w:customStyle="1" w:styleId="Blocks">
    <w:name w:val="Blocks"/>
    <w:aliases w:val="bb"/>
    <w:basedOn w:val="OPCParaBase"/>
    <w:qFormat/>
    <w:rsid w:val="00141900"/>
    <w:pPr>
      <w:spacing w:line="240" w:lineRule="auto"/>
    </w:pPr>
    <w:rPr>
      <w:sz w:val="24"/>
    </w:rPr>
  </w:style>
  <w:style w:type="paragraph" w:customStyle="1" w:styleId="BoxText">
    <w:name w:val="BoxText"/>
    <w:aliases w:val="bt"/>
    <w:basedOn w:val="OPCParaBase"/>
    <w:qFormat/>
    <w:rsid w:val="001419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1900"/>
    <w:rPr>
      <w:b/>
    </w:rPr>
  </w:style>
  <w:style w:type="paragraph" w:customStyle="1" w:styleId="BoxHeadItalic">
    <w:name w:val="BoxHeadItalic"/>
    <w:aliases w:val="bhi"/>
    <w:basedOn w:val="BoxText"/>
    <w:next w:val="BoxStep"/>
    <w:qFormat/>
    <w:rsid w:val="00141900"/>
    <w:rPr>
      <w:i/>
    </w:rPr>
  </w:style>
  <w:style w:type="paragraph" w:customStyle="1" w:styleId="BoxList">
    <w:name w:val="BoxList"/>
    <w:aliases w:val="bl"/>
    <w:basedOn w:val="BoxText"/>
    <w:qFormat/>
    <w:rsid w:val="00141900"/>
    <w:pPr>
      <w:ind w:left="1559" w:hanging="425"/>
    </w:pPr>
  </w:style>
  <w:style w:type="paragraph" w:customStyle="1" w:styleId="BoxNote">
    <w:name w:val="BoxNote"/>
    <w:aliases w:val="bn"/>
    <w:basedOn w:val="BoxText"/>
    <w:qFormat/>
    <w:rsid w:val="00141900"/>
    <w:pPr>
      <w:tabs>
        <w:tab w:val="left" w:pos="1985"/>
      </w:tabs>
      <w:spacing w:before="122" w:line="198" w:lineRule="exact"/>
      <w:ind w:left="2948" w:hanging="1814"/>
    </w:pPr>
    <w:rPr>
      <w:sz w:val="18"/>
    </w:rPr>
  </w:style>
  <w:style w:type="paragraph" w:customStyle="1" w:styleId="BoxPara">
    <w:name w:val="BoxPara"/>
    <w:aliases w:val="bp"/>
    <w:basedOn w:val="BoxText"/>
    <w:qFormat/>
    <w:rsid w:val="00141900"/>
    <w:pPr>
      <w:tabs>
        <w:tab w:val="right" w:pos="2268"/>
      </w:tabs>
      <w:ind w:left="2552" w:hanging="1418"/>
    </w:pPr>
  </w:style>
  <w:style w:type="paragraph" w:customStyle="1" w:styleId="BoxStep">
    <w:name w:val="BoxStep"/>
    <w:aliases w:val="bs"/>
    <w:basedOn w:val="BoxText"/>
    <w:qFormat/>
    <w:rsid w:val="00141900"/>
    <w:pPr>
      <w:ind w:left="1985" w:hanging="851"/>
    </w:pPr>
  </w:style>
  <w:style w:type="character" w:customStyle="1" w:styleId="CharAmPartNo">
    <w:name w:val="CharAmPartNo"/>
    <w:basedOn w:val="OPCCharBase"/>
    <w:qFormat/>
    <w:rsid w:val="00141900"/>
  </w:style>
  <w:style w:type="character" w:customStyle="1" w:styleId="CharAmPartText">
    <w:name w:val="CharAmPartText"/>
    <w:basedOn w:val="OPCCharBase"/>
    <w:qFormat/>
    <w:rsid w:val="00141900"/>
  </w:style>
  <w:style w:type="character" w:customStyle="1" w:styleId="CharAmSchNo">
    <w:name w:val="CharAmSchNo"/>
    <w:basedOn w:val="OPCCharBase"/>
    <w:qFormat/>
    <w:rsid w:val="00141900"/>
  </w:style>
  <w:style w:type="character" w:customStyle="1" w:styleId="CharAmSchText">
    <w:name w:val="CharAmSchText"/>
    <w:basedOn w:val="OPCCharBase"/>
    <w:qFormat/>
    <w:rsid w:val="00141900"/>
  </w:style>
  <w:style w:type="character" w:customStyle="1" w:styleId="CharBoldItalic">
    <w:name w:val="CharBoldItalic"/>
    <w:basedOn w:val="OPCCharBase"/>
    <w:uiPriority w:val="1"/>
    <w:qFormat/>
    <w:rsid w:val="00141900"/>
    <w:rPr>
      <w:b/>
      <w:i/>
    </w:rPr>
  </w:style>
  <w:style w:type="character" w:customStyle="1" w:styleId="CharChapNo">
    <w:name w:val="CharChapNo"/>
    <w:basedOn w:val="OPCCharBase"/>
    <w:uiPriority w:val="1"/>
    <w:qFormat/>
    <w:rsid w:val="00141900"/>
  </w:style>
  <w:style w:type="character" w:customStyle="1" w:styleId="CharChapText">
    <w:name w:val="CharChapText"/>
    <w:basedOn w:val="OPCCharBase"/>
    <w:uiPriority w:val="1"/>
    <w:qFormat/>
    <w:rsid w:val="00141900"/>
  </w:style>
  <w:style w:type="character" w:customStyle="1" w:styleId="CharDivNo">
    <w:name w:val="CharDivNo"/>
    <w:basedOn w:val="OPCCharBase"/>
    <w:uiPriority w:val="1"/>
    <w:qFormat/>
    <w:rsid w:val="00141900"/>
  </w:style>
  <w:style w:type="character" w:customStyle="1" w:styleId="CharDivText">
    <w:name w:val="CharDivText"/>
    <w:basedOn w:val="OPCCharBase"/>
    <w:uiPriority w:val="1"/>
    <w:qFormat/>
    <w:rsid w:val="00141900"/>
  </w:style>
  <w:style w:type="character" w:customStyle="1" w:styleId="CharItalic">
    <w:name w:val="CharItalic"/>
    <w:basedOn w:val="OPCCharBase"/>
    <w:uiPriority w:val="1"/>
    <w:qFormat/>
    <w:rsid w:val="00141900"/>
    <w:rPr>
      <w:i/>
    </w:rPr>
  </w:style>
  <w:style w:type="character" w:customStyle="1" w:styleId="CharPartNo">
    <w:name w:val="CharPartNo"/>
    <w:basedOn w:val="OPCCharBase"/>
    <w:uiPriority w:val="1"/>
    <w:qFormat/>
    <w:rsid w:val="00141900"/>
  </w:style>
  <w:style w:type="character" w:customStyle="1" w:styleId="CharPartText">
    <w:name w:val="CharPartText"/>
    <w:basedOn w:val="OPCCharBase"/>
    <w:uiPriority w:val="1"/>
    <w:qFormat/>
    <w:rsid w:val="00141900"/>
  </w:style>
  <w:style w:type="character" w:customStyle="1" w:styleId="CharSectno">
    <w:name w:val="CharSectno"/>
    <w:basedOn w:val="OPCCharBase"/>
    <w:qFormat/>
    <w:rsid w:val="00141900"/>
  </w:style>
  <w:style w:type="character" w:customStyle="1" w:styleId="CharSubdNo">
    <w:name w:val="CharSubdNo"/>
    <w:basedOn w:val="OPCCharBase"/>
    <w:uiPriority w:val="1"/>
    <w:qFormat/>
    <w:rsid w:val="00141900"/>
  </w:style>
  <w:style w:type="character" w:customStyle="1" w:styleId="CharSubdText">
    <w:name w:val="CharSubdText"/>
    <w:basedOn w:val="OPCCharBase"/>
    <w:uiPriority w:val="1"/>
    <w:qFormat/>
    <w:rsid w:val="00141900"/>
  </w:style>
  <w:style w:type="paragraph" w:customStyle="1" w:styleId="CTA--">
    <w:name w:val="CTA --"/>
    <w:basedOn w:val="OPCParaBase"/>
    <w:next w:val="Normal"/>
    <w:rsid w:val="00141900"/>
    <w:pPr>
      <w:spacing w:before="60" w:line="240" w:lineRule="atLeast"/>
      <w:ind w:left="142" w:hanging="142"/>
    </w:pPr>
    <w:rPr>
      <w:sz w:val="20"/>
    </w:rPr>
  </w:style>
  <w:style w:type="paragraph" w:customStyle="1" w:styleId="CTA-">
    <w:name w:val="CTA -"/>
    <w:basedOn w:val="OPCParaBase"/>
    <w:rsid w:val="00141900"/>
    <w:pPr>
      <w:spacing w:before="60" w:line="240" w:lineRule="atLeast"/>
      <w:ind w:left="85" w:hanging="85"/>
    </w:pPr>
    <w:rPr>
      <w:sz w:val="20"/>
    </w:rPr>
  </w:style>
  <w:style w:type="paragraph" w:customStyle="1" w:styleId="CTA---">
    <w:name w:val="CTA ---"/>
    <w:basedOn w:val="OPCParaBase"/>
    <w:next w:val="Normal"/>
    <w:rsid w:val="00141900"/>
    <w:pPr>
      <w:spacing w:before="60" w:line="240" w:lineRule="atLeast"/>
      <w:ind w:left="198" w:hanging="198"/>
    </w:pPr>
    <w:rPr>
      <w:sz w:val="20"/>
    </w:rPr>
  </w:style>
  <w:style w:type="paragraph" w:customStyle="1" w:styleId="CTA----">
    <w:name w:val="CTA ----"/>
    <w:basedOn w:val="OPCParaBase"/>
    <w:next w:val="Normal"/>
    <w:rsid w:val="00141900"/>
    <w:pPr>
      <w:spacing w:before="60" w:line="240" w:lineRule="atLeast"/>
      <w:ind w:left="255" w:hanging="255"/>
    </w:pPr>
    <w:rPr>
      <w:sz w:val="20"/>
    </w:rPr>
  </w:style>
  <w:style w:type="paragraph" w:customStyle="1" w:styleId="CTA1a">
    <w:name w:val="CTA 1(a)"/>
    <w:basedOn w:val="OPCParaBase"/>
    <w:rsid w:val="00141900"/>
    <w:pPr>
      <w:tabs>
        <w:tab w:val="right" w:pos="414"/>
      </w:tabs>
      <w:spacing w:before="40" w:line="240" w:lineRule="atLeast"/>
      <w:ind w:left="675" w:hanging="675"/>
    </w:pPr>
    <w:rPr>
      <w:sz w:val="20"/>
    </w:rPr>
  </w:style>
  <w:style w:type="paragraph" w:customStyle="1" w:styleId="CTA1ai">
    <w:name w:val="CTA 1(a)(i)"/>
    <w:basedOn w:val="OPCParaBase"/>
    <w:rsid w:val="00141900"/>
    <w:pPr>
      <w:tabs>
        <w:tab w:val="right" w:pos="1004"/>
      </w:tabs>
      <w:spacing w:before="40" w:line="240" w:lineRule="atLeast"/>
      <w:ind w:left="1253" w:hanging="1253"/>
    </w:pPr>
    <w:rPr>
      <w:sz w:val="20"/>
    </w:rPr>
  </w:style>
  <w:style w:type="paragraph" w:customStyle="1" w:styleId="CTA2a">
    <w:name w:val="CTA 2(a)"/>
    <w:basedOn w:val="OPCParaBase"/>
    <w:rsid w:val="00141900"/>
    <w:pPr>
      <w:tabs>
        <w:tab w:val="right" w:pos="482"/>
      </w:tabs>
      <w:spacing w:before="40" w:line="240" w:lineRule="atLeast"/>
      <w:ind w:left="748" w:hanging="748"/>
    </w:pPr>
    <w:rPr>
      <w:sz w:val="20"/>
    </w:rPr>
  </w:style>
  <w:style w:type="paragraph" w:customStyle="1" w:styleId="CTA2ai">
    <w:name w:val="CTA 2(a)(i)"/>
    <w:basedOn w:val="OPCParaBase"/>
    <w:rsid w:val="00141900"/>
    <w:pPr>
      <w:tabs>
        <w:tab w:val="right" w:pos="1089"/>
      </w:tabs>
      <w:spacing w:before="40" w:line="240" w:lineRule="atLeast"/>
      <w:ind w:left="1327" w:hanging="1327"/>
    </w:pPr>
    <w:rPr>
      <w:sz w:val="20"/>
    </w:rPr>
  </w:style>
  <w:style w:type="paragraph" w:customStyle="1" w:styleId="CTA3a">
    <w:name w:val="CTA 3(a)"/>
    <w:basedOn w:val="OPCParaBase"/>
    <w:rsid w:val="00141900"/>
    <w:pPr>
      <w:tabs>
        <w:tab w:val="right" w:pos="556"/>
      </w:tabs>
      <w:spacing w:before="40" w:line="240" w:lineRule="atLeast"/>
      <w:ind w:left="805" w:hanging="805"/>
    </w:pPr>
    <w:rPr>
      <w:sz w:val="20"/>
    </w:rPr>
  </w:style>
  <w:style w:type="paragraph" w:customStyle="1" w:styleId="CTA3ai">
    <w:name w:val="CTA 3(a)(i)"/>
    <w:basedOn w:val="OPCParaBase"/>
    <w:rsid w:val="00141900"/>
    <w:pPr>
      <w:tabs>
        <w:tab w:val="right" w:pos="1140"/>
      </w:tabs>
      <w:spacing w:before="40" w:line="240" w:lineRule="atLeast"/>
      <w:ind w:left="1361" w:hanging="1361"/>
    </w:pPr>
    <w:rPr>
      <w:sz w:val="20"/>
    </w:rPr>
  </w:style>
  <w:style w:type="paragraph" w:customStyle="1" w:styleId="CTA4a">
    <w:name w:val="CTA 4(a)"/>
    <w:basedOn w:val="OPCParaBase"/>
    <w:rsid w:val="00141900"/>
    <w:pPr>
      <w:tabs>
        <w:tab w:val="right" w:pos="624"/>
      </w:tabs>
      <w:spacing w:before="40" w:line="240" w:lineRule="atLeast"/>
      <w:ind w:left="873" w:hanging="873"/>
    </w:pPr>
    <w:rPr>
      <w:sz w:val="20"/>
    </w:rPr>
  </w:style>
  <w:style w:type="paragraph" w:customStyle="1" w:styleId="CTA4ai">
    <w:name w:val="CTA 4(a)(i)"/>
    <w:basedOn w:val="OPCParaBase"/>
    <w:rsid w:val="00141900"/>
    <w:pPr>
      <w:tabs>
        <w:tab w:val="right" w:pos="1213"/>
      </w:tabs>
      <w:spacing w:before="40" w:line="240" w:lineRule="atLeast"/>
      <w:ind w:left="1452" w:hanging="1452"/>
    </w:pPr>
    <w:rPr>
      <w:sz w:val="20"/>
    </w:rPr>
  </w:style>
  <w:style w:type="paragraph" w:customStyle="1" w:styleId="CTACAPS">
    <w:name w:val="CTA CAPS"/>
    <w:basedOn w:val="OPCParaBase"/>
    <w:rsid w:val="00141900"/>
    <w:pPr>
      <w:spacing w:before="60" w:line="240" w:lineRule="atLeast"/>
    </w:pPr>
    <w:rPr>
      <w:sz w:val="20"/>
    </w:rPr>
  </w:style>
  <w:style w:type="paragraph" w:customStyle="1" w:styleId="CTAright">
    <w:name w:val="CTA right"/>
    <w:basedOn w:val="OPCParaBase"/>
    <w:rsid w:val="00141900"/>
    <w:pPr>
      <w:spacing w:before="60" w:line="240" w:lineRule="auto"/>
      <w:jc w:val="right"/>
    </w:pPr>
    <w:rPr>
      <w:sz w:val="20"/>
    </w:rPr>
  </w:style>
  <w:style w:type="paragraph" w:customStyle="1" w:styleId="subsection">
    <w:name w:val="subsection"/>
    <w:aliases w:val="ss"/>
    <w:basedOn w:val="OPCParaBase"/>
    <w:link w:val="subsectionChar"/>
    <w:rsid w:val="00141900"/>
    <w:pPr>
      <w:tabs>
        <w:tab w:val="right" w:pos="1021"/>
      </w:tabs>
      <w:spacing w:before="180" w:line="240" w:lineRule="auto"/>
      <w:ind w:left="1134" w:hanging="1134"/>
    </w:pPr>
  </w:style>
  <w:style w:type="paragraph" w:customStyle="1" w:styleId="Definition">
    <w:name w:val="Definition"/>
    <w:aliases w:val="dd"/>
    <w:basedOn w:val="OPCParaBase"/>
    <w:rsid w:val="00141900"/>
    <w:pPr>
      <w:spacing w:before="180" w:line="240" w:lineRule="auto"/>
      <w:ind w:left="1134"/>
    </w:pPr>
  </w:style>
  <w:style w:type="paragraph" w:customStyle="1" w:styleId="ETAsubitem">
    <w:name w:val="ETA(subitem)"/>
    <w:basedOn w:val="OPCParaBase"/>
    <w:rsid w:val="00141900"/>
    <w:pPr>
      <w:tabs>
        <w:tab w:val="right" w:pos="340"/>
      </w:tabs>
      <w:spacing w:before="60" w:line="240" w:lineRule="auto"/>
      <w:ind w:left="454" w:hanging="454"/>
    </w:pPr>
    <w:rPr>
      <w:sz w:val="20"/>
    </w:rPr>
  </w:style>
  <w:style w:type="paragraph" w:customStyle="1" w:styleId="ETApara">
    <w:name w:val="ETA(para)"/>
    <w:basedOn w:val="OPCParaBase"/>
    <w:rsid w:val="00141900"/>
    <w:pPr>
      <w:tabs>
        <w:tab w:val="right" w:pos="754"/>
      </w:tabs>
      <w:spacing w:before="60" w:line="240" w:lineRule="auto"/>
      <w:ind w:left="828" w:hanging="828"/>
    </w:pPr>
    <w:rPr>
      <w:sz w:val="20"/>
    </w:rPr>
  </w:style>
  <w:style w:type="paragraph" w:customStyle="1" w:styleId="ETAsubpara">
    <w:name w:val="ETA(subpara)"/>
    <w:basedOn w:val="OPCParaBase"/>
    <w:rsid w:val="00141900"/>
    <w:pPr>
      <w:tabs>
        <w:tab w:val="right" w:pos="1083"/>
      </w:tabs>
      <w:spacing w:before="60" w:line="240" w:lineRule="auto"/>
      <w:ind w:left="1191" w:hanging="1191"/>
    </w:pPr>
    <w:rPr>
      <w:sz w:val="20"/>
    </w:rPr>
  </w:style>
  <w:style w:type="paragraph" w:customStyle="1" w:styleId="ETAsub-subpara">
    <w:name w:val="ETA(sub-subpara)"/>
    <w:basedOn w:val="OPCParaBase"/>
    <w:rsid w:val="00141900"/>
    <w:pPr>
      <w:tabs>
        <w:tab w:val="right" w:pos="1412"/>
      </w:tabs>
      <w:spacing w:before="60" w:line="240" w:lineRule="auto"/>
      <w:ind w:left="1525" w:hanging="1525"/>
    </w:pPr>
    <w:rPr>
      <w:sz w:val="20"/>
    </w:rPr>
  </w:style>
  <w:style w:type="paragraph" w:customStyle="1" w:styleId="Formula">
    <w:name w:val="Formula"/>
    <w:basedOn w:val="OPCParaBase"/>
    <w:rsid w:val="00141900"/>
    <w:pPr>
      <w:spacing w:line="240" w:lineRule="auto"/>
      <w:ind w:left="1134"/>
    </w:pPr>
    <w:rPr>
      <w:sz w:val="20"/>
    </w:rPr>
  </w:style>
  <w:style w:type="paragraph" w:styleId="Header">
    <w:name w:val="header"/>
    <w:basedOn w:val="OPCParaBase"/>
    <w:link w:val="HeaderChar"/>
    <w:unhideWhenUsed/>
    <w:rsid w:val="001419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1900"/>
    <w:rPr>
      <w:rFonts w:eastAsia="Times New Roman" w:cs="Times New Roman"/>
      <w:sz w:val="16"/>
      <w:lang w:eastAsia="en-AU"/>
    </w:rPr>
  </w:style>
  <w:style w:type="paragraph" w:customStyle="1" w:styleId="House">
    <w:name w:val="House"/>
    <w:basedOn w:val="OPCParaBase"/>
    <w:rsid w:val="00141900"/>
    <w:pPr>
      <w:spacing w:line="240" w:lineRule="auto"/>
    </w:pPr>
    <w:rPr>
      <w:sz w:val="28"/>
    </w:rPr>
  </w:style>
  <w:style w:type="paragraph" w:customStyle="1" w:styleId="Item">
    <w:name w:val="Item"/>
    <w:aliases w:val="i"/>
    <w:basedOn w:val="OPCParaBase"/>
    <w:next w:val="ItemHead"/>
    <w:rsid w:val="00141900"/>
    <w:pPr>
      <w:keepLines/>
      <w:spacing w:before="80" w:line="240" w:lineRule="auto"/>
      <w:ind w:left="709"/>
    </w:pPr>
  </w:style>
  <w:style w:type="paragraph" w:customStyle="1" w:styleId="ItemHead">
    <w:name w:val="ItemHead"/>
    <w:aliases w:val="ih"/>
    <w:basedOn w:val="OPCParaBase"/>
    <w:next w:val="Item"/>
    <w:rsid w:val="0014190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1900"/>
    <w:pPr>
      <w:spacing w:line="240" w:lineRule="auto"/>
    </w:pPr>
    <w:rPr>
      <w:b/>
      <w:sz w:val="32"/>
    </w:rPr>
  </w:style>
  <w:style w:type="paragraph" w:customStyle="1" w:styleId="notedraft">
    <w:name w:val="note(draft)"/>
    <w:aliases w:val="nd"/>
    <w:basedOn w:val="OPCParaBase"/>
    <w:rsid w:val="00141900"/>
    <w:pPr>
      <w:spacing w:before="240" w:line="240" w:lineRule="auto"/>
      <w:ind w:left="284" w:hanging="284"/>
    </w:pPr>
    <w:rPr>
      <w:i/>
      <w:sz w:val="24"/>
    </w:rPr>
  </w:style>
  <w:style w:type="paragraph" w:customStyle="1" w:styleId="notemargin">
    <w:name w:val="note(margin)"/>
    <w:aliases w:val="nm"/>
    <w:basedOn w:val="OPCParaBase"/>
    <w:rsid w:val="00141900"/>
    <w:pPr>
      <w:tabs>
        <w:tab w:val="left" w:pos="709"/>
      </w:tabs>
      <w:spacing w:before="122" w:line="198" w:lineRule="exact"/>
      <w:ind w:left="709" w:hanging="709"/>
    </w:pPr>
    <w:rPr>
      <w:sz w:val="18"/>
    </w:rPr>
  </w:style>
  <w:style w:type="paragraph" w:customStyle="1" w:styleId="noteToPara">
    <w:name w:val="noteToPara"/>
    <w:aliases w:val="ntp"/>
    <w:basedOn w:val="OPCParaBase"/>
    <w:rsid w:val="00141900"/>
    <w:pPr>
      <w:spacing w:before="122" w:line="198" w:lineRule="exact"/>
      <w:ind w:left="2353" w:hanging="709"/>
    </w:pPr>
    <w:rPr>
      <w:sz w:val="18"/>
    </w:rPr>
  </w:style>
  <w:style w:type="paragraph" w:customStyle="1" w:styleId="noteParlAmend">
    <w:name w:val="note(ParlAmend)"/>
    <w:aliases w:val="npp"/>
    <w:basedOn w:val="OPCParaBase"/>
    <w:next w:val="ParlAmend"/>
    <w:rsid w:val="00141900"/>
    <w:pPr>
      <w:spacing w:line="240" w:lineRule="auto"/>
      <w:jc w:val="right"/>
    </w:pPr>
    <w:rPr>
      <w:rFonts w:ascii="Arial" w:hAnsi="Arial"/>
      <w:b/>
      <w:i/>
    </w:rPr>
  </w:style>
  <w:style w:type="paragraph" w:customStyle="1" w:styleId="Page1">
    <w:name w:val="Page1"/>
    <w:basedOn w:val="OPCParaBase"/>
    <w:rsid w:val="00141900"/>
    <w:pPr>
      <w:spacing w:before="5600" w:line="240" w:lineRule="auto"/>
    </w:pPr>
    <w:rPr>
      <w:b/>
      <w:sz w:val="32"/>
    </w:rPr>
  </w:style>
  <w:style w:type="paragraph" w:customStyle="1" w:styleId="PageBreak">
    <w:name w:val="PageBreak"/>
    <w:aliases w:val="pb"/>
    <w:basedOn w:val="OPCParaBase"/>
    <w:rsid w:val="00141900"/>
    <w:pPr>
      <w:spacing w:line="240" w:lineRule="auto"/>
    </w:pPr>
    <w:rPr>
      <w:sz w:val="20"/>
    </w:rPr>
  </w:style>
  <w:style w:type="paragraph" w:customStyle="1" w:styleId="paragraphsub">
    <w:name w:val="paragraph(sub)"/>
    <w:aliases w:val="aa"/>
    <w:basedOn w:val="OPCParaBase"/>
    <w:rsid w:val="00141900"/>
    <w:pPr>
      <w:tabs>
        <w:tab w:val="right" w:pos="1985"/>
      </w:tabs>
      <w:spacing w:before="40" w:line="240" w:lineRule="auto"/>
      <w:ind w:left="2098" w:hanging="2098"/>
    </w:pPr>
  </w:style>
  <w:style w:type="paragraph" w:customStyle="1" w:styleId="paragraphsub-sub">
    <w:name w:val="paragraph(sub-sub)"/>
    <w:aliases w:val="aaa"/>
    <w:basedOn w:val="OPCParaBase"/>
    <w:rsid w:val="00141900"/>
    <w:pPr>
      <w:tabs>
        <w:tab w:val="right" w:pos="2722"/>
      </w:tabs>
      <w:spacing w:before="40" w:line="240" w:lineRule="auto"/>
      <w:ind w:left="2835" w:hanging="2835"/>
    </w:pPr>
  </w:style>
  <w:style w:type="paragraph" w:customStyle="1" w:styleId="paragraph">
    <w:name w:val="paragraph"/>
    <w:aliases w:val="a"/>
    <w:basedOn w:val="OPCParaBase"/>
    <w:rsid w:val="00141900"/>
    <w:pPr>
      <w:tabs>
        <w:tab w:val="right" w:pos="1531"/>
      </w:tabs>
      <w:spacing w:before="40" w:line="240" w:lineRule="auto"/>
      <w:ind w:left="1644" w:hanging="1644"/>
    </w:pPr>
  </w:style>
  <w:style w:type="paragraph" w:customStyle="1" w:styleId="ParlAmend">
    <w:name w:val="ParlAmend"/>
    <w:aliases w:val="pp"/>
    <w:basedOn w:val="OPCParaBase"/>
    <w:rsid w:val="00141900"/>
    <w:pPr>
      <w:spacing w:before="240" w:line="240" w:lineRule="atLeast"/>
      <w:ind w:hanging="567"/>
    </w:pPr>
    <w:rPr>
      <w:sz w:val="24"/>
    </w:rPr>
  </w:style>
  <w:style w:type="paragraph" w:customStyle="1" w:styleId="Penalty">
    <w:name w:val="Penalty"/>
    <w:basedOn w:val="OPCParaBase"/>
    <w:rsid w:val="00141900"/>
    <w:pPr>
      <w:tabs>
        <w:tab w:val="left" w:pos="2977"/>
      </w:tabs>
      <w:spacing w:before="180" w:line="240" w:lineRule="auto"/>
      <w:ind w:left="1985" w:hanging="851"/>
    </w:pPr>
  </w:style>
  <w:style w:type="paragraph" w:customStyle="1" w:styleId="Portfolio">
    <w:name w:val="Portfolio"/>
    <w:basedOn w:val="OPCParaBase"/>
    <w:rsid w:val="00141900"/>
    <w:pPr>
      <w:spacing w:line="240" w:lineRule="auto"/>
    </w:pPr>
    <w:rPr>
      <w:i/>
      <w:sz w:val="20"/>
    </w:rPr>
  </w:style>
  <w:style w:type="paragraph" w:customStyle="1" w:styleId="Preamble">
    <w:name w:val="Preamble"/>
    <w:basedOn w:val="OPCParaBase"/>
    <w:next w:val="Normal"/>
    <w:rsid w:val="001419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1900"/>
    <w:pPr>
      <w:spacing w:line="240" w:lineRule="auto"/>
    </w:pPr>
    <w:rPr>
      <w:i/>
      <w:sz w:val="20"/>
    </w:rPr>
  </w:style>
  <w:style w:type="paragraph" w:customStyle="1" w:styleId="Session">
    <w:name w:val="Session"/>
    <w:basedOn w:val="OPCParaBase"/>
    <w:rsid w:val="00141900"/>
    <w:pPr>
      <w:spacing w:line="240" w:lineRule="auto"/>
    </w:pPr>
    <w:rPr>
      <w:sz w:val="28"/>
    </w:rPr>
  </w:style>
  <w:style w:type="paragraph" w:customStyle="1" w:styleId="Sponsor">
    <w:name w:val="Sponsor"/>
    <w:basedOn w:val="OPCParaBase"/>
    <w:rsid w:val="00141900"/>
    <w:pPr>
      <w:spacing w:line="240" w:lineRule="auto"/>
    </w:pPr>
    <w:rPr>
      <w:i/>
    </w:rPr>
  </w:style>
  <w:style w:type="paragraph" w:customStyle="1" w:styleId="Subitem">
    <w:name w:val="Subitem"/>
    <w:aliases w:val="iss"/>
    <w:basedOn w:val="OPCParaBase"/>
    <w:rsid w:val="00141900"/>
    <w:pPr>
      <w:spacing w:before="180" w:line="240" w:lineRule="auto"/>
      <w:ind w:left="709" w:hanging="709"/>
    </w:pPr>
  </w:style>
  <w:style w:type="paragraph" w:customStyle="1" w:styleId="SubitemHead">
    <w:name w:val="SubitemHead"/>
    <w:aliases w:val="issh"/>
    <w:basedOn w:val="OPCParaBase"/>
    <w:rsid w:val="001419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1900"/>
    <w:pPr>
      <w:spacing w:before="40" w:line="240" w:lineRule="auto"/>
      <w:ind w:left="1134"/>
    </w:pPr>
  </w:style>
  <w:style w:type="paragraph" w:customStyle="1" w:styleId="SubsectionHead">
    <w:name w:val="SubsectionHead"/>
    <w:aliases w:val="ssh"/>
    <w:basedOn w:val="OPCParaBase"/>
    <w:next w:val="subsection"/>
    <w:rsid w:val="00141900"/>
    <w:pPr>
      <w:keepNext/>
      <w:keepLines/>
      <w:spacing w:before="240" w:line="240" w:lineRule="auto"/>
      <w:ind w:left="1134"/>
    </w:pPr>
    <w:rPr>
      <w:i/>
    </w:rPr>
  </w:style>
  <w:style w:type="paragraph" w:customStyle="1" w:styleId="Tablea">
    <w:name w:val="Table(a)"/>
    <w:aliases w:val="ta"/>
    <w:basedOn w:val="OPCParaBase"/>
    <w:rsid w:val="00141900"/>
    <w:pPr>
      <w:spacing w:before="60" w:line="240" w:lineRule="auto"/>
      <w:ind w:left="284" w:hanging="284"/>
    </w:pPr>
    <w:rPr>
      <w:sz w:val="20"/>
    </w:rPr>
  </w:style>
  <w:style w:type="paragraph" w:customStyle="1" w:styleId="TableAA">
    <w:name w:val="Table(AA)"/>
    <w:aliases w:val="taaa"/>
    <w:basedOn w:val="OPCParaBase"/>
    <w:rsid w:val="001419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19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1900"/>
    <w:pPr>
      <w:spacing w:before="60" w:line="240" w:lineRule="atLeast"/>
    </w:pPr>
    <w:rPr>
      <w:sz w:val="20"/>
    </w:rPr>
  </w:style>
  <w:style w:type="paragraph" w:customStyle="1" w:styleId="TLPBoxTextnote">
    <w:name w:val="TLPBoxText(note"/>
    <w:aliases w:val="right)"/>
    <w:basedOn w:val="OPCParaBase"/>
    <w:rsid w:val="001419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190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1900"/>
    <w:pPr>
      <w:spacing w:before="122" w:line="198" w:lineRule="exact"/>
      <w:ind w:left="1985" w:hanging="851"/>
      <w:jc w:val="right"/>
    </w:pPr>
    <w:rPr>
      <w:sz w:val="18"/>
    </w:rPr>
  </w:style>
  <w:style w:type="paragraph" w:customStyle="1" w:styleId="TLPTableBullet">
    <w:name w:val="TLPTableBullet"/>
    <w:aliases w:val="ttb"/>
    <w:basedOn w:val="OPCParaBase"/>
    <w:rsid w:val="00141900"/>
    <w:pPr>
      <w:spacing w:line="240" w:lineRule="exact"/>
      <w:ind w:left="284" w:hanging="284"/>
    </w:pPr>
    <w:rPr>
      <w:sz w:val="20"/>
    </w:rPr>
  </w:style>
  <w:style w:type="paragraph" w:styleId="TOC1">
    <w:name w:val="toc 1"/>
    <w:basedOn w:val="OPCParaBase"/>
    <w:next w:val="Normal"/>
    <w:uiPriority w:val="39"/>
    <w:semiHidden/>
    <w:unhideWhenUsed/>
    <w:rsid w:val="0014190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4190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4190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4190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4190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4190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4190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4190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190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1900"/>
    <w:pPr>
      <w:keepLines/>
      <w:spacing w:before="240" w:after="120" w:line="240" w:lineRule="auto"/>
      <w:ind w:left="794"/>
    </w:pPr>
    <w:rPr>
      <w:b/>
      <w:kern w:val="28"/>
      <w:sz w:val="20"/>
    </w:rPr>
  </w:style>
  <w:style w:type="paragraph" w:customStyle="1" w:styleId="TofSectsHeading">
    <w:name w:val="TofSects(Heading)"/>
    <w:basedOn w:val="OPCParaBase"/>
    <w:rsid w:val="00141900"/>
    <w:pPr>
      <w:spacing w:before="240" w:after="120" w:line="240" w:lineRule="auto"/>
    </w:pPr>
    <w:rPr>
      <w:b/>
      <w:sz w:val="24"/>
    </w:rPr>
  </w:style>
  <w:style w:type="paragraph" w:customStyle="1" w:styleId="TofSectsSection">
    <w:name w:val="TofSects(Section)"/>
    <w:basedOn w:val="OPCParaBase"/>
    <w:rsid w:val="00141900"/>
    <w:pPr>
      <w:keepLines/>
      <w:spacing w:before="40" w:line="240" w:lineRule="auto"/>
      <w:ind w:left="1588" w:hanging="794"/>
    </w:pPr>
    <w:rPr>
      <w:kern w:val="28"/>
      <w:sz w:val="18"/>
    </w:rPr>
  </w:style>
  <w:style w:type="paragraph" w:customStyle="1" w:styleId="TofSectsSubdiv">
    <w:name w:val="TofSects(Subdiv)"/>
    <w:basedOn w:val="OPCParaBase"/>
    <w:rsid w:val="00141900"/>
    <w:pPr>
      <w:keepLines/>
      <w:spacing w:before="80" w:line="240" w:lineRule="auto"/>
      <w:ind w:left="1588" w:hanging="794"/>
    </w:pPr>
    <w:rPr>
      <w:kern w:val="28"/>
    </w:rPr>
  </w:style>
  <w:style w:type="paragraph" w:customStyle="1" w:styleId="WRStyle">
    <w:name w:val="WR Style"/>
    <w:aliases w:val="WR"/>
    <w:basedOn w:val="OPCParaBase"/>
    <w:rsid w:val="00141900"/>
    <w:pPr>
      <w:spacing w:before="240" w:line="240" w:lineRule="auto"/>
      <w:ind w:left="284" w:hanging="284"/>
    </w:pPr>
    <w:rPr>
      <w:b/>
      <w:i/>
      <w:kern w:val="28"/>
      <w:sz w:val="24"/>
    </w:rPr>
  </w:style>
  <w:style w:type="paragraph" w:customStyle="1" w:styleId="notepara">
    <w:name w:val="note(para)"/>
    <w:aliases w:val="na"/>
    <w:basedOn w:val="OPCParaBase"/>
    <w:rsid w:val="00141900"/>
    <w:pPr>
      <w:spacing w:before="40" w:line="198" w:lineRule="exact"/>
      <w:ind w:left="2354" w:hanging="369"/>
    </w:pPr>
    <w:rPr>
      <w:sz w:val="18"/>
    </w:rPr>
  </w:style>
  <w:style w:type="paragraph" w:styleId="Footer">
    <w:name w:val="footer"/>
    <w:link w:val="FooterChar"/>
    <w:rsid w:val="001419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1900"/>
    <w:rPr>
      <w:rFonts w:eastAsia="Times New Roman" w:cs="Times New Roman"/>
      <w:sz w:val="22"/>
      <w:szCs w:val="24"/>
      <w:lang w:eastAsia="en-AU"/>
    </w:rPr>
  </w:style>
  <w:style w:type="character" w:styleId="LineNumber">
    <w:name w:val="line number"/>
    <w:basedOn w:val="OPCCharBase"/>
    <w:uiPriority w:val="99"/>
    <w:semiHidden/>
    <w:unhideWhenUsed/>
    <w:rsid w:val="00141900"/>
    <w:rPr>
      <w:sz w:val="16"/>
    </w:rPr>
  </w:style>
  <w:style w:type="table" w:customStyle="1" w:styleId="CFlag">
    <w:name w:val="CFlag"/>
    <w:basedOn w:val="TableNormal"/>
    <w:uiPriority w:val="99"/>
    <w:rsid w:val="00141900"/>
    <w:rPr>
      <w:rFonts w:eastAsia="Times New Roman" w:cs="Times New Roman"/>
      <w:lang w:eastAsia="en-AU"/>
    </w:rPr>
    <w:tblPr/>
  </w:style>
  <w:style w:type="paragraph" w:styleId="BalloonText">
    <w:name w:val="Balloon Text"/>
    <w:basedOn w:val="Normal"/>
    <w:link w:val="BalloonTextChar"/>
    <w:uiPriority w:val="99"/>
    <w:semiHidden/>
    <w:unhideWhenUsed/>
    <w:rsid w:val="001419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900"/>
    <w:rPr>
      <w:rFonts w:ascii="Tahoma" w:hAnsi="Tahoma" w:cs="Tahoma"/>
      <w:sz w:val="16"/>
      <w:szCs w:val="16"/>
    </w:rPr>
  </w:style>
  <w:style w:type="character" w:styleId="Hyperlink">
    <w:name w:val="Hyperlink"/>
    <w:basedOn w:val="DefaultParagraphFont"/>
    <w:rsid w:val="00141900"/>
    <w:rPr>
      <w:color w:val="0000FF"/>
      <w:u w:val="single"/>
    </w:rPr>
  </w:style>
  <w:style w:type="table" w:styleId="TableGrid">
    <w:name w:val="Table Grid"/>
    <w:basedOn w:val="TableNormal"/>
    <w:uiPriority w:val="59"/>
    <w:rsid w:val="00141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41900"/>
    <w:rPr>
      <w:b/>
      <w:sz w:val="28"/>
      <w:szCs w:val="32"/>
    </w:rPr>
  </w:style>
  <w:style w:type="paragraph" w:customStyle="1" w:styleId="TerritoryT">
    <w:name w:val="TerritoryT"/>
    <w:basedOn w:val="OPCParaBase"/>
    <w:next w:val="Normal"/>
    <w:rsid w:val="00141900"/>
    <w:rPr>
      <w:b/>
      <w:sz w:val="32"/>
    </w:rPr>
  </w:style>
  <w:style w:type="paragraph" w:customStyle="1" w:styleId="LegislationMadeUnder">
    <w:name w:val="LegislationMadeUnder"/>
    <w:basedOn w:val="OPCParaBase"/>
    <w:next w:val="Normal"/>
    <w:rsid w:val="00141900"/>
    <w:rPr>
      <w:i/>
      <w:sz w:val="32"/>
      <w:szCs w:val="32"/>
    </w:rPr>
  </w:style>
  <w:style w:type="paragraph" w:customStyle="1" w:styleId="SignCoverPageEnd">
    <w:name w:val="SignCoverPageEnd"/>
    <w:basedOn w:val="OPCParaBase"/>
    <w:next w:val="Normal"/>
    <w:rsid w:val="0014190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41900"/>
    <w:pPr>
      <w:pBdr>
        <w:top w:val="single" w:sz="4" w:space="1" w:color="auto"/>
      </w:pBdr>
      <w:spacing w:before="360"/>
      <w:ind w:right="397"/>
      <w:jc w:val="both"/>
    </w:pPr>
  </w:style>
  <w:style w:type="paragraph" w:customStyle="1" w:styleId="NotesHeading1">
    <w:name w:val="NotesHeading 1"/>
    <w:basedOn w:val="OPCParaBase"/>
    <w:next w:val="Normal"/>
    <w:rsid w:val="00141900"/>
    <w:rPr>
      <w:b/>
      <w:sz w:val="28"/>
      <w:szCs w:val="28"/>
    </w:rPr>
  </w:style>
  <w:style w:type="paragraph" w:customStyle="1" w:styleId="NotesHeading2">
    <w:name w:val="NotesHeading 2"/>
    <w:basedOn w:val="OPCParaBase"/>
    <w:next w:val="Normal"/>
    <w:rsid w:val="00141900"/>
    <w:rPr>
      <w:b/>
      <w:sz w:val="28"/>
      <w:szCs w:val="28"/>
    </w:rPr>
  </w:style>
  <w:style w:type="paragraph" w:customStyle="1" w:styleId="ENotesText">
    <w:name w:val="ENotesText"/>
    <w:basedOn w:val="OPCParaBase"/>
    <w:next w:val="Normal"/>
    <w:rsid w:val="00141900"/>
  </w:style>
  <w:style w:type="paragraph" w:customStyle="1" w:styleId="CompiledActNo">
    <w:name w:val="CompiledActNo"/>
    <w:basedOn w:val="OPCParaBase"/>
    <w:next w:val="Normal"/>
    <w:rsid w:val="00141900"/>
    <w:rPr>
      <w:b/>
      <w:sz w:val="24"/>
      <w:szCs w:val="24"/>
    </w:rPr>
  </w:style>
  <w:style w:type="paragraph" w:customStyle="1" w:styleId="CompiledMadeUnder">
    <w:name w:val="CompiledMadeUnder"/>
    <w:basedOn w:val="OPCParaBase"/>
    <w:next w:val="Normal"/>
    <w:rsid w:val="00141900"/>
    <w:rPr>
      <w:i/>
      <w:sz w:val="24"/>
      <w:szCs w:val="24"/>
    </w:rPr>
  </w:style>
  <w:style w:type="paragraph" w:customStyle="1" w:styleId="Paragraphsub-sub-sub">
    <w:name w:val="Paragraph(sub-sub-sub)"/>
    <w:aliases w:val="aaaa"/>
    <w:basedOn w:val="OPCParaBase"/>
    <w:rsid w:val="00141900"/>
    <w:pPr>
      <w:tabs>
        <w:tab w:val="right" w:pos="3402"/>
      </w:tabs>
      <w:spacing w:before="40" w:line="240" w:lineRule="auto"/>
      <w:ind w:left="3402" w:hanging="3402"/>
    </w:pPr>
  </w:style>
  <w:style w:type="paragraph" w:customStyle="1" w:styleId="NoteToSubpara">
    <w:name w:val="NoteToSubpara"/>
    <w:aliases w:val="nts"/>
    <w:basedOn w:val="OPCParaBase"/>
    <w:rsid w:val="00141900"/>
    <w:pPr>
      <w:spacing w:before="40" w:line="198" w:lineRule="exact"/>
      <w:ind w:left="2835" w:hanging="709"/>
    </w:pPr>
    <w:rPr>
      <w:sz w:val="18"/>
    </w:rPr>
  </w:style>
  <w:style w:type="paragraph" w:customStyle="1" w:styleId="EndNotespara">
    <w:name w:val="EndNotes(para)"/>
    <w:aliases w:val="eta"/>
    <w:basedOn w:val="OPCParaBase"/>
    <w:next w:val="Normal"/>
    <w:rsid w:val="001419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19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1419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190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141900"/>
    <w:pPr>
      <w:keepNext/>
      <w:spacing w:before="60" w:line="240" w:lineRule="atLeast"/>
    </w:pPr>
    <w:rPr>
      <w:rFonts w:ascii="Arial" w:hAnsi="Arial"/>
      <w:b/>
      <w:sz w:val="16"/>
    </w:rPr>
  </w:style>
  <w:style w:type="paragraph" w:customStyle="1" w:styleId="ENoteTTi">
    <w:name w:val="ENoteTTi"/>
    <w:aliases w:val="entti"/>
    <w:basedOn w:val="OPCParaBase"/>
    <w:rsid w:val="00141900"/>
    <w:pPr>
      <w:keepNext/>
      <w:spacing w:before="60" w:line="240" w:lineRule="atLeast"/>
      <w:ind w:left="170"/>
    </w:pPr>
    <w:rPr>
      <w:sz w:val="16"/>
    </w:rPr>
  </w:style>
  <w:style w:type="paragraph" w:customStyle="1" w:styleId="ENotesHeading1">
    <w:name w:val="ENotesHeading 1"/>
    <w:aliases w:val="Enh1"/>
    <w:basedOn w:val="OPCParaBase"/>
    <w:next w:val="Normal"/>
    <w:rsid w:val="00141900"/>
    <w:pPr>
      <w:spacing w:before="120"/>
      <w:outlineLvl w:val="1"/>
    </w:pPr>
    <w:rPr>
      <w:b/>
      <w:sz w:val="28"/>
      <w:szCs w:val="28"/>
    </w:rPr>
  </w:style>
  <w:style w:type="paragraph" w:customStyle="1" w:styleId="ENotesHeading2">
    <w:name w:val="ENotesHeading 2"/>
    <w:aliases w:val="Enh2"/>
    <w:basedOn w:val="OPCParaBase"/>
    <w:next w:val="Normal"/>
    <w:rsid w:val="00141900"/>
    <w:pPr>
      <w:spacing w:before="120" w:after="120"/>
      <w:outlineLvl w:val="2"/>
    </w:pPr>
    <w:rPr>
      <w:b/>
      <w:sz w:val="24"/>
      <w:szCs w:val="28"/>
    </w:rPr>
  </w:style>
  <w:style w:type="paragraph" w:customStyle="1" w:styleId="ENoteTTIndentHeading">
    <w:name w:val="ENoteTTIndentHeading"/>
    <w:aliases w:val="enTTHi"/>
    <w:basedOn w:val="OPCParaBase"/>
    <w:rsid w:val="001419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1900"/>
    <w:pPr>
      <w:spacing w:before="60" w:line="240" w:lineRule="atLeast"/>
    </w:pPr>
    <w:rPr>
      <w:sz w:val="16"/>
    </w:rPr>
  </w:style>
  <w:style w:type="paragraph" w:customStyle="1" w:styleId="MadeunderText">
    <w:name w:val="MadeunderText"/>
    <w:basedOn w:val="OPCParaBase"/>
    <w:next w:val="CompiledMadeUnder"/>
    <w:rsid w:val="00141900"/>
    <w:pPr>
      <w:spacing w:before="240"/>
    </w:pPr>
    <w:rPr>
      <w:sz w:val="24"/>
      <w:szCs w:val="24"/>
    </w:rPr>
  </w:style>
  <w:style w:type="paragraph" w:customStyle="1" w:styleId="ENotesHeading3">
    <w:name w:val="ENotesHeading 3"/>
    <w:aliases w:val="Enh3"/>
    <w:basedOn w:val="OPCParaBase"/>
    <w:next w:val="Normal"/>
    <w:rsid w:val="00141900"/>
    <w:pPr>
      <w:keepNext/>
      <w:spacing w:before="120" w:line="240" w:lineRule="auto"/>
      <w:outlineLvl w:val="4"/>
    </w:pPr>
    <w:rPr>
      <w:b/>
      <w:szCs w:val="24"/>
    </w:rPr>
  </w:style>
  <w:style w:type="character" w:customStyle="1" w:styleId="CharSubPartTextCASA">
    <w:name w:val="CharSubPartText(CASA)"/>
    <w:basedOn w:val="OPCCharBase"/>
    <w:uiPriority w:val="1"/>
    <w:rsid w:val="00141900"/>
  </w:style>
  <w:style w:type="character" w:customStyle="1" w:styleId="CharSubPartNoCASA">
    <w:name w:val="CharSubPartNo(CASA)"/>
    <w:basedOn w:val="OPCCharBase"/>
    <w:uiPriority w:val="1"/>
    <w:rsid w:val="00141900"/>
  </w:style>
  <w:style w:type="paragraph" w:customStyle="1" w:styleId="ENoteTTIndentHeadingSub">
    <w:name w:val="ENoteTTIndentHeadingSub"/>
    <w:aliases w:val="enTTHis"/>
    <w:basedOn w:val="OPCParaBase"/>
    <w:rsid w:val="00141900"/>
    <w:pPr>
      <w:keepNext/>
      <w:spacing w:before="60" w:line="240" w:lineRule="atLeast"/>
      <w:ind w:left="340"/>
    </w:pPr>
    <w:rPr>
      <w:b/>
      <w:sz w:val="16"/>
    </w:rPr>
  </w:style>
  <w:style w:type="paragraph" w:customStyle="1" w:styleId="ENoteTTiSub">
    <w:name w:val="ENoteTTiSub"/>
    <w:aliases w:val="enttis"/>
    <w:basedOn w:val="OPCParaBase"/>
    <w:rsid w:val="00141900"/>
    <w:pPr>
      <w:keepNext/>
      <w:spacing w:before="60" w:line="240" w:lineRule="atLeast"/>
      <w:ind w:left="340"/>
    </w:pPr>
    <w:rPr>
      <w:sz w:val="16"/>
    </w:rPr>
  </w:style>
  <w:style w:type="paragraph" w:customStyle="1" w:styleId="SubDivisionMigration">
    <w:name w:val="SubDivisionMigration"/>
    <w:aliases w:val="sdm"/>
    <w:basedOn w:val="OPCParaBase"/>
    <w:rsid w:val="001419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190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41900"/>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1419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1900"/>
    <w:rPr>
      <w:sz w:val="22"/>
    </w:rPr>
  </w:style>
  <w:style w:type="paragraph" w:customStyle="1" w:styleId="SOTextNote">
    <w:name w:val="SO TextNote"/>
    <w:aliases w:val="sont"/>
    <w:basedOn w:val="SOText"/>
    <w:qFormat/>
    <w:rsid w:val="00141900"/>
    <w:pPr>
      <w:spacing w:before="122" w:line="198" w:lineRule="exact"/>
      <w:ind w:left="1843" w:hanging="709"/>
    </w:pPr>
    <w:rPr>
      <w:sz w:val="18"/>
    </w:rPr>
  </w:style>
  <w:style w:type="paragraph" w:customStyle="1" w:styleId="SOPara">
    <w:name w:val="SO Para"/>
    <w:aliases w:val="soa"/>
    <w:basedOn w:val="SOText"/>
    <w:link w:val="SOParaChar"/>
    <w:qFormat/>
    <w:rsid w:val="00141900"/>
    <w:pPr>
      <w:tabs>
        <w:tab w:val="right" w:pos="1786"/>
      </w:tabs>
      <w:spacing w:before="40"/>
      <w:ind w:left="2070" w:hanging="936"/>
    </w:pPr>
  </w:style>
  <w:style w:type="character" w:customStyle="1" w:styleId="SOParaChar">
    <w:name w:val="SO Para Char"/>
    <w:aliases w:val="soa Char"/>
    <w:basedOn w:val="DefaultParagraphFont"/>
    <w:link w:val="SOPara"/>
    <w:rsid w:val="00141900"/>
    <w:rPr>
      <w:sz w:val="22"/>
    </w:rPr>
  </w:style>
  <w:style w:type="paragraph" w:customStyle="1" w:styleId="FileName">
    <w:name w:val="FileName"/>
    <w:basedOn w:val="Normal"/>
    <w:rsid w:val="00141900"/>
  </w:style>
  <w:style w:type="paragraph" w:customStyle="1" w:styleId="TableHeading">
    <w:name w:val="TableHeading"/>
    <w:aliases w:val="th"/>
    <w:basedOn w:val="OPCParaBase"/>
    <w:next w:val="Tabletext"/>
    <w:rsid w:val="00141900"/>
    <w:pPr>
      <w:keepNext/>
      <w:spacing w:before="60" w:line="240" w:lineRule="atLeast"/>
    </w:pPr>
    <w:rPr>
      <w:b/>
      <w:sz w:val="20"/>
    </w:rPr>
  </w:style>
  <w:style w:type="paragraph" w:customStyle="1" w:styleId="SOHeadBold">
    <w:name w:val="SO HeadBold"/>
    <w:aliases w:val="sohb"/>
    <w:basedOn w:val="SOText"/>
    <w:next w:val="SOText"/>
    <w:link w:val="SOHeadBoldChar"/>
    <w:qFormat/>
    <w:rsid w:val="00141900"/>
    <w:rPr>
      <w:b/>
    </w:rPr>
  </w:style>
  <w:style w:type="character" w:customStyle="1" w:styleId="SOHeadBoldChar">
    <w:name w:val="SO HeadBold Char"/>
    <w:aliases w:val="sohb Char"/>
    <w:basedOn w:val="DefaultParagraphFont"/>
    <w:link w:val="SOHeadBold"/>
    <w:rsid w:val="00141900"/>
    <w:rPr>
      <w:b/>
      <w:sz w:val="22"/>
    </w:rPr>
  </w:style>
  <w:style w:type="paragraph" w:customStyle="1" w:styleId="SOHeadItalic">
    <w:name w:val="SO HeadItalic"/>
    <w:aliases w:val="sohi"/>
    <w:basedOn w:val="SOText"/>
    <w:next w:val="SOText"/>
    <w:link w:val="SOHeadItalicChar"/>
    <w:qFormat/>
    <w:rsid w:val="00141900"/>
    <w:rPr>
      <w:i/>
    </w:rPr>
  </w:style>
  <w:style w:type="character" w:customStyle="1" w:styleId="SOHeadItalicChar">
    <w:name w:val="SO HeadItalic Char"/>
    <w:aliases w:val="sohi Char"/>
    <w:basedOn w:val="DefaultParagraphFont"/>
    <w:link w:val="SOHeadItalic"/>
    <w:rsid w:val="00141900"/>
    <w:rPr>
      <w:i/>
      <w:sz w:val="22"/>
    </w:rPr>
  </w:style>
  <w:style w:type="paragraph" w:customStyle="1" w:styleId="SOBullet">
    <w:name w:val="SO Bullet"/>
    <w:aliases w:val="sotb"/>
    <w:basedOn w:val="SOText"/>
    <w:link w:val="SOBulletChar"/>
    <w:qFormat/>
    <w:rsid w:val="00141900"/>
    <w:pPr>
      <w:ind w:left="1559" w:hanging="425"/>
    </w:pPr>
  </w:style>
  <w:style w:type="character" w:customStyle="1" w:styleId="SOBulletChar">
    <w:name w:val="SO Bullet Char"/>
    <w:aliases w:val="sotb Char"/>
    <w:basedOn w:val="DefaultParagraphFont"/>
    <w:link w:val="SOBullet"/>
    <w:rsid w:val="00141900"/>
    <w:rPr>
      <w:sz w:val="22"/>
    </w:rPr>
  </w:style>
  <w:style w:type="paragraph" w:customStyle="1" w:styleId="SOBulletNote">
    <w:name w:val="SO BulletNote"/>
    <w:aliases w:val="sonb"/>
    <w:basedOn w:val="SOTextNote"/>
    <w:link w:val="SOBulletNoteChar"/>
    <w:qFormat/>
    <w:rsid w:val="00141900"/>
    <w:pPr>
      <w:tabs>
        <w:tab w:val="left" w:pos="1560"/>
      </w:tabs>
      <w:ind w:left="2268" w:hanging="1134"/>
    </w:pPr>
  </w:style>
  <w:style w:type="character" w:customStyle="1" w:styleId="SOBulletNoteChar">
    <w:name w:val="SO BulletNote Char"/>
    <w:aliases w:val="sonb Char"/>
    <w:basedOn w:val="DefaultParagraphFont"/>
    <w:link w:val="SOBulletNote"/>
    <w:rsid w:val="00141900"/>
    <w:rPr>
      <w:sz w:val="18"/>
    </w:rPr>
  </w:style>
  <w:style w:type="paragraph" w:customStyle="1" w:styleId="SOText2">
    <w:name w:val="SO Text2"/>
    <w:aliases w:val="sot2"/>
    <w:basedOn w:val="Normal"/>
    <w:next w:val="SOText"/>
    <w:link w:val="SOText2Char"/>
    <w:rsid w:val="0014190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41900"/>
    <w:rPr>
      <w:sz w:val="22"/>
    </w:rPr>
  </w:style>
  <w:style w:type="paragraph" w:customStyle="1" w:styleId="SubPartCASA">
    <w:name w:val="SubPart(CASA)"/>
    <w:aliases w:val="csp"/>
    <w:basedOn w:val="OPCParaBase"/>
    <w:next w:val="ActHead3"/>
    <w:rsid w:val="0014190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128EF"/>
    <w:rPr>
      <w:rFonts w:eastAsia="Times New Roman" w:cs="Times New Roman"/>
      <w:sz w:val="22"/>
      <w:lang w:eastAsia="en-AU"/>
    </w:rPr>
  </w:style>
  <w:style w:type="character" w:customStyle="1" w:styleId="notetextChar">
    <w:name w:val="note(text) Char"/>
    <w:aliases w:val="n Char"/>
    <w:basedOn w:val="DefaultParagraphFont"/>
    <w:link w:val="notetext"/>
    <w:rsid w:val="004128EF"/>
    <w:rPr>
      <w:rFonts w:eastAsia="Times New Roman" w:cs="Times New Roman"/>
      <w:sz w:val="18"/>
      <w:lang w:eastAsia="en-AU"/>
    </w:rPr>
  </w:style>
  <w:style w:type="character" w:customStyle="1" w:styleId="Heading1Char">
    <w:name w:val="Heading 1 Char"/>
    <w:basedOn w:val="DefaultParagraphFont"/>
    <w:link w:val="Heading1"/>
    <w:uiPriority w:val="9"/>
    <w:rsid w:val="004128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128E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128E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128E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128E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128E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128E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128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128EF"/>
    <w:rPr>
      <w:rFonts w:asciiTheme="majorHAnsi" w:eastAsiaTheme="majorEastAsia" w:hAnsiTheme="majorHAnsi" w:cstheme="majorBidi"/>
      <w:i/>
      <w:iCs/>
      <w:color w:val="404040" w:themeColor="text1" w:themeTint="BF"/>
    </w:rPr>
  </w:style>
  <w:style w:type="paragraph" w:styleId="NoSpacing">
    <w:name w:val="No Spacing"/>
    <w:uiPriority w:val="1"/>
    <w:qFormat/>
    <w:rsid w:val="00300F4A"/>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15</Pages>
  <Words>2778</Words>
  <Characters>15841</Characters>
  <Application>Microsoft Office Word</Application>
  <DocSecurity>4</DocSecurity>
  <PresentationFormat/>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2016-08-03T01:31:00Z</dcterms:created>
  <dcterms:modified xsi:type="dcterms:W3CDTF">2016-08-03T01:31:00Z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99, 2015</vt:lpwstr>
  </property>
  <property fmtid="{D5CDD505-2E9C-101B-9397-08002B2CF9AE}" pid="3" name="ShortT">
    <vt:lpwstr>Financial Framework (Supplementary Powers) Amendment (2015 Measures No. 6)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25 June 2015</vt:lpwstr>
  </property>
  <property fmtid="{D5CDD505-2E9C-101B-9397-08002B2CF9AE}" pid="10" name="Authority">
    <vt:lpwstr/>
  </property>
  <property fmtid="{D5CDD505-2E9C-101B-9397-08002B2CF9AE}" pid="11" name="ID">
    <vt:lpwstr>OPC61334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Financial Framework (Supplementary Powers) Act 1997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25 June 2015</vt:lpwstr>
  </property>
</Properties>
</file>