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8772F" w14:textId="77777777" w:rsidR="00F109D4" w:rsidRDefault="00F109D4" w:rsidP="00CB6726">
      <w:pPr>
        <w:pStyle w:val="Heading1"/>
      </w:pPr>
      <w:r w:rsidRPr="00503E44">
        <w:t>EXPLANATORY STATEMENT</w:t>
      </w:r>
    </w:p>
    <w:p w14:paraId="38F4F28C" w14:textId="2809ACA4" w:rsidR="00E640E8" w:rsidRPr="00E640E8" w:rsidRDefault="00E640E8" w:rsidP="00E640E8">
      <w:pPr>
        <w:pStyle w:val="Heading1"/>
      </w:pPr>
      <w:r>
        <w:t>SELECT LEGISLATIVE INSTRUMENT NO. 108, 2015</w:t>
      </w:r>
    </w:p>
    <w:p w14:paraId="7A463A5E" w14:textId="4F22ACC1" w:rsidR="00F109D4" w:rsidRPr="00503E44" w:rsidRDefault="00F109D4" w:rsidP="00CB6726">
      <w:pPr>
        <w:pStyle w:val="Heading2"/>
        <w:jc w:val="center"/>
      </w:pPr>
      <w:r w:rsidRPr="00503E44">
        <w:t xml:space="preserve">Issued by authority of the </w:t>
      </w:r>
      <w:r w:rsidR="00F51C97">
        <w:t>Assistant Treasurer</w:t>
      </w:r>
    </w:p>
    <w:p w14:paraId="733A2F17" w14:textId="7E0D2477" w:rsidR="00F109D4" w:rsidRPr="00503E44" w:rsidRDefault="00F51C97">
      <w:pPr>
        <w:jc w:val="center"/>
        <w:rPr>
          <w:i/>
        </w:rPr>
      </w:pPr>
      <w:r w:rsidRPr="00F51C97">
        <w:rPr>
          <w:i/>
        </w:rPr>
        <w:t>Corporations Act 2001</w:t>
      </w:r>
    </w:p>
    <w:p w14:paraId="1A2D8ACE" w14:textId="7A918EDD" w:rsidR="00F109D4" w:rsidRPr="00503E44" w:rsidRDefault="00F51C97">
      <w:pPr>
        <w:tabs>
          <w:tab w:val="left" w:pos="1418"/>
        </w:tabs>
        <w:spacing w:after="240"/>
        <w:jc w:val="center"/>
        <w:rPr>
          <w:i/>
        </w:rPr>
      </w:pPr>
      <w:r w:rsidRPr="00F51C97">
        <w:rPr>
          <w:i/>
        </w:rPr>
        <w:t>Corporations Amendment (Financial</w:t>
      </w:r>
      <w:r w:rsidR="002A17D7">
        <w:rPr>
          <w:i/>
        </w:rPr>
        <w:t xml:space="preserve"> Advice) Regulation 2015</w:t>
      </w:r>
    </w:p>
    <w:p w14:paraId="6032C7A4" w14:textId="16B661BC" w:rsidR="00F109D4" w:rsidRDefault="00F51C97">
      <w:r>
        <w:t>Subs</w:t>
      </w:r>
      <w:r w:rsidR="00C55D29" w:rsidRPr="00503E44">
        <w:t xml:space="preserve">ection </w:t>
      </w:r>
      <w:r>
        <w:t xml:space="preserve">1364(1) </w:t>
      </w:r>
      <w:r w:rsidR="00F109D4" w:rsidRPr="00503E44">
        <w:t xml:space="preserve">of the </w:t>
      </w:r>
      <w:r w:rsidRPr="00F51C97">
        <w:rPr>
          <w:i/>
        </w:rPr>
        <w:t>Corporations Act 2001</w:t>
      </w:r>
      <w:r>
        <w:t xml:space="preserve"> </w:t>
      </w:r>
      <w:r w:rsidR="00F109D4" w:rsidRPr="00503E44">
        <w:t>(the Act) p</w:t>
      </w:r>
      <w:bookmarkStart w:id="0" w:name="_GoBack"/>
      <w:r w:rsidR="00F109D4" w:rsidRPr="00503E44">
        <w:t>rovides that the Governor-General may make regulations prescribing matters</w:t>
      </w:r>
      <w:bookmarkEnd w:id="0"/>
      <w:r w:rsidR="00F109D4" w:rsidRPr="00503E44">
        <w:t xml:space="preserve"> required or permitted by the Act to be prescribed, or necessary or convenient to be prescribed for carrying out or giving effect to the Act.</w:t>
      </w:r>
    </w:p>
    <w:p w14:paraId="473424F7" w14:textId="275A203D" w:rsidR="002A17D7" w:rsidRDefault="002A17D7">
      <w:r w:rsidRPr="002A17D7">
        <w:t xml:space="preserve">The </w:t>
      </w:r>
      <w:r w:rsidRPr="002A17D7">
        <w:rPr>
          <w:i/>
        </w:rPr>
        <w:t>Corporations Amendment (Financial Advice) Regulation 2015</w:t>
      </w:r>
      <w:r w:rsidRPr="002A17D7">
        <w:t xml:space="preserve"> (the Regulation) makes a number of amendments to the </w:t>
      </w:r>
      <w:r w:rsidRPr="002A17D7">
        <w:rPr>
          <w:i/>
        </w:rPr>
        <w:t>Corporations Regulations 2001</w:t>
      </w:r>
      <w:r w:rsidRPr="002A17D7">
        <w:t xml:space="preserve"> (the Principal Regulations). The amendments relate to the Future of Financial Advice (</w:t>
      </w:r>
      <w:proofErr w:type="spellStart"/>
      <w:r w:rsidRPr="002A17D7">
        <w:t>FOFA</w:t>
      </w:r>
      <w:proofErr w:type="spellEnd"/>
      <w:r w:rsidRPr="002A17D7">
        <w:t>) provisions</w:t>
      </w:r>
      <w:r w:rsidR="00CB6726">
        <w:t xml:space="preserve"> of the Act</w:t>
      </w:r>
      <w:r w:rsidRPr="002A17D7">
        <w:t>.</w:t>
      </w:r>
    </w:p>
    <w:p w14:paraId="63A5D2F4" w14:textId="2CEEB71F" w:rsidR="00F51C97" w:rsidRDefault="00F51C97">
      <w:r>
        <w:t xml:space="preserve">The </w:t>
      </w:r>
      <w:r w:rsidR="001D1AEE">
        <w:t>p</w:t>
      </w:r>
      <w:r w:rsidR="002A17D7">
        <w:t>urpose of the R</w:t>
      </w:r>
      <w:r w:rsidR="001D1AEE">
        <w:t xml:space="preserve">egulation is </w:t>
      </w:r>
      <w:r>
        <w:t>to reduce compliance costs for small business, financial advisers, and the broader financial services industry, whilst maintaining the quality of advice for consumers who access financial advice.</w:t>
      </w:r>
    </w:p>
    <w:p w14:paraId="5CF3F6CD" w14:textId="77777777" w:rsidR="002A17D7" w:rsidRDefault="001E238D" w:rsidP="001E238D">
      <w:r w:rsidRPr="001E238D">
        <w:t>The Regulation</w:t>
      </w:r>
      <w:r w:rsidR="002A17D7">
        <w:t>:</w:t>
      </w:r>
    </w:p>
    <w:p w14:paraId="1B211AF5" w14:textId="353BED14" w:rsidR="00F550BE" w:rsidRDefault="00F550BE" w:rsidP="00300B82">
      <w:pPr>
        <w:pStyle w:val="Bullet"/>
      </w:pPr>
      <w:r>
        <w:t>clarifies that</w:t>
      </w:r>
      <w:r w:rsidR="00300B82" w:rsidRPr="00300B82">
        <w:t xml:space="preserve"> </w:t>
      </w:r>
      <w:r w:rsidR="0081756C">
        <w:t>a provider who</w:t>
      </w:r>
      <w:r w:rsidR="00300B82" w:rsidRPr="00300B82">
        <w:t xml:space="preserve"> provides advice to an employer about default funds (the fund where the employer makes contributions for the benefit of employees that have not chosen a fund) is providing a financial service</w:t>
      </w:r>
      <w:r w:rsidR="00580A8D">
        <w:t xml:space="preserve"> to a retail client</w:t>
      </w:r>
      <w:r w:rsidR="00300B82">
        <w:t>;</w:t>
      </w:r>
    </w:p>
    <w:p w14:paraId="62BBFB65" w14:textId="0BE7B5BB" w:rsidR="002A17D7" w:rsidRDefault="002A17D7" w:rsidP="002A17D7">
      <w:pPr>
        <w:pStyle w:val="Bullet"/>
      </w:pPr>
      <w:r>
        <w:t xml:space="preserve">ensures that the wholesale and retail client distinction that currently applies in other Parts of the Act also applies to the </w:t>
      </w:r>
      <w:proofErr w:type="spellStart"/>
      <w:r>
        <w:t>FOFA</w:t>
      </w:r>
      <w:proofErr w:type="spellEnd"/>
      <w:r>
        <w:t xml:space="preserve"> provisions;</w:t>
      </w:r>
    </w:p>
    <w:p w14:paraId="118BBD67" w14:textId="5702E358" w:rsidR="002A17D7" w:rsidRDefault="002A17D7" w:rsidP="002A17D7">
      <w:pPr>
        <w:pStyle w:val="Bullet"/>
      </w:pPr>
      <w:r>
        <w:t xml:space="preserve">applies the </w:t>
      </w:r>
      <w:r w:rsidRPr="002A17D7">
        <w:t>modified best interest</w:t>
      </w:r>
      <w:r w:rsidR="008561B6">
        <w:t>s</w:t>
      </w:r>
      <w:r w:rsidRPr="002A17D7">
        <w:t xml:space="preserve"> duty to giving advice on</w:t>
      </w:r>
      <w:r w:rsidR="005525E3">
        <w:t xml:space="preserve"> a</w:t>
      </w:r>
      <w:r w:rsidRPr="002A17D7">
        <w:t xml:space="preserve"> basic banking product</w:t>
      </w:r>
      <w:r w:rsidR="005525E3">
        <w:t xml:space="preserve"> </w:t>
      </w:r>
      <w:r w:rsidRPr="002A17D7">
        <w:t xml:space="preserve">and/or </w:t>
      </w:r>
      <w:r w:rsidR="005525E3">
        <w:t xml:space="preserve">a </w:t>
      </w:r>
      <w:r w:rsidRPr="002A17D7">
        <w:t>general insurance product where the subject matter of the advice being sought also relates to consumer credit insurance</w:t>
      </w:r>
      <w:r>
        <w:t>;</w:t>
      </w:r>
    </w:p>
    <w:p w14:paraId="5A3F8EDD" w14:textId="3B2CD1B4" w:rsidR="002A17D7" w:rsidRDefault="00993C53" w:rsidP="002A17D7">
      <w:pPr>
        <w:pStyle w:val="Bullet"/>
      </w:pPr>
      <w:r>
        <w:t xml:space="preserve">provides that a facility for making non-cash payments that is not related to a basic deposit product </w:t>
      </w:r>
      <w:r w:rsidRPr="002A17D7">
        <w:t>(such as travel money cards</w:t>
      </w:r>
      <w:r>
        <w:t xml:space="preserve">) is a basic deposit product for the purposes of the </w:t>
      </w:r>
      <w:proofErr w:type="spellStart"/>
      <w:r>
        <w:t>FOFA</w:t>
      </w:r>
      <w:proofErr w:type="spellEnd"/>
      <w:r>
        <w:t xml:space="preserve"> provisions</w:t>
      </w:r>
      <w:r w:rsidR="002A17D7">
        <w:t>;</w:t>
      </w:r>
    </w:p>
    <w:p w14:paraId="2EE98FC5" w14:textId="5357EDC9" w:rsidR="006F5BFA" w:rsidRDefault="006F5BFA" w:rsidP="004D3E52">
      <w:pPr>
        <w:pStyle w:val="Bullet"/>
      </w:pPr>
      <w:r w:rsidRPr="006F5BFA">
        <w:t>clarifies th</w:t>
      </w:r>
      <w:r>
        <w:t>e application of the existing client</w:t>
      </w:r>
      <w:r w:rsidR="0077778C">
        <w:t>-</w:t>
      </w:r>
      <w:r>
        <w:t xml:space="preserve">pays provision; and </w:t>
      </w:r>
    </w:p>
    <w:p w14:paraId="0EB9A8DC" w14:textId="7040AE3F" w:rsidR="007C7515" w:rsidRPr="001E238D" w:rsidRDefault="00FB4ABE" w:rsidP="00FB4ABE">
      <w:pPr>
        <w:pStyle w:val="Bullet"/>
      </w:pPr>
      <w:r w:rsidRPr="00FB4ABE">
        <w:t>broaden</w:t>
      </w:r>
      <w:r>
        <w:t>s</w:t>
      </w:r>
      <w:r w:rsidRPr="00FB4ABE">
        <w:t xml:space="preserve"> the basic banking exemption from the ban on conflicted remuneration to include benefits relating to consumer credit insurance products</w:t>
      </w:r>
      <w:r w:rsidR="001E238D" w:rsidRPr="001E238D">
        <w:t>.</w:t>
      </w:r>
      <w:r w:rsidR="007C7515" w:rsidRPr="001E238D">
        <w:t xml:space="preserve"> </w:t>
      </w:r>
    </w:p>
    <w:p w14:paraId="56197E74" w14:textId="40E8EF2B" w:rsidR="00A57210" w:rsidRDefault="00A57210" w:rsidP="00C37E05">
      <w:r>
        <w:t xml:space="preserve">Details of these </w:t>
      </w:r>
      <w:r w:rsidR="0032654A">
        <w:t xml:space="preserve">amendments </w:t>
      </w:r>
      <w:r>
        <w:t xml:space="preserve">are set out in </w:t>
      </w:r>
      <w:r w:rsidRPr="004D3E52">
        <w:rPr>
          <w:u w:val="single"/>
        </w:rPr>
        <w:t>Attachment A</w:t>
      </w:r>
      <w:r>
        <w:t xml:space="preserve">. </w:t>
      </w:r>
    </w:p>
    <w:p w14:paraId="7D87791C" w14:textId="36598B2D" w:rsidR="00BF290E" w:rsidRDefault="00C5369C" w:rsidP="008E593F">
      <w:r w:rsidRPr="00C5369C">
        <w:t>Targeted consultation was undertaken on a draft of the Regulation with the financial services industry. Feedback from the consultation was considered in preparing the Regulation</w:t>
      </w:r>
      <w:r>
        <w:t xml:space="preserve">. In addition, </w:t>
      </w:r>
      <w:r w:rsidR="008517AF">
        <w:t xml:space="preserve">the </w:t>
      </w:r>
      <w:r w:rsidR="008517AF" w:rsidRPr="008517AF">
        <w:t>amendments</w:t>
      </w:r>
      <w:r w:rsidR="008517AF">
        <w:t>, with the exception of the ‘default funds’ amendment</w:t>
      </w:r>
      <w:r w:rsidR="00356715">
        <w:t>,</w:t>
      </w:r>
      <w:r w:rsidR="008517AF">
        <w:t xml:space="preserve"> have been included in </w:t>
      </w:r>
      <w:r w:rsidR="008517AF" w:rsidRPr="008517AF">
        <w:t>earlier consultation</w:t>
      </w:r>
      <w:r w:rsidR="008517AF">
        <w:t>s. These earlier consultations included</w:t>
      </w:r>
      <w:r w:rsidR="00BF290E">
        <w:t>:</w:t>
      </w:r>
    </w:p>
    <w:p w14:paraId="6E2E27B3" w14:textId="0E06B299" w:rsidR="00C5369C" w:rsidRDefault="00C5369C" w:rsidP="008E593F">
      <w:pPr>
        <w:pStyle w:val="Bullet"/>
      </w:pPr>
      <w:r w:rsidRPr="00C5369C">
        <w:t>publish</w:t>
      </w:r>
      <w:r w:rsidR="008517AF">
        <w:t xml:space="preserve">ing draft regulations </w:t>
      </w:r>
      <w:r w:rsidRPr="00C5369C">
        <w:t>on the Future of Financial Advice website on 29</w:t>
      </w:r>
      <w:r w:rsidR="00076CE0">
        <w:t> </w:t>
      </w:r>
      <w:r w:rsidRPr="00C5369C">
        <w:t xml:space="preserve">January 2014 </w:t>
      </w:r>
      <w:r w:rsidR="00990538">
        <w:t>(</w:t>
      </w:r>
      <w:r w:rsidRPr="00C5369C">
        <w:t>for a three-week consultation period</w:t>
      </w:r>
      <w:r>
        <w:t>)</w:t>
      </w:r>
      <w:r w:rsidR="00BF290E">
        <w:t xml:space="preserve">; and </w:t>
      </w:r>
    </w:p>
    <w:p w14:paraId="7E2239EC" w14:textId="409996E1" w:rsidR="00BF290E" w:rsidRDefault="00BF290E" w:rsidP="008E593F">
      <w:pPr>
        <w:pStyle w:val="Bullet"/>
      </w:pPr>
      <w:r w:rsidRPr="008517AF">
        <w:lastRenderedPageBreak/>
        <w:t xml:space="preserve">targeted consultation </w:t>
      </w:r>
      <w:r>
        <w:t>when</w:t>
      </w:r>
      <w:r w:rsidRPr="008517AF">
        <w:t xml:space="preserve"> the Corporations Amendment (Streamlining Future of Financial Advice) Bill 2014 </w:t>
      </w:r>
      <w:r>
        <w:t xml:space="preserve">was referred </w:t>
      </w:r>
      <w:r w:rsidRPr="008517AF">
        <w:t>to the Senate Economics Committee</w:t>
      </w:r>
      <w:r>
        <w:t xml:space="preserve"> on 20 March 2014.</w:t>
      </w:r>
    </w:p>
    <w:p w14:paraId="5FC5F18B" w14:textId="73A390FE" w:rsidR="00280393" w:rsidRDefault="0032654A" w:rsidP="00C37E05">
      <w:r>
        <w:t>T</w:t>
      </w:r>
      <w:r w:rsidR="00A57210">
        <w:t>he</w:t>
      </w:r>
      <w:r w:rsidR="003372E2">
        <w:t xml:space="preserve"> majority </w:t>
      </w:r>
      <w:r w:rsidR="000F471A">
        <w:t>o</w:t>
      </w:r>
      <w:r w:rsidR="003372E2">
        <w:t xml:space="preserve">f these </w:t>
      </w:r>
      <w:r w:rsidR="00A57210">
        <w:t xml:space="preserve">time sensitive </w:t>
      </w:r>
      <w:proofErr w:type="spellStart"/>
      <w:r w:rsidR="00A57210">
        <w:t>FOFA</w:t>
      </w:r>
      <w:proofErr w:type="spellEnd"/>
      <w:r w:rsidR="00A57210">
        <w:t xml:space="preserve"> amendments will </w:t>
      </w:r>
      <w:r w:rsidR="00721729">
        <w:t>also be</w:t>
      </w:r>
      <w:r w:rsidR="00A57210">
        <w:t xml:space="preserve"> enacted in legislation. Th</w:t>
      </w:r>
      <w:r>
        <w:t xml:space="preserve">e Government has adopted this approach to provide </w:t>
      </w:r>
      <w:r w:rsidR="00A57210">
        <w:t xml:space="preserve">certainty to industry </w:t>
      </w:r>
      <w:r w:rsidR="003372E2">
        <w:t>as quickly as possible</w:t>
      </w:r>
      <w:r w:rsidR="00A57210">
        <w:t>.</w:t>
      </w:r>
    </w:p>
    <w:p w14:paraId="37233EF0" w14:textId="0BA2F2B2" w:rsidR="00C37E05" w:rsidRDefault="0044696E">
      <w:r>
        <w:t xml:space="preserve">The </w:t>
      </w:r>
      <w:r w:rsidR="00BD1A5F">
        <w:t xml:space="preserve">Act </w:t>
      </w:r>
      <w:r>
        <w:t xml:space="preserve">does not specify any conditions that need to be satisfied before the power to make the Regulation may be exercised. </w:t>
      </w:r>
    </w:p>
    <w:p w14:paraId="54D8EED1" w14:textId="4C1C0696" w:rsidR="002F7E31" w:rsidRDefault="002F7E31" w:rsidP="00E4438C">
      <w:r>
        <w:t xml:space="preserve">A statement of Compatibility with Human Rights is at </w:t>
      </w:r>
      <w:r w:rsidRPr="008E593F">
        <w:rPr>
          <w:u w:val="single"/>
        </w:rPr>
        <w:t>Attachment B</w:t>
      </w:r>
      <w:r>
        <w:t>.</w:t>
      </w:r>
    </w:p>
    <w:p w14:paraId="05F3ACC0" w14:textId="12FE980E" w:rsidR="00E4438C" w:rsidRDefault="00A57210" w:rsidP="00E4438C">
      <w:r>
        <w:t xml:space="preserve">The Regulation is a legislative instrument for the purposes of the </w:t>
      </w:r>
      <w:r w:rsidRPr="00A57210">
        <w:rPr>
          <w:i/>
        </w:rPr>
        <w:t>Legislative Instruments Act 2003</w:t>
      </w:r>
      <w:r>
        <w:t>.</w:t>
      </w:r>
    </w:p>
    <w:p w14:paraId="6B1EA02E" w14:textId="2865D395" w:rsidR="001D1AEE" w:rsidRDefault="00A57210" w:rsidP="00F550BE">
      <w:r w:rsidRPr="00A57210">
        <w:t xml:space="preserve">The Regulation </w:t>
      </w:r>
      <w:r w:rsidR="0077778C">
        <w:t xml:space="preserve">will </w:t>
      </w:r>
      <w:r w:rsidRPr="00A57210">
        <w:t>commence on 1 July 2015.</w:t>
      </w:r>
      <w:r w:rsidR="001D1AEE">
        <w:br w:type="page"/>
      </w:r>
    </w:p>
    <w:p w14:paraId="75185245" w14:textId="67461E31" w:rsidR="00280393" w:rsidRPr="00CB6726" w:rsidRDefault="00280393" w:rsidP="00280393">
      <w:pPr>
        <w:spacing w:before="360" w:after="360"/>
        <w:jc w:val="right"/>
        <w:rPr>
          <w:b/>
          <w:u w:val="single"/>
        </w:rPr>
      </w:pPr>
      <w:r w:rsidRPr="00CB6726">
        <w:rPr>
          <w:b/>
          <w:u w:val="single"/>
        </w:rPr>
        <w:lastRenderedPageBreak/>
        <w:t>ATTAC</w:t>
      </w:r>
      <w:r w:rsidR="006B035E" w:rsidRPr="00CB6726">
        <w:rPr>
          <w:b/>
          <w:u w:val="single"/>
        </w:rPr>
        <w:t>H</w:t>
      </w:r>
      <w:r w:rsidRPr="00CB6726">
        <w:rPr>
          <w:b/>
          <w:u w:val="single"/>
        </w:rPr>
        <w:t>MENT A</w:t>
      </w:r>
    </w:p>
    <w:p w14:paraId="0CDD0422" w14:textId="223500B2" w:rsidR="001D1AEE" w:rsidRPr="00CB6726" w:rsidRDefault="001D1AEE" w:rsidP="001D1AEE">
      <w:pPr>
        <w:spacing w:before="360" w:after="360"/>
        <w:rPr>
          <w:b/>
          <w:i/>
          <w:u w:val="single"/>
        </w:rPr>
      </w:pPr>
      <w:r w:rsidRPr="00CB6726">
        <w:rPr>
          <w:b/>
          <w:u w:val="single"/>
        </w:rPr>
        <w:t xml:space="preserve">Details of the </w:t>
      </w:r>
      <w:r w:rsidRPr="00CB6726">
        <w:rPr>
          <w:b/>
          <w:i/>
          <w:u w:val="single"/>
        </w:rPr>
        <w:t>Corporations Amendment (Financial</w:t>
      </w:r>
      <w:r w:rsidR="00F550BE" w:rsidRPr="00CB6726">
        <w:rPr>
          <w:b/>
          <w:i/>
          <w:u w:val="single"/>
        </w:rPr>
        <w:t xml:space="preserve"> Advice) Regulation 2015</w:t>
      </w:r>
    </w:p>
    <w:p w14:paraId="15F45170" w14:textId="05455D8D" w:rsidR="001D1AEE" w:rsidRDefault="0095521B" w:rsidP="001D1AEE">
      <w:pPr>
        <w:rPr>
          <w:u w:val="single"/>
        </w:rPr>
      </w:pPr>
      <w:r>
        <w:rPr>
          <w:u w:val="single"/>
        </w:rPr>
        <w:t>Section</w:t>
      </w:r>
      <w:r w:rsidRPr="00F20465">
        <w:rPr>
          <w:u w:val="single"/>
        </w:rPr>
        <w:t xml:space="preserve"> </w:t>
      </w:r>
      <w:r w:rsidR="001D1AEE" w:rsidRPr="00F20465">
        <w:rPr>
          <w:u w:val="single"/>
        </w:rPr>
        <w:t>1</w:t>
      </w:r>
      <w:r w:rsidR="001D1AEE">
        <w:rPr>
          <w:u w:val="single"/>
        </w:rPr>
        <w:t>–Name of Regulation</w:t>
      </w:r>
    </w:p>
    <w:p w14:paraId="27E21D58" w14:textId="51229741" w:rsidR="001D1AEE" w:rsidRDefault="002C1E6C" w:rsidP="00401167">
      <w:pPr>
        <w:spacing w:before="100" w:beforeAutospacing="1" w:after="100" w:afterAutospacing="1"/>
      </w:pPr>
      <w:r>
        <w:t xml:space="preserve">This </w:t>
      </w:r>
      <w:r w:rsidR="0095521B">
        <w:t>section</w:t>
      </w:r>
      <w:r w:rsidR="00D919DB">
        <w:t xml:space="preserve"> </w:t>
      </w:r>
      <w:r>
        <w:t xml:space="preserve">provides </w:t>
      </w:r>
      <w:r w:rsidR="00A277E1">
        <w:t xml:space="preserve">that </w:t>
      </w:r>
      <w:r>
        <w:t xml:space="preserve">the name of the Regulation is the </w:t>
      </w:r>
      <w:r w:rsidRPr="002C1E6C">
        <w:rPr>
          <w:i/>
        </w:rPr>
        <w:t>Corporations Amendment (Financial Advice) Regulation 2015</w:t>
      </w:r>
      <w:r>
        <w:t xml:space="preserve"> (the Regulation).</w:t>
      </w:r>
    </w:p>
    <w:p w14:paraId="3D2B4ED9" w14:textId="371178D2" w:rsidR="002C1E6C" w:rsidRDefault="0095521B" w:rsidP="001D1AEE">
      <w:pPr>
        <w:rPr>
          <w:u w:val="single"/>
        </w:rPr>
      </w:pPr>
      <w:r>
        <w:rPr>
          <w:u w:val="single"/>
        </w:rPr>
        <w:t>Section</w:t>
      </w:r>
      <w:r w:rsidRPr="002C1E6C">
        <w:rPr>
          <w:u w:val="single"/>
        </w:rPr>
        <w:t xml:space="preserve"> </w:t>
      </w:r>
      <w:r w:rsidR="002C1E6C" w:rsidRPr="002C1E6C">
        <w:rPr>
          <w:u w:val="single"/>
        </w:rPr>
        <w:t>2–Commencement</w:t>
      </w:r>
    </w:p>
    <w:p w14:paraId="26F22706" w14:textId="3454F2D2" w:rsidR="003E4B5E" w:rsidRDefault="00F550BE" w:rsidP="00401167">
      <w:pPr>
        <w:spacing w:before="100" w:beforeAutospacing="1" w:after="100" w:afterAutospacing="1"/>
      </w:pPr>
      <w:r>
        <w:t xml:space="preserve">This </w:t>
      </w:r>
      <w:r w:rsidR="0095521B">
        <w:t xml:space="preserve">section </w:t>
      </w:r>
      <w:r>
        <w:t>provides that t</w:t>
      </w:r>
      <w:r w:rsidR="003E4B5E">
        <w:t>he Regulation commences on 1 July 2015.</w:t>
      </w:r>
    </w:p>
    <w:p w14:paraId="4DD005EC" w14:textId="39F436A9" w:rsidR="003E4B5E" w:rsidRDefault="0095521B" w:rsidP="001D1AEE">
      <w:pPr>
        <w:rPr>
          <w:u w:val="single"/>
        </w:rPr>
      </w:pPr>
      <w:r>
        <w:rPr>
          <w:u w:val="single"/>
        </w:rPr>
        <w:t>Section</w:t>
      </w:r>
      <w:r w:rsidRPr="003E4B5E">
        <w:rPr>
          <w:u w:val="single"/>
        </w:rPr>
        <w:t xml:space="preserve"> </w:t>
      </w:r>
      <w:r w:rsidR="003E4B5E" w:rsidRPr="003E4B5E">
        <w:rPr>
          <w:u w:val="single"/>
        </w:rPr>
        <w:t>3–</w:t>
      </w:r>
      <w:r w:rsidR="003E4B5E">
        <w:rPr>
          <w:u w:val="single"/>
        </w:rPr>
        <w:t>Authority</w:t>
      </w:r>
    </w:p>
    <w:p w14:paraId="357D3780" w14:textId="68E1B919" w:rsidR="003E4B5E" w:rsidRDefault="00F550BE" w:rsidP="00401167">
      <w:pPr>
        <w:spacing w:before="100" w:beforeAutospacing="1" w:after="100" w:afterAutospacing="1"/>
      </w:pPr>
      <w:r>
        <w:t xml:space="preserve">This </w:t>
      </w:r>
      <w:r w:rsidR="0095521B">
        <w:t xml:space="preserve">section </w:t>
      </w:r>
      <w:r>
        <w:t>provides that the R</w:t>
      </w:r>
      <w:r w:rsidR="003E4B5E" w:rsidRPr="003E4B5E">
        <w:t xml:space="preserve">egulation is made under the </w:t>
      </w:r>
      <w:r w:rsidR="003E4B5E" w:rsidRPr="003E4B5E">
        <w:rPr>
          <w:i/>
        </w:rPr>
        <w:t xml:space="preserve">Corporations Act 2001 </w:t>
      </w:r>
      <w:r w:rsidR="003E4B5E" w:rsidRPr="003E4B5E">
        <w:t>(the Act)</w:t>
      </w:r>
      <w:r w:rsidR="003E4B5E">
        <w:t>.</w:t>
      </w:r>
    </w:p>
    <w:p w14:paraId="78201550" w14:textId="3686EDC4" w:rsidR="003E4B5E" w:rsidRPr="003E4B5E" w:rsidRDefault="0095521B" w:rsidP="001D1AEE">
      <w:pPr>
        <w:rPr>
          <w:u w:val="single"/>
        </w:rPr>
      </w:pPr>
      <w:r>
        <w:rPr>
          <w:u w:val="single"/>
        </w:rPr>
        <w:t>Section</w:t>
      </w:r>
      <w:r w:rsidRPr="003E4B5E">
        <w:rPr>
          <w:u w:val="single"/>
        </w:rPr>
        <w:t xml:space="preserve"> </w:t>
      </w:r>
      <w:r w:rsidR="003E4B5E" w:rsidRPr="003E4B5E">
        <w:rPr>
          <w:u w:val="single"/>
        </w:rPr>
        <w:t>4–Schedule(s)</w:t>
      </w:r>
    </w:p>
    <w:p w14:paraId="00D4D894" w14:textId="7DAD42B3" w:rsidR="003E4B5E" w:rsidRPr="003E4B5E" w:rsidRDefault="003E4B5E" w:rsidP="00401167">
      <w:pPr>
        <w:spacing w:before="100" w:beforeAutospacing="1" w:after="100" w:afterAutospacing="1"/>
      </w:pPr>
      <w:r>
        <w:t>Th</w:t>
      </w:r>
      <w:r w:rsidR="00F550BE">
        <w:t xml:space="preserve">is </w:t>
      </w:r>
      <w:r w:rsidR="0095521B">
        <w:t xml:space="preserve">section </w:t>
      </w:r>
      <w:r>
        <w:t xml:space="preserve">provides that Schedule 1 amends the </w:t>
      </w:r>
      <w:r w:rsidRPr="003E4B5E">
        <w:rPr>
          <w:i/>
        </w:rPr>
        <w:t>Corporations Regulations 2001</w:t>
      </w:r>
      <w:r>
        <w:t xml:space="preserve"> (the Principal Regulations).</w:t>
      </w:r>
    </w:p>
    <w:p w14:paraId="6D605F84" w14:textId="069F3CCE" w:rsidR="001D1AEE" w:rsidRDefault="003E4B5E" w:rsidP="00E4438C">
      <w:pPr>
        <w:rPr>
          <w:b/>
        </w:rPr>
      </w:pPr>
      <w:r w:rsidRPr="003E4B5E">
        <w:rPr>
          <w:b/>
        </w:rPr>
        <w:t>Schedule 1-Amendments</w:t>
      </w:r>
    </w:p>
    <w:p w14:paraId="529A3E59" w14:textId="619AA1E3" w:rsidR="00251F81" w:rsidRPr="00251F81" w:rsidRDefault="00251F81" w:rsidP="00E4438C">
      <w:pPr>
        <w:rPr>
          <w:b/>
          <w:i/>
        </w:rPr>
      </w:pPr>
      <w:r w:rsidRPr="00251F81">
        <w:rPr>
          <w:b/>
          <w:i/>
        </w:rPr>
        <w:t xml:space="preserve">Provision of financial product advice about default funds </w:t>
      </w:r>
    </w:p>
    <w:p w14:paraId="4BEA7DE1" w14:textId="590778C1" w:rsidR="00FD72F1" w:rsidRDefault="002A0271" w:rsidP="00401167">
      <w:pPr>
        <w:spacing w:before="100" w:beforeAutospacing="1" w:after="100" w:afterAutospacing="1"/>
      </w:pPr>
      <w:r>
        <w:rPr>
          <w:u w:val="single"/>
        </w:rPr>
        <w:t>Item 1</w:t>
      </w:r>
      <w:r w:rsidRPr="002A0271">
        <w:t xml:space="preserve"> </w:t>
      </w:r>
      <w:r w:rsidR="00A85615">
        <w:t>inserts r</w:t>
      </w:r>
      <w:r w:rsidR="00F550BE">
        <w:t xml:space="preserve">egulation </w:t>
      </w:r>
      <w:proofErr w:type="spellStart"/>
      <w:r w:rsidR="00A85615">
        <w:t>7</w:t>
      </w:r>
      <w:r w:rsidR="00F550BE">
        <w:t>.</w:t>
      </w:r>
      <w:r w:rsidR="00A85615">
        <w:t>1</w:t>
      </w:r>
      <w:r w:rsidR="00F550BE">
        <w:t>.</w:t>
      </w:r>
      <w:r w:rsidR="00A85615">
        <w:t>28AA</w:t>
      </w:r>
      <w:proofErr w:type="spellEnd"/>
      <w:r w:rsidR="00F550BE">
        <w:t xml:space="preserve"> into the Principal Regulations. This amendment clarifies that</w:t>
      </w:r>
      <w:r w:rsidR="00251F81">
        <w:t xml:space="preserve">, for the purposes of </w:t>
      </w:r>
      <w:r w:rsidR="0032654A">
        <w:t xml:space="preserve">paragraph </w:t>
      </w:r>
      <w:proofErr w:type="spellStart"/>
      <w:r w:rsidR="00251F81">
        <w:t>766A</w:t>
      </w:r>
      <w:proofErr w:type="spellEnd"/>
      <w:r w:rsidR="00251F81">
        <w:t>(1)(f)</w:t>
      </w:r>
      <w:r w:rsidR="0031637A">
        <w:t xml:space="preserve"> of the Act</w:t>
      </w:r>
      <w:r w:rsidR="00251F81">
        <w:t xml:space="preserve">, </w:t>
      </w:r>
      <w:r w:rsidR="00A85615">
        <w:t xml:space="preserve">a person </w:t>
      </w:r>
      <w:r w:rsidR="00251F81">
        <w:t xml:space="preserve">that </w:t>
      </w:r>
      <w:r>
        <w:t>provides advice to an employer about default funds (</w:t>
      </w:r>
      <w:r w:rsidR="00A85615">
        <w:t xml:space="preserve">the </w:t>
      </w:r>
      <w:r>
        <w:t xml:space="preserve">fund </w:t>
      </w:r>
      <w:r w:rsidR="00A85615">
        <w:t xml:space="preserve">where the employer makes contributions for the benefit of </w:t>
      </w:r>
      <w:r>
        <w:t>employees that have not chosen a fund</w:t>
      </w:r>
      <w:r w:rsidR="00A85615">
        <w:t>) is providing a financial service.</w:t>
      </w:r>
      <w:r w:rsidR="003372E2">
        <w:t xml:space="preserve"> The effect of this amendment is that the person providing the employer with financial advice in these circumstances must treat the employer as a retail client and as a result is subject to the </w:t>
      </w:r>
      <w:proofErr w:type="spellStart"/>
      <w:r w:rsidR="003372E2">
        <w:t>FOFA</w:t>
      </w:r>
      <w:proofErr w:type="spellEnd"/>
      <w:r w:rsidR="003372E2">
        <w:t xml:space="preserve"> provisions in relation to that advice.</w:t>
      </w:r>
    </w:p>
    <w:p w14:paraId="27018596" w14:textId="2CB90BA0" w:rsidR="00057736" w:rsidRPr="002A0271" w:rsidRDefault="000F7239" w:rsidP="00401167">
      <w:pPr>
        <w:spacing w:before="100" w:beforeAutospacing="1" w:after="100" w:afterAutospacing="1"/>
      </w:pPr>
      <w:r>
        <w:t xml:space="preserve">Regulation </w:t>
      </w:r>
      <w:proofErr w:type="spellStart"/>
      <w:r>
        <w:t>7.1.28AA</w:t>
      </w:r>
      <w:proofErr w:type="spellEnd"/>
      <w:r>
        <w:t xml:space="preserve"> </w:t>
      </w:r>
      <w:r w:rsidR="008A24D8">
        <w:t xml:space="preserve">does not alter the categories of financial services in </w:t>
      </w:r>
      <w:r w:rsidR="00BB1D06">
        <w:t>subsection</w:t>
      </w:r>
      <w:r w:rsidR="00796866">
        <w:t> </w:t>
      </w:r>
      <w:proofErr w:type="spellStart"/>
      <w:r w:rsidR="008A24D8">
        <w:t>766A</w:t>
      </w:r>
      <w:proofErr w:type="spellEnd"/>
      <w:r w:rsidR="008A24D8">
        <w:t xml:space="preserve">(1) of the Act, as regulation </w:t>
      </w:r>
      <w:proofErr w:type="spellStart"/>
      <w:r w:rsidR="008A24D8">
        <w:t>7.1.28AA</w:t>
      </w:r>
      <w:proofErr w:type="spellEnd"/>
      <w:r w:rsidR="008A24D8">
        <w:t xml:space="preserve"> </w:t>
      </w:r>
      <w:r>
        <w:t xml:space="preserve">is a form of financial product advice also covered by </w:t>
      </w:r>
      <w:r w:rsidR="00E024B1">
        <w:t>subsection</w:t>
      </w:r>
      <w:r>
        <w:t xml:space="preserve"> </w:t>
      </w:r>
      <w:proofErr w:type="spellStart"/>
      <w:r w:rsidR="008A24D8">
        <w:t>766A</w:t>
      </w:r>
      <w:proofErr w:type="spellEnd"/>
      <w:r w:rsidR="008A24D8">
        <w:t xml:space="preserve">(1) of the Act. </w:t>
      </w:r>
      <w:r w:rsidR="00057736" w:rsidRPr="008E593F">
        <w:t xml:space="preserve">It should </w:t>
      </w:r>
      <w:r w:rsidR="005315C3">
        <w:t xml:space="preserve">also </w:t>
      </w:r>
      <w:r w:rsidR="00057736" w:rsidRPr="008E593F">
        <w:t xml:space="preserve">be noted that </w:t>
      </w:r>
      <w:r w:rsidR="00C309BC">
        <w:t xml:space="preserve">regulation </w:t>
      </w:r>
      <w:proofErr w:type="spellStart"/>
      <w:r w:rsidR="00C309BC">
        <w:t>7.1.28AA</w:t>
      </w:r>
      <w:proofErr w:type="spellEnd"/>
      <w:r w:rsidR="00C309BC">
        <w:t xml:space="preserve"> </w:t>
      </w:r>
      <w:r w:rsidR="00057736" w:rsidRPr="00057736">
        <w:t>does</w:t>
      </w:r>
      <w:r w:rsidR="00057736">
        <w:t xml:space="preserve"> not override the operation of paragraph </w:t>
      </w:r>
      <w:proofErr w:type="spellStart"/>
      <w:r w:rsidR="00057736" w:rsidRPr="00057736">
        <w:t>761G</w:t>
      </w:r>
      <w:proofErr w:type="spellEnd"/>
      <w:r w:rsidR="00057736" w:rsidRPr="00057736">
        <w:t xml:space="preserve">(6)(b) </w:t>
      </w:r>
      <w:r w:rsidR="00057736">
        <w:t xml:space="preserve">of the Act. </w:t>
      </w:r>
    </w:p>
    <w:p w14:paraId="321C0152" w14:textId="2A4B4FC6" w:rsidR="00782B27" w:rsidRDefault="00FE1BE5" w:rsidP="00E4438C">
      <w:pPr>
        <w:rPr>
          <w:b/>
          <w:i/>
        </w:rPr>
      </w:pPr>
      <w:r>
        <w:rPr>
          <w:b/>
          <w:i/>
        </w:rPr>
        <w:t>M</w:t>
      </w:r>
      <w:r w:rsidR="00782B27" w:rsidRPr="00782B27">
        <w:rPr>
          <w:b/>
          <w:i/>
        </w:rPr>
        <w:t>eaning of retail client</w:t>
      </w:r>
      <w:r w:rsidR="00251F81">
        <w:rPr>
          <w:b/>
          <w:i/>
        </w:rPr>
        <w:t xml:space="preserve">, </w:t>
      </w:r>
      <w:r w:rsidR="00782B27" w:rsidRPr="00782B27">
        <w:rPr>
          <w:b/>
          <w:i/>
        </w:rPr>
        <w:t>wholesale client</w:t>
      </w:r>
      <w:r w:rsidR="00251F81">
        <w:rPr>
          <w:b/>
          <w:i/>
        </w:rPr>
        <w:t>, and professional investor</w:t>
      </w:r>
    </w:p>
    <w:p w14:paraId="090B2387" w14:textId="3C93B0BA" w:rsidR="00251F81" w:rsidRPr="00251F81" w:rsidRDefault="00251F81" w:rsidP="00401167">
      <w:pPr>
        <w:spacing w:before="100" w:beforeAutospacing="1" w:after="100" w:afterAutospacing="1"/>
      </w:pPr>
      <w:r w:rsidRPr="00251F81">
        <w:rPr>
          <w:u w:val="single"/>
        </w:rPr>
        <w:t xml:space="preserve">Items </w:t>
      </w:r>
      <w:r>
        <w:rPr>
          <w:u w:val="single"/>
        </w:rPr>
        <w:t>2</w:t>
      </w:r>
      <w:r w:rsidRPr="00251F81">
        <w:rPr>
          <w:u w:val="single"/>
        </w:rPr>
        <w:t xml:space="preserve">, </w:t>
      </w:r>
      <w:r>
        <w:rPr>
          <w:u w:val="single"/>
        </w:rPr>
        <w:t>3</w:t>
      </w:r>
      <w:r w:rsidRPr="00251F81">
        <w:rPr>
          <w:u w:val="single"/>
        </w:rPr>
        <w:t xml:space="preserve">, </w:t>
      </w:r>
      <w:r>
        <w:rPr>
          <w:u w:val="single"/>
        </w:rPr>
        <w:t>4</w:t>
      </w:r>
      <w:r w:rsidRPr="00251F81">
        <w:rPr>
          <w:u w:val="single"/>
        </w:rPr>
        <w:t xml:space="preserve"> and </w:t>
      </w:r>
      <w:r>
        <w:rPr>
          <w:u w:val="single"/>
        </w:rPr>
        <w:t>5</w:t>
      </w:r>
      <w:r w:rsidRPr="00251F81">
        <w:t xml:space="preserve"> extend the effect of a number of regulations to Part </w:t>
      </w:r>
      <w:proofErr w:type="spellStart"/>
      <w:r w:rsidRPr="00251F81">
        <w:t>7.7A</w:t>
      </w:r>
      <w:proofErr w:type="spellEnd"/>
      <w:r w:rsidRPr="00251F81">
        <w:t xml:space="preserve"> of the Act (the </w:t>
      </w:r>
      <w:proofErr w:type="spellStart"/>
      <w:r w:rsidRPr="00251F81">
        <w:t>FOFA</w:t>
      </w:r>
      <w:proofErr w:type="spellEnd"/>
      <w:r w:rsidRPr="00251F81">
        <w:t xml:space="preserve"> provisions).</w:t>
      </w:r>
    </w:p>
    <w:p w14:paraId="3173F690" w14:textId="22C6C7F2" w:rsidR="005A67F8" w:rsidRDefault="0058629F" w:rsidP="00401167">
      <w:pPr>
        <w:spacing w:before="100" w:beforeAutospacing="1" w:after="100" w:afterAutospacing="1"/>
      </w:pPr>
      <w:r w:rsidRPr="0058629F">
        <w:rPr>
          <w:u w:val="single"/>
        </w:rPr>
        <w:t xml:space="preserve">Item </w:t>
      </w:r>
      <w:r w:rsidR="00251F81">
        <w:rPr>
          <w:u w:val="single"/>
        </w:rPr>
        <w:t>2</w:t>
      </w:r>
      <w:r w:rsidRPr="0058629F">
        <w:t xml:space="preserve"> applies r</w:t>
      </w:r>
      <w:r w:rsidR="00F550BE">
        <w:t xml:space="preserve">egulation </w:t>
      </w:r>
      <w:proofErr w:type="spellStart"/>
      <w:r w:rsidRPr="0058629F">
        <w:t>7.6.02AB</w:t>
      </w:r>
      <w:proofErr w:type="spellEnd"/>
      <w:r w:rsidRPr="0058629F">
        <w:t xml:space="preserve"> to the </w:t>
      </w:r>
      <w:proofErr w:type="spellStart"/>
      <w:r w:rsidRPr="0058629F">
        <w:t>FOFA</w:t>
      </w:r>
      <w:proofErr w:type="spellEnd"/>
      <w:r w:rsidRPr="0058629F">
        <w:t xml:space="preserve"> provisions. </w:t>
      </w:r>
      <w:r w:rsidR="00E33A17" w:rsidRPr="00E33A17">
        <w:t xml:space="preserve">Regulation </w:t>
      </w:r>
      <w:proofErr w:type="spellStart"/>
      <w:r w:rsidR="00E33A17" w:rsidRPr="00E33A17">
        <w:t>7.6.02AB</w:t>
      </w:r>
      <w:proofErr w:type="spellEnd"/>
      <w:r w:rsidR="00E33A17" w:rsidRPr="00E33A17">
        <w:t xml:space="preserve"> inserts paragraph </w:t>
      </w:r>
      <w:proofErr w:type="spellStart"/>
      <w:r w:rsidR="00E33A17" w:rsidRPr="00E33A17">
        <w:t>761G</w:t>
      </w:r>
      <w:proofErr w:type="spellEnd"/>
      <w:r w:rsidR="00E33A17" w:rsidRPr="00E33A17">
        <w:t>(7)(ca) into s</w:t>
      </w:r>
      <w:r w:rsidR="004F7397">
        <w:t xml:space="preserve">ection </w:t>
      </w:r>
      <w:proofErr w:type="spellStart"/>
      <w:r w:rsidR="00E33A17" w:rsidRPr="00E33A17">
        <w:t>761G</w:t>
      </w:r>
      <w:proofErr w:type="spellEnd"/>
      <w:r w:rsidR="0031637A">
        <w:t xml:space="preserve"> of the Act</w:t>
      </w:r>
      <w:r w:rsidR="00E33A17" w:rsidRPr="00E33A17">
        <w:t xml:space="preserve">. </w:t>
      </w:r>
      <w:r w:rsidR="005F0AB4">
        <w:t>The effect of this amendment is that</w:t>
      </w:r>
      <w:r>
        <w:t xml:space="preserve">, for the purposes of the </w:t>
      </w:r>
      <w:proofErr w:type="spellStart"/>
      <w:r>
        <w:t>FOFA</w:t>
      </w:r>
      <w:proofErr w:type="spellEnd"/>
      <w:r>
        <w:t xml:space="preserve"> provisions, </w:t>
      </w:r>
      <w:r w:rsidR="00E33A17">
        <w:t xml:space="preserve">a person that meets the net assets test, or the income test (both specified in the Principal Regulations) is not treated as a retail client where they acquire a product or service for a company or trust that they control. </w:t>
      </w:r>
    </w:p>
    <w:p w14:paraId="2F2CE1AC" w14:textId="6904A19E" w:rsidR="00FE1BE5" w:rsidRDefault="00100BA3" w:rsidP="00401167">
      <w:pPr>
        <w:spacing w:before="100" w:beforeAutospacing="1" w:after="100" w:afterAutospacing="1"/>
      </w:pPr>
      <w:r w:rsidRPr="00100BA3">
        <w:rPr>
          <w:u w:val="single"/>
        </w:rPr>
        <w:t xml:space="preserve">Item </w:t>
      </w:r>
      <w:r w:rsidR="00251F81">
        <w:rPr>
          <w:u w:val="single"/>
        </w:rPr>
        <w:t>3</w:t>
      </w:r>
      <w:r w:rsidRPr="00100BA3">
        <w:t xml:space="preserve"> applies r</w:t>
      </w:r>
      <w:r w:rsidR="004F7397">
        <w:t xml:space="preserve">egulation </w:t>
      </w:r>
      <w:proofErr w:type="spellStart"/>
      <w:r w:rsidRPr="00100BA3">
        <w:t>7.6.02AC</w:t>
      </w:r>
      <w:proofErr w:type="spellEnd"/>
      <w:r w:rsidRPr="00100BA3">
        <w:t xml:space="preserve"> to the </w:t>
      </w:r>
      <w:proofErr w:type="spellStart"/>
      <w:r w:rsidRPr="00100BA3">
        <w:t>FOFA</w:t>
      </w:r>
      <w:proofErr w:type="spellEnd"/>
      <w:r w:rsidRPr="00100BA3">
        <w:t xml:space="preserve"> provisions. </w:t>
      </w:r>
      <w:r w:rsidR="00E33A17" w:rsidRPr="00E33A17">
        <w:t xml:space="preserve">Regulation </w:t>
      </w:r>
      <w:proofErr w:type="spellStart"/>
      <w:r w:rsidR="00E33A17" w:rsidRPr="00E33A17">
        <w:t>7.6.02AC</w:t>
      </w:r>
      <w:proofErr w:type="spellEnd"/>
      <w:r w:rsidR="00E33A17" w:rsidRPr="00E33A17">
        <w:t xml:space="preserve"> inserts subsection</w:t>
      </w:r>
      <w:r w:rsidR="004F7397">
        <w:t>s</w:t>
      </w:r>
      <w:r w:rsidR="00E33A17" w:rsidRPr="00E33A17">
        <w:t xml:space="preserve"> </w:t>
      </w:r>
      <w:proofErr w:type="spellStart"/>
      <w:r w:rsidR="00E33A17" w:rsidRPr="00E33A17">
        <w:t>761G</w:t>
      </w:r>
      <w:proofErr w:type="spellEnd"/>
      <w:r w:rsidR="00E33A17" w:rsidRPr="00E33A17">
        <w:t>(</w:t>
      </w:r>
      <w:proofErr w:type="spellStart"/>
      <w:r w:rsidR="00E33A17" w:rsidRPr="00E33A17">
        <w:t>7A</w:t>
      </w:r>
      <w:proofErr w:type="spellEnd"/>
      <w:r w:rsidR="00E33A17" w:rsidRPr="00E33A17">
        <w:t xml:space="preserve">) and </w:t>
      </w:r>
      <w:proofErr w:type="spellStart"/>
      <w:r w:rsidR="00E33A17" w:rsidRPr="00E33A17">
        <w:t>761G</w:t>
      </w:r>
      <w:proofErr w:type="spellEnd"/>
      <w:r w:rsidR="00E33A17" w:rsidRPr="00E33A17">
        <w:t>(</w:t>
      </w:r>
      <w:proofErr w:type="spellStart"/>
      <w:r w:rsidR="00E33A17" w:rsidRPr="00E33A17">
        <w:t>7B</w:t>
      </w:r>
      <w:proofErr w:type="spellEnd"/>
      <w:r w:rsidR="00E33A17" w:rsidRPr="00E33A17">
        <w:t xml:space="preserve">) into </w:t>
      </w:r>
      <w:r w:rsidR="0032654A" w:rsidRPr="00E33A17">
        <w:t>s</w:t>
      </w:r>
      <w:r w:rsidR="0032654A">
        <w:t>ection</w:t>
      </w:r>
      <w:r w:rsidR="00E33A17" w:rsidRPr="00E33A17">
        <w:t xml:space="preserve"> </w:t>
      </w:r>
      <w:proofErr w:type="spellStart"/>
      <w:r w:rsidR="00E33A17" w:rsidRPr="00E33A17">
        <w:t>761G</w:t>
      </w:r>
      <w:proofErr w:type="spellEnd"/>
      <w:r w:rsidR="0031637A">
        <w:t xml:space="preserve"> of the Act</w:t>
      </w:r>
      <w:r w:rsidR="00E33A17" w:rsidRPr="00E33A17">
        <w:t xml:space="preserve">. </w:t>
      </w:r>
      <w:r w:rsidR="005F0AB4">
        <w:t>The effect of this amendment is that</w:t>
      </w:r>
      <w:r>
        <w:t xml:space="preserve">, for the purposes of the </w:t>
      </w:r>
      <w:proofErr w:type="spellStart"/>
      <w:r>
        <w:t>FOFA</w:t>
      </w:r>
      <w:proofErr w:type="spellEnd"/>
      <w:r>
        <w:t xml:space="preserve"> provisions, </w:t>
      </w:r>
      <w:r w:rsidR="005F0AB4">
        <w:t>t</w:t>
      </w:r>
      <w:r w:rsidR="00FE1BE5">
        <w:t>he net assets and gross income of a company, or trust th</w:t>
      </w:r>
      <w:r w:rsidR="005F0AB4">
        <w:t>at a person controls</w:t>
      </w:r>
      <w:r w:rsidR="00810490">
        <w:t>,</w:t>
      </w:r>
      <w:r w:rsidR="005F0AB4">
        <w:t xml:space="preserve"> can be included in determining the persons </w:t>
      </w:r>
      <w:r w:rsidR="00FE1BE5">
        <w:t xml:space="preserve">net assets or income for the purpose of qualifying to be treated as a wholesale client under paragraph </w:t>
      </w:r>
      <w:proofErr w:type="spellStart"/>
      <w:r w:rsidR="00FE1BE5">
        <w:t>761G</w:t>
      </w:r>
      <w:proofErr w:type="spellEnd"/>
      <w:r w:rsidR="00FE1BE5">
        <w:t>(7)(c)</w:t>
      </w:r>
      <w:r w:rsidR="004C171D">
        <w:t xml:space="preserve"> of the Act</w:t>
      </w:r>
      <w:r w:rsidR="00FE1BE5">
        <w:t xml:space="preserve">. </w:t>
      </w:r>
    </w:p>
    <w:p w14:paraId="77C862A4" w14:textId="2BAD163D" w:rsidR="00FE1BE5" w:rsidRDefault="00100BA3" w:rsidP="00401167">
      <w:pPr>
        <w:spacing w:before="100" w:beforeAutospacing="1" w:after="100" w:afterAutospacing="1"/>
      </w:pPr>
      <w:r w:rsidRPr="00100BA3">
        <w:rPr>
          <w:u w:val="single"/>
        </w:rPr>
        <w:t xml:space="preserve">Item </w:t>
      </w:r>
      <w:r w:rsidR="00251F81">
        <w:rPr>
          <w:u w:val="single"/>
        </w:rPr>
        <w:t>4</w:t>
      </w:r>
      <w:r w:rsidRPr="00100BA3">
        <w:t xml:space="preserve"> applies r</w:t>
      </w:r>
      <w:r w:rsidR="004F7397">
        <w:t xml:space="preserve">egulation </w:t>
      </w:r>
      <w:proofErr w:type="spellStart"/>
      <w:r w:rsidRPr="00100BA3">
        <w:t>7.6.02AD</w:t>
      </w:r>
      <w:proofErr w:type="spellEnd"/>
      <w:r w:rsidRPr="00100BA3">
        <w:t xml:space="preserve"> to the </w:t>
      </w:r>
      <w:proofErr w:type="spellStart"/>
      <w:r w:rsidRPr="00100BA3">
        <w:t>FOFA</w:t>
      </w:r>
      <w:proofErr w:type="spellEnd"/>
      <w:r w:rsidRPr="00100BA3">
        <w:t xml:space="preserve"> provisions. </w:t>
      </w:r>
      <w:r w:rsidR="00E33A17" w:rsidRPr="00E33A17">
        <w:t xml:space="preserve">Regulation </w:t>
      </w:r>
      <w:proofErr w:type="spellStart"/>
      <w:r w:rsidR="00E33A17" w:rsidRPr="00E33A17">
        <w:t>7.6.02AD</w:t>
      </w:r>
      <w:proofErr w:type="spellEnd"/>
      <w:r w:rsidR="00E33A17" w:rsidRPr="00E33A17">
        <w:t xml:space="preserve"> inserts subsection </w:t>
      </w:r>
      <w:proofErr w:type="spellStart"/>
      <w:r w:rsidR="00E33A17" w:rsidRPr="00E33A17">
        <w:t>761G</w:t>
      </w:r>
      <w:proofErr w:type="spellEnd"/>
      <w:r w:rsidR="00E33A17" w:rsidRPr="00E33A17">
        <w:t>(</w:t>
      </w:r>
      <w:proofErr w:type="spellStart"/>
      <w:r w:rsidR="00E33A17" w:rsidRPr="00E33A17">
        <w:t>4A</w:t>
      </w:r>
      <w:proofErr w:type="spellEnd"/>
      <w:r w:rsidR="00E33A17" w:rsidRPr="00E33A17">
        <w:t>) into s</w:t>
      </w:r>
      <w:r w:rsidR="004F7397">
        <w:t xml:space="preserve">ection </w:t>
      </w:r>
      <w:proofErr w:type="spellStart"/>
      <w:r w:rsidR="00E33A17" w:rsidRPr="00E33A17">
        <w:t>761G</w:t>
      </w:r>
      <w:proofErr w:type="spellEnd"/>
      <w:r w:rsidR="0031637A">
        <w:t xml:space="preserve"> of the Act</w:t>
      </w:r>
      <w:r w:rsidR="00E33A17" w:rsidRPr="00E33A17">
        <w:t xml:space="preserve">. </w:t>
      </w:r>
      <w:r w:rsidR="007A66F8">
        <w:t>The effect of this amendment is that</w:t>
      </w:r>
      <w:r>
        <w:t xml:space="preserve">, for the purposes of the </w:t>
      </w:r>
      <w:proofErr w:type="spellStart"/>
      <w:r>
        <w:t>FOFA</w:t>
      </w:r>
      <w:proofErr w:type="spellEnd"/>
      <w:r>
        <w:t xml:space="preserve"> provisions, </w:t>
      </w:r>
      <w:r w:rsidR="007A66F8">
        <w:t xml:space="preserve">where a financial product or service is acquired by a body corporate as a wholesale client, related bodies corporate of the client are </w:t>
      </w:r>
      <w:r w:rsidR="00E33A17">
        <w:t xml:space="preserve">also </w:t>
      </w:r>
      <w:r w:rsidR="007A66F8">
        <w:t>considered to be wholesale clients.</w:t>
      </w:r>
    </w:p>
    <w:p w14:paraId="01B3B510" w14:textId="32387197" w:rsidR="007A66F8" w:rsidRDefault="007A66F8" w:rsidP="00E4438C">
      <w:r w:rsidRPr="0058629F">
        <w:rPr>
          <w:u w:val="single"/>
        </w:rPr>
        <w:t xml:space="preserve">Item </w:t>
      </w:r>
      <w:r w:rsidR="00251F81">
        <w:rPr>
          <w:u w:val="single"/>
        </w:rPr>
        <w:t>5</w:t>
      </w:r>
      <w:r w:rsidRPr="0058629F">
        <w:t xml:space="preserve"> </w:t>
      </w:r>
      <w:r w:rsidR="0058629F" w:rsidRPr="0058629F">
        <w:t>applies r</w:t>
      </w:r>
      <w:r w:rsidR="004F7397">
        <w:t xml:space="preserve">egulation </w:t>
      </w:r>
      <w:proofErr w:type="spellStart"/>
      <w:r w:rsidR="0058629F" w:rsidRPr="0058629F">
        <w:t>7.6.02AE</w:t>
      </w:r>
      <w:proofErr w:type="spellEnd"/>
      <w:r w:rsidR="0058629F" w:rsidRPr="0058629F">
        <w:t xml:space="preserve"> to the </w:t>
      </w:r>
      <w:proofErr w:type="spellStart"/>
      <w:r w:rsidR="0058629F" w:rsidRPr="0058629F">
        <w:t>FOFA</w:t>
      </w:r>
      <w:proofErr w:type="spellEnd"/>
      <w:r w:rsidR="0058629F" w:rsidRPr="0058629F">
        <w:t xml:space="preserve"> provisions.</w:t>
      </w:r>
      <w:r w:rsidR="0058629F">
        <w:t xml:space="preserve"> </w:t>
      </w:r>
      <w:r w:rsidR="00FD72F1" w:rsidRPr="00FD72F1">
        <w:t xml:space="preserve">Regulation </w:t>
      </w:r>
      <w:proofErr w:type="spellStart"/>
      <w:r w:rsidR="00FD72F1" w:rsidRPr="00FD72F1">
        <w:t>7.6.02AE</w:t>
      </w:r>
      <w:proofErr w:type="spellEnd"/>
      <w:r w:rsidR="00FD72F1" w:rsidRPr="00FD72F1">
        <w:t xml:space="preserve"> modifies the definition of professional investor. </w:t>
      </w:r>
      <w:r w:rsidR="00FD72F1">
        <w:t>T</w:t>
      </w:r>
      <w:r w:rsidR="00100BA3">
        <w:t>he effect of this amendment is that</w:t>
      </w:r>
      <w:r w:rsidR="00810490">
        <w:t>,</w:t>
      </w:r>
      <w:r w:rsidR="00100BA3">
        <w:t xml:space="preserve"> for the purposes of the </w:t>
      </w:r>
      <w:proofErr w:type="spellStart"/>
      <w:r w:rsidR="00100BA3">
        <w:t>FOFA</w:t>
      </w:r>
      <w:proofErr w:type="spellEnd"/>
      <w:r w:rsidR="00100BA3">
        <w:t xml:space="preserve"> provisions, a person is considered to be a professional investor if the person has, or is in control of, gross assets of at least $10 million, including any assets held by an associate or under a trust that the person manages.</w:t>
      </w:r>
    </w:p>
    <w:p w14:paraId="13DA7A2E" w14:textId="1EA57D91" w:rsidR="009E7A0A" w:rsidRPr="006379E6" w:rsidRDefault="006379E6" w:rsidP="00E4438C">
      <w:pPr>
        <w:rPr>
          <w:b/>
          <w:i/>
        </w:rPr>
      </w:pPr>
      <w:r w:rsidRPr="006379E6">
        <w:rPr>
          <w:b/>
          <w:i/>
        </w:rPr>
        <w:t>Modified best interests duty</w:t>
      </w:r>
    </w:p>
    <w:p w14:paraId="7FE78361" w14:textId="08205A6C" w:rsidR="006379E6" w:rsidRDefault="003A5972" w:rsidP="00401167">
      <w:pPr>
        <w:spacing w:before="100" w:beforeAutospacing="1" w:after="100" w:afterAutospacing="1"/>
      </w:pPr>
      <w:r w:rsidRPr="00251F81">
        <w:rPr>
          <w:u w:val="single"/>
        </w:rPr>
        <w:t>Item</w:t>
      </w:r>
      <w:r w:rsidR="004F7397">
        <w:rPr>
          <w:u w:val="single"/>
        </w:rPr>
        <w:t>s</w:t>
      </w:r>
      <w:r w:rsidRPr="00251F81">
        <w:rPr>
          <w:u w:val="single"/>
        </w:rPr>
        <w:t xml:space="preserve"> </w:t>
      </w:r>
      <w:r w:rsidR="00251F81">
        <w:rPr>
          <w:u w:val="single"/>
        </w:rPr>
        <w:t>6</w:t>
      </w:r>
      <w:r w:rsidRPr="00251F81">
        <w:rPr>
          <w:u w:val="single"/>
        </w:rPr>
        <w:t xml:space="preserve">, </w:t>
      </w:r>
      <w:r w:rsidR="00251F81">
        <w:rPr>
          <w:u w:val="single"/>
        </w:rPr>
        <w:t>7</w:t>
      </w:r>
      <w:r w:rsidRPr="00251F81">
        <w:rPr>
          <w:u w:val="single"/>
        </w:rPr>
        <w:t xml:space="preserve"> and </w:t>
      </w:r>
      <w:r w:rsidR="00251F81">
        <w:rPr>
          <w:u w:val="single"/>
        </w:rPr>
        <w:t>8</w:t>
      </w:r>
      <w:r>
        <w:t xml:space="preserve"> relate to the repeal, and replacement of </w:t>
      </w:r>
      <w:r w:rsidR="00035133">
        <w:t xml:space="preserve">existing </w:t>
      </w:r>
      <w:r>
        <w:t>r</w:t>
      </w:r>
      <w:r w:rsidR="004F7397">
        <w:t xml:space="preserve">egulation </w:t>
      </w:r>
      <w:proofErr w:type="spellStart"/>
      <w:r w:rsidR="006379E6">
        <w:t>7.7A.1</w:t>
      </w:r>
      <w:proofErr w:type="spellEnd"/>
      <w:r>
        <w:t>.</w:t>
      </w:r>
    </w:p>
    <w:p w14:paraId="710D2E2B" w14:textId="3D23B42E" w:rsidR="003A5972" w:rsidRDefault="003A5972" w:rsidP="00401167">
      <w:pPr>
        <w:spacing w:before="100" w:beforeAutospacing="1" w:after="100" w:afterAutospacing="1"/>
        <w:rPr>
          <w:u w:val="single"/>
        </w:rPr>
      </w:pPr>
      <w:r w:rsidRPr="003A5972">
        <w:rPr>
          <w:u w:val="single"/>
        </w:rPr>
        <w:t xml:space="preserve">Item </w:t>
      </w:r>
      <w:r w:rsidR="00251F81">
        <w:rPr>
          <w:u w:val="single"/>
        </w:rPr>
        <w:t>6</w:t>
      </w:r>
      <w:r w:rsidRPr="008E593F">
        <w:t xml:space="preserve"> </w:t>
      </w:r>
      <w:r w:rsidRPr="003A5972">
        <w:t xml:space="preserve">amends the </w:t>
      </w:r>
      <w:r w:rsidR="00573244">
        <w:t>n</w:t>
      </w:r>
      <w:r w:rsidRPr="003A5972">
        <w:t xml:space="preserve">ote in Part </w:t>
      </w:r>
      <w:proofErr w:type="spellStart"/>
      <w:r w:rsidRPr="003A5972">
        <w:t>7.7A</w:t>
      </w:r>
      <w:proofErr w:type="spellEnd"/>
      <w:r w:rsidRPr="003A5972">
        <w:t xml:space="preserve"> </w:t>
      </w:r>
      <w:r w:rsidR="004F7397">
        <w:t xml:space="preserve">of the Act </w:t>
      </w:r>
      <w:r w:rsidRPr="003A5972">
        <w:t xml:space="preserve">to acknowledge that </w:t>
      </w:r>
      <w:r w:rsidR="00A6773F">
        <w:t>certain regulations (</w:t>
      </w:r>
      <w:r w:rsidR="004F7397">
        <w:t xml:space="preserve">regulations </w:t>
      </w:r>
      <w:proofErr w:type="spellStart"/>
      <w:r w:rsidRPr="003A5972">
        <w:t>7.7A.01</w:t>
      </w:r>
      <w:proofErr w:type="spellEnd"/>
      <w:r w:rsidRPr="003A5972">
        <w:t xml:space="preserve"> – </w:t>
      </w:r>
      <w:proofErr w:type="spellStart"/>
      <w:r w:rsidRPr="003A5972">
        <w:t>7.7A.04</w:t>
      </w:r>
      <w:proofErr w:type="spellEnd"/>
      <w:r w:rsidR="00A6773F">
        <w:t>)</w:t>
      </w:r>
      <w:r w:rsidRPr="003A5972">
        <w:t xml:space="preserve"> remain reserved for future use.</w:t>
      </w:r>
    </w:p>
    <w:p w14:paraId="4133128F" w14:textId="3D0DEFFB" w:rsidR="009E7A0A" w:rsidRDefault="009E7A0A" w:rsidP="00E4438C">
      <w:r w:rsidRPr="009E7A0A">
        <w:rPr>
          <w:u w:val="single"/>
        </w:rPr>
        <w:t xml:space="preserve">Item </w:t>
      </w:r>
      <w:r w:rsidR="00251F81">
        <w:rPr>
          <w:u w:val="single"/>
        </w:rPr>
        <w:t>7</w:t>
      </w:r>
      <w:r w:rsidRPr="009E7A0A">
        <w:t xml:space="preserve"> repeals the heading </w:t>
      </w:r>
      <w:r w:rsidRPr="006379E6">
        <w:rPr>
          <w:i/>
        </w:rPr>
        <w:t>‘</w:t>
      </w:r>
      <w:r w:rsidR="003A5972" w:rsidRPr="006379E6">
        <w:rPr>
          <w:i/>
        </w:rPr>
        <w:t>Subdivision</w:t>
      </w:r>
      <w:r w:rsidRPr="006379E6">
        <w:rPr>
          <w:i/>
        </w:rPr>
        <w:t xml:space="preserve"> 1 – Duty to act in the client’s best interest</w:t>
      </w:r>
      <w:r w:rsidR="0034079F">
        <w:rPr>
          <w:i/>
        </w:rPr>
        <w:t>s</w:t>
      </w:r>
      <w:r w:rsidRPr="006379E6">
        <w:rPr>
          <w:i/>
        </w:rPr>
        <w:t>’</w:t>
      </w:r>
      <w:r>
        <w:t xml:space="preserve"> </w:t>
      </w:r>
      <w:r w:rsidRPr="009E7A0A">
        <w:t xml:space="preserve">of Subdivision 1 of Division 2 of Part </w:t>
      </w:r>
      <w:proofErr w:type="spellStart"/>
      <w:r w:rsidRPr="009E7A0A">
        <w:t>7.7A</w:t>
      </w:r>
      <w:proofErr w:type="spellEnd"/>
      <w:r w:rsidR="004F7397">
        <w:t xml:space="preserve"> of the Act</w:t>
      </w:r>
      <w:r w:rsidR="006379E6">
        <w:t xml:space="preserve">. </w:t>
      </w:r>
    </w:p>
    <w:p w14:paraId="502714FB" w14:textId="6967C6E6" w:rsidR="003A5972" w:rsidRDefault="003A5972" w:rsidP="00401167">
      <w:pPr>
        <w:spacing w:before="100" w:beforeAutospacing="1" w:after="100" w:afterAutospacing="1"/>
      </w:pPr>
      <w:r w:rsidRPr="003A5972">
        <w:rPr>
          <w:u w:val="single"/>
        </w:rPr>
        <w:t xml:space="preserve">Item </w:t>
      </w:r>
      <w:r w:rsidR="00251F81">
        <w:rPr>
          <w:u w:val="single"/>
        </w:rPr>
        <w:t>8</w:t>
      </w:r>
      <w:r>
        <w:t xml:space="preserve"> repeals </w:t>
      </w:r>
      <w:r w:rsidR="00A63C34">
        <w:t xml:space="preserve">existing </w:t>
      </w:r>
      <w:r>
        <w:t>r</w:t>
      </w:r>
      <w:r w:rsidR="004F7397">
        <w:t xml:space="preserve">egulation </w:t>
      </w:r>
      <w:proofErr w:type="spellStart"/>
      <w:r>
        <w:t>7.7A.1</w:t>
      </w:r>
      <w:proofErr w:type="spellEnd"/>
      <w:r>
        <w:t xml:space="preserve"> and replaces it with </w:t>
      </w:r>
      <w:r w:rsidR="004F7397">
        <w:t xml:space="preserve">regulations </w:t>
      </w:r>
      <w:proofErr w:type="spellStart"/>
      <w:r>
        <w:t>7.7A.05</w:t>
      </w:r>
      <w:proofErr w:type="spellEnd"/>
      <w:r>
        <w:t xml:space="preserve">, </w:t>
      </w:r>
      <w:proofErr w:type="spellStart"/>
      <w:r>
        <w:t>7.7A.06</w:t>
      </w:r>
      <w:proofErr w:type="spellEnd"/>
      <w:r>
        <w:t xml:space="preserve"> and </w:t>
      </w:r>
      <w:proofErr w:type="spellStart"/>
      <w:r>
        <w:t>7.7A.07</w:t>
      </w:r>
      <w:proofErr w:type="spellEnd"/>
      <w:r w:rsidR="002229A5">
        <w:t>.</w:t>
      </w:r>
    </w:p>
    <w:p w14:paraId="16157F98" w14:textId="45E8ECB3" w:rsidR="00272FC1" w:rsidRDefault="000732F2" w:rsidP="00401167">
      <w:pPr>
        <w:spacing w:before="100" w:beforeAutospacing="1" w:after="100" w:afterAutospacing="1"/>
      </w:pPr>
      <w:r>
        <w:t>Subs</w:t>
      </w:r>
      <w:r w:rsidR="00272FC1">
        <w:t xml:space="preserve">ection </w:t>
      </w:r>
      <w:proofErr w:type="spellStart"/>
      <w:r w:rsidR="00272FC1">
        <w:t>961B</w:t>
      </w:r>
      <w:proofErr w:type="spellEnd"/>
      <w:r w:rsidR="000B5353">
        <w:t>(1)</w:t>
      </w:r>
      <w:r w:rsidR="00272FC1">
        <w:t xml:space="preserve"> </w:t>
      </w:r>
      <w:r w:rsidR="00D50A41">
        <w:t xml:space="preserve">of the Act </w:t>
      </w:r>
      <w:r w:rsidR="00272FC1">
        <w:t xml:space="preserve">provides that </w:t>
      </w:r>
      <w:r w:rsidR="00D53DFC">
        <w:t>a</w:t>
      </w:r>
      <w:r w:rsidR="000B5353">
        <w:t xml:space="preserve"> provider must act in the best interest</w:t>
      </w:r>
      <w:r w:rsidR="008561B6">
        <w:t>s</w:t>
      </w:r>
      <w:r w:rsidR="000B5353">
        <w:t xml:space="preserve"> of the client when providing advice. </w:t>
      </w:r>
      <w:r>
        <w:t>Subs</w:t>
      </w:r>
      <w:r w:rsidR="000B5353">
        <w:t>ection</w:t>
      </w:r>
      <w:r w:rsidR="00A442F2">
        <w:t> </w:t>
      </w:r>
      <w:proofErr w:type="spellStart"/>
      <w:r w:rsidR="000B5353">
        <w:t>961B</w:t>
      </w:r>
      <w:proofErr w:type="spellEnd"/>
      <w:r w:rsidR="000B5353">
        <w:t xml:space="preserve">(2) </w:t>
      </w:r>
      <w:r w:rsidR="005972C7">
        <w:t xml:space="preserve">of the Act </w:t>
      </w:r>
      <w:r w:rsidR="000B5353">
        <w:t>sets out the steps</w:t>
      </w:r>
      <w:r>
        <w:t xml:space="preserve"> (summarised below)</w:t>
      </w:r>
      <w:r w:rsidR="000B5353">
        <w:t xml:space="preserve"> that a </w:t>
      </w:r>
      <w:r w:rsidR="00FD72F1">
        <w:t>provider must satisfy to act in the best interest</w:t>
      </w:r>
      <w:r w:rsidR="008561B6">
        <w:t>s</w:t>
      </w:r>
      <w:r w:rsidR="00FD72F1">
        <w:t xml:space="preserve"> of the </w:t>
      </w:r>
      <w:r w:rsidR="001E2FC6">
        <w:t>client</w:t>
      </w:r>
      <w:r w:rsidR="00FD72F1">
        <w:t>:</w:t>
      </w:r>
    </w:p>
    <w:p w14:paraId="03F6080D" w14:textId="13CD7682" w:rsidR="00FD72F1" w:rsidRDefault="00DC7879" w:rsidP="00FD72F1">
      <w:pPr>
        <w:pStyle w:val="Bullet"/>
      </w:pPr>
      <w:r>
        <w:t>identify the objectives, financial situation and needs of the client (</w:t>
      </w:r>
      <w:r w:rsidR="000732F2">
        <w:t>paragraph</w:t>
      </w:r>
      <w:r w:rsidR="00FD795D">
        <w:t> </w:t>
      </w:r>
      <w:proofErr w:type="spellStart"/>
      <w:r>
        <w:t>961B</w:t>
      </w:r>
      <w:proofErr w:type="spellEnd"/>
      <w:r>
        <w:t>(1)(a)</w:t>
      </w:r>
      <w:r w:rsidR="0032654A">
        <w:t>)</w:t>
      </w:r>
      <w:r>
        <w:t>;</w:t>
      </w:r>
    </w:p>
    <w:p w14:paraId="6321470D" w14:textId="4C4806C8" w:rsidR="00DC7879" w:rsidRDefault="00DC7879" w:rsidP="00FD72F1">
      <w:pPr>
        <w:pStyle w:val="Bullet"/>
      </w:pPr>
      <w:r>
        <w:t>identify the subject matter of the advice being sought by the client, and the objectives, financial situation and needs of the client that would reasonably be considered as relevant to the advice sought on that subject matter (</w:t>
      </w:r>
      <w:r w:rsidR="000732F2">
        <w:t>paragraph</w:t>
      </w:r>
      <w:r w:rsidR="00FD795D">
        <w:t> </w:t>
      </w:r>
      <w:proofErr w:type="spellStart"/>
      <w:r>
        <w:t>961B</w:t>
      </w:r>
      <w:proofErr w:type="spellEnd"/>
      <w:r>
        <w:t>(2)(b)</w:t>
      </w:r>
      <w:r w:rsidR="0032654A">
        <w:t>)</w:t>
      </w:r>
      <w:r>
        <w:t>;</w:t>
      </w:r>
    </w:p>
    <w:p w14:paraId="7C193BAF" w14:textId="33BE4502" w:rsidR="00DC7879" w:rsidRDefault="00DC7879" w:rsidP="00FD72F1">
      <w:pPr>
        <w:pStyle w:val="Bullet"/>
      </w:pPr>
      <w:r>
        <w:t>where it is reasonably apparent that information relating to the client’s relevant circumstances is incomplete or inaccurate, make reasonable inquiries to obtain complete and accurate information (</w:t>
      </w:r>
      <w:r w:rsidR="000732F2">
        <w:t xml:space="preserve">paragraph </w:t>
      </w:r>
      <w:proofErr w:type="spellStart"/>
      <w:r>
        <w:t>961B</w:t>
      </w:r>
      <w:proofErr w:type="spellEnd"/>
      <w:r>
        <w:t>(2)(c)</w:t>
      </w:r>
      <w:r w:rsidR="0032654A">
        <w:t>)</w:t>
      </w:r>
      <w:r>
        <w:t>;</w:t>
      </w:r>
    </w:p>
    <w:p w14:paraId="3530D6B8" w14:textId="02391149" w:rsidR="00DC7879" w:rsidRDefault="00DC7879" w:rsidP="00FD72F1">
      <w:pPr>
        <w:pStyle w:val="Bullet"/>
      </w:pPr>
      <w:r>
        <w:t>assess whether they (the provider) ha</w:t>
      </w:r>
      <w:r w:rsidR="00BC0212">
        <w:t>ve</w:t>
      </w:r>
      <w:r>
        <w:t xml:space="preserve"> the expertise required to provide the client with advice on the subject matter sought and, if not, decline to provide the advice (</w:t>
      </w:r>
      <w:r w:rsidR="000732F2">
        <w:t xml:space="preserve">paragraph </w:t>
      </w:r>
      <w:proofErr w:type="spellStart"/>
      <w:r>
        <w:t>961B</w:t>
      </w:r>
      <w:proofErr w:type="spellEnd"/>
      <w:r>
        <w:t>(2)(d));</w:t>
      </w:r>
    </w:p>
    <w:p w14:paraId="464655A1" w14:textId="39EBF439" w:rsidR="00DC7879" w:rsidRDefault="000732F2" w:rsidP="00FD72F1">
      <w:pPr>
        <w:pStyle w:val="Bullet"/>
      </w:pPr>
      <w:r>
        <w:t xml:space="preserve">conduct </w:t>
      </w:r>
      <w:r w:rsidR="004776CC">
        <w:t xml:space="preserve">a </w:t>
      </w:r>
      <w:r>
        <w:t xml:space="preserve">reasonable investigation </w:t>
      </w:r>
      <w:r w:rsidR="004776CC">
        <w:t>i</w:t>
      </w:r>
      <w:r>
        <w:t xml:space="preserve">nto the financial products that might achieve the objectives and needs of the client and assess the information obtained (paragraph </w:t>
      </w:r>
      <w:proofErr w:type="spellStart"/>
      <w:r>
        <w:t>961B</w:t>
      </w:r>
      <w:proofErr w:type="spellEnd"/>
      <w:r>
        <w:t>(2)(e)</w:t>
      </w:r>
      <w:r w:rsidR="0032654A">
        <w:t>)</w:t>
      </w:r>
      <w:r>
        <w:t>;</w:t>
      </w:r>
    </w:p>
    <w:p w14:paraId="1891DCAF" w14:textId="6258BCD6" w:rsidR="000732F2" w:rsidRDefault="000732F2" w:rsidP="00FD72F1">
      <w:pPr>
        <w:pStyle w:val="Bullet"/>
      </w:pPr>
      <w:r>
        <w:t xml:space="preserve">base all judgements in advising the client </w:t>
      </w:r>
      <w:r w:rsidR="003A7C48">
        <w:t xml:space="preserve">on </w:t>
      </w:r>
      <w:r>
        <w:t xml:space="preserve">the client’s relevant circumstances (paragraph </w:t>
      </w:r>
      <w:proofErr w:type="spellStart"/>
      <w:r>
        <w:t>961B</w:t>
      </w:r>
      <w:proofErr w:type="spellEnd"/>
      <w:r>
        <w:t xml:space="preserve">(2)(f)); and </w:t>
      </w:r>
    </w:p>
    <w:p w14:paraId="2ECBD3CF" w14:textId="2920BA81" w:rsidR="000732F2" w:rsidRDefault="000732F2" w:rsidP="00FD72F1">
      <w:pPr>
        <w:pStyle w:val="Bullet"/>
      </w:pPr>
      <w:r>
        <w:t>take any other steps that</w:t>
      </w:r>
      <w:r w:rsidR="00721838">
        <w:t>,</w:t>
      </w:r>
      <w:r>
        <w:t xml:space="preserve"> at the time the advice is provided, would reasonabl</w:t>
      </w:r>
      <w:r w:rsidR="003A7C48">
        <w:t>y</w:t>
      </w:r>
      <w:r>
        <w:t xml:space="preserve"> be regarded as being in the best interest</w:t>
      </w:r>
      <w:r w:rsidR="008561B6">
        <w:t>s</w:t>
      </w:r>
      <w:r>
        <w:t xml:space="preserve"> of the client</w:t>
      </w:r>
      <w:r w:rsidR="003A7C48">
        <w:t>,</w:t>
      </w:r>
      <w:r>
        <w:t xml:space="preserve"> given the</w:t>
      </w:r>
      <w:r w:rsidR="003A7C48">
        <w:t xml:space="preserve"> client’s</w:t>
      </w:r>
      <w:r>
        <w:t xml:space="preserve"> relevant circumstances (paragraph </w:t>
      </w:r>
      <w:proofErr w:type="spellStart"/>
      <w:r>
        <w:t>961B</w:t>
      </w:r>
      <w:proofErr w:type="spellEnd"/>
      <w:r>
        <w:t>(2)(g)</w:t>
      </w:r>
      <w:r w:rsidR="0032654A">
        <w:t>)</w:t>
      </w:r>
      <w:r>
        <w:t xml:space="preserve">. </w:t>
      </w:r>
    </w:p>
    <w:p w14:paraId="150CBDD9" w14:textId="1D870896" w:rsidR="00272FC1" w:rsidRDefault="00272FC1" w:rsidP="00401167">
      <w:pPr>
        <w:spacing w:before="100" w:beforeAutospacing="1" w:after="100" w:afterAutospacing="1"/>
      </w:pPr>
      <w:r>
        <w:t xml:space="preserve">Subsection </w:t>
      </w:r>
      <w:proofErr w:type="spellStart"/>
      <w:r>
        <w:t>961B</w:t>
      </w:r>
      <w:proofErr w:type="spellEnd"/>
      <w:r>
        <w:t xml:space="preserve">(3) </w:t>
      </w:r>
      <w:r w:rsidR="00D50A41">
        <w:t xml:space="preserve">of the Act currently </w:t>
      </w:r>
      <w:r>
        <w:t>provide</w:t>
      </w:r>
      <w:r w:rsidR="001E20C6">
        <w:t>s</w:t>
      </w:r>
      <w:r>
        <w:t xml:space="preserve"> </w:t>
      </w:r>
      <w:r w:rsidR="001E20C6">
        <w:t xml:space="preserve">that an employee or agent of an </w:t>
      </w:r>
      <w:proofErr w:type="spellStart"/>
      <w:r w:rsidR="001E20C6">
        <w:t>ADI</w:t>
      </w:r>
      <w:proofErr w:type="spellEnd"/>
      <w:r w:rsidR="001E20C6">
        <w:t xml:space="preserve">, or a provider acting by arrangement with an </w:t>
      </w:r>
      <w:proofErr w:type="spellStart"/>
      <w:r w:rsidR="001E20C6">
        <w:t>ADI</w:t>
      </w:r>
      <w:proofErr w:type="spellEnd"/>
      <w:r w:rsidR="001E20C6">
        <w:t xml:space="preserve"> under the name of the </w:t>
      </w:r>
      <w:proofErr w:type="spellStart"/>
      <w:r w:rsidR="001E20C6">
        <w:t>ADI</w:t>
      </w:r>
      <w:proofErr w:type="spellEnd"/>
      <w:r w:rsidR="001E20C6">
        <w:t>,</w:t>
      </w:r>
      <w:r w:rsidR="001E20C6" w:rsidDel="001E20C6">
        <w:t xml:space="preserve"> </w:t>
      </w:r>
      <w:r w:rsidR="0032654A">
        <w:t xml:space="preserve">is </w:t>
      </w:r>
      <w:r>
        <w:t xml:space="preserve">required to </w:t>
      </w:r>
      <w:r w:rsidR="001E20C6">
        <w:t xml:space="preserve">only </w:t>
      </w:r>
      <w:r>
        <w:t xml:space="preserve">satisfy the steps in </w:t>
      </w:r>
      <w:r w:rsidR="000732F2">
        <w:t xml:space="preserve">paragraphs </w:t>
      </w:r>
      <w:proofErr w:type="spellStart"/>
      <w:r>
        <w:t>961B</w:t>
      </w:r>
      <w:proofErr w:type="spellEnd"/>
      <w:r>
        <w:t>(2)(</w:t>
      </w:r>
      <w:r w:rsidR="001E20C6">
        <w:t>a</w:t>
      </w:r>
      <w:r>
        <w:t>) to (</w:t>
      </w:r>
      <w:r w:rsidR="001E20C6">
        <w:t>c</w:t>
      </w:r>
      <w:r>
        <w:t xml:space="preserve">) </w:t>
      </w:r>
      <w:r w:rsidR="001E20C6">
        <w:t xml:space="preserve">(known as the modified best interests duty) </w:t>
      </w:r>
      <w:r>
        <w:t xml:space="preserve">when the subject matter of the advice sought by the client is solely in relation to a basic banking product. </w:t>
      </w:r>
    </w:p>
    <w:p w14:paraId="1F5A2E7B" w14:textId="6C9A371F" w:rsidR="001E2FC6" w:rsidRDefault="001E2FC6" w:rsidP="00401167">
      <w:pPr>
        <w:spacing w:before="100" w:beforeAutospacing="1" w:after="100" w:afterAutospacing="1"/>
      </w:pPr>
      <w:r>
        <w:t xml:space="preserve">In addition, existing </w:t>
      </w:r>
      <w:r w:rsidR="0076218C">
        <w:t>sub-</w:t>
      </w:r>
      <w:r>
        <w:t>r</w:t>
      </w:r>
      <w:r w:rsidR="000732F2">
        <w:t>egulation</w:t>
      </w:r>
      <w:r w:rsidR="00F91E37">
        <w:t>s</w:t>
      </w:r>
      <w:r w:rsidR="000732F2">
        <w:t xml:space="preserve"> </w:t>
      </w:r>
      <w:proofErr w:type="spellStart"/>
      <w:r>
        <w:t>7.7A.1</w:t>
      </w:r>
      <w:proofErr w:type="spellEnd"/>
      <w:r w:rsidR="00CC37FD">
        <w:t>(1)</w:t>
      </w:r>
      <w:r w:rsidR="00F91E37">
        <w:t xml:space="preserve"> and </w:t>
      </w:r>
      <w:proofErr w:type="spellStart"/>
      <w:r w:rsidR="00F91E37">
        <w:t>7.7A.</w:t>
      </w:r>
      <w:r w:rsidR="00CC37FD">
        <w:t>1</w:t>
      </w:r>
      <w:proofErr w:type="spellEnd"/>
      <w:r w:rsidR="00CC37FD">
        <w:t>(2)</w:t>
      </w:r>
      <w:r>
        <w:t xml:space="preserve"> provide that </w:t>
      </w:r>
      <w:r w:rsidR="00F91E37">
        <w:t xml:space="preserve">an employee or agent of an </w:t>
      </w:r>
      <w:proofErr w:type="spellStart"/>
      <w:r w:rsidR="00F91E37">
        <w:t>ADI</w:t>
      </w:r>
      <w:proofErr w:type="spellEnd"/>
      <w:r w:rsidR="00F91E37">
        <w:t xml:space="preserve">, or a provider acting by arrangement with an </w:t>
      </w:r>
      <w:proofErr w:type="spellStart"/>
      <w:r w:rsidR="00F91E37">
        <w:t>ADI</w:t>
      </w:r>
      <w:proofErr w:type="spellEnd"/>
      <w:r w:rsidR="00F91E37">
        <w:t xml:space="preserve"> under the name of the </w:t>
      </w:r>
      <w:proofErr w:type="spellStart"/>
      <w:r w:rsidR="00F91E37">
        <w:t>ADI</w:t>
      </w:r>
      <w:proofErr w:type="spellEnd"/>
      <w:r w:rsidR="00F91E37">
        <w:t>,</w:t>
      </w:r>
      <w:r w:rsidR="00F91E37" w:rsidDel="00F91E37">
        <w:t xml:space="preserve"> </w:t>
      </w:r>
      <w:r>
        <w:t xml:space="preserve">need not satisfy the steps in </w:t>
      </w:r>
      <w:r w:rsidR="000732F2">
        <w:t xml:space="preserve">paragraphs </w:t>
      </w:r>
      <w:proofErr w:type="spellStart"/>
      <w:r>
        <w:t>961B</w:t>
      </w:r>
      <w:proofErr w:type="spellEnd"/>
      <w:r>
        <w:t xml:space="preserve">(2)(d) to (g) </w:t>
      </w:r>
      <w:r w:rsidR="0031637A">
        <w:t xml:space="preserve">of the Act </w:t>
      </w:r>
      <w:r>
        <w:t>when the only advice provided i</w:t>
      </w:r>
      <w:r w:rsidR="0032654A">
        <w:t>s</w:t>
      </w:r>
      <w:r>
        <w:t xml:space="preserve"> in relation to a basic banking product and</w:t>
      </w:r>
      <w:r w:rsidR="00F91E37">
        <w:t>/or</w:t>
      </w:r>
      <w:r>
        <w:t xml:space="preserve"> a general insurance product. </w:t>
      </w:r>
    </w:p>
    <w:p w14:paraId="30E263CE" w14:textId="4E64891A" w:rsidR="00CC37FD" w:rsidRDefault="00642A63" w:rsidP="00401167">
      <w:pPr>
        <w:spacing w:before="100" w:beforeAutospacing="1" w:after="100" w:afterAutospacing="1"/>
      </w:pPr>
      <w:r>
        <w:t xml:space="preserve">Subsection </w:t>
      </w:r>
      <w:proofErr w:type="spellStart"/>
      <w:r>
        <w:t>961B</w:t>
      </w:r>
      <w:proofErr w:type="spellEnd"/>
      <w:r>
        <w:t xml:space="preserve">(4) of the Act provides that a provider is required to only satisfy the steps in paragraphs </w:t>
      </w:r>
      <w:proofErr w:type="spellStart"/>
      <w:r>
        <w:t>961B</w:t>
      </w:r>
      <w:proofErr w:type="spellEnd"/>
      <w:r>
        <w:t xml:space="preserve">(2)(a) to (c) if the subject matter of the advice </w:t>
      </w:r>
      <w:r w:rsidRPr="00730D88">
        <w:rPr>
          <w:i/>
        </w:rPr>
        <w:t>solely</w:t>
      </w:r>
      <w:r>
        <w:t xml:space="preserve"> relates to a general insurance product. </w:t>
      </w:r>
      <w:r w:rsidR="00C55655">
        <w:t>In addition, e</w:t>
      </w:r>
      <w:r w:rsidR="00CC37FD">
        <w:t xml:space="preserve">xisting </w:t>
      </w:r>
      <w:r w:rsidR="00115D9D">
        <w:t>sub-</w:t>
      </w:r>
      <w:r w:rsidR="00CC37FD">
        <w:t xml:space="preserve">regulation </w:t>
      </w:r>
      <w:proofErr w:type="spellStart"/>
      <w:r w:rsidR="00CC37FD">
        <w:t>7.7A.1</w:t>
      </w:r>
      <w:proofErr w:type="spellEnd"/>
      <w:r w:rsidR="00CC37FD">
        <w:t xml:space="preserve">(3) </w:t>
      </w:r>
      <w:r w:rsidR="00CC37FD" w:rsidRPr="00272FC1">
        <w:t>provide</w:t>
      </w:r>
      <w:r w:rsidR="00CC37FD">
        <w:t>s</w:t>
      </w:r>
      <w:r w:rsidR="00CC37FD" w:rsidRPr="00272FC1">
        <w:t xml:space="preserve"> that </w:t>
      </w:r>
      <w:r w:rsidR="00CC37FD">
        <w:t xml:space="preserve">a person does not need to satisfy the steps set out in paragraphs </w:t>
      </w:r>
      <w:proofErr w:type="spellStart"/>
      <w:r w:rsidR="00CC37FD">
        <w:t>961B</w:t>
      </w:r>
      <w:proofErr w:type="spellEnd"/>
      <w:r w:rsidR="00CC37FD">
        <w:t xml:space="preserve">(2)(d) to (g) of the Act </w:t>
      </w:r>
      <w:r w:rsidR="0058018B">
        <w:t>to the extent that the subject matter of the advice is sought by the client is a</w:t>
      </w:r>
      <w:r w:rsidR="00CC37FD">
        <w:t xml:space="preserve"> general insurance product. </w:t>
      </w:r>
    </w:p>
    <w:p w14:paraId="0EB05E2E" w14:textId="734182A4" w:rsidR="003372E2" w:rsidRDefault="00272FC1" w:rsidP="00401167">
      <w:pPr>
        <w:spacing w:before="100" w:beforeAutospacing="1" w:after="100" w:afterAutospacing="1"/>
      </w:pPr>
      <w:r w:rsidRPr="00272FC1">
        <w:t xml:space="preserve">Regulation </w:t>
      </w:r>
      <w:proofErr w:type="spellStart"/>
      <w:r w:rsidRPr="00272FC1">
        <w:t>7.7A.05</w:t>
      </w:r>
      <w:proofErr w:type="spellEnd"/>
      <w:r w:rsidRPr="00272FC1">
        <w:t xml:space="preserve"> </w:t>
      </w:r>
      <w:r w:rsidR="003372E2">
        <w:t xml:space="preserve">provides that an employee or agent of an </w:t>
      </w:r>
      <w:proofErr w:type="spellStart"/>
      <w:r w:rsidR="003372E2">
        <w:t>ADI</w:t>
      </w:r>
      <w:proofErr w:type="spellEnd"/>
      <w:r w:rsidR="002C5C7E">
        <w:t xml:space="preserve">, or a provider acting by arrangement with an </w:t>
      </w:r>
      <w:proofErr w:type="spellStart"/>
      <w:r w:rsidR="002C5C7E">
        <w:t>ADI</w:t>
      </w:r>
      <w:proofErr w:type="spellEnd"/>
      <w:r w:rsidR="002C5C7E">
        <w:t xml:space="preserve"> under the name of the </w:t>
      </w:r>
      <w:proofErr w:type="spellStart"/>
      <w:r w:rsidR="002C5C7E">
        <w:t>ADI</w:t>
      </w:r>
      <w:proofErr w:type="spellEnd"/>
      <w:r w:rsidR="002C5C7E">
        <w:t>,</w:t>
      </w:r>
      <w:r w:rsidR="003372E2">
        <w:t xml:space="preserve"> does not need to </w:t>
      </w:r>
      <w:r w:rsidR="003372E2" w:rsidRPr="003372E2">
        <w:t xml:space="preserve">satisfy the steps set out in paragraphs </w:t>
      </w:r>
      <w:proofErr w:type="spellStart"/>
      <w:r w:rsidR="003372E2" w:rsidRPr="003372E2">
        <w:t>961B</w:t>
      </w:r>
      <w:proofErr w:type="spellEnd"/>
      <w:r w:rsidR="003372E2" w:rsidRPr="003372E2">
        <w:t>(2)(d) to (g) of the Act when providing advice on a basic banking product</w:t>
      </w:r>
      <w:r w:rsidR="00C07302">
        <w:t xml:space="preserve"> </w:t>
      </w:r>
      <w:r w:rsidR="000C6677">
        <w:t>and/</w:t>
      </w:r>
      <w:r w:rsidR="00C07302">
        <w:t>or a general insurance product</w:t>
      </w:r>
      <w:r w:rsidR="003372E2" w:rsidRPr="003372E2">
        <w:t xml:space="preserve"> where the subject matter sought by the client relates to a basic banking product, general insurance product, consumer credit insurance product, or a combination of these products.</w:t>
      </w:r>
    </w:p>
    <w:p w14:paraId="64331F9E" w14:textId="40D97B55" w:rsidR="003C7BAC" w:rsidRDefault="003C7BAC" w:rsidP="003C7BAC">
      <w:pPr>
        <w:spacing w:before="100" w:beforeAutospacing="1" w:after="100" w:afterAutospacing="1"/>
      </w:pPr>
      <w:r>
        <w:t xml:space="preserve">Regulation </w:t>
      </w:r>
      <w:proofErr w:type="spellStart"/>
      <w:r>
        <w:t>7.7A.05</w:t>
      </w:r>
      <w:proofErr w:type="spellEnd"/>
      <w:r>
        <w:t xml:space="preserve"> does not extend the modified best interests duty to the provision of advice on consumer credit insurance product</w:t>
      </w:r>
      <w:r w:rsidR="0005040C">
        <w:t>s</w:t>
      </w:r>
      <w:r>
        <w:t>. The purpose of th</w:t>
      </w:r>
      <w:r w:rsidR="00CB3387">
        <w:t xml:space="preserve">is </w:t>
      </w:r>
      <w:r>
        <w:t xml:space="preserve">amendment is to apply the modified best interests duty to the circumstances where advice is provided on a consumer credit insurance product at the same time as providing advice on a basic banking product and/or general insurance product. In order </w:t>
      </w:r>
      <w:r w:rsidR="00227E58">
        <w:t xml:space="preserve">to access the </w:t>
      </w:r>
      <w:r w:rsidR="00B7217E">
        <w:t>modified best interests duty</w:t>
      </w:r>
      <w:r>
        <w:t>, the provider cannot provide advice on any other financial product.</w:t>
      </w:r>
    </w:p>
    <w:p w14:paraId="1850E8E3" w14:textId="1E10FCA7" w:rsidR="003C7BAC" w:rsidRDefault="003C7BAC" w:rsidP="003C7BAC">
      <w:pPr>
        <w:spacing w:before="100" w:beforeAutospacing="1" w:after="100" w:afterAutospacing="1"/>
      </w:pPr>
      <w:r w:rsidRPr="00874C33">
        <w:t xml:space="preserve">The provision of advice on </w:t>
      </w:r>
      <w:r w:rsidR="00B47058">
        <w:t xml:space="preserve">a </w:t>
      </w:r>
      <w:r w:rsidRPr="00874C33">
        <w:t xml:space="preserve">consumer credit insurance product </w:t>
      </w:r>
      <w:r>
        <w:t xml:space="preserve">will still </w:t>
      </w:r>
      <w:r w:rsidRPr="00874C33">
        <w:t xml:space="preserve">require all the steps in </w:t>
      </w:r>
      <w:r w:rsidR="00AE7A95">
        <w:t>sub</w:t>
      </w:r>
      <w:r w:rsidRPr="00874C33">
        <w:t>s</w:t>
      </w:r>
      <w:r>
        <w:t xml:space="preserve">ection </w:t>
      </w:r>
      <w:proofErr w:type="spellStart"/>
      <w:r w:rsidRPr="00874C33">
        <w:t>961B</w:t>
      </w:r>
      <w:proofErr w:type="spellEnd"/>
      <w:r w:rsidRPr="00874C33">
        <w:t xml:space="preserve">(2) </w:t>
      </w:r>
      <w:r>
        <w:t xml:space="preserve">of the Act </w:t>
      </w:r>
      <w:r w:rsidRPr="00874C33">
        <w:t>to be satisfied</w:t>
      </w:r>
      <w:r w:rsidR="00423861">
        <w:t>, whether it is provided at the same time as advice on a basic banking product and/or a general insurance product</w:t>
      </w:r>
      <w:r>
        <w:t xml:space="preserve"> </w:t>
      </w:r>
      <w:r w:rsidR="00423861">
        <w:t xml:space="preserve">or not. </w:t>
      </w:r>
    </w:p>
    <w:p w14:paraId="0D89392F" w14:textId="77685B36" w:rsidR="00EF0FFA" w:rsidRDefault="003372E2" w:rsidP="00401167">
      <w:pPr>
        <w:spacing w:before="100" w:beforeAutospacing="1" w:after="100" w:afterAutospacing="1"/>
      </w:pPr>
      <w:r>
        <w:t xml:space="preserve">Regulation </w:t>
      </w:r>
      <w:proofErr w:type="spellStart"/>
      <w:r w:rsidR="00272FC1" w:rsidRPr="00272FC1">
        <w:t>7.7A.06</w:t>
      </w:r>
      <w:proofErr w:type="spellEnd"/>
      <w:r w:rsidR="0032654A">
        <w:t xml:space="preserve"> </w:t>
      </w:r>
      <w:r w:rsidR="00272FC1" w:rsidRPr="00272FC1">
        <w:t>provide</w:t>
      </w:r>
      <w:r>
        <w:t>s</w:t>
      </w:r>
      <w:r w:rsidR="00272FC1" w:rsidRPr="00272FC1">
        <w:t xml:space="preserve"> that </w:t>
      </w:r>
      <w:r w:rsidR="00272FC1">
        <w:t>a</w:t>
      </w:r>
      <w:r w:rsidR="001E2FC6">
        <w:t xml:space="preserve"> </w:t>
      </w:r>
      <w:r w:rsidR="003D0738">
        <w:t xml:space="preserve">person does not need to </w:t>
      </w:r>
      <w:r w:rsidR="00272FC1">
        <w:t xml:space="preserve">satisfy the steps set out in paragraphs </w:t>
      </w:r>
      <w:proofErr w:type="spellStart"/>
      <w:r w:rsidR="00272FC1">
        <w:t>961B</w:t>
      </w:r>
      <w:proofErr w:type="spellEnd"/>
      <w:r w:rsidR="00272FC1">
        <w:t>(2)(d) to (g)</w:t>
      </w:r>
      <w:r w:rsidR="001E2FC6">
        <w:t xml:space="preserve"> </w:t>
      </w:r>
      <w:r w:rsidR="0031637A">
        <w:t xml:space="preserve">of the Act </w:t>
      </w:r>
      <w:r w:rsidR="001E2FC6">
        <w:t xml:space="preserve">when providing advice on a general </w:t>
      </w:r>
      <w:r w:rsidR="006563F2">
        <w:t>insurance</w:t>
      </w:r>
      <w:r w:rsidR="001E2FC6">
        <w:t xml:space="preserve"> product</w:t>
      </w:r>
      <w:r w:rsidR="006563F2">
        <w:t>.</w:t>
      </w:r>
      <w:r w:rsidR="002D5130">
        <w:t xml:space="preserve"> </w:t>
      </w:r>
    </w:p>
    <w:p w14:paraId="01EA3C32" w14:textId="61C8284A" w:rsidR="003A5972" w:rsidRDefault="00A95A62" w:rsidP="00401167">
      <w:pPr>
        <w:spacing w:before="100" w:beforeAutospacing="1" w:after="100" w:afterAutospacing="1"/>
      </w:pPr>
      <w:r>
        <w:t>As noted earlier, p</w:t>
      </w:r>
      <w:r w:rsidR="002D5130">
        <w:t xml:space="preserve">roviders currently have access to the modified best interests duty when providing advice on a general insurance product through </w:t>
      </w:r>
      <w:r w:rsidR="00EF0FFA">
        <w:t xml:space="preserve">existing </w:t>
      </w:r>
      <w:r w:rsidR="00936DB9">
        <w:t>s</w:t>
      </w:r>
      <w:r w:rsidR="00025C01">
        <w:t>ub</w:t>
      </w:r>
      <w:r w:rsidR="00025C01">
        <w:noBreakHyphen/>
      </w:r>
      <w:r w:rsidR="00EF0FFA">
        <w:t>r</w:t>
      </w:r>
      <w:r w:rsidR="00025C01">
        <w:t>egulation </w:t>
      </w:r>
      <w:proofErr w:type="spellStart"/>
      <w:r w:rsidR="002D5130">
        <w:t>7.7A.1</w:t>
      </w:r>
      <w:proofErr w:type="spellEnd"/>
      <w:r w:rsidR="002D5130">
        <w:t xml:space="preserve">(3) in the Principal Regulations. </w:t>
      </w:r>
      <w:r w:rsidR="005E59B9" w:rsidRPr="008E593F">
        <w:rPr>
          <w:u w:val="single"/>
        </w:rPr>
        <w:t>Item 8</w:t>
      </w:r>
      <w:r w:rsidR="002D5130">
        <w:t xml:space="preserve">, by repealing </w:t>
      </w:r>
      <w:r w:rsidR="00DE5912">
        <w:t xml:space="preserve">existing </w:t>
      </w:r>
      <w:r w:rsidR="002752D4">
        <w:t>sub-</w:t>
      </w:r>
      <w:r w:rsidR="00DE5912">
        <w:t>r</w:t>
      </w:r>
      <w:r w:rsidR="004D05EB">
        <w:t xml:space="preserve">egulation </w:t>
      </w:r>
      <w:proofErr w:type="spellStart"/>
      <w:r w:rsidR="004D05EB">
        <w:t>7.7A.1</w:t>
      </w:r>
      <w:proofErr w:type="spellEnd"/>
      <w:r w:rsidR="004D05EB">
        <w:t xml:space="preserve">(3) </w:t>
      </w:r>
      <w:r w:rsidR="00DE5912">
        <w:t>and re</w:t>
      </w:r>
      <w:r w:rsidR="00DE5912">
        <w:noBreakHyphen/>
      </w:r>
      <w:r w:rsidR="002D5130">
        <w:t xml:space="preserve">inserting </w:t>
      </w:r>
      <w:r w:rsidR="00C0440A">
        <w:t>r</w:t>
      </w:r>
      <w:r w:rsidR="005E59B9">
        <w:t xml:space="preserve">egulation </w:t>
      </w:r>
      <w:proofErr w:type="spellStart"/>
      <w:r w:rsidR="005E59B9">
        <w:t>7.7A.06</w:t>
      </w:r>
      <w:proofErr w:type="spellEnd"/>
      <w:r w:rsidR="001A558C">
        <w:t>,</w:t>
      </w:r>
      <w:r w:rsidR="002D5130">
        <w:t xml:space="preserve"> </w:t>
      </w:r>
      <w:r w:rsidR="005E59B9">
        <w:t xml:space="preserve">maintains </w:t>
      </w:r>
      <w:r w:rsidR="002D5130">
        <w:t xml:space="preserve">the </w:t>
      </w:r>
      <w:r w:rsidR="00EF0FFA">
        <w:t xml:space="preserve">existing access providers have to the modified best interests duty </w:t>
      </w:r>
      <w:r w:rsidR="006B19C5">
        <w:t xml:space="preserve">for advice on general insurance products. </w:t>
      </w:r>
    </w:p>
    <w:p w14:paraId="20A6A86F" w14:textId="4472370E" w:rsidR="00575AAA" w:rsidRDefault="00A64C79" w:rsidP="00401167">
      <w:pPr>
        <w:spacing w:before="100" w:beforeAutospacing="1" w:after="100" w:afterAutospacing="1"/>
      </w:pPr>
      <w:r>
        <w:t xml:space="preserve">Regulation </w:t>
      </w:r>
      <w:proofErr w:type="spellStart"/>
      <w:r>
        <w:t>7.7A.07</w:t>
      </w:r>
      <w:proofErr w:type="spellEnd"/>
      <w:r>
        <w:t xml:space="preserve"> provides that a facility for making non-cash payments that </w:t>
      </w:r>
      <w:r w:rsidR="00874C33">
        <w:t>i</w:t>
      </w:r>
      <w:r>
        <w:t>s not related to a basic deposit product is a basic deposit product for the purposes of s</w:t>
      </w:r>
      <w:r w:rsidR="002229A5">
        <w:t>ection</w:t>
      </w:r>
      <w:r w:rsidR="00DE5E3D">
        <w:t> </w:t>
      </w:r>
      <w:proofErr w:type="spellStart"/>
      <w:r>
        <w:t>961F</w:t>
      </w:r>
      <w:proofErr w:type="spellEnd"/>
      <w:r w:rsidR="0031637A">
        <w:t xml:space="preserve"> of the Act</w:t>
      </w:r>
      <w:r w:rsidR="000859B7">
        <w:t xml:space="preserve">. Section </w:t>
      </w:r>
      <w:proofErr w:type="spellStart"/>
      <w:r w:rsidR="000859B7">
        <w:t>961F</w:t>
      </w:r>
      <w:proofErr w:type="spellEnd"/>
      <w:r w:rsidR="000859B7">
        <w:t xml:space="preserve"> of the Act</w:t>
      </w:r>
      <w:r w:rsidR="004B7A19">
        <w:t xml:space="preserve"> provides a list of products</w:t>
      </w:r>
      <w:r w:rsidR="007878C5">
        <w:t>, including basic deposit products,</w:t>
      </w:r>
      <w:r w:rsidR="004B7A19">
        <w:t xml:space="preserve"> which are considered to be basic banking products for the purposes of </w:t>
      </w:r>
      <w:r w:rsidR="009C1D4E">
        <w:t xml:space="preserve">the </w:t>
      </w:r>
      <w:proofErr w:type="spellStart"/>
      <w:r w:rsidR="004B7A19">
        <w:t>FOFA</w:t>
      </w:r>
      <w:proofErr w:type="spellEnd"/>
      <w:r w:rsidR="009C1D4E">
        <w:t xml:space="preserve"> provisions</w:t>
      </w:r>
      <w:r w:rsidR="004B7A19">
        <w:t xml:space="preserve">. </w:t>
      </w:r>
    </w:p>
    <w:p w14:paraId="0AC4339A" w14:textId="0B05673D" w:rsidR="00A64C79" w:rsidRDefault="00A64C79" w:rsidP="00401167">
      <w:pPr>
        <w:spacing w:before="100" w:beforeAutospacing="1" w:after="100" w:afterAutospacing="1"/>
      </w:pPr>
      <w:r>
        <w:t>Th</w:t>
      </w:r>
      <w:r w:rsidR="002229A5">
        <w:t xml:space="preserve">is </w:t>
      </w:r>
      <w:r>
        <w:t xml:space="preserve">amendment </w:t>
      </w:r>
      <w:r w:rsidR="00575AAA">
        <w:t xml:space="preserve">means that a facility for making non-cash payments </w:t>
      </w:r>
      <w:r w:rsidR="00575AAA" w:rsidRPr="00A64C79">
        <w:t>(such as travel money cards)</w:t>
      </w:r>
      <w:r w:rsidR="00575AAA">
        <w:t xml:space="preserve"> will be considered to be a basic banking product for the purposes of </w:t>
      </w:r>
      <w:r w:rsidR="009D5B7D">
        <w:t xml:space="preserve">the </w:t>
      </w:r>
      <w:proofErr w:type="spellStart"/>
      <w:r w:rsidR="00575AAA">
        <w:t>FOFA</w:t>
      </w:r>
      <w:proofErr w:type="spellEnd"/>
      <w:r w:rsidR="009D5B7D">
        <w:t xml:space="preserve"> provisions</w:t>
      </w:r>
      <w:r w:rsidR="00B15991">
        <w:t>. One consequence of this amendment is the extension of</w:t>
      </w:r>
      <w:r w:rsidRPr="00A64C79">
        <w:t xml:space="preserve"> the application of the modified best interest</w:t>
      </w:r>
      <w:r w:rsidR="0034079F">
        <w:t>s</w:t>
      </w:r>
      <w:r w:rsidRPr="00A64C79">
        <w:t xml:space="preserve"> duty</w:t>
      </w:r>
      <w:r w:rsidR="00682D0C">
        <w:t xml:space="preserve"> in regulation </w:t>
      </w:r>
      <w:proofErr w:type="spellStart"/>
      <w:r w:rsidR="00682D0C">
        <w:t>7.7A.05</w:t>
      </w:r>
      <w:proofErr w:type="spellEnd"/>
      <w:r w:rsidR="00575AAA">
        <w:t xml:space="preserve"> </w:t>
      </w:r>
      <w:r w:rsidR="00682D0C">
        <w:t>to</w:t>
      </w:r>
      <w:r w:rsidR="0082102E">
        <w:t xml:space="preserve"> advice on </w:t>
      </w:r>
      <w:r w:rsidRPr="00A64C79">
        <w:t>a facility for making non</w:t>
      </w:r>
      <w:r w:rsidR="009631F3">
        <w:noBreakHyphen/>
      </w:r>
      <w:r w:rsidRPr="00A64C79">
        <w:t>cash payments</w:t>
      </w:r>
      <w:r w:rsidR="00575AAA">
        <w:t xml:space="preserve">. </w:t>
      </w:r>
    </w:p>
    <w:p w14:paraId="4959E392" w14:textId="187C242B" w:rsidR="001F1D77" w:rsidRPr="004624A1" w:rsidRDefault="001F1D77" w:rsidP="00E4438C">
      <w:pPr>
        <w:rPr>
          <w:b/>
          <w:i/>
        </w:rPr>
      </w:pPr>
      <w:r w:rsidRPr="004624A1">
        <w:rPr>
          <w:b/>
          <w:i/>
        </w:rPr>
        <w:t>Client-pays provision</w:t>
      </w:r>
    </w:p>
    <w:p w14:paraId="2862168A" w14:textId="69563D77" w:rsidR="00771D70" w:rsidRPr="00771D70" w:rsidRDefault="00771D70" w:rsidP="00771D70">
      <w:pPr>
        <w:spacing w:before="100" w:beforeAutospacing="1" w:after="100" w:afterAutospacing="1"/>
        <w:rPr>
          <w:szCs w:val="24"/>
        </w:rPr>
      </w:pPr>
      <w:r w:rsidRPr="00771D70">
        <w:rPr>
          <w:szCs w:val="24"/>
          <w:u w:val="single"/>
        </w:rPr>
        <w:t>Items 9 and 10</w:t>
      </w:r>
      <w:r w:rsidRPr="00771D70">
        <w:rPr>
          <w:szCs w:val="24"/>
        </w:rPr>
        <w:t xml:space="preserve"> clarify the operation of the client-pays provision by inserting notes that explain </w:t>
      </w:r>
      <w:r w:rsidR="0038432F">
        <w:rPr>
          <w:szCs w:val="24"/>
        </w:rPr>
        <w:t>its</w:t>
      </w:r>
      <w:r w:rsidR="0038432F" w:rsidRPr="00771D70">
        <w:rPr>
          <w:szCs w:val="24"/>
        </w:rPr>
        <w:t xml:space="preserve"> </w:t>
      </w:r>
      <w:r w:rsidRPr="00771D70">
        <w:rPr>
          <w:szCs w:val="24"/>
        </w:rPr>
        <w:t>operation.</w:t>
      </w:r>
    </w:p>
    <w:p w14:paraId="5607806D" w14:textId="6763AB65" w:rsidR="00771D70" w:rsidRPr="00771D70" w:rsidRDefault="00B55AD2" w:rsidP="00771D70">
      <w:pPr>
        <w:spacing w:before="100" w:beforeAutospacing="1" w:after="100" w:afterAutospacing="1"/>
        <w:rPr>
          <w:szCs w:val="24"/>
        </w:rPr>
      </w:pPr>
      <w:r>
        <w:rPr>
          <w:szCs w:val="24"/>
        </w:rPr>
        <w:t xml:space="preserve">Paragraph </w:t>
      </w:r>
      <w:proofErr w:type="spellStart"/>
      <w:r w:rsidR="00771D70" w:rsidRPr="00771D70">
        <w:rPr>
          <w:szCs w:val="24"/>
        </w:rPr>
        <w:t>963B</w:t>
      </w:r>
      <w:proofErr w:type="spellEnd"/>
      <w:r w:rsidR="00771D70" w:rsidRPr="00771D70">
        <w:rPr>
          <w:szCs w:val="24"/>
        </w:rPr>
        <w:t xml:space="preserve">(1)(d) </w:t>
      </w:r>
      <w:r w:rsidR="0079705F">
        <w:rPr>
          <w:szCs w:val="24"/>
        </w:rPr>
        <w:t xml:space="preserve">of the Act currently </w:t>
      </w:r>
      <w:r w:rsidR="00771D70" w:rsidRPr="00771D70">
        <w:rPr>
          <w:szCs w:val="24"/>
        </w:rPr>
        <w:t>provides that benefits given by a retail client to a licensee or representative in relation to the issue or sale of a financial product or financial product advice are permitted.</w:t>
      </w:r>
    </w:p>
    <w:p w14:paraId="78D6BCB2" w14:textId="6561515C" w:rsidR="00771D70" w:rsidRPr="00771D70" w:rsidRDefault="006919F1" w:rsidP="00771D70">
      <w:pPr>
        <w:spacing w:before="100" w:beforeAutospacing="1" w:after="100" w:afterAutospacing="1"/>
        <w:rPr>
          <w:szCs w:val="24"/>
        </w:rPr>
      </w:pPr>
      <w:r>
        <w:rPr>
          <w:szCs w:val="24"/>
        </w:rPr>
        <w:t>S</w:t>
      </w:r>
      <w:r w:rsidR="00771D70" w:rsidRPr="00771D70">
        <w:rPr>
          <w:szCs w:val="24"/>
        </w:rPr>
        <w:t xml:space="preserve">ection 52 of the Act </w:t>
      </w:r>
      <w:r w:rsidR="0079705F">
        <w:rPr>
          <w:szCs w:val="24"/>
        </w:rPr>
        <w:t xml:space="preserve">currently </w:t>
      </w:r>
      <w:r w:rsidR="00771D70" w:rsidRPr="00771D70">
        <w:rPr>
          <w:szCs w:val="24"/>
        </w:rPr>
        <w:t xml:space="preserve">provides that ‘a reference to doing an act or thing includes a reference to causing or authorising the act or thing to be done’. As </w:t>
      </w:r>
      <w:r w:rsidR="00B55AD2">
        <w:rPr>
          <w:szCs w:val="24"/>
        </w:rPr>
        <w:t>paragraph </w:t>
      </w:r>
      <w:proofErr w:type="spellStart"/>
      <w:r w:rsidR="00771D70" w:rsidRPr="00771D70">
        <w:rPr>
          <w:szCs w:val="24"/>
        </w:rPr>
        <w:t>963B</w:t>
      </w:r>
      <w:proofErr w:type="spellEnd"/>
      <w:r w:rsidR="00771D70" w:rsidRPr="00771D70">
        <w:rPr>
          <w:szCs w:val="24"/>
        </w:rPr>
        <w:t xml:space="preserve">(1)(d) </w:t>
      </w:r>
      <w:r w:rsidR="00B55AD2">
        <w:rPr>
          <w:szCs w:val="24"/>
        </w:rPr>
        <w:t xml:space="preserve">of the Act </w:t>
      </w:r>
      <w:r w:rsidR="00771D70" w:rsidRPr="00771D70">
        <w:rPr>
          <w:szCs w:val="24"/>
        </w:rPr>
        <w:t>exempts a benefit from conflicted remuneration if it is ‘given’ to a licensee or representative, applying s</w:t>
      </w:r>
      <w:r w:rsidR="002229A5">
        <w:rPr>
          <w:szCs w:val="24"/>
        </w:rPr>
        <w:t>ection</w:t>
      </w:r>
      <w:r w:rsidR="0031637A">
        <w:rPr>
          <w:szCs w:val="24"/>
        </w:rPr>
        <w:t> </w:t>
      </w:r>
      <w:r w:rsidR="00771D70" w:rsidRPr="00771D70">
        <w:rPr>
          <w:szCs w:val="24"/>
        </w:rPr>
        <w:t xml:space="preserve">52 </w:t>
      </w:r>
      <w:r w:rsidR="00B9529C">
        <w:rPr>
          <w:szCs w:val="24"/>
        </w:rPr>
        <w:t>of the Act</w:t>
      </w:r>
      <w:r w:rsidR="009D041F">
        <w:rPr>
          <w:szCs w:val="24"/>
        </w:rPr>
        <w:t xml:space="preserve"> </w:t>
      </w:r>
      <w:r w:rsidR="00771D70" w:rsidRPr="00771D70">
        <w:rPr>
          <w:szCs w:val="24"/>
        </w:rPr>
        <w:t>would mean that in giving a benefit to a licensee or representative, a retail client is also causing or authorising the benefit to be given.</w:t>
      </w:r>
    </w:p>
    <w:p w14:paraId="6111F678" w14:textId="617B2F94" w:rsidR="00771D70" w:rsidRPr="00771D70" w:rsidRDefault="00D35797" w:rsidP="00771D70">
      <w:pPr>
        <w:spacing w:before="100" w:beforeAutospacing="1" w:after="100" w:afterAutospacing="1"/>
        <w:rPr>
          <w:szCs w:val="24"/>
        </w:rPr>
      </w:pPr>
      <w:r w:rsidRPr="00D35797">
        <w:rPr>
          <w:szCs w:val="24"/>
          <w:u w:val="single"/>
        </w:rPr>
        <w:t>Item 10</w:t>
      </w:r>
      <w:r>
        <w:rPr>
          <w:szCs w:val="24"/>
        </w:rPr>
        <w:t xml:space="preserve"> </w:t>
      </w:r>
      <w:r w:rsidR="00771D70" w:rsidRPr="00771D70">
        <w:rPr>
          <w:szCs w:val="24"/>
        </w:rPr>
        <w:t xml:space="preserve">inserts </w:t>
      </w:r>
      <w:r w:rsidR="00B9529C">
        <w:rPr>
          <w:szCs w:val="24"/>
        </w:rPr>
        <w:t>n</w:t>
      </w:r>
      <w:r w:rsidR="00771D70" w:rsidRPr="00771D70">
        <w:rPr>
          <w:szCs w:val="24"/>
        </w:rPr>
        <w:t>ote</w:t>
      </w:r>
      <w:r w:rsidR="006919F1">
        <w:rPr>
          <w:szCs w:val="24"/>
        </w:rPr>
        <w:t xml:space="preserve"> 2</w:t>
      </w:r>
      <w:r w:rsidR="00771D70" w:rsidRPr="00771D70">
        <w:rPr>
          <w:szCs w:val="24"/>
        </w:rPr>
        <w:t xml:space="preserve"> at the end of regulation </w:t>
      </w:r>
      <w:proofErr w:type="spellStart"/>
      <w:r w:rsidR="00771D70" w:rsidRPr="00771D70">
        <w:rPr>
          <w:szCs w:val="24"/>
        </w:rPr>
        <w:t>7.7A.12</w:t>
      </w:r>
      <w:proofErr w:type="spellEnd"/>
      <w:r>
        <w:rPr>
          <w:szCs w:val="24"/>
        </w:rPr>
        <w:t xml:space="preserve">. Note 2 </w:t>
      </w:r>
      <w:r w:rsidR="00771D70" w:rsidRPr="00771D70">
        <w:rPr>
          <w:szCs w:val="24"/>
        </w:rPr>
        <w:t>clarifies that</w:t>
      </w:r>
      <w:r w:rsidR="006919F1">
        <w:rPr>
          <w:szCs w:val="24"/>
        </w:rPr>
        <w:t xml:space="preserve"> for the purpose of </w:t>
      </w:r>
      <w:r w:rsidR="006919F1" w:rsidRPr="006919F1">
        <w:rPr>
          <w:szCs w:val="24"/>
        </w:rPr>
        <w:t xml:space="preserve">the conflicted remuneration provisions of Division 4 of Part </w:t>
      </w:r>
      <w:proofErr w:type="spellStart"/>
      <w:r w:rsidR="006919F1" w:rsidRPr="006919F1">
        <w:rPr>
          <w:szCs w:val="24"/>
        </w:rPr>
        <w:t>7.7A</w:t>
      </w:r>
      <w:proofErr w:type="spellEnd"/>
      <w:r w:rsidR="006919F1" w:rsidRPr="006919F1">
        <w:rPr>
          <w:szCs w:val="24"/>
        </w:rPr>
        <w:t xml:space="preserve"> of the Act</w:t>
      </w:r>
      <w:r w:rsidR="006919F1">
        <w:rPr>
          <w:szCs w:val="24"/>
        </w:rPr>
        <w:t xml:space="preserve">, giving a benefit includes a reference to causing or authoring a benefit to be given as provided </w:t>
      </w:r>
      <w:r w:rsidR="0077778C">
        <w:rPr>
          <w:szCs w:val="24"/>
        </w:rPr>
        <w:t xml:space="preserve">in </w:t>
      </w:r>
      <w:r w:rsidR="00771D70" w:rsidRPr="00771D70">
        <w:rPr>
          <w:szCs w:val="24"/>
        </w:rPr>
        <w:t>s</w:t>
      </w:r>
      <w:r w:rsidR="0077778C">
        <w:rPr>
          <w:szCs w:val="24"/>
        </w:rPr>
        <w:t>ection</w:t>
      </w:r>
      <w:r w:rsidR="0031637A">
        <w:rPr>
          <w:szCs w:val="24"/>
        </w:rPr>
        <w:t> </w:t>
      </w:r>
      <w:r w:rsidR="00771D70" w:rsidRPr="00771D70">
        <w:rPr>
          <w:szCs w:val="24"/>
        </w:rPr>
        <w:t>52 of the Act.</w:t>
      </w:r>
    </w:p>
    <w:p w14:paraId="0C847C8D" w14:textId="3A6BAEC7" w:rsidR="00771D70" w:rsidRPr="00771D70" w:rsidRDefault="00D35797" w:rsidP="00771D70">
      <w:pPr>
        <w:spacing w:before="100" w:beforeAutospacing="1" w:after="100" w:afterAutospacing="1"/>
        <w:rPr>
          <w:szCs w:val="24"/>
        </w:rPr>
      </w:pPr>
      <w:r w:rsidRPr="00D35797">
        <w:rPr>
          <w:szCs w:val="24"/>
          <w:u w:val="single"/>
        </w:rPr>
        <w:t>Item 10</w:t>
      </w:r>
      <w:r>
        <w:rPr>
          <w:szCs w:val="24"/>
        </w:rPr>
        <w:t xml:space="preserve"> also inserts </w:t>
      </w:r>
      <w:r w:rsidR="00B9529C">
        <w:rPr>
          <w:szCs w:val="24"/>
        </w:rPr>
        <w:t>n</w:t>
      </w:r>
      <w:r>
        <w:rPr>
          <w:szCs w:val="24"/>
        </w:rPr>
        <w:t xml:space="preserve">ote 3 at the end of regulation </w:t>
      </w:r>
      <w:proofErr w:type="spellStart"/>
      <w:r>
        <w:rPr>
          <w:szCs w:val="24"/>
        </w:rPr>
        <w:t>7.7A.12</w:t>
      </w:r>
      <w:proofErr w:type="spellEnd"/>
      <w:r>
        <w:rPr>
          <w:szCs w:val="24"/>
        </w:rPr>
        <w:t xml:space="preserve">. Note 3 </w:t>
      </w:r>
      <w:r w:rsidR="0079705F" w:rsidRPr="00771D70">
        <w:rPr>
          <w:szCs w:val="24"/>
        </w:rPr>
        <w:t>clarif</w:t>
      </w:r>
      <w:r w:rsidR="0079705F">
        <w:rPr>
          <w:szCs w:val="24"/>
        </w:rPr>
        <w:t xml:space="preserve">ies </w:t>
      </w:r>
      <w:r w:rsidR="00771D70" w:rsidRPr="00771D70">
        <w:rPr>
          <w:szCs w:val="24"/>
        </w:rPr>
        <w:t xml:space="preserve">that </w:t>
      </w:r>
      <w:r w:rsidR="0079705F">
        <w:rPr>
          <w:szCs w:val="24"/>
        </w:rPr>
        <w:t xml:space="preserve">the </w:t>
      </w:r>
      <w:r w:rsidR="007B069D" w:rsidRPr="007B069D">
        <w:rPr>
          <w:szCs w:val="24"/>
        </w:rPr>
        <w:t>client-pays provision can be used to permit payments made from a superannuation fund member’s balance</w:t>
      </w:r>
      <w:r w:rsidR="00771D70" w:rsidRPr="00771D70">
        <w:rPr>
          <w:szCs w:val="24"/>
        </w:rPr>
        <w:t>. The note specifically indicates that the client-pays exemption operates with respect to advice paid from a superannuation fund member’s fund balance. This principle also applies to other investments of the client, such as</w:t>
      </w:r>
      <w:r w:rsidR="00476611">
        <w:rPr>
          <w:szCs w:val="24"/>
        </w:rPr>
        <w:t xml:space="preserve"> </w:t>
      </w:r>
      <w:r w:rsidR="00771D70" w:rsidRPr="00771D70">
        <w:rPr>
          <w:szCs w:val="24"/>
        </w:rPr>
        <w:t>a managed investment scheme.</w:t>
      </w:r>
    </w:p>
    <w:p w14:paraId="51AAEB56" w14:textId="501CD9AA" w:rsidR="00771D70" w:rsidRPr="00771D70" w:rsidRDefault="00771D70" w:rsidP="00771D70">
      <w:pPr>
        <w:spacing w:before="100" w:beforeAutospacing="1" w:after="100" w:afterAutospacing="1"/>
        <w:rPr>
          <w:szCs w:val="24"/>
        </w:rPr>
      </w:pPr>
      <w:r w:rsidRPr="00771D70">
        <w:rPr>
          <w:szCs w:val="24"/>
        </w:rPr>
        <w:t>The trustee of the superannuation fund must still consider whether payments out of the client’s superannuation fund is appropriate given the trustee’s other obligations, such as the sole purpose test under s</w:t>
      </w:r>
      <w:r w:rsidR="00D35797">
        <w:rPr>
          <w:szCs w:val="24"/>
        </w:rPr>
        <w:t xml:space="preserve">ection </w:t>
      </w:r>
      <w:r w:rsidRPr="00771D70">
        <w:rPr>
          <w:szCs w:val="24"/>
        </w:rPr>
        <w:t xml:space="preserve">62 of the </w:t>
      </w:r>
      <w:r w:rsidR="00300B82" w:rsidRPr="00300B82">
        <w:rPr>
          <w:i/>
          <w:szCs w:val="24"/>
        </w:rPr>
        <w:t xml:space="preserve">Superannuation Industry </w:t>
      </w:r>
      <w:r w:rsidR="00C958EA">
        <w:rPr>
          <w:i/>
          <w:szCs w:val="24"/>
        </w:rPr>
        <w:t>(S</w:t>
      </w:r>
      <w:r w:rsidR="00300B82" w:rsidRPr="00300B82">
        <w:rPr>
          <w:i/>
          <w:szCs w:val="24"/>
        </w:rPr>
        <w:t>upervision) Act 1993</w:t>
      </w:r>
      <w:r w:rsidRPr="00771D70">
        <w:rPr>
          <w:szCs w:val="24"/>
        </w:rPr>
        <w:t xml:space="preserve">. </w:t>
      </w:r>
    </w:p>
    <w:p w14:paraId="25133256" w14:textId="7DD732A2" w:rsidR="00771D70" w:rsidRPr="00771D70" w:rsidRDefault="0077778C" w:rsidP="00771D70">
      <w:pPr>
        <w:spacing w:before="100" w:beforeAutospacing="1" w:after="100" w:afterAutospacing="1"/>
        <w:rPr>
          <w:szCs w:val="24"/>
        </w:rPr>
      </w:pPr>
      <w:r>
        <w:rPr>
          <w:szCs w:val="24"/>
        </w:rPr>
        <w:t>W</w:t>
      </w:r>
      <w:r w:rsidR="00771D70" w:rsidRPr="00771D70">
        <w:rPr>
          <w:szCs w:val="24"/>
        </w:rPr>
        <w:t xml:space="preserve">here the benefit is given by another party it must be given with the client’s clear consent. A client would not be considered to have given clear consent if the consent was not clearly and expressly sought; for example, where consent has been sought as part of a broad range of terms and conditions agreed by the client in aggregate, clear consent would not have been provided. Rather, a client’s consent could be expressly sought in a separate and distinct section of the terms and conditions agreed by the client. </w:t>
      </w:r>
      <w:r w:rsidR="00A5339F">
        <w:rPr>
          <w:szCs w:val="24"/>
        </w:rPr>
        <w:t xml:space="preserve">Similarly, if a client has given consent for a specified period of time, this consent does not cause or authorise the benefit to be given beyond that specified period of time. </w:t>
      </w:r>
    </w:p>
    <w:p w14:paraId="6C7EDCE3" w14:textId="77777777" w:rsidR="00771D70" w:rsidRPr="004624A1" w:rsidRDefault="00771D70" w:rsidP="00771D70">
      <w:pPr>
        <w:spacing w:before="100" w:beforeAutospacing="1" w:after="100" w:afterAutospacing="1"/>
        <w:rPr>
          <w:szCs w:val="24"/>
        </w:rPr>
      </w:pPr>
      <w:r w:rsidRPr="00771D70">
        <w:rPr>
          <w:szCs w:val="24"/>
        </w:rPr>
        <w:t>Benefits given by another party at a client’s direction are not given by the client if the benefits are borne out of the other party’s funds.</w:t>
      </w:r>
    </w:p>
    <w:p w14:paraId="0AA1D57A" w14:textId="77777777" w:rsidR="00771D70" w:rsidRPr="00771D70" w:rsidRDefault="00771D70" w:rsidP="0031637A">
      <w:pPr>
        <w:rPr>
          <w:b/>
          <w:i/>
        </w:rPr>
      </w:pPr>
      <w:r w:rsidRPr="00771D70">
        <w:rPr>
          <w:b/>
          <w:i/>
        </w:rPr>
        <w:t>Broadening the basic banking provision</w:t>
      </w:r>
    </w:p>
    <w:p w14:paraId="055691FA" w14:textId="43BE75ED" w:rsidR="00771D70" w:rsidRPr="00771D70" w:rsidRDefault="0079705F" w:rsidP="004624A1">
      <w:pPr>
        <w:spacing w:before="100" w:beforeAutospacing="1" w:after="100" w:afterAutospacing="1"/>
        <w:rPr>
          <w:szCs w:val="24"/>
        </w:rPr>
      </w:pPr>
      <w:r>
        <w:rPr>
          <w:szCs w:val="24"/>
        </w:rPr>
        <w:t>S</w:t>
      </w:r>
      <w:r w:rsidR="00300B82">
        <w:rPr>
          <w:szCs w:val="24"/>
        </w:rPr>
        <w:t>ection </w:t>
      </w:r>
      <w:proofErr w:type="spellStart"/>
      <w:r w:rsidR="00771D70" w:rsidRPr="00771D70">
        <w:rPr>
          <w:szCs w:val="24"/>
        </w:rPr>
        <w:t>963D</w:t>
      </w:r>
      <w:proofErr w:type="spellEnd"/>
      <w:r w:rsidR="00771D70" w:rsidRPr="00771D70">
        <w:rPr>
          <w:szCs w:val="24"/>
        </w:rPr>
        <w:t xml:space="preserve"> </w:t>
      </w:r>
      <w:r>
        <w:rPr>
          <w:szCs w:val="24"/>
        </w:rPr>
        <w:t xml:space="preserve">of the Act currently </w:t>
      </w:r>
      <w:r w:rsidR="00771D70" w:rsidRPr="00771D70">
        <w:rPr>
          <w:szCs w:val="24"/>
        </w:rPr>
        <w:t xml:space="preserve">provides that benefits are not conflicted if they relate to a basic banking product as long as the agent or employee of an </w:t>
      </w:r>
      <w:proofErr w:type="spellStart"/>
      <w:r w:rsidR="00771D70" w:rsidRPr="00771D70">
        <w:rPr>
          <w:szCs w:val="24"/>
        </w:rPr>
        <w:t>ADI</w:t>
      </w:r>
      <w:proofErr w:type="spellEnd"/>
      <w:r w:rsidR="00A17C24">
        <w:rPr>
          <w:szCs w:val="24"/>
        </w:rPr>
        <w:t xml:space="preserve">, or a provider acting by arrangement with an </w:t>
      </w:r>
      <w:proofErr w:type="spellStart"/>
      <w:r w:rsidR="00A17C24">
        <w:rPr>
          <w:szCs w:val="24"/>
        </w:rPr>
        <w:t>ADI</w:t>
      </w:r>
      <w:proofErr w:type="spellEnd"/>
      <w:r w:rsidR="00BC7151">
        <w:rPr>
          <w:szCs w:val="24"/>
        </w:rPr>
        <w:t xml:space="preserve"> under the name of the </w:t>
      </w:r>
      <w:proofErr w:type="spellStart"/>
      <w:r w:rsidR="00BC7151">
        <w:rPr>
          <w:szCs w:val="24"/>
        </w:rPr>
        <w:t>ADI</w:t>
      </w:r>
      <w:proofErr w:type="spellEnd"/>
      <w:r w:rsidR="00771D70" w:rsidRPr="00771D70">
        <w:rPr>
          <w:szCs w:val="24"/>
        </w:rPr>
        <w:t xml:space="preserve">—at the time of providing advice on the basic banking product—does not provide financial product advice on any other financial product. Further, </w:t>
      </w:r>
      <w:r w:rsidR="00BF4814">
        <w:rPr>
          <w:szCs w:val="24"/>
        </w:rPr>
        <w:t xml:space="preserve">existing </w:t>
      </w:r>
      <w:r w:rsidR="00771D70" w:rsidRPr="00771D70">
        <w:rPr>
          <w:szCs w:val="24"/>
        </w:rPr>
        <w:t>r</w:t>
      </w:r>
      <w:r w:rsidR="00300B82">
        <w:rPr>
          <w:szCs w:val="24"/>
        </w:rPr>
        <w:t>egulation</w:t>
      </w:r>
      <w:r w:rsidR="0031637A">
        <w:rPr>
          <w:szCs w:val="24"/>
        </w:rPr>
        <w:t> </w:t>
      </w:r>
      <w:proofErr w:type="spellStart"/>
      <w:r w:rsidR="00771D70" w:rsidRPr="00771D70">
        <w:rPr>
          <w:szCs w:val="24"/>
        </w:rPr>
        <w:t>7.7A.12H</w:t>
      </w:r>
      <w:proofErr w:type="spellEnd"/>
      <w:r w:rsidR="00771D70" w:rsidRPr="00771D70">
        <w:rPr>
          <w:szCs w:val="24"/>
        </w:rPr>
        <w:t xml:space="preserve"> allows access to the exemption where the agent or employee</w:t>
      </w:r>
      <w:r w:rsidR="003B1F28">
        <w:rPr>
          <w:szCs w:val="24"/>
        </w:rPr>
        <w:t xml:space="preserve"> of </w:t>
      </w:r>
      <w:r w:rsidR="00D43475">
        <w:rPr>
          <w:szCs w:val="24"/>
        </w:rPr>
        <w:t xml:space="preserve">an </w:t>
      </w:r>
      <w:proofErr w:type="spellStart"/>
      <w:r w:rsidR="003B1F28">
        <w:rPr>
          <w:szCs w:val="24"/>
        </w:rPr>
        <w:t>ADI</w:t>
      </w:r>
      <w:proofErr w:type="spellEnd"/>
      <w:r w:rsidR="00771D70" w:rsidRPr="00771D70">
        <w:rPr>
          <w:szCs w:val="24"/>
        </w:rPr>
        <w:t xml:space="preserve"> also provides financial product advice on a general insurance product. </w:t>
      </w:r>
    </w:p>
    <w:p w14:paraId="652AD113" w14:textId="3F2589C2" w:rsidR="00771D70" w:rsidRDefault="0031637A" w:rsidP="004624A1">
      <w:pPr>
        <w:spacing w:before="100" w:beforeAutospacing="1" w:after="100" w:afterAutospacing="1"/>
        <w:rPr>
          <w:szCs w:val="24"/>
        </w:rPr>
      </w:pPr>
      <w:r w:rsidRPr="00401167">
        <w:rPr>
          <w:szCs w:val="24"/>
          <w:u w:val="single"/>
        </w:rPr>
        <w:t>Item 11</w:t>
      </w:r>
      <w:r>
        <w:rPr>
          <w:szCs w:val="24"/>
        </w:rPr>
        <w:t xml:space="preserve"> amends </w:t>
      </w:r>
      <w:r w:rsidR="00BC5D4B">
        <w:rPr>
          <w:szCs w:val="24"/>
        </w:rPr>
        <w:t xml:space="preserve">subparagraph </w:t>
      </w:r>
      <w:proofErr w:type="spellStart"/>
      <w:r w:rsidR="00401167">
        <w:rPr>
          <w:szCs w:val="24"/>
        </w:rPr>
        <w:t>7.7A.12H</w:t>
      </w:r>
      <w:proofErr w:type="spellEnd"/>
      <w:r w:rsidR="00401167">
        <w:rPr>
          <w:szCs w:val="24"/>
        </w:rPr>
        <w:t>(a)(iii)</w:t>
      </w:r>
      <w:r w:rsidR="00BB1D06">
        <w:rPr>
          <w:szCs w:val="24"/>
        </w:rPr>
        <w:t xml:space="preserve"> of the Principal Regulations</w:t>
      </w:r>
      <w:r w:rsidR="00401167">
        <w:rPr>
          <w:szCs w:val="24"/>
        </w:rPr>
        <w:t xml:space="preserve"> to </w:t>
      </w:r>
      <w:r w:rsidR="00771D70" w:rsidRPr="00771D70">
        <w:rPr>
          <w:szCs w:val="24"/>
        </w:rPr>
        <w:t xml:space="preserve">enable the benefit given to the agent or employee of an </w:t>
      </w:r>
      <w:proofErr w:type="spellStart"/>
      <w:r w:rsidR="00771D70" w:rsidRPr="00771D70">
        <w:rPr>
          <w:szCs w:val="24"/>
        </w:rPr>
        <w:t>ADI</w:t>
      </w:r>
      <w:proofErr w:type="spellEnd"/>
      <w:r w:rsidR="00E436BD">
        <w:rPr>
          <w:szCs w:val="24"/>
        </w:rPr>
        <w:t>,</w:t>
      </w:r>
      <w:r w:rsidR="00E436BD" w:rsidRPr="00E436BD">
        <w:rPr>
          <w:szCs w:val="24"/>
        </w:rPr>
        <w:t xml:space="preserve"> </w:t>
      </w:r>
      <w:r w:rsidR="00E436BD">
        <w:rPr>
          <w:szCs w:val="24"/>
        </w:rPr>
        <w:t xml:space="preserve">or a provider acting by arrangement with an </w:t>
      </w:r>
      <w:proofErr w:type="spellStart"/>
      <w:r w:rsidR="00E436BD">
        <w:rPr>
          <w:szCs w:val="24"/>
        </w:rPr>
        <w:t>ADI</w:t>
      </w:r>
      <w:proofErr w:type="spellEnd"/>
      <w:r w:rsidR="00BC7151">
        <w:rPr>
          <w:szCs w:val="24"/>
        </w:rPr>
        <w:t xml:space="preserve"> under the name of the </w:t>
      </w:r>
      <w:proofErr w:type="spellStart"/>
      <w:r w:rsidR="00BC7151">
        <w:rPr>
          <w:szCs w:val="24"/>
        </w:rPr>
        <w:t>ADI</w:t>
      </w:r>
      <w:proofErr w:type="spellEnd"/>
      <w:r w:rsidR="00E436BD">
        <w:rPr>
          <w:szCs w:val="24"/>
        </w:rPr>
        <w:t>,</w:t>
      </w:r>
      <w:r w:rsidR="00771D70" w:rsidRPr="00771D70">
        <w:rPr>
          <w:szCs w:val="24"/>
        </w:rPr>
        <w:t xml:space="preserve"> to also relate to a consumer credit insurance product. Further, the amendment allow</w:t>
      </w:r>
      <w:r w:rsidR="00401167">
        <w:rPr>
          <w:szCs w:val="24"/>
        </w:rPr>
        <w:t>s</w:t>
      </w:r>
      <w:r w:rsidR="00771D70" w:rsidRPr="00771D70">
        <w:rPr>
          <w:szCs w:val="24"/>
        </w:rPr>
        <w:t xml:space="preserve"> the agent or employee </w:t>
      </w:r>
      <w:r w:rsidR="00924F6E">
        <w:rPr>
          <w:szCs w:val="24"/>
        </w:rPr>
        <w:t xml:space="preserve">of </w:t>
      </w:r>
      <w:r w:rsidR="008561D8">
        <w:rPr>
          <w:szCs w:val="24"/>
        </w:rPr>
        <w:t>an</w:t>
      </w:r>
      <w:r w:rsidR="00924F6E">
        <w:rPr>
          <w:szCs w:val="24"/>
        </w:rPr>
        <w:t xml:space="preserve"> </w:t>
      </w:r>
      <w:proofErr w:type="spellStart"/>
      <w:r w:rsidR="00924F6E">
        <w:rPr>
          <w:szCs w:val="24"/>
        </w:rPr>
        <w:t>ADI</w:t>
      </w:r>
      <w:proofErr w:type="spellEnd"/>
      <w:r w:rsidR="00924F6E">
        <w:rPr>
          <w:szCs w:val="24"/>
        </w:rPr>
        <w:t xml:space="preserve"> </w:t>
      </w:r>
      <w:r w:rsidR="00771D70" w:rsidRPr="00771D70">
        <w:rPr>
          <w:szCs w:val="24"/>
        </w:rPr>
        <w:t xml:space="preserve">to provide </w:t>
      </w:r>
      <w:r w:rsidR="00E436BD">
        <w:rPr>
          <w:szCs w:val="24"/>
        </w:rPr>
        <w:t xml:space="preserve">financial product </w:t>
      </w:r>
      <w:r w:rsidR="00771D70" w:rsidRPr="00771D70">
        <w:rPr>
          <w:szCs w:val="24"/>
        </w:rPr>
        <w:t>advice on a consumer credit insurance product at the same time as providing advice on a basic banking product and/or general insurance product. In order to benefit from the exemption, the agent or employee</w:t>
      </w:r>
      <w:r w:rsidR="00924F6E">
        <w:rPr>
          <w:szCs w:val="24"/>
        </w:rPr>
        <w:t xml:space="preserve"> of </w:t>
      </w:r>
      <w:r w:rsidR="008561D8">
        <w:rPr>
          <w:szCs w:val="24"/>
        </w:rPr>
        <w:t>an</w:t>
      </w:r>
      <w:r w:rsidR="00924F6E">
        <w:rPr>
          <w:szCs w:val="24"/>
        </w:rPr>
        <w:t xml:space="preserve"> </w:t>
      </w:r>
      <w:proofErr w:type="spellStart"/>
      <w:r w:rsidR="00924F6E">
        <w:rPr>
          <w:szCs w:val="24"/>
        </w:rPr>
        <w:t>ADI</w:t>
      </w:r>
      <w:proofErr w:type="spellEnd"/>
      <w:r w:rsidR="00771D70" w:rsidRPr="00771D70">
        <w:rPr>
          <w:szCs w:val="24"/>
        </w:rPr>
        <w:t xml:space="preserve"> cannot provide advice</w:t>
      </w:r>
      <w:r w:rsidR="00E436BD">
        <w:rPr>
          <w:szCs w:val="24"/>
        </w:rPr>
        <w:t>, at the same time,</w:t>
      </w:r>
      <w:r w:rsidR="00771D70" w:rsidRPr="00771D70">
        <w:rPr>
          <w:szCs w:val="24"/>
        </w:rPr>
        <w:t xml:space="preserve"> on any other financial product. </w:t>
      </w:r>
    </w:p>
    <w:p w14:paraId="21D12041" w14:textId="2C7A50BC" w:rsidR="002F7E31" w:rsidRDefault="002F7E31">
      <w:pPr>
        <w:spacing w:before="0" w:after="0"/>
        <w:rPr>
          <w:szCs w:val="24"/>
        </w:rPr>
      </w:pPr>
      <w:r>
        <w:rPr>
          <w:szCs w:val="24"/>
        </w:rPr>
        <w:br w:type="page"/>
      </w:r>
    </w:p>
    <w:p w14:paraId="08941621" w14:textId="114D6419" w:rsidR="002F7E31" w:rsidRPr="00CB6726" w:rsidRDefault="00D85C51" w:rsidP="008E593F">
      <w:pPr>
        <w:spacing w:before="360" w:after="360"/>
        <w:jc w:val="right"/>
        <w:rPr>
          <w:u w:val="single"/>
        </w:rPr>
      </w:pPr>
      <w:r w:rsidRPr="00CB6726">
        <w:rPr>
          <w:b/>
          <w:u w:val="single"/>
        </w:rPr>
        <w:t>ATTACHMENT B</w:t>
      </w:r>
    </w:p>
    <w:p w14:paraId="36CA4B50" w14:textId="77777777" w:rsidR="002F7E31" w:rsidRDefault="002F7E31" w:rsidP="002F7E31">
      <w:pPr>
        <w:pStyle w:val="Heading3"/>
        <w:jc w:val="center"/>
      </w:pPr>
      <w:r>
        <w:t>Statement of Compatibility with Human Rights</w:t>
      </w:r>
    </w:p>
    <w:p w14:paraId="09B81B86" w14:textId="77777777" w:rsidR="002F7E31" w:rsidRPr="00E4438C" w:rsidRDefault="002F7E31" w:rsidP="002F7E31">
      <w:pPr>
        <w:jc w:val="center"/>
        <w:rPr>
          <w:i/>
        </w:rPr>
      </w:pPr>
      <w:r w:rsidRPr="00E4438C">
        <w:rPr>
          <w:i/>
        </w:rPr>
        <w:t>Prepared in accordance with Part 3 of the Human Rights (Parliamentary Scrutiny) Act 2011</w:t>
      </w:r>
    </w:p>
    <w:p w14:paraId="7704A6E3" w14:textId="41CCEFA5" w:rsidR="002F7E31" w:rsidRPr="00E4438C" w:rsidRDefault="002F7E31" w:rsidP="002F7E31">
      <w:pPr>
        <w:jc w:val="center"/>
        <w:rPr>
          <w:b/>
        </w:rPr>
      </w:pPr>
      <w:r w:rsidRPr="002F7E31">
        <w:rPr>
          <w:b/>
        </w:rPr>
        <w:t>Corporations Amendment (Financial Advice) Regulation 2015</w:t>
      </w:r>
    </w:p>
    <w:p w14:paraId="0883500C" w14:textId="77777777" w:rsidR="002F7E31" w:rsidRDefault="002F7E31" w:rsidP="002F7E31">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30A2A052" w14:textId="77777777" w:rsidR="002F7E31" w:rsidRDefault="002F7E31" w:rsidP="002F7E31">
      <w:pPr>
        <w:pStyle w:val="Heading4"/>
      </w:pPr>
      <w:r>
        <w:t xml:space="preserve">Overview of the </w:t>
      </w:r>
      <w:r w:rsidRPr="00E4438C">
        <w:t>Legislative</w:t>
      </w:r>
      <w:r>
        <w:t xml:space="preserve"> Instrument</w:t>
      </w:r>
    </w:p>
    <w:p w14:paraId="3580A4FB" w14:textId="5AAE4ED5" w:rsidR="003653EA" w:rsidRDefault="003653EA" w:rsidP="003653EA">
      <w:r>
        <w:t xml:space="preserve">The </w:t>
      </w:r>
      <w:r w:rsidRPr="008E593F">
        <w:rPr>
          <w:i/>
        </w:rPr>
        <w:t>Corporations Amendment (Financial Advice) Regulation 2015</w:t>
      </w:r>
      <w:r>
        <w:t xml:space="preserve"> (the Regulation) makes a number of amendments to the </w:t>
      </w:r>
      <w:r w:rsidRPr="008E593F">
        <w:rPr>
          <w:i/>
        </w:rPr>
        <w:t>Corporations Regulations 2001</w:t>
      </w:r>
      <w:r>
        <w:t xml:space="preserve">. The amendments relate to Part </w:t>
      </w:r>
      <w:proofErr w:type="spellStart"/>
      <w:r>
        <w:t>7.7A</w:t>
      </w:r>
      <w:proofErr w:type="spellEnd"/>
      <w:r>
        <w:t xml:space="preserve"> of the Act: the Future of Financial Advice (</w:t>
      </w:r>
      <w:proofErr w:type="spellStart"/>
      <w:r>
        <w:t>FOFA</w:t>
      </w:r>
      <w:proofErr w:type="spellEnd"/>
      <w:r>
        <w:t>) provisions.</w:t>
      </w:r>
    </w:p>
    <w:p w14:paraId="2345EEC7" w14:textId="77777777" w:rsidR="003653EA" w:rsidRDefault="003653EA" w:rsidP="003653EA">
      <w:r>
        <w:t>The purpose of the Regulation is to reduce compliance costs for small business, financial advisers, and the broader financial services industry, whilst maintaining the quality of advice for consumers who access financial advice.</w:t>
      </w:r>
    </w:p>
    <w:p w14:paraId="4CE6079B" w14:textId="77777777" w:rsidR="003653EA" w:rsidRDefault="003653EA" w:rsidP="003653EA">
      <w:r>
        <w:t>The Regulation:</w:t>
      </w:r>
    </w:p>
    <w:p w14:paraId="2FBEB1CE" w14:textId="77777777" w:rsidR="003653EA" w:rsidRDefault="003653EA" w:rsidP="003653EA">
      <w:r>
        <w:t>•</w:t>
      </w:r>
      <w:r>
        <w:tab/>
        <w:t>clarifies that a person that provides advice to an employer about default funds (the fund where the employer makes contributions for the benefit of employees that have not chosen a fund) is providing a financial service to a retail client;</w:t>
      </w:r>
    </w:p>
    <w:p w14:paraId="41B80646" w14:textId="77777777" w:rsidR="003653EA" w:rsidRDefault="003653EA" w:rsidP="003653EA">
      <w:r>
        <w:t>•</w:t>
      </w:r>
      <w:r>
        <w:tab/>
        <w:t xml:space="preserve">ensures that the wholesale and retail client distinction that currently applies in other Parts of the Act also applies to the </w:t>
      </w:r>
      <w:proofErr w:type="spellStart"/>
      <w:r>
        <w:t>FOFA</w:t>
      </w:r>
      <w:proofErr w:type="spellEnd"/>
      <w:r>
        <w:t xml:space="preserve"> provisions;</w:t>
      </w:r>
    </w:p>
    <w:p w14:paraId="4BD58E7C" w14:textId="77777777" w:rsidR="003653EA" w:rsidRDefault="003653EA" w:rsidP="003653EA">
      <w:r>
        <w:t>•</w:t>
      </w:r>
      <w:r>
        <w:tab/>
        <w:t>applies the modified best interests duty to giving advice on basic banking product and/or general insurance product where the subject matter of the advice being sought also relates to consumer credit insurance;</w:t>
      </w:r>
    </w:p>
    <w:p w14:paraId="5AC809D4" w14:textId="35E1EC1D" w:rsidR="003653EA" w:rsidRDefault="003653EA" w:rsidP="003653EA">
      <w:r>
        <w:t>•</w:t>
      </w:r>
      <w:r>
        <w:tab/>
      </w:r>
      <w:r w:rsidR="00D61673">
        <w:t xml:space="preserve">provides that a facility for making non-cash payments that is not related to a basic deposit product </w:t>
      </w:r>
      <w:r w:rsidR="00D61673" w:rsidRPr="002A17D7">
        <w:t>(such as travel money cards</w:t>
      </w:r>
      <w:r w:rsidR="00D61673">
        <w:t xml:space="preserve">) is a basic deposit product for the purposes of the </w:t>
      </w:r>
      <w:proofErr w:type="spellStart"/>
      <w:r w:rsidR="00D61673">
        <w:t>FOFA</w:t>
      </w:r>
      <w:proofErr w:type="spellEnd"/>
      <w:r w:rsidR="00D61673">
        <w:t xml:space="preserve"> provisions</w:t>
      </w:r>
      <w:r>
        <w:t>;</w:t>
      </w:r>
    </w:p>
    <w:p w14:paraId="472E019A" w14:textId="77777777" w:rsidR="003653EA" w:rsidRDefault="003653EA" w:rsidP="003653EA">
      <w:r>
        <w:t>•</w:t>
      </w:r>
      <w:r>
        <w:tab/>
        <w:t xml:space="preserve">clarifies the application of the existing client-pays provision; and </w:t>
      </w:r>
    </w:p>
    <w:p w14:paraId="69ED39F6" w14:textId="372BE3E3" w:rsidR="002F7E31" w:rsidRDefault="003653EA" w:rsidP="003653EA">
      <w:r>
        <w:t>•</w:t>
      </w:r>
      <w:r>
        <w:tab/>
      </w:r>
      <w:r w:rsidR="00CE1FFF" w:rsidRPr="00FB4ABE">
        <w:t>broaden</w:t>
      </w:r>
      <w:r w:rsidR="00CE1FFF">
        <w:t>s</w:t>
      </w:r>
      <w:r w:rsidR="00CE1FFF" w:rsidRPr="00FB4ABE">
        <w:t xml:space="preserve"> the basic banking exemption from the ban on conflicted remuneration to include benefits relating to consumer credit insurance products</w:t>
      </w:r>
      <w:r>
        <w:t>.</w:t>
      </w:r>
    </w:p>
    <w:p w14:paraId="4CD579D8" w14:textId="77777777" w:rsidR="002F7E31" w:rsidRDefault="002F7E31" w:rsidP="002F7E31">
      <w:pPr>
        <w:pStyle w:val="Heading4"/>
      </w:pPr>
      <w:r>
        <w:t>Human rights implications</w:t>
      </w:r>
    </w:p>
    <w:p w14:paraId="34B02764" w14:textId="77777777" w:rsidR="002F7E31" w:rsidRDefault="002F7E31" w:rsidP="002F7E31">
      <w:r>
        <w:t>This Legislative Instrument does not engage any of the applicable rights or freedoms.</w:t>
      </w:r>
    </w:p>
    <w:p w14:paraId="64E3EB96" w14:textId="77777777" w:rsidR="002F7E31" w:rsidRDefault="002F7E31" w:rsidP="002F7E31">
      <w:pPr>
        <w:pStyle w:val="Heading4"/>
      </w:pPr>
      <w:r>
        <w:t>Conclusion</w:t>
      </w:r>
    </w:p>
    <w:p w14:paraId="16D1C58B" w14:textId="77777777" w:rsidR="002F7E31" w:rsidRDefault="002F7E31" w:rsidP="002F7E31">
      <w:r>
        <w:t>This Legislative Instrument is compatible with human rights as it does not raise any human rights issues.</w:t>
      </w:r>
    </w:p>
    <w:p w14:paraId="6B77F743" w14:textId="77777777" w:rsidR="006E5892" w:rsidRPr="00771D70" w:rsidRDefault="006E5892" w:rsidP="004624A1">
      <w:pPr>
        <w:spacing w:before="100" w:beforeAutospacing="1" w:after="100" w:afterAutospacing="1"/>
        <w:rPr>
          <w:szCs w:val="24"/>
        </w:rPr>
      </w:pPr>
    </w:p>
    <w:sectPr w:rsidR="006E5892" w:rsidRPr="00771D70"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9CC5E" w14:textId="77777777" w:rsidR="00480168" w:rsidRDefault="00480168" w:rsidP="00300B82">
      <w:pPr>
        <w:spacing w:before="0" w:after="0"/>
      </w:pPr>
      <w:r>
        <w:separator/>
      </w:r>
    </w:p>
  </w:endnote>
  <w:endnote w:type="continuationSeparator" w:id="0">
    <w:p w14:paraId="32462323" w14:textId="77777777" w:rsidR="00480168" w:rsidRDefault="00480168" w:rsidP="00300B82">
      <w:pPr>
        <w:spacing w:before="0" w:after="0"/>
      </w:pPr>
      <w:r>
        <w:continuationSeparator/>
      </w:r>
    </w:p>
  </w:endnote>
  <w:endnote w:type="continuationNotice" w:id="1">
    <w:p w14:paraId="79E05DC9" w14:textId="77777777" w:rsidR="00480168" w:rsidRDefault="004801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871372"/>
      <w:docPartObj>
        <w:docPartGallery w:val="Page Numbers (Bottom of Page)"/>
        <w:docPartUnique/>
      </w:docPartObj>
    </w:sdtPr>
    <w:sdtEndPr>
      <w:rPr>
        <w:noProof/>
      </w:rPr>
    </w:sdtEndPr>
    <w:sdtContent>
      <w:p w14:paraId="4EF2978D" w14:textId="43DBB01C" w:rsidR="00480168" w:rsidRDefault="00480168">
        <w:pPr>
          <w:pStyle w:val="Footer"/>
          <w:jc w:val="right"/>
        </w:pPr>
        <w:r>
          <w:fldChar w:fldCharType="begin"/>
        </w:r>
        <w:r>
          <w:instrText xml:space="preserve"> PAGE   \* MERGEFORMAT </w:instrText>
        </w:r>
        <w:r>
          <w:fldChar w:fldCharType="separate"/>
        </w:r>
        <w:r w:rsidR="00E640E8">
          <w:rPr>
            <w:noProof/>
          </w:rPr>
          <w:t>1</w:t>
        </w:r>
        <w:r>
          <w:rPr>
            <w:noProof/>
          </w:rPr>
          <w:fldChar w:fldCharType="end"/>
        </w:r>
      </w:p>
    </w:sdtContent>
  </w:sdt>
  <w:p w14:paraId="1D16399D" w14:textId="77777777" w:rsidR="00480168" w:rsidRDefault="00480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722D4" w14:textId="77777777" w:rsidR="00480168" w:rsidRDefault="00480168" w:rsidP="00300B82">
      <w:pPr>
        <w:spacing w:before="0" w:after="0"/>
      </w:pPr>
      <w:r>
        <w:separator/>
      </w:r>
    </w:p>
  </w:footnote>
  <w:footnote w:type="continuationSeparator" w:id="0">
    <w:p w14:paraId="3C12B91B" w14:textId="77777777" w:rsidR="00480168" w:rsidRDefault="00480168" w:rsidP="00300B82">
      <w:pPr>
        <w:spacing w:before="0" w:after="0"/>
      </w:pPr>
      <w:r>
        <w:continuationSeparator/>
      </w:r>
    </w:p>
  </w:footnote>
  <w:footnote w:type="continuationNotice" w:id="1">
    <w:p w14:paraId="756CD109" w14:textId="77777777" w:rsidR="00480168" w:rsidRDefault="00480168">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5F5F7CED"/>
    <w:multiLevelType w:val="hybridMultilevel"/>
    <w:tmpl w:val="D960E7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67A43C0B"/>
    <w:multiLevelType w:val="multilevel"/>
    <w:tmpl w:val="0CFC97F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2"/>
  </w:num>
  <w:num w:numId="4">
    <w:abstractNumId w:val="2"/>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9FE"/>
    <w:rsid w:val="00016EA2"/>
    <w:rsid w:val="0002553E"/>
    <w:rsid w:val="00025C01"/>
    <w:rsid w:val="00035133"/>
    <w:rsid w:val="0005040C"/>
    <w:rsid w:val="00051C4B"/>
    <w:rsid w:val="0005461A"/>
    <w:rsid w:val="00057736"/>
    <w:rsid w:val="000642E1"/>
    <w:rsid w:val="000732F2"/>
    <w:rsid w:val="00075504"/>
    <w:rsid w:val="00076CE0"/>
    <w:rsid w:val="000859B7"/>
    <w:rsid w:val="00091FE1"/>
    <w:rsid w:val="00095211"/>
    <w:rsid w:val="00095AA6"/>
    <w:rsid w:val="000B5353"/>
    <w:rsid w:val="000B6108"/>
    <w:rsid w:val="000C10DF"/>
    <w:rsid w:val="000C6677"/>
    <w:rsid w:val="000E4236"/>
    <w:rsid w:val="000F12BA"/>
    <w:rsid w:val="000F471A"/>
    <w:rsid w:val="000F4A42"/>
    <w:rsid w:val="000F7239"/>
    <w:rsid w:val="00100BA3"/>
    <w:rsid w:val="00112C1B"/>
    <w:rsid w:val="00113B45"/>
    <w:rsid w:val="00115D9D"/>
    <w:rsid w:val="00117313"/>
    <w:rsid w:val="00135977"/>
    <w:rsid w:val="00137E4A"/>
    <w:rsid w:val="00166009"/>
    <w:rsid w:val="00194C30"/>
    <w:rsid w:val="001A558C"/>
    <w:rsid w:val="001D1AEE"/>
    <w:rsid w:val="001E20C6"/>
    <w:rsid w:val="001E238D"/>
    <w:rsid w:val="001E2FC6"/>
    <w:rsid w:val="001E6A74"/>
    <w:rsid w:val="001F1D77"/>
    <w:rsid w:val="001F41D0"/>
    <w:rsid w:val="002203DD"/>
    <w:rsid w:val="00220F16"/>
    <w:rsid w:val="0022257C"/>
    <w:rsid w:val="002229A5"/>
    <w:rsid w:val="002250DF"/>
    <w:rsid w:val="002272DB"/>
    <w:rsid w:val="00227A5E"/>
    <w:rsid w:val="00227E58"/>
    <w:rsid w:val="002427B2"/>
    <w:rsid w:val="00251F81"/>
    <w:rsid w:val="00254C5B"/>
    <w:rsid w:val="00256882"/>
    <w:rsid w:val="00272FC1"/>
    <w:rsid w:val="002752D4"/>
    <w:rsid w:val="00280393"/>
    <w:rsid w:val="0028446F"/>
    <w:rsid w:val="00292A3A"/>
    <w:rsid w:val="002A0271"/>
    <w:rsid w:val="002A17D7"/>
    <w:rsid w:val="002C1E6C"/>
    <w:rsid w:val="002C5C7E"/>
    <w:rsid w:val="002D5130"/>
    <w:rsid w:val="002E67E1"/>
    <w:rsid w:val="002F385E"/>
    <w:rsid w:val="002F7E31"/>
    <w:rsid w:val="00300B82"/>
    <w:rsid w:val="003141B2"/>
    <w:rsid w:val="0031637A"/>
    <w:rsid w:val="00324178"/>
    <w:rsid w:val="0032654A"/>
    <w:rsid w:val="003342CD"/>
    <w:rsid w:val="00335042"/>
    <w:rsid w:val="003372E2"/>
    <w:rsid w:val="0034079F"/>
    <w:rsid w:val="003475C8"/>
    <w:rsid w:val="00356715"/>
    <w:rsid w:val="003623F2"/>
    <w:rsid w:val="0036379D"/>
    <w:rsid w:val="003653EA"/>
    <w:rsid w:val="003749FE"/>
    <w:rsid w:val="003831B9"/>
    <w:rsid w:val="0038432F"/>
    <w:rsid w:val="00392BBA"/>
    <w:rsid w:val="003A5972"/>
    <w:rsid w:val="003A7C48"/>
    <w:rsid w:val="003B1F28"/>
    <w:rsid w:val="003C64E7"/>
    <w:rsid w:val="003C7BAC"/>
    <w:rsid w:val="003D0738"/>
    <w:rsid w:val="003E4B5E"/>
    <w:rsid w:val="003E56B8"/>
    <w:rsid w:val="00401167"/>
    <w:rsid w:val="00405869"/>
    <w:rsid w:val="004235FE"/>
    <w:rsid w:val="00423861"/>
    <w:rsid w:val="0044696E"/>
    <w:rsid w:val="00460446"/>
    <w:rsid w:val="004624A1"/>
    <w:rsid w:val="00476611"/>
    <w:rsid w:val="004776CC"/>
    <w:rsid w:val="00480168"/>
    <w:rsid w:val="004B6B09"/>
    <w:rsid w:val="004B7A19"/>
    <w:rsid w:val="004C171D"/>
    <w:rsid w:val="004D05EB"/>
    <w:rsid w:val="004D3E52"/>
    <w:rsid w:val="004E39E1"/>
    <w:rsid w:val="004F7397"/>
    <w:rsid w:val="00503E44"/>
    <w:rsid w:val="00515283"/>
    <w:rsid w:val="005255C2"/>
    <w:rsid w:val="005315C3"/>
    <w:rsid w:val="005525E3"/>
    <w:rsid w:val="0055675D"/>
    <w:rsid w:val="00560B63"/>
    <w:rsid w:val="00573244"/>
    <w:rsid w:val="00575AAA"/>
    <w:rsid w:val="0058018B"/>
    <w:rsid w:val="00580A8D"/>
    <w:rsid w:val="005833BE"/>
    <w:rsid w:val="0058629F"/>
    <w:rsid w:val="00591883"/>
    <w:rsid w:val="005972C7"/>
    <w:rsid w:val="005A67F8"/>
    <w:rsid w:val="005B7CBF"/>
    <w:rsid w:val="005D7D5A"/>
    <w:rsid w:val="005E59B9"/>
    <w:rsid w:val="005F0AB4"/>
    <w:rsid w:val="0060130D"/>
    <w:rsid w:val="0060425A"/>
    <w:rsid w:val="00605BA5"/>
    <w:rsid w:val="00611BFD"/>
    <w:rsid w:val="00617F1A"/>
    <w:rsid w:val="006379E6"/>
    <w:rsid w:val="0064129F"/>
    <w:rsid w:val="00642A63"/>
    <w:rsid w:val="0064421C"/>
    <w:rsid w:val="006563F2"/>
    <w:rsid w:val="00661188"/>
    <w:rsid w:val="006677B9"/>
    <w:rsid w:val="00677ABF"/>
    <w:rsid w:val="00682D0C"/>
    <w:rsid w:val="006919F1"/>
    <w:rsid w:val="006B035E"/>
    <w:rsid w:val="006B19C5"/>
    <w:rsid w:val="006D42AC"/>
    <w:rsid w:val="006E5892"/>
    <w:rsid w:val="006E73D8"/>
    <w:rsid w:val="006F5BFA"/>
    <w:rsid w:val="007079BB"/>
    <w:rsid w:val="00721729"/>
    <w:rsid w:val="00721838"/>
    <w:rsid w:val="00734F42"/>
    <w:rsid w:val="0076218C"/>
    <w:rsid w:val="00767927"/>
    <w:rsid w:val="00771D70"/>
    <w:rsid w:val="0077778C"/>
    <w:rsid w:val="00782B27"/>
    <w:rsid w:val="007878C5"/>
    <w:rsid w:val="0079362C"/>
    <w:rsid w:val="007943A2"/>
    <w:rsid w:val="00796866"/>
    <w:rsid w:val="0079705F"/>
    <w:rsid w:val="007A26E2"/>
    <w:rsid w:val="007A4F74"/>
    <w:rsid w:val="007A66F8"/>
    <w:rsid w:val="007B069D"/>
    <w:rsid w:val="007C7515"/>
    <w:rsid w:val="007E018D"/>
    <w:rsid w:val="007E19D1"/>
    <w:rsid w:val="007F024D"/>
    <w:rsid w:val="007F24BA"/>
    <w:rsid w:val="007F4416"/>
    <w:rsid w:val="007F5289"/>
    <w:rsid w:val="008004D2"/>
    <w:rsid w:val="00807E7D"/>
    <w:rsid w:val="00810490"/>
    <w:rsid w:val="0081756C"/>
    <w:rsid w:val="0082102E"/>
    <w:rsid w:val="00831675"/>
    <w:rsid w:val="008476CF"/>
    <w:rsid w:val="008505D2"/>
    <w:rsid w:val="008517AF"/>
    <w:rsid w:val="00851F27"/>
    <w:rsid w:val="008561B6"/>
    <w:rsid w:val="008561D8"/>
    <w:rsid w:val="00874C33"/>
    <w:rsid w:val="00876CC0"/>
    <w:rsid w:val="0088467C"/>
    <w:rsid w:val="0089388E"/>
    <w:rsid w:val="008938E0"/>
    <w:rsid w:val="008A24D8"/>
    <w:rsid w:val="008D16F7"/>
    <w:rsid w:val="008D697F"/>
    <w:rsid w:val="008E02F9"/>
    <w:rsid w:val="008E593F"/>
    <w:rsid w:val="008F16A5"/>
    <w:rsid w:val="008F5E3B"/>
    <w:rsid w:val="008F7611"/>
    <w:rsid w:val="009221CB"/>
    <w:rsid w:val="00924F6E"/>
    <w:rsid w:val="00936DB9"/>
    <w:rsid w:val="00942A70"/>
    <w:rsid w:val="0094728E"/>
    <w:rsid w:val="0095521B"/>
    <w:rsid w:val="009631F3"/>
    <w:rsid w:val="00990538"/>
    <w:rsid w:val="00992B4A"/>
    <w:rsid w:val="00993C53"/>
    <w:rsid w:val="009B1F20"/>
    <w:rsid w:val="009B3ACC"/>
    <w:rsid w:val="009C1D4E"/>
    <w:rsid w:val="009D041F"/>
    <w:rsid w:val="009D5B7D"/>
    <w:rsid w:val="009E2F86"/>
    <w:rsid w:val="009E2FE6"/>
    <w:rsid w:val="009E4A14"/>
    <w:rsid w:val="009E7A0A"/>
    <w:rsid w:val="00A0309B"/>
    <w:rsid w:val="00A12209"/>
    <w:rsid w:val="00A17C24"/>
    <w:rsid w:val="00A277E1"/>
    <w:rsid w:val="00A27A45"/>
    <w:rsid w:val="00A36DF3"/>
    <w:rsid w:val="00A442F2"/>
    <w:rsid w:val="00A532DD"/>
    <w:rsid w:val="00A5339F"/>
    <w:rsid w:val="00A57210"/>
    <w:rsid w:val="00A63C34"/>
    <w:rsid w:val="00A64C79"/>
    <w:rsid w:val="00A6773F"/>
    <w:rsid w:val="00A67E70"/>
    <w:rsid w:val="00A704A2"/>
    <w:rsid w:val="00A709FD"/>
    <w:rsid w:val="00A80BCF"/>
    <w:rsid w:val="00A85615"/>
    <w:rsid w:val="00A95A62"/>
    <w:rsid w:val="00AA084A"/>
    <w:rsid w:val="00AA0E4E"/>
    <w:rsid w:val="00AA6EF8"/>
    <w:rsid w:val="00AC6A09"/>
    <w:rsid w:val="00AE4352"/>
    <w:rsid w:val="00AE7A95"/>
    <w:rsid w:val="00B07B0C"/>
    <w:rsid w:val="00B15991"/>
    <w:rsid w:val="00B243DE"/>
    <w:rsid w:val="00B24C87"/>
    <w:rsid w:val="00B47058"/>
    <w:rsid w:val="00B55AD2"/>
    <w:rsid w:val="00B60F91"/>
    <w:rsid w:val="00B7217E"/>
    <w:rsid w:val="00B77FC0"/>
    <w:rsid w:val="00B802F9"/>
    <w:rsid w:val="00B9529C"/>
    <w:rsid w:val="00BB1D06"/>
    <w:rsid w:val="00BC0212"/>
    <w:rsid w:val="00BC39E0"/>
    <w:rsid w:val="00BC5D4B"/>
    <w:rsid w:val="00BC7151"/>
    <w:rsid w:val="00BD1A5F"/>
    <w:rsid w:val="00BD61A2"/>
    <w:rsid w:val="00BE484D"/>
    <w:rsid w:val="00BF290E"/>
    <w:rsid w:val="00BF29E2"/>
    <w:rsid w:val="00BF4814"/>
    <w:rsid w:val="00BF5208"/>
    <w:rsid w:val="00C0440A"/>
    <w:rsid w:val="00C07302"/>
    <w:rsid w:val="00C309BC"/>
    <w:rsid w:val="00C331B1"/>
    <w:rsid w:val="00C37E05"/>
    <w:rsid w:val="00C5369C"/>
    <w:rsid w:val="00C55655"/>
    <w:rsid w:val="00C55D29"/>
    <w:rsid w:val="00C6043F"/>
    <w:rsid w:val="00C772F8"/>
    <w:rsid w:val="00C958EA"/>
    <w:rsid w:val="00CB2817"/>
    <w:rsid w:val="00CB3387"/>
    <w:rsid w:val="00CB6726"/>
    <w:rsid w:val="00CC37FD"/>
    <w:rsid w:val="00CC70D0"/>
    <w:rsid w:val="00CD64A1"/>
    <w:rsid w:val="00CE1FFF"/>
    <w:rsid w:val="00D14FFC"/>
    <w:rsid w:val="00D200A8"/>
    <w:rsid w:val="00D34626"/>
    <w:rsid w:val="00D347BB"/>
    <w:rsid w:val="00D35797"/>
    <w:rsid w:val="00D4257A"/>
    <w:rsid w:val="00D43475"/>
    <w:rsid w:val="00D50A41"/>
    <w:rsid w:val="00D53DFC"/>
    <w:rsid w:val="00D61673"/>
    <w:rsid w:val="00D85C51"/>
    <w:rsid w:val="00D919DB"/>
    <w:rsid w:val="00D92DA5"/>
    <w:rsid w:val="00D932F8"/>
    <w:rsid w:val="00D9539F"/>
    <w:rsid w:val="00DA1DB8"/>
    <w:rsid w:val="00DA61FE"/>
    <w:rsid w:val="00DC0CDE"/>
    <w:rsid w:val="00DC7879"/>
    <w:rsid w:val="00DE5912"/>
    <w:rsid w:val="00DE5E3D"/>
    <w:rsid w:val="00E024B1"/>
    <w:rsid w:val="00E0624D"/>
    <w:rsid w:val="00E33088"/>
    <w:rsid w:val="00E33A17"/>
    <w:rsid w:val="00E436BD"/>
    <w:rsid w:val="00E4438C"/>
    <w:rsid w:val="00E457F3"/>
    <w:rsid w:val="00E5041C"/>
    <w:rsid w:val="00E640E8"/>
    <w:rsid w:val="00E96C43"/>
    <w:rsid w:val="00EB7E71"/>
    <w:rsid w:val="00EC3918"/>
    <w:rsid w:val="00EF0FFA"/>
    <w:rsid w:val="00F04687"/>
    <w:rsid w:val="00F10279"/>
    <w:rsid w:val="00F109D4"/>
    <w:rsid w:val="00F27B49"/>
    <w:rsid w:val="00F30ED3"/>
    <w:rsid w:val="00F45D57"/>
    <w:rsid w:val="00F51C97"/>
    <w:rsid w:val="00F53129"/>
    <w:rsid w:val="00F550BE"/>
    <w:rsid w:val="00F602EB"/>
    <w:rsid w:val="00F71F9B"/>
    <w:rsid w:val="00F91E37"/>
    <w:rsid w:val="00FB4ABE"/>
    <w:rsid w:val="00FB6BE6"/>
    <w:rsid w:val="00FD276F"/>
    <w:rsid w:val="00FD48B0"/>
    <w:rsid w:val="00FD72F1"/>
    <w:rsid w:val="00FD795D"/>
    <w:rsid w:val="00FE1BE5"/>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9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CommentReference">
    <w:name w:val="annotation reference"/>
    <w:basedOn w:val="DefaultParagraphFont"/>
    <w:uiPriority w:val="99"/>
    <w:semiHidden/>
    <w:unhideWhenUsed/>
    <w:rsid w:val="006F5BFA"/>
    <w:rPr>
      <w:sz w:val="16"/>
      <w:szCs w:val="16"/>
    </w:rPr>
  </w:style>
  <w:style w:type="paragraph" w:styleId="CommentText">
    <w:name w:val="annotation text"/>
    <w:basedOn w:val="Normal"/>
    <w:link w:val="CommentTextChar"/>
    <w:uiPriority w:val="99"/>
    <w:semiHidden/>
    <w:unhideWhenUsed/>
    <w:rsid w:val="006F5BFA"/>
    <w:rPr>
      <w:sz w:val="20"/>
    </w:rPr>
  </w:style>
  <w:style w:type="character" w:customStyle="1" w:styleId="CommentTextChar">
    <w:name w:val="Comment Text Char"/>
    <w:basedOn w:val="DefaultParagraphFont"/>
    <w:link w:val="CommentText"/>
    <w:uiPriority w:val="99"/>
    <w:semiHidden/>
    <w:rsid w:val="006F5BFA"/>
  </w:style>
  <w:style w:type="paragraph" w:styleId="CommentSubject">
    <w:name w:val="annotation subject"/>
    <w:basedOn w:val="CommentText"/>
    <w:next w:val="CommentText"/>
    <w:link w:val="CommentSubjectChar"/>
    <w:uiPriority w:val="99"/>
    <w:semiHidden/>
    <w:unhideWhenUsed/>
    <w:rsid w:val="006F5BFA"/>
    <w:rPr>
      <w:b/>
      <w:bCs/>
    </w:rPr>
  </w:style>
  <w:style w:type="character" w:customStyle="1" w:styleId="CommentSubjectChar">
    <w:name w:val="Comment Subject Char"/>
    <w:basedOn w:val="CommentTextChar"/>
    <w:link w:val="CommentSubject"/>
    <w:uiPriority w:val="99"/>
    <w:semiHidden/>
    <w:rsid w:val="006F5BFA"/>
    <w:rPr>
      <w:b/>
      <w:bCs/>
    </w:rPr>
  </w:style>
  <w:style w:type="paragraph" w:styleId="Header">
    <w:name w:val="header"/>
    <w:basedOn w:val="Normal"/>
    <w:link w:val="HeaderChar"/>
    <w:uiPriority w:val="99"/>
    <w:unhideWhenUsed/>
    <w:rsid w:val="00300B82"/>
    <w:pPr>
      <w:tabs>
        <w:tab w:val="center" w:pos="4513"/>
        <w:tab w:val="right" w:pos="9026"/>
      </w:tabs>
      <w:spacing w:before="0" w:after="0"/>
    </w:pPr>
  </w:style>
  <w:style w:type="character" w:customStyle="1" w:styleId="HeaderChar">
    <w:name w:val="Header Char"/>
    <w:basedOn w:val="DefaultParagraphFont"/>
    <w:link w:val="Header"/>
    <w:uiPriority w:val="99"/>
    <w:rsid w:val="00300B82"/>
    <w:rPr>
      <w:sz w:val="24"/>
    </w:rPr>
  </w:style>
  <w:style w:type="paragraph" w:styleId="Footer">
    <w:name w:val="footer"/>
    <w:basedOn w:val="Normal"/>
    <w:link w:val="FooterChar"/>
    <w:uiPriority w:val="99"/>
    <w:unhideWhenUsed/>
    <w:rsid w:val="00300B82"/>
    <w:pPr>
      <w:tabs>
        <w:tab w:val="center" w:pos="4513"/>
        <w:tab w:val="right" w:pos="9026"/>
      </w:tabs>
      <w:spacing w:before="0" w:after="0"/>
    </w:pPr>
  </w:style>
  <w:style w:type="character" w:customStyle="1" w:styleId="FooterChar">
    <w:name w:val="Footer Char"/>
    <w:basedOn w:val="DefaultParagraphFont"/>
    <w:link w:val="Footer"/>
    <w:uiPriority w:val="99"/>
    <w:rsid w:val="00300B8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CommentReference">
    <w:name w:val="annotation reference"/>
    <w:basedOn w:val="DefaultParagraphFont"/>
    <w:uiPriority w:val="99"/>
    <w:semiHidden/>
    <w:unhideWhenUsed/>
    <w:rsid w:val="006F5BFA"/>
    <w:rPr>
      <w:sz w:val="16"/>
      <w:szCs w:val="16"/>
    </w:rPr>
  </w:style>
  <w:style w:type="paragraph" w:styleId="CommentText">
    <w:name w:val="annotation text"/>
    <w:basedOn w:val="Normal"/>
    <w:link w:val="CommentTextChar"/>
    <w:uiPriority w:val="99"/>
    <w:semiHidden/>
    <w:unhideWhenUsed/>
    <w:rsid w:val="006F5BFA"/>
    <w:rPr>
      <w:sz w:val="20"/>
    </w:rPr>
  </w:style>
  <w:style w:type="character" w:customStyle="1" w:styleId="CommentTextChar">
    <w:name w:val="Comment Text Char"/>
    <w:basedOn w:val="DefaultParagraphFont"/>
    <w:link w:val="CommentText"/>
    <w:uiPriority w:val="99"/>
    <w:semiHidden/>
    <w:rsid w:val="006F5BFA"/>
  </w:style>
  <w:style w:type="paragraph" w:styleId="CommentSubject">
    <w:name w:val="annotation subject"/>
    <w:basedOn w:val="CommentText"/>
    <w:next w:val="CommentText"/>
    <w:link w:val="CommentSubjectChar"/>
    <w:uiPriority w:val="99"/>
    <w:semiHidden/>
    <w:unhideWhenUsed/>
    <w:rsid w:val="006F5BFA"/>
    <w:rPr>
      <w:b/>
      <w:bCs/>
    </w:rPr>
  </w:style>
  <w:style w:type="character" w:customStyle="1" w:styleId="CommentSubjectChar">
    <w:name w:val="Comment Subject Char"/>
    <w:basedOn w:val="CommentTextChar"/>
    <w:link w:val="CommentSubject"/>
    <w:uiPriority w:val="99"/>
    <w:semiHidden/>
    <w:rsid w:val="006F5BFA"/>
    <w:rPr>
      <w:b/>
      <w:bCs/>
    </w:rPr>
  </w:style>
  <w:style w:type="paragraph" w:styleId="Header">
    <w:name w:val="header"/>
    <w:basedOn w:val="Normal"/>
    <w:link w:val="HeaderChar"/>
    <w:uiPriority w:val="99"/>
    <w:unhideWhenUsed/>
    <w:rsid w:val="00300B82"/>
    <w:pPr>
      <w:tabs>
        <w:tab w:val="center" w:pos="4513"/>
        <w:tab w:val="right" w:pos="9026"/>
      </w:tabs>
      <w:spacing w:before="0" w:after="0"/>
    </w:pPr>
  </w:style>
  <w:style w:type="character" w:customStyle="1" w:styleId="HeaderChar">
    <w:name w:val="Header Char"/>
    <w:basedOn w:val="DefaultParagraphFont"/>
    <w:link w:val="Header"/>
    <w:uiPriority w:val="99"/>
    <w:rsid w:val="00300B82"/>
    <w:rPr>
      <w:sz w:val="24"/>
    </w:rPr>
  </w:style>
  <w:style w:type="paragraph" w:styleId="Footer">
    <w:name w:val="footer"/>
    <w:basedOn w:val="Normal"/>
    <w:link w:val="FooterChar"/>
    <w:uiPriority w:val="99"/>
    <w:unhideWhenUsed/>
    <w:rsid w:val="00300B82"/>
    <w:pPr>
      <w:tabs>
        <w:tab w:val="center" w:pos="4513"/>
        <w:tab w:val="right" w:pos="9026"/>
      </w:tabs>
      <w:spacing w:before="0" w:after="0"/>
    </w:pPr>
  </w:style>
  <w:style w:type="character" w:customStyle="1" w:styleId="FooterChar">
    <w:name w:val="Footer Char"/>
    <w:basedOn w:val="DefaultParagraphFont"/>
    <w:link w:val="Footer"/>
    <w:uiPriority w:val="99"/>
    <w:rsid w:val="00300B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09369">
      <w:bodyDiv w:val="1"/>
      <w:marLeft w:val="0"/>
      <w:marRight w:val="0"/>
      <w:marTop w:val="0"/>
      <w:marBottom w:val="0"/>
      <w:divBdr>
        <w:top w:val="none" w:sz="0" w:space="0" w:color="auto"/>
        <w:left w:val="none" w:sz="0" w:space="0" w:color="auto"/>
        <w:bottom w:val="none" w:sz="0" w:space="0" w:color="auto"/>
        <w:right w:val="none" w:sz="0" w:space="0" w:color="auto"/>
      </w:divBdr>
    </w:div>
    <w:div w:id="959532157">
      <w:bodyDiv w:val="1"/>
      <w:marLeft w:val="0"/>
      <w:marRight w:val="0"/>
      <w:marTop w:val="0"/>
      <w:marBottom w:val="0"/>
      <w:divBdr>
        <w:top w:val="none" w:sz="0" w:space="0" w:color="auto"/>
        <w:left w:val="none" w:sz="0" w:space="0" w:color="auto"/>
        <w:bottom w:val="none" w:sz="0" w:space="0" w:color="auto"/>
        <w:right w:val="none" w:sz="0" w:space="0" w:color="auto"/>
      </w:divBdr>
      <w:divsChild>
        <w:div w:id="1952740822">
          <w:marLeft w:val="0"/>
          <w:marRight w:val="0"/>
          <w:marTop w:val="0"/>
          <w:marBottom w:val="0"/>
          <w:divBdr>
            <w:top w:val="none" w:sz="0" w:space="0" w:color="auto"/>
            <w:left w:val="none" w:sz="0" w:space="0" w:color="auto"/>
            <w:bottom w:val="none" w:sz="0" w:space="0" w:color="auto"/>
            <w:right w:val="none" w:sz="0" w:space="0" w:color="auto"/>
          </w:divBdr>
          <w:divsChild>
            <w:div w:id="237784509">
              <w:marLeft w:val="0"/>
              <w:marRight w:val="0"/>
              <w:marTop w:val="0"/>
              <w:marBottom w:val="0"/>
              <w:divBdr>
                <w:top w:val="none" w:sz="0" w:space="0" w:color="auto"/>
                <w:left w:val="none" w:sz="0" w:space="0" w:color="auto"/>
                <w:bottom w:val="none" w:sz="0" w:space="0" w:color="auto"/>
                <w:right w:val="none" w:sz="0" w:space="0" w:color="auto"/>
              </w:divBdr>
              <w:divsChild>
                <w:div w:id="1032144491">
                  <w:marLeft w:val="0"/>
                  <w:marRight w:val="0"/>
                  <w:marTop w:val="0"/>
                  <w:marBottom w:val="0"/>
                  <w:divBdr>
                    <w:top w:val="none" w:sz="0" w:space="0" w:color="auto"/>
                    <w:left w:val="none" w:sz="0" w:space="0" w:color="auto"/>
                    <w:bottom w:val="none" w:sz="0" w:space="0" w:color="auto"/>
                    <w:right w:val="none" w:sz="0" w:space="0" w:color="auto"/>
                  </w:divBdr>
                  <w:divsChild>
                    <w:div w:id="445006601">
                      <w:marLeft w:val="0"/>
                      <w:marRight w:val="0"/>
                      <w:marTop w:val="0"/>
                      <w:marBottom w:val="0"/>
                      <w:divBdr>
                        <w:top w:val="none" w:sz="0" w:space="0" w:color="auto"/>
                        <w:left w:val="none" w:sz="0" w:space="0" w:color="auto"/>
                        <w:bottom w:val="none" w:sz="0" w:space="0" w:color="auto"/>
                        <w:right w:val="none" w:sz="0" w:space="0" w:color="auto"/>
                      </w:divBdr>
                      <w:divsChild>
                        <w:div w:id="1920211690">
                          <w:marLeft w:val="0"/>
                          <w:marRight w:val="0"/>
                          <w:marTop w:val="0"/>
                          <w:marBottom w:val="0"/>
                          <w:divBdr>
                            <w:top w:val="single" w:sz="6" w:space="0" w:color="828282"/>
                            <w:left w:val="single" w:sz="6" w:space="0" w:color="828282"/>
                            <w:bottom w:val="single" w:sz="6" w:space="0" w:color="828282"/>
                            <w:right w:val="single" w:sz="6" w:space="0" w:color="828282"/>
                          </w:divBdr>
                          <w:divsChild>
                            <w:div w:id="438575166">
                              <w:marLeft w:val="0"/>
                              <w:marRight w:val="0"/>
                              <w:marTop w:val="0"/>
                              <w:marBottom w:val="0"/>
                              <w:divBdr>
                                <w:top w:val="none" w:sz="0" w:space="0" w:color="auto"/>
                                <w:left w:val="none" w:sz="0" w:space="0" w:color="auto"/>
                                <w:bottom w:val="none" w:sz="0" w:space="0" w:color="auto"/>
                                <w:right w:val="none" w:sz="0" w:space="0" w:color="auto"/>
                              </w:divBdr>
                              <w:divsChild>
                                <w:div w:id="1007440008">
                                  <w:marLeft w:val="0"/>
                                  <w:marRight w:val="0"/>
                                  <w:marTop w:val="0"/>
                                  <w:marBottom w:val="0"/>
                                  <w:divBdr>
                                    <w:top w:val="none" w:sz="0" w:space="0" w:color="auto"/>
                                    <w:left w:val="none" w:sz="0" w:space="0" w:color="auto"/>
                                    <w:bottom w:val="none" w:sz="0" w:space="0" w:color="auto"/>
                                    <w:right w:val="none" w:sz="0" w:space="0" w:color="auto"/>
                                  </w:divBdr>
                                  <w:divsChild>
                                    <w:div w:id="234433108">
                                      <w:marLeft w:val="0"/>
                                      <w:marRight w:val="0"/>
                                      <w:marTop w:val="0"/>
                                      <w:marBottom w:val="0"/>
                                      <w:divBdr>
                                        <w:top w:val="none" w:sz="0" w:space="0" w:color="auto"/>
                                        <w:left w:val="none" w:sz="0" w:space="0" w:color="auto"/>
                                        <w:bottom w:val="none" w:sz="0" w:space="0" w:color="auto"/>
                                        <w:right w:val="none" w:sz="0" w:space="0" w:color="auto"/>
                                      </w:divBdr>
                                      <w:divsChild>
                                        <w:div w:id="1742484641">
                                          <w:marLeft w:val="0"/>
                                          <w:marRight w:val="0"/>
                                          <w:marTop w:val="0"/>
                                          <w:marBottom w:val="0"/>
                                          <w:divBdr>
                                            <w:top w:val="none" w:sz="0" w:space="0" w:color="auto"/>
                                            <w:left w:val="none" w:sz="0" w:space="0" w:color="auto"/>
                                            <w:bottom w:val="none" w:sz="0" w:space="0" w:color="auto"/>
                                            <w:right w:val="none" w:sz="0" w:space="0" w:color="auto"/>
                                          </w:divBdr>
                                          <w:divsChild>
                                            <w:div w:id="1987004327">
                                              <w:marLeft w:val="0"/>
                                              <w:marRight w:val="0"/>
                                              <w:marTop w:val="0"/>
                                              <w:marBottom w:val="0"/>
                                              <w:divBdr>
                                                <w:top w:val="none" w:sz="0" w:space="0" w:color="auto"/>
                                                <w:left w:val="none" w:sz="0" w:space="0" w:color="auto"/>
                                                <w:bottom w:val="none" w:sz="0" w:space="0" w:color="auto"/>
                                                <w:right w:val="none" w:sz="0" w:space="0" w:color="auto"/>
                                              </w:divBdr>
                                              <w:divsChild>
                                                <w:div w:id="346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4253119">
      <w:bodyDiv w:val="1"/>
      <w:marLeft w:val="0"/>
      <w:marRight w:val="0"/>
      <w:marTop w:val="0"/>
      <w:marBottom w:val="0"/>
      <w:divBdr>
        <w:top w:val="none" w:sz="0" w:space="0" w:color="auto"/>
        <w:left w:val="none" w:sz="0" w:space="0" w:color="auto"/>
        <w:bottom w:val="none" w:sz="0" w:space="0" w:color="auto"/>
        <w:right w:val="none" w:sz="0" w:space="0" w:color="auto"/>
      </w:divBdr>
      <w:divsChild>
        <w:div w:id="1893610671">
          <w:marLeft w:val="0"/>
          <w:marRight w:val="0"/>
          <w:marTop w:val="0"/>
          <w:marBottom w:val="0"/>
          <w:divBdr>
            <w:top w:val="none" w:sz="0" w:space="0" w:color="auto"/>
            <w:left w:val="none" w:sz="0" w:space="0" w:color="auto"/>
            <w:bottom w:val="none" w:sz="0" w:space="0" w:color="auto"/>
            <w:right w:val="none" w:sz="0" w:space="0" w:color="auto"/>
          </w:divBdr>
          <w:divsChild>
            <w:div w:id="1614629336">
              <w:marLeft w:val="0"/>
              <w:marRight w:val="0"/>
              <w:marTop w:val="0"/>
              <w:marBottom w:val="0"/>
              <w:divBdr>
                <w:top w:val="none" w:sz="0" w:space="0" w:color="auto"/>
                <w:left w:val="none" w:sz="0" w:space="0" w:color="auto"/>
                <w:bottom w:val="none" w:sz="0" w:space="0" w:color="auto"/>
                <w:right w:val="none" w:sz="0" w:space="0" w:color="auto"/>
              </w:divBdr>
              <w:divsChild>
                <w:div w:id="511914370">
                  <w:marLeft w:val="0"/>
                  <w:marRight w:val="0"/>
                  <w:marTop w:val="0"/>
                  <w:marBottom w:val="0"/>
                  <w:divBdr>
                    <w:top w:val="none" w:sz="0" w:space="0" w:color="auto"/>
                    <w:left w:val="none" w:sz="0" w:space="0" w:color="auto"/>
                    <w:bottom w:val="none" w:sz="0" w:space="0" w:color="auto"/>
                    <w:right w:val="none" w:sz="0" w:space="0" w:color="auto"/>
                  </w:divBdr>
                  <w:divsChild>
                    <w:div w:id="475607705">
                      <w:marLeft w:val="0"/>
                      <w:marRight w:val="0"/>
                      <w:marTop w:val="0"/>
                      <w:marBottom w:val="0"/>
                      <w:divBdr>
                        <w:top w:val="none" w:sz="0" w:space="0" w:color="auto"/>
                        <w:left w:val="none" w:sz="0" w:space="0" w:color="auto"/>
                        <w:bottom w:val="none" w:sz="0" w:space="0" w:color="auto"/>
                        <w:right w:val="none" w:sz="0" w:space="0" w:color="auto"/>
                      </w:divBdr>
                      <w:divsChild>
                        <w:div w:id="1543250363">
                          <w:marLeft w:val="0"/>
                          <w:marRight w:val="0"/>
                          <w:marTop w:val="0"/>
                          <w:marBottom w:val="0"/>
                          <w:divBdr>
                            <w:top w:val="single" w:sz="6" w:space="0" w:color="828282"/>
                            <w:left w:val="single" w:sz="6" w:space="0" w:color="828282"/>
                            <w:bottom w:val="single" w:sz="6" w:space="0" w:color="828282"/>
                            <w:right w:val="single" w:sz="6" w:space="0" w:color="828282"/>
                          </w:divBdr>
                          <w:divsChild>
                            <w:div w:id="270940386">
                              <w:marLeft w:val="0"/>
                              <w:marRight w:val="0"/>
                              <w:marTop w:val="0"/>
                              <w:marBottom w:val="0"/>
                              <w:divBdr>
                                <w:top w:val="none" w:sz="0" w:space="0" w:color="auto"/>
                                <w:left w:val="none" w:sz="0" w:space="0" w:color="auto"/>
                                <w:bottom w:val="none" w:sz="0" w:space="0" w:color="auto"/>
                                <w:right w:val="none" w:sz="0" w:space="0" w:color="auto"/>
                              </w:divBdr>
                              <w:divsChild>
                                <w:div w:id="1026101897">
                                  <w:marLeft w:val="0"/>
                                  <w:marRight w:val="0"/>
                                  <w:marTop w:val="0"/>
                                  <w:marBottom w:val="0"/>
                                  <w:divBdr>
                                    <w:top w:val="none" w:sz="0" w:space="0" w:color="auto"/>
                                    <w:left w:val="none" w:sz="0" w:space="0" w:color="auto"/>
                                    <w:bottom w:val="none" w:sz="0" w:space="0" w:color="auto"/>
                                    <w:right w:val="none" w:sz="0" w:space="0" w:color="auto"/>
                                  </w:divBdr>
                                  <w:divsChild>
                                    <w:div w:id="814688112">
                                      <w:marLeft w:val="0"/>
                                      <w:marRight w:val="0"/>
                                      <w:marTop w:val="0"/>
                                      <w:marBottom w:val="0"/>
                                      <w:divBdr>
                                        <w:top w:val="none" w:sz="0" w:space="0" w:color="auto"/>
                                        <w:left w:val="none" w:sz="0" w:space="0" w:color="auto"/>
                                        <w:bottom w:val="none" w:sz="0" w:space="0" w:color="auto"/>
                                        <w:right w:val="none" w:sz="0" w:space="0" w:color="auto"/>
                                      </w:divBdr>
                                      <w:divsChild>
                                        <w:div w:id="151607574">
                                          <w:marLeft w:val="0"/>
                                          <w:marRight w:val="0"/>
                                          <w:marTop w:val="0"/>
                                          <w:marBottom w:val="0"/>
                                          <w:divBdr>
                                            <w:top w:val="none" w:sz="0" w:space="0" w:color="auto"/>
                                            <w:left w:val="none" w:sz="0" w:space="0" w:color="auto"/>
                                            <w:bottom w:val="none" w:sz="0" w:space="0" w:color="auto"/>
                                            <w:right w:val="none" w:sz="0" w:space="0" w:color="auto"/>
                                          </w:divBdr>
                                          <w:divsChild>
                                            <w:div w:id="979382122">
                                              <w:marLeft w:val="0"/>
                                              <w:marRight w:val="0"/>
                                              <w:marTop w:val="0"/>
                                              <w:marBottom w:val="0"/>
                                              <w:divBdr>
                                                <w:top w:val="none" w:sz="0" w:space="0" w:color="auto"/>
                                                <w:left w:val="none" w:sz="0" w:space="0" w:color="auto"/>
                                                <w:bottom w:val="none" w:sz="0" w:space="0" w:color="auto"/>
                                                <w:right w:val="none" w:sz="0" w:space="0" w:color="auto"/>
                                              </w:divBdr>
                                              <w:divsChild>
                                                <w:div w:id="20324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9f7bc583-7cbe-45b9-a2bd-8bbb6543b37e">
      <Value>11</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9f7bc583-7cbe-45b9-a2bd-8bbb6543b37e">2014RG-86-14695</_dlc_DocId>
    <_dlc_DocIdUrl xmlns="9f7bc583-7cbe-45b9-a2bd-8bbb6543b37e">
      <Url>http://tweb/sites/rg/ldp/lmu/_layouts/15/DocIdRedir.aspx?ID=2014RG-86-14695</Url>
      <Description>2014RG-86-14695</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9" ma:contentTypeDescription=" " ma:contentTypeScope="" ma:versionID="a682023c0372fd80f246bc2ddd41ab6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ba0810852fcff98aaa9c19b15de1cedb"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F48A-39CF-4152-9E26-0147AB78BBCF}">
  <ds:schemaRefs>
    <ds:schemaRef ds:uri="http://schemas.microsoft.com/sharepoint/events"/>
  </ds:schemaRefs>
</ds:datastoreItem>
</file>

<file path=customXml/itemProps2.xml><?xml version="1.0" encoding="utf-8"?>
<ds:datastoreItem xmlns:ds="http://schemas.openxmlformats.org/officeDocument/2006/customXml" ds:itemID="{9B594E86-6029-4528-A0B4-64F60D3FDB2E}">
  <ds:schemaRefs>
    <ds:schemaRef ds:uri="http://schemas.microsoft.com/office/2006/metadata/properties"/>
    <ds:schemaRef ds:uri="http://schemas.microsoft.com/office/infopath/2007/PartnerControls"/>
    <ds:schemaRef ds:uri="9f7bc583-7cbe-45b9-a2bd-8bbb6543b37e"/>
    <ds:schemaRef ds:uri="http://schemas.microsoft.com/sharepoint/v4"/>
  </ds:schemaRefs>
</ds:datastoreItem>
</file>

<file path=customXml/itemProps3.xml><?xml version="1.0" encoding="utf-8"?>
<ds:datastoreItem xmlns:ds="http://schemas.openxmlformats.org/officeDocument/2006/customXml" ds:itemID="{7BAF245B-E09B-4C5C-AA9E-EEE31E716035}">
  <ds:schemaRefs>
    <ds:schemaRef ds:uri="http://schemas.microsoft.com/sharepoint/v3/contenttype/forms"/>
  </ds:schemaRefs>
</ds:datastoreItem>
</file>

<file path=customXml/itemProps4.xml><?xml version="1.0" encoding="utf-8"?>
<ds:datastoreItem xmlns:ds="http://schemas.openxmlformats.org/officeDocument/2006/customXml" ds:itemID="{1D76C5BF-CFC1-4977-9C19-182C89EE2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CF1ABC-2C96-4543-853E-3AAE65B6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Statement.dotm</Template>
  <TotalTime>1</TotalTime>
  <Pages>8</Pages>
  <Words>2977</Words>
  <Characters>15723</Characters>
  <Application>Microsoft Office Word</Application>
  <DocSecurity>0</DocSecurity>
  <Lines>1429</Lines>
  <Paragraphs>779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Hoyle, Bart</dc:creator>
  <cp:lastModifiedBy>Gibson, Vikki</cp:lastModifiedBy>
  <cp:revision>3</cp:revision>
  <cp:lastPrinted>2015-05-21T05:38:00Z</cp:lastPrinted>
  <dcterms:created xsi:type="dcterms:W3CDTF">2015-06-22T07:41:00Z</dcterms:created>
  <dcterms:modified xsi:type="dcterms:W3CDTF">2015-06-22T07:41:00Z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-1900541636</vt:i4>
  </property>
  <property fmtid="{D5CDD505-2E9C-101B-9397-08002B2CF9AE}" pid="3" name="_NewReviewCycle">
    <vt:lpwstr/>
  </property>
  <property fmtid="{D5CDD505-2E9C-101B-9397-08002B2CF9AE}" pid="4" name="_EmailSubject">
    <vt:lpwstr>For ExCo draft clearance: Corporations Amendment (Financial Advice) Regulation 2015 </vt:lpwstr>
  </property>
  <property fmtid="{D5CDD505-2E9C-101B-9397-08002B2CF9AE}" pid="5" name="_AuthorEmail">
    <vt:lpwstr>Lisa.Cantlon@TREASURY.GOV.AU</vt:lpwstr>
  </property>
  <property fmtid="{D5CDD505-2E9C-101B-9397-08002B2CF9AE}" pid="6" name="_AuthorEmailDisplayName">
    <vt:lpwstr>Cantlon, Lisa</vt:lpwstr>
  </property>
  <property fmtid="{D5CDD505-2E9C-101B-9397-08002B2CF9AE}" pid="7" name="ContentTypeId">
    <vt:lpwstr>0x01010036BB8DE7EC542E42A8B2E98CC20CB69700A0A840AFAB52624689FA9AA81E9EF0D1</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7b1636d5-c45b-4768-820a-d1226fd49199</vt:lpwstr>
  </property>
  <property fmtid="{D5CDD505-2E9C-101B-9397-08002B2CF9AE}" pid="10" name="_PreviousAdHocReviewCycleID">
    <vt:i4>-437559809</vt:i4>
  </property>
  <property fmtid="{D5CDD505-2E9C-101B-9397-08002B2CF9AE}" pid="11" name="_ReviewingToolsShownOnce">
    <vt:lpwstr/>
  </property>
</Properties>
</file>