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E3236" w14:textId="77777777" w:rsidR="00864DF7" w:rsidRPr="00C67D05" w:rsidRDefault="00864DF7" w:rsidP="00864DF7">
      <w:pPr>
        <w:pStyle w:val="Title"/>
        <w:rPr>
          <w:sz w:val="28"/>
          <w:szCs w:val="28"/>
          <w:u w:val="single"/>
        </w:rPr>
      </w:pPr>
      <w:bookmarkStart w:id="0" w:name="_GoBack"/>
      <w:bookmarkEnd w:id="0"/>
      <w:r w:rsidRPr="00C67D05">
        <w:rPr>
          <w:sz w:val="28"/>
          <w:szCs w:val="28"/>
          <w:u w:val="single"/>
        </w:rPr>
        <w:t>EXPLANATORY STATEMENT</w:t>
      </w:r>
    </w:p>
    <w:p w14:paraId="6AB91875" w14:textId="77777777" w:rsidR="00864DF7" w:rsidRPr="00CA75AB" w:rsidRDefault="00864DF7" w:rsidP="00864DF7">
      <w:pPr>
        <w:tabs>
          <w:tab w:val="left" w:pos="720"/>
        </w:tabs>
        <w:jc w:val="center"/>
        <w:rPr>
          <w:b/>
        </w:rPr>
      </w:pPr>
    </w:p>
    <w:p w14:paraId="59EC2E59" w14:textId="77777777" w:rsidR="00864DF7" w:rsidRPr="00CA75AB" w:rsidRDefault="00864DF7" w:rsidP="00864DF7">
      <w:pPr>
        <w:tabs>
          <w:tab w:val="left" w:pos="720"/>
        </w:tabs>
        <w:jc w:val="center"/>
        <w:rPr>
          <w:b/>
        </w:rPr>
      </w:pPr>
      <w:r w:rsidRPr="00CA75AB">
        <w:rPr>
          <w:b/>
        </w:rPr>
        <w:t>Issued by the authority of the Assistant Minister for Social Services</w:t>
      </w:r>
    </w:p>
    <w:p w14:paraId="54BAF11C" w14:textId="77777777" w:rsidR="00864DF7" w:rsidRPr="00CA75AB" w:rsidRDefault="00864DF7" w:rsidP="00864DF7">
      <w:pPr>
        <w:tabs>
          <w:tab w:val="left" w:pos="720"/>
        </w:tabs>
        <w:jc w:val="center"/>
        <w:rPr>
          <w:b/>
          <w:u w:val="single"/>
        </w:rPr>
      </w:pPr>
    </w:p>
    <w:p w14:paraId="22C0A4C7" w14:textId="77777777" w:rsidR="00864DF7" w:rsidRPr="00CA75AB" w:rsidRDefault="00864DF7" w:rsidP="00864DF7">
      <w:pPr>
        <w:tabs>
          <w:tab w:val="left" w:pos="720"/>
        </w:tabs>
        <w:jc w:val="center"/>
        <w:rPr>
          <w:b/>
          <w:i/>
        </w:rPr>
      </w:pPr>
      <w:r>
        <w:rPr>
          <w:b/>
          <w:i/>
        </w:rPr>
        <w:t>Aged Care Act 1997</w:t>
      </w:r>
    </w:p>
    <w:p w14:paraId="537E2575" w14:textId="77777777" w:rsidR="00864DF7" w:rsidRPr="00CA75AB" w:rsidRDefault="00864DF7" w:rsidP="00864DF7">
      <w:pPr>
        <w:tabs>
          <w:tab w:val="left" w:pos="720"/>
        </w:tabs>
        <w:jc w:val="center"/>
        <w:rPr>
          <w:b/>
          <w:i/>
        </w:rPr>
      </w:pPr>
    </w:p>
    <w:p w14:paraId="296FD811" w14:textId="77777777" w:rsidR="00864DF7" w:rsidRPr="00CA75AB" w:rsidRDefault="00864DF7" w:rsidP="00864DF7">
      <w:pPr>
        <w:tabs>
          <w:tab w:val="left" w:pos="720"/>
        </w:tabs>
        <w:jc w:val="center"/>
        <w:rPr>
          <w:b/>
          <w:i/>
        </w:rPr>
      </w:pPr>
      <w:r>
        <w:rPr>
          <w:b/>
          <w:i/>
        </w:rPr>
        <w:t>Aged Care Legislation Amendment (Removal of Certification and Other Measures) Principles 2015</w:t>
      </w:r>
    </w:p>
    <w:p w14:paraId="42C0C07E" w14:textId="77777777" w:rsidR="00864DF7" w:rsidRPr="00CA75AB" w:rsidRDefault="00864DF7" w:rsidP="00864DF7">
      <w:pPr>
        <w:tabs>
          <w:tab w:val="left" w:pos="720"/>
        </w:tabs>
        <w:jc w:val="center"/>
        <w:rPr>
          <w:b/>
        </w:rPr>
      </w:pPr>
    </w:p>
    <w:p w14:paraId="77A58414" w14:textId="27B148DC" w:rsidR="00864DF7" w:rsidRDefault="00864DF7" w:rsidP="00864DF7">
      <w:pPr>
        <w:widowControl/>
        <w:spacing w:before="100" w:beforeAutospacing="1" w:after="100" w:afterAutospacing="1"/>
        <w:rPr>
          <w:snapToGrid/>
          <w:szCs w:val="24"/>
          <w:lang w:eastAsia="en-AU"/>
        </w:rPr>
      </w:pPr>
      <w:r>
        <w:rPr>
          <w:snapToGrid/>
          <w:szCs w:val="24"/>
          <w:lang w:eastAsia="en-AU"/>
        </w:rPr>
        <w:t xml:space="preserve">The </w:t>
      </w:r>
      <w:r w:rsidRPr="0074799E">
        <w:rPr>
          <w:i/>
          <w:iCs/>
          <w:snapToGrid/>
          <w:szCs w:val="24"/>
          <w:lang w:eastAsia="en-AU"/>
        </w:rPr>
        <w:t>Omnibus Repeal Day (Autumn 2014) Act 2014</w:t>
      </w:r>
      <w:r>
        <w:rPr>
          <w:snapToGrid/>
          <w:szCs w:val="24"/>
          <w:lang w:eastAsia="en-AU"/>
        </w:rPr>
        <w:t xml:space="preserve"> amended the </w:t>
      </w:r>
      <w:r w:rsidRPr="00637CC2">
        <w:rPr>
          <w:i/>
          <w:snapToGrid/>
          <w:szCs w:val="24"/>
          <w:lang w:eastAsia="en-AU"/>
        </w:rPr>
        <w:t>Aged Care Act 1997</w:t>
      </w:r>
      <w:r>
        <w:rPr>
          <w:snapToGrid/>
          <w:szCs w:val="24"/>
          <w:lang w:eastAsia="en-AU"/>
        </w:rPr>
        <w:t xml:space="preserve"> (the Act) and the </w:t>
      </w:r>
      <w:r w:rsidRPr="0074799E">
        <w:rPr>
          <w:i/>
          <w:iCs/>
          <w:snapToGrid/>
          <w:szCs w:val="24"/>
          <w:lang w:eastAsia="en-AU"/>
        </w:rPr>
        <w:t>Aged Care (Transitional Provisions) Act 1997</w:t>
      </w:r>
      <w:r>
        <w:rPr>
          <w:snapToGrid/>
          <w:szCs w:val="24"/>
          <w:lang w:eastAsia="en-AU"/>
        </w:rPr>
        <w:t xml:space="preserve"> (TP Act) to repeal the requirement for residential care services to be certified. The repeal of the certification provisions occurred as part of the Government’s red</w:t>
      </w:r>
      <w:r w:rsidR="002D6174">
        <w:rPr>
          <w:snapToGrid/>
          <w:szCs w:val="24"/>
          <w:lang w:eastAsia="en-AU"/>
        </w:rPr>
        <w:t xml:space="preserve"> </w:t>
      </w:r>
      <w:r>
        <w:rPr>
          <w:snapToGrid/>
          <w:szCs w:val="24"/>
          <w:lang w:eastAsia="en-AU"/>
        </w:rPr>
        <w:t xml:space="preserve">tape reduction </w:t>
      </w:r>
      <w:r w:rsidR="002D6174">
        <w:rPr>
          <w:snapToGrid/>
          <w:szCs w:val="24"/>
          <w:lang w:eastAsia="en-AU"/>
        </w:rPr>
        <w:t>agenda.</w:t>
      </w:r>
    </w:p>
    <w:p w14:paraId="23C8D918" w14:textId="77777777" w:rsidR="00864DF7" w:rsidRDefault="00864DF7" w:rsidP="00864DF7">
      <w:pPr>
        <w:widowControl/>
        <w:spacing w:before="100" w:beforeAutospacing="1" w:after="100" w:afterAutospacing="1"/>
        <w:rPr>
          <w:snapToGrid/>
          <w:szCs w:val="24"/>
          <w:lang w:eastAsia="en-AU"/>
        </w:rPr>
      </w:pPr>
      <w:r w:rsidRPr="008855C3">
        <w:rPr>
          <w:snapToGrid/>
          <w:szCs w:val="24"/>
          <w:lang w:eastAsia="en-AU"/>
        </w:rPr>
        <w:t xml:space="preserve">Certification requirements under the Act </w:t>
      </w:r>
      <w:r>
        <w:rPr>
          <w:snapToGrid/>
          <w:szCs w:val="24"/>
          <w:lang w:eastAsia="en-AU"/>
        </w:rPr>
        <w:t>were</w:t>
      </w:r>
      <w:r w:rsidRPr="008855C3">
        <w:rPr>
          <w:snapToGrid/>
          <w:szCs w:val="24"/>
          <w:lang w:eastAsia="en-AU"/>
        </w:rPr>
        <w:t xml:space="preserve"> duplicative, in that a number of these requirements replicate</w:t>
      </w:r>
      <w:r>
        <w:rPr>
          <w:snapToGrid/>
          <w:szCs w:val="24"/>
          <w:lang w:eastAsia="en-AU"/>
        </w:rPr>
        <w:t>d</w:t>
      </w:r>
      <w:r w:rsidRPr="008855C3">
        <w:rPr>
          <w:snapToGrid/>
          <w:szCs w:val="24"/>
          <w:lang w:eastAsia="en-AU"/>
        </w:rPr>
        <w:t xml:space="preserve"> building regulations administered by state, territory and local governments. Aspects of certification under the Act also replicate</w:t>
      </w:r>
      <w:r>
        <w:rPr>
          <w:snapToGrid/>
          <w:szCs w:val="24"/>
          <w:lang w:eastAsia="en-AU"/>
        </w:rPr>
        <w:t>d</w:t>
      </w:r>
      <w:r w:rsidRPr="008855C3">
        <w:rPr>
          <w:snapToGrid/>
          <w:szCs w:val="24"/>
          <w:lang w:eastAsia="en-AU"/>
        </w:rPr>
        <w:t xml:space="preserve"> certain requirements under the Accreditation Standards administered by the Australian Aged Care Quality Agency.</w:t>
      </w:r>
    </w:p>
    <w:p w14:paraId="6B3D41DC" w14:textId="08D4DCFC" w:rsidR="00864DF7" w:rsidRDefault="00864DF7" w:rsidP="00864DF7">
      <w:pPr>
        <w:widowControl/>
        <w:spacing w:before="100" w:beforeAutospacing="1" w:after="100" w:afterAutospacing="1"/>
        <w:rPr>
          <w:snapToGrid/>
          <w:szCs w:val="24"/>
          <w:lang w:eastAsia="en-AU"/>
        </w:rPr>
      </w:pPr>
      <w:r>
        <w:rPr>
          <w:snapToGrid/>
          <w:szCs w:val="24"/>
          <w:lang w:eastAsia="en-AU"/>
        </w:rPr>
        <w:t xml:space="preserve">The </w:t>
      </w:r>
      <w:r w:rsidRPr="00250D16">
        <w:rPr>
          <w:i/>
          <w:snapToGrid/>
          <w:szCs w:val="24"/>
          <w:lang w:eastAsia="en-AU"/>
        </w:rPr>
        <w:t>Aged Care Legislation Amendment (Removal of Certification and Other Measures) Principles 2015</w:t>
      </w:r>
      <w:r>
        <w:rPr>
          <w:i/>
          <w:snapToGrid/>
          <w:szCs w:val="24"/>
          <w:lang w:eastAsia="en-AU"/>
        </w:rPr>
        <w:t xml:space="preserve"> </w:t>
      </w:r>
      <w:r>
        <w:rPr>
          <w:snapToGrid/>
          <w:szCs w:val="24"/>
          <w:lang w:eastAsia="en-AU"/>
        </w:rPr>
        <w:t>(</w:t>
      </w:r>
      <w:r w:rsidR="002D6174">
        <w:rPr>
          <w:snapToGrid/>
          <w:szCs w:val="24"/>
          <w:lang w:eastAsia="en-AU"/>
        </w:rPr>
        <w:t>A</w:t>
      </w:r>
      <w:r>
        <w:rPr>
          <w:snapToGrid/>
          <w:szCs w:val="24"/>
          <w:lang w:eastAsia="en-AU"/>
        </w:rPr>
        <w:t xml:space="preserve">mending </w:t>
      </w:r>
      <w:r w:rsidR="002D6174">
        <w:rPr>
          <w:snapToGrid/>
          <w:szCs w:val="24"/>
          <w:lang w:eastAsia="en-AU"/>
        </w:rPr>
        <w:t>P</w:t>
      </w:r>
      <w:r>
        <w:rPr>
          <w:snapToGrid/>
          <w:szCs w:val="24"/>
          <w:lang w:eastAsia="en-AU"/>
        </w:rPr>
        <w:t xml:space="preserve">rinciples) address consequential changes required as a result of the repeal of certification from the Act and the TP Act and </w:t>
      </w:r>
      <w:r w:rsidR="002D6174">
        <w:rPr>
          <w:snapToGrid/>
          <w:szCs w:val="24"/>
          <w:lang w:eastAsia="en-AU"/>
        </w:rPr>
        <w:t xml:space="preserve">unrelated </w:t>
      </w:r>
      <w:r>
        <w:rPr>
          <w:snapToGrid/>
          <w:szCs w:val="24"/>
          <w:lang w:eastAsia="en-AU"/>
        </w:rPr>
        <w:t xml:space="preserve">unintended drafting errors made in the </w:t>
      </w:r>
      <w:r w:rsidRPr="00637CC2">
        <w:rPr>
          <w:i/>
          <w:snapToGrid/>
          <w:szCs w:val="24"/>
          <w:lang w:eastAsia="en-AU"/>
        </w:rPr>
        <w:t>Subsidy Principles 2014</w:t>
      </w:r>
      <w:r w:rsidR="006E3DFC">
        <w:rPr>
          <w:snapToGrid/>
          <w:szCs w:val="24"/>
          <w:lang w:eastAsia="en-AU"/>
        </w:rPr>
        <w:t>.</w:t>
      </w:r>
    </w:p>
    <w:p w14:paraId="28149474" w14:textId="270672E5" w:rsidR="00864DF7" w:rsidRDefault="00864DF7" w:rsidP="00864DF7">
      <w:pPr>
        <w:widowControl/>
        <w:spacing w:before="100" w:beforeAutospacing="1" w:after="100" w:afterAutospacing="1"/>
        <w:rPr>
          <w:snapToGrid/>
          <w:szCs w:val="24"/>
          <w:lang w:eastAsia="en-AU"/>
        </w:rPr>
      </w:pPr>
      <w:r>
        <w:rPr>
          <w:snapToGrid/>
          <w:szCs w:val="24"/>
          <w:lang w:eastAsia="en-AU"/>
        </w:rPr>
        <w:t xml:space="preserve">The </w:t>
      </w:r>
      <w:r w:rsidR="002D6174">
        <w:rPr>
          <w:snapToGrid/>
          <w:szCs w:val="24"/>
          <w:lang w:eastAsia="en-AU"/>
        </w:rPr>
        <w:t>A</w:t>
      </w:r>
      <w:r>
        <w:rPr>
          <w:snapToGrid/>
          <w:szCs w:val="24"/>
          <w:lang w:eastAsia="en-AU"/>
        </w:rPr>
        <w:t xml:space="preserve">mending </w:t>
      </w:r>
      <w:r w:rsidR="002D6174">
        <w:rPr>
          <w:snapToGrid/>
          <w:szCs w:val="24"/>
          <w:lang w:eastAsia="en-AU"/>
        </w:rPr>
        <w:t>P</w:t>
      </w:r>
      <w:r>
        <w:rPr>
          <w:snapToGrid/>
          <w:szCs w:val="24"/>
          <w:lang w:eastAsia="en-AU"/>
        </w:rPr>
        <w:t xml:space="preserve">rinciples remove references to certification from the </w:t>
      </w:r>
      <w:r w:rsidRPr="00250D16">
        <w:rPr>
          <w:i/>
          <w:snapToGrid/>
          <w:szCs w:val="24"/>
          <w:lang w:eastAsia="en-AU"/>
        </w:rPr>
        <w:t>Accountability Principles 2014</w:t>
      </w:r>
      <w:r w:rsidRPr="00DB66F2">
        <w:rPr>
          <w:snapToGrid/>
          <w:szCs w:val="24"/>
          <w:lang w:eastAsia="en-AU"/>
        </w:rPr>
        <w:t xml:space="preserve">, </w:t>
      </w:r>
      <w:r w:rsidRPr="00250D16">
        <w:rPr>
          <w:i/>
          <w:snapToGrid/>
          <w:szCs w:val="24"/>
          <w:lang w:eastAsia="en-AU"/>
        </w:rPr>
        <w:t>Allocation Principles 2014</w:t>
      </w:r>
      <w:r w:rsidR="006E3DFC">
        <w:rPr>
          <w:snapToGrid/>
          <w:szCs w:val="24"/>
          <w:lang w:eastAsia="en-AU"/>
        </w:rPr>
        <w:t xml:space="preserve"> </w:t>
      </w:r>
      <w:r w:rsidR="006E3DFC" w:rsidRPr="00153735">
        <w:rPr>
          <w:snapToGrid/>
          <w:szCs w:val="24"/>
          <w:lang w:eastAsia="en-AU"/>
        </w:rPr>
        <w:t>and</w:t>
      </w:r>
      <w:r w:rsidR="006E3DFC" w:rsidRPr="00250D16">
        <w:rPr>
          <w:i/>
          <w:snapToGrid/>
          <w:szCs w:val="24"/>
          <w:lang w:eastAsia="en-AU"/>
        </w:rPr>
        <w:t xml:space="preserve"> </w:t>
      </w:r>
      <w:r w:rsidRPr="00250D16">
        <w:rPr>
          <w:i/>
          <w:snapToGrid/>
          <w:szCs w:val="24"/>
          <w:lang w:eastAsia="en-AU"/>
        </w:rPr>
        <w:t>Fees and Payments Principles 2014</w:t>
      </w:r>
      <w:r>
        <w:rPr>
          <w:i/>
          <w:snapToGrid/>
          <w:szCs w:val="24"/>
          <w:lang w:eastAsia="en-AU"/>
        </w:rPr>
        <w:t xml:space="preserve"> (No.2)</w:t>
      </w:r>
      <w:r w:rsidR="006E3DFC" w:rsidRPr="000B3C7F">
        <w:rPr>
          <w:snapToGrid/>
          <w:szCs w:val="24"/>
          <w:lang w:eastAsia="en-AU"/>
        </w:rPr>
        <w:t>.</w:t>
      </w:r>
    </w:p>
    <w:p w14:paraId="388FDF76" w14:textId="7AE296BB" w:rsidR="00864DF7" w:rsidRPr="006C3B01" w:rsidRDefault="00527C50" w:rsidP="00864DF7">
      <w:pPr>
        <w:widowControl/>
        <w:spacing w:before="100" w:beforeAutospacing="1" w:after="100" w:afterAutospacing="1"/>
        <w:rPr>
          <w:snapToGrid/>
          <w:szCs w:val="24"/>
          <w:lang w:eastAsia="en-AU"/>
        </w:rPr>
      </w:pPr>
      <w:r>
        <w:rPr>
          <w:snapToGrid/>
          <w:szCs w:val="24"/>
          <w:lang w:eastAsia="en-AU"/>
        </w:rPr>
        <w:t>Furthermore, e</w:t>
      </w:r>
      <w:r w:rsidR="00864DF7">
        <w:rPr>
          <w:snapToGrid/>
          <w:szCs w:val="24"/>
          <w:lang w:eastAsia="en-AU"/>
        </w:rPr>
        <w:t>ligibility for the dementia and cognition supplement is determined using assessment tools conducted by a prescribed list of clinicians. Clinical psychologists were inadvertently omitted from the list of prescribed clinicians who are permitted to conduct the assessments for c</w:t>
      </w:r>
      <w:r w:rsidR="0080399D">
        <w:rPr>
          <w:snapToGrid/>
          <w:szCs w:val="24"/>
          <w:lang w:eastAsia="en-AU"/>
        </w:rPr>
        <w:t>a</w:t>
      </w:r>
      <w:r w:rsidR="00864DF7">
        <w:rPr>
          <w:snapToGrid/>
          <w:szCs w:val="24"/>
          <w:lang w:eastAsia="en-AU"/>
        </w:rPr>
        <w:t xml:space="preserve">re recipients in receipt of </w:t>
      </w:r>
      <w:r w:rsidR="0080399D">
        <w:rPr>
          <w:snapToGrid/>
          <w:szCs w:val="24"/>
          <w:lang w:eastAsia="en-AU"/>
        </w:rPr>
        <w:t>home care</w:t>
      </w:r>
      <w:r w:rsidR="00864DF7">
        <w:rPr>
          <w:snapToGrid/>
          <w:szCs w:val="24"/>
          <w:lang w:eastAsia="en-AU"/>
        </w:rPr>
        <w:t xml:space="preserve">. The </w:t>
      </w:r>
      <w:r w:rsidR="0080399D">
        <w:rPr>
          <w:snapToGrid/>
          <w:szCs w:val="24"/>
          <w:lang w:eastAsia="en-AU"/>
        </w:rPr>
        <w:t>A</w:t>
      </w:r>
      <w:r w:rsidR="00864DF7">
        <w:rPr>
          <w:snapToGrid/>
          <w:szCs w:val="24"/>
          <w:lang w:eastAsia="en-AU"/>
        </w:rPr>
        <w:t xml:space="preserve">mending </w:t>
      </w:r>
      <w:r w:rsidR="0080399D">
        <w:rPr>
          <w:snapToGrid/>
          <w:szCs w:val="24"/>
          <w:lang w:eastAsia="en-AU"/>
        </w:rPr>
        <w:t>P</w:t>
      </w:r>
      <w:r w:rsidR="00864DF7">
        <w:rPr>
          <w:snapToGrid/>
          <w:szCs w:val="24"/>
          <w:lang w:eastAsia="en-AU"/>
        </w:rPr>
        <w:t>rinciples add clinical psychologists to the list of practitioners that may conduct assessments in accordance with the Psychogeriatric Assessment Scales and the Rowland Universal Dementia Assessment Scales.  This amendment will provide service providers with greater choice in the range of health professionals able to assess a care recipient.</w:t>
      </w:r>
    </w:p>
    <w:p w14:paraId="027C89FD" w14:textId="3D131504" w:rsidR="00864DF7" w:rsidRPr="00CA75AB" w:rsidRDefault="00864DF7" w:rsidP="00864DF7">
      <w:pPr>
        <w:tabs>
          <w:tab w:val="left" w:pos="720"/>
        </w:tabs>
        <w:rPr>
          <w:i/>
          <w:color w:val="000000"/>
        </w:rPr>
      </w:pPr>
      <w:r>
        <w:rPr>
          <w:color w:val="000000"/>
        </w:rPr>
        <w:t xml:space="preserve">The </w:t>
      </w:r>
      <w:r w:rsidR="009C41EB">
        <w:rPr>
          <w:color w:val="000000"/>
        </w:rPr>
        <w:t>A</w:t>
      </w:r>
      <w:r>
        <w:rPr>
          <w:color w:val="000000"/>
        </w:rPr>
        <w:t xml:space="preserve">mending </w:t>
      </w:r>
      <w:r w:rsidR="009C41EB">
        <w:rPr>
          <w:color w:val="000000"/>
        </w:rPr>
        <w:t>P</w:t>
      </w:r>
      <w:r>
        <w:rPr>
          <w:color w:val="000000"/>
        </w:rPr>
        <w:t>rinciples</w:t>
      </w:r>
      <w:r w:rsidRPr="00CA75AB">
        <w:rPr>
          <w:color w:val="000000"/>
        </w:rPr>
        <w:t xml:space="preserve"> are a legislative instrument for the purposes of the </w:t>
      </w:r>
      <w:r w:rsidRPr="00CA75AB">
        <w:rPr>
          <w:i/>
          <w:color w:val="000000"/>
        </w:rPr>
        <w:t>Legislative Instruments Act 2003.</w:t>
      </w:r>
    </w:p>
    <w:p w14:paraId="7EC65366" w14:textId="77777777" w:rsidR="00864DF7" w:rsidRPr="003403BA" w:rsidRDefault="00864DF7" w:rsidP="00864DF7">
      <w:pPr>
        <w:tabs>
          <w:tab w:val="left" w:pos="720"/>
        </w:tabs>
        <w:rPr>
          <w:szCs w:val="24"/>
        </w:rPr>
      </w:pPr>
    </w:p>
    <w:p w14:paraId="197A5B82" w14:textId="77777777" w:rsidR="00864DF7" w:rsidRPr="003403BA" w:rsidRDefault="00864DF7" w:rsidP="00864DF7">
      <w:pPr>
        <w:rPr>
          <w:b/>
        </w:rPr>
      </w:pPr>
      <w:r w:rsidRPr="003403BA">
        <w:rPr>
          <w:b/>
        </w:rPr>
        <w:t>Commencement</w:t>
      </w:r>
    </w:p>
    <w:p w14:paraId="06154067" w14:textId="0D2260C1" w:rsidR="00864DF7" w:rsidRDefault="00E83820" w:rsidP="00864DF7">
      <w:r>
        <w:t>The</w:t>
      </w:r>
      <w:r w:rsidR="009C41EB">
        <w:t>se</w:t>
      </w:r>
      <w:r>
        <w:t xml:space="preserve"> </w:t>
      </w:r>
      <w:r w:rsidR="009C41EB">
        <w:t>A</w:t>
      </w:r>
      <w:r w:rsidR="00864DF7">
        <w:t xml:space="preserve">mending </w:t>
      </w:r>
      <w:r w:rsidR="009C41EB">
        <w:t>P</w:t>
      </w:r>
      <w:r w:rsidR="00864DF7">
        <w:t xml:space="preserve">rinciples commence </w:t>
      </w:r>
      <w:r w:rsidR="009C41EB">
        <w:t>the day after they are registered on the Federal Register of Legislative Instruments.</w:t>
      </w:r>
    </w:p>
    <w:p w14:paraId="78546F67" w14:textId="77777777" w:rsidR="00864DF7" w:rsidRPr="00763E11" w:rsidRDefault="00864DF7" w:rsidP="00864DF7"/>
    <w:p w14:paraId="4EE3577D" w14:textId="77777777" w:rsidR="00864DF7" w:rsidRPr="003403BA" w:rsidRDefault="00864DF7" w:rsidP="00864DF7">
      <w:pPr>
        <w:tabs>
          <w:tab w:val="left" w:pos="720"/>
        </w:tabs>
        <w:rPr>
          <w:b/>
          <w:szCs w:val="24"/>
        </w:rPr>
      </w:pPr>
      <w:r>
        <w:rPr>
          <w:b/>
          <w:szCs w:val="24"/>
        </w:rPr>
        <w:t xml:space="preserve">Reliance on subsection 33(3) of the </w:t>
      </w:r>
      <w:r>
        <w:rPr>
          <w:b/>
          <w:i/>
          <w:szCs w:val="24"/>
        </w:rPr>
        <w:t>Acts Interpretation Act 1901</w:t>
      </w:r>
    </w:p>
    <w:p w14:paraId="02A043CF" w14:textId="77777777" w:rsidR="00864DF7" w:rsidRDefault="00864DF7" w:rsidP="00864DF7">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5956172B" w14:textId="77777777" w:rsidR="00864DF7" w:rsidRPr="003403BA" w:rsidRDefault="00864DF7" w:rsidP="00864DF7">
      <w:pPr>
        <w:tabs>
          <w:tab w:val="left" w:pos="720"/>
        </w:tabs>
        <w:rPr>
          <w:szCs w:val="24"/>
        </w:rPr>
      </w:pPr>
    </w:p>
    <w:p w14:paraId="56C3A497" w14:textId="77777777" w:rsidR="00864DF7" w:rsidRPr="003403BA" w:rsidRDefault="00864DF7" w:rsidP="00864DF7">
      <w:pPr>
        <w:tabs>
          <w:tab w:val="left" w:pos="720"/>
        </w:tabs>
        <w:rPr>
          <w:b/>
        </w:rPr>
      </w:pPr>
      <w:r w:rsidRPr="003403BA">
        <w:rPr>
          <w:b/>
        </w:rPr>
        <w:t>Consultation</w:t>
      </w:r>
    </w:p>
    <w:p w14:paraId="2A8E08C7" w14:textId="6A57246E" w:rsidR="00864DF7" w:rsidRDefault="00864DF7" w:rsidP="00864DF7">
      <w:pPr>
        <w:tabs>
          <w:tab w:val="left" w:pos="720"/>
        </w:tabs>
        <w:rPr>
          <w:snapToGrid/>
          <w:szCs w:val="24"/>
          <w:lang w:eastAsia="en-AU"/>
        </w:rPr>
      </w:pPr>
      <w:r>
        <w:t xml:space="preserve">The amendments in Part 1 are consequential and technical amendments </w:t>
      </w:r>
      <w:r w:rsidR="00C2077E">
        <w:t xml:space="preserve">that </w:t>
      </w:r>
      <w:r w:rsidR="00834F84">
        <w:t>flow from</w:t>
      </w:r>
      <w:r>
        <w:t xml:space="preserve"> the </w:t>
      </w:r>
      <w:r w:rsidRPr="0074799E">
        <w:rPr>
          <w:i/>
          <w:iCs/>
          <w:snapToGrid/>
          <w:szCs w:val="24"/>
          <w:lang w:eastAsia="en-AU"/>
        </w:rPr>
        <w:t>Omnibus Repeal Day (Autumn 2014) Act 2014</w:t>
      </w:r>
      <w:r w:rsidRPr="00834F84">
        <w:rPr>
          <w:snapToGrid/>
          <w:szCs w:val="24"/>
          <w:lang w:eastAsia="en-AU"/>
        </w:rPr>
        <w:t>.</w:t>
      </w:r>
      <w:r>
        <w:rPr>
          <w:snapToGrid/>
          <w:szCs w:val="24"/>
          <w:lang w:eastAsia="en-AU"/>
        </w:rPr>
        <w:t xml:space="preserve"> As such no specific consultations were </w:t>
      </w:r>
      <w:r w:rsidR="00834F84">
        <w:rPr>
          <w:snapToGrid/>
          <w:szCs w:val="24"/>
          <w:lang w:eastAsia="en-AU"/>
        </w:rPr>
        <w:t xml:space="preserve">undertaken </w:t>
      </w:r>
      <w:r>
        <w:rPr>
          <w:snapToGrid/>
          <w:szCs w:val="24"/>
          <w:lang w:eastAsia="en-AU"/>
        </w:rPr>
        <w:t>in regard to the changes</w:t>
      </w:r>
      <w:r w:rsidR="00834F84">
        <w:rPr>
          <w:snapToGrid/>
          <w:szCs w:val="24"/>
          <w:lang w:eastAsia="en-AU"/>
        </w:rPr>
        <w:t xml:space="preserve"> in this instrument.</w:t>
      </w:r>
    </w:p>
    <w:p w14:paraId="25F37E8E" w14:textId="77777777" w:rsidR="00864DF7" w:rsidRDefault="00864DF7" w:rsidP="00864DF7">
      <w:pPr>
        <w:tabs>
          <w:tab w:val="left" w:pos="720"/>
        </w:tabs>
        <w:rPr>
          <w:snapToGrid/>
          <w:szCs w:val="24"/>
          <w:lang w:eastAsia="en-AU"/>
        </w:rPr>
      </w:pPr>
    </w:p>
    <w:p w14:paraId="094AD346" w14:textId="2C1D714B" w:rsidR="00864DF7" w:rsidRDefault="00864DF7" w:rsidP="00864DF7">
      <w:pPr>
        <w:tabs>
          <w:tab w:val="left" w:pos="720"/>
        </w:tabs>
      </w:pPr>
      <w:r>
        <w:t xml:space="preserve">The amendments in Part 2 </w:t>
      </w:r>
      <w:r w:rsidR="006405E6">
        <w:t>make technical corrections</w:t>
      </w:r>
      <w:r>
        <w:t xml:space="preserve"> to clarify the </w:t>
      </w:r>
      <w:r w:rsidR="00344EA5">
        <w:t>legislation</w:t>
      </w:r>
      <w:r>
        <w:t xml:space="preserve">. As Part 2 is of a machinery nature and does not substantially alter existing arrangements no consultation has occurred (section 18, </w:t>
      </w:r>
      <w:r w:rsidRPr="00422D3D">
        <w:rPr>
          <w:i/>
        </w:rPr>
        <w:t>Legislative Instruments Act 2003</w:t>
      </w:r>
      <w:r>
        <w:t>).</w:t>
      </w:r>
    </w:p>
    <w:p w14:paraId="3A0EE1B1" w14:textId="77777777" w:rsidR="004F0152" w:rsidRDefault="004F0152" w:rsidP="00864DF7">
      <w:pPr>
        <w:tabs>
          <w:tab w:val="left" w:pos="720"/>
        </w:tabs>
      </w:pPr>
    </w:p>
    <w:p w14:paraId="0AFE3A52" w14:textId="03A25BD3" w:rsidR="001213CD" w:rsidRDefault="004F0152" w:rsidP="001213CD">
      <w:pPr>
        <w:tabs>
          <w:tab w:val="left" w:pos="720"/>
        </w:tabs>
      </w:pPr>
      <w:r>
        <w:t>The amendments in Part 3</w:t>
      </w:r>
      <w:r w:rsidR="001213CD">
        <w:t xml:space="preserve"> are also machinery </w:t>
      </w:r>
      <w:r w:rsidR="004B2260">
        <w:t xml:space="preserve">in </w:t>
      </w:r>
      <w:r w:rsidR="001213CD">
        <w:t xml:space="preserve">nature and do not substantially alter existing arrangements no consultation has occurred (section 18, </w:t>
      </w:r>
      <w:r w:rsidR="001213CD" w:rsidRPr="00422D3D">
        <w:rPr>
          <w:i/>
        </w:rPr>
        <w:t>Legislative Instruments Act 2003</w:t>
      </w:r>
      <w:r w:rsidR="001213CD">
        <w:t>).</w:t>
      </w:r>
    </w:p>
    <w:p w14:paraId="67F50BE7" w14:textId="4C904495" w:rsidR="004F0152" w:rsidRPr="006975A1" w:rsidRDefault="004F0152" w:rsidP="00864DF7">
      <w:pPr>
        <w:tabs>
          <w:tab w:val="left" w:pos="720"/>
        </w:tabs>
      </w:pPr>
    </w:p>
    <w:p w14:paraId="59D575DE" w14:textId="77777777" w:rsidR="00864DF7" w:rsidRPr="003403BA" w:rsidRDefault="00864DF7" w:rsidP="00864DF7">
      <w:pPr>
        <w:tabs>
          <w:tab w:val="left" w:pos="720"/>
        </w:tabs>
        <w:rPr>
          <w:b/>
        </w:rPr>
      </w:pPr>
      <w:r w:rsidRPr="003403BA">
        <w:rPr>
          <w:b/>
        </w:rPr>
        <w:t>Regulation Impact Statement</w:t>
      </w:r>
    </w:p>
    <w:p w14:paraId="2536ECEE" w14:textId="00902237" w:rsidR="0011780A" w:rsidRDefault="0011780A" w:rsidP="0011780A">
      <w:r>
        <w:t xml:space="preserve">The Office of Best Practice Regulation has advised that no Regulation Impact Statement is required in respect of the repeal of certification requirements (OBPR ID: 16379) or the </w:t>
      </w:r>
      <w:r w:rsidR="006405E6">
        <w:t>technical corrections to</w:t>
      </w:r>
      <w:r>
        <w:t xml:space="preserve"> the amount of accommodation supplement payable (OBPR ID: 17541) or to include the term clinical psychologist (OBPR ID: 17939).</w:t>
      </w:r>
    </w:p>
    <w:p w14:paraId="3EB5CB6D" w14:textId="77777777" w:rsidR="00864DF7" w:rsidRPr="00CA75AB" w:rsidRDefault="00864DF7" w:rsidP="00864DF7">
      <w:pPr>
        <w:tabs>
          <w:tab w:val="left" w:pos="720"/>
        </w:tabs>
        <w:rPr>
          <w:color w:val="000000"/>
        </w:rPr>
      </w:pPr>
    </w:p>
    <w:p w14:paraId="5F49F315" w14:textId="77777777" w:rsidR="00864DF7" w:rsidRPr="00CA75AB" w:rsidRDefault="00864DF7" w:rsidP="00864DF7">
      <w:pPr>
        <w:tabs>
          <w:tab w:val="left" w:pos="720"/>
        </w:tabs>
        <w:rPr>
          <w:i/>
          <w:color w:val="000000"/>
        </w:rPr>
      </w:pPr>
    </w:p>
    <w:p w14:paraId="32FF4858" w14:textId="77777777" w:rsidR="00864DF7" w:rsidRPr="00CA75AB" w:rsidRDefault="00864DF7" w:rsidP="00864DF7">
      <w:pPr>
        <w:widowControl/>
        <w:spacing w:after="200" w:line="276" w:lineRule="auto"/>
      </w:pPr>
      <w:r w:rsidRPr="00CA75AB">
        <w:br w:type="page"/>
      </w:r>
    </w:p>
    <w:p w14:paraId="68CC26E4" w14:textId="77777777" w:rsidR="00864DF7" w:rsidRPr="004B48DD" w:rsidRDefault="00864DF7" w:rsidP="00864DF7">
      <w:pPr>
        <w:rPr>
          <w:b/>
          <w:i/>
          <w:u w:val="single"/>
        </w:rPr>
      </w:pPr>
      <w:r w:rsidRPr="00153735">
        <w:rPr>
          <w:b/>
          <w:u w:val="single"/>
        </w:rPr>
        <w:lastRenderedPageBreak/>
        <w:t>Details of the</w:t>
      </w:r>
      <w:r w:rsidRPr="00CA75AB">
        <w:rPr>
          <w:b/>
          <w:i/>
          <w:u w:val="single"/>
        </w:rPr>
        <w:t xml:space="preserve"> </w:t>
      </w:r>
      <w:r w:rsidRPr="004B48DD">
        <w:rPr>
          <w:b/>
          <w:i/>
          <w:u w:val="single"/>
        </w:rPr>
        <w:t>Aged Care Legislation Amendment (Removal of Certification and Other Measures) Principles 2015</w:t>
      </w:r>
    </w:p>
    <w:p w14:paraId="7AFCDAC2" w14:textId="77777777" w:rsidR="00864DF7" w:rsidRPr="004B48DD" w:rsidRDefault="00864DF7" w:rsidP="00864DF7">
      <w:pPr>
        <w:rPr>
          <w:b/>
          <w:i/>
          <w:u w:val="single"/>
        </w:rPr>
      </w:pPr>
    </w:p>
    <w:p w14:paraId="51612DD3" w14:textId="77777777" w:rsidR="00864DF7" w:rsidRPr="00CA75AB" w:rsidRDefault="00864DF7" w:rsidP="00864DF7">
      <w:pPr>
        <w:jc w:val="right"/>
      </w:pPr>
    </w:p>
    <w:p w14:paraId="1827E054" w14:textId="277B6115" w:rsidR="00864DF7" w:rsidRPr="004B48DD" w:rsidRDefault="00864DF7" w:rsidP="00864DF7">
      <w:pPr>
        <w:rPr>
          <w:b/>
          <w:iCs/>
        </w:rPr>
      </w:pPr>
      <w:r w:rsidRPr="00CA75AB">
        <w:rPr>
          <w:b/>
        </w:rPr>
        <w:t>Clause 1</w:t>
      </w:r>
      <w:r w:rsidRPr="00CA75AB">
        <w:t xml:space="preserve"> states that the name of the </w:t>
      </w:r>
      <w:r w:rsidR="00F95F81">
        <w:t>instrument</w:t>
      </w:r>
      <w:r w:rsidR="00F95F81" w:rsidRPr="00CA75AB">
        <w:t xml:space="preserve"> </w:t>
      </w:r>
      <w:r w:rsidRPr="00CA75AB">
        <w:t xml:space="preserve">is the </w:t>
      </w:r>
      <w:r w:rsidRPr="004B48DD">
        <w:rPr>
          <w:bCs/>
          <w:i/>
        </w:rPr>
        <w:t>Aged Care Legislation Amendment (Removal of Certification and Other Measures) Principles 2015</w:t>
      </w:r>
      <w:r w:rsidRPr="004B48DD">
        <w:rPr>
          <w:bCs/>
          <w:iCs/>
        </w:rPr>
        <w:t>.</w:t>
      </w:r>
    </w:p>
    <w:p w14:paraId="4CD5C6D7" w14:textId="77777777" w:rsidR="00864DF7" w:rsidRPr="00CA75AB" w:rsidRDefault="00864DF7" w:rsidP="00864DF7">
      <w:pPr>
        <w:rPr>
          <w:b/>
        </w:rPr>
      </w:pPr>
    </w:p>
    <w:p w14:paraId="4039F528" w14:textId="43482F5B" w:rsidR="00864DF7" w:rsidRPr="00CA75AB" w:rsidRDefault="00864DF7" w:rsidP="00864DF7">
      <w:r w:rsidRPr="00CA75AB">
        <w:rPr>
          <w:b/>
        </w:rPr>
        <w:t xml:space="preserve">Clause 2 </w:t>
      </w:r>
      <w:r w:rsidRPr="00CA75AB">
        <w:t>sets out the commencement date</w:t>
      </w:r>
      <w:r>
        <w:t xml:space="preserve"> of</w:t>
      </w:r>
      <w:r w:rsidRPr="00CA75AB">
        <w:t xml:space="preserve"> the </w:t>
      </w:r>
      <w:r w:rsidR="00F95F81">
        <w:t>A</w:t>
      </w:r>
      <w:r>
        <w:t>mending Principles.</w:t>
      </w:r>
    </w:p>
    <w:p w14:paraId="0A7ECB36" w14:textId="77777777" w:rsidR="00864DF7" w:rsidRPr="00CA75AB" w:rsidRDefault="00864DF7" w:rsidP="00864DF7">
      <w:pPr>
        <w:rPr>
          <w:b/>
        </w:rPr>
      </w:pPr>
    </w:p>
    <w:p w14:paraId="3D469BA0" w14:textId="434D8FE6" w:rsidR="00864DF7" w:rsidRPr="00CA75AB" w:rsidRDefault="00864DF7" w:rsidP="00864DF7">
      <w:r w:rsidRPr="00CA75AB">
        <w:rPr>
          <w:b/>
        </w:rPr>
        <w:t xml:space="preserve">Clause 3 </w:t>
      </w:r>
      <w:r w:rsidRPr="00CA75AB">
        <w:t>provides that the authority for the making of the</w:t>
      </w:r>
      <w:r w:rsidRPr="00CA75AB">
        <w:rPr>
          <w:b/>
        </w:rPr>
        <w:t xml:space="preserve"> </w:t>
      </w:r>
      <w:r w:rsidR="00F95F81">
        <w:t>instrument</w:t>
      </w:r>
      <w:r w:rsidR="00F95F81" w:rsidRPr="00CA75AB">
        <w:t xml:space="preserve"> </w:t>
      </w:r>
      <w:r w:rsidRPr="00CA75AB">
        <w:t xml:space="preserve">is </w:t>
      </w:r>
      <w:r w:rsidR="00F95F81">
        <w:t xml:space="preserve">Section 96-1 of </w:t>
      </w:r>
      <w:r>
        <w:t xml:space="preserve">the </w:t>
      </w:r>
      <w:r w:rsidRPr="0074799E">
        <w:rPr>
          <w:i/>
          <w:iCs/>
        </w:rPr>
        <w:t>Aged Care Act 1997</w:t>
      </w:r>
      <w:r>
        <w:t>.</w:t>
      </w:r>
    </w:p>
    <w:p w14:paraId="58CD2E21" w14:textId="77777777" w:rsidR="00864DF7" w:rsidRPr="00294C56" w:rsidRDefault="00864DF7" w:rsidP="00864DF7">
      <w:pPr>
        <w:tabs>
          <w:tab w:val="left" w:pos="3105"/>
        </w:tabs>
      </w:pPr>
    </w:p>
    <w:p w14:paraId="267F90A3" w14:textId="77777777" w:rsidR="00864DF7" w:rsidRPr="00CA75AB" w:rsidRDefault="00864DF7" w:rsidP="00864DF7">
      <w:r w:rsidRPr="00905346">
        <w:rPr>
          <w:b/>
        </w:rPr>
        <w:t>Clause 4</w:t>
      </w:r>
      <w:r w:rsidRPr="00CA75AB">
        <w:rPr>
          <w:b/>
        </w:rPr>
        <w:t xml:space="preserve"> </w:t>
      </w:r>
      <w:r w:rsidRPr="00CA75AB">
        <w:rPr>
          <w:bCs/>
          <w:color w:val="000000"/>
        </w:rPr>
        <w:t xml:space="preserve">provides that </w:t>
      </w:r>
      <w:r w:rsidRPr="00CA75AB">
        <w:t>each instrument that is specified in a Schedule to this instrument is amended or repealed as set out in the applicable items in the Schedule concerned, and any other item in a Schedule to this instrument has effect according to its terms.</w:t>
      </w:r>
    </w:p>
    <w:p w14:paraId="06DC9556" w14:textId="77777777" w:rsidR="00864DF7" w:rsidRPr="00CA75AB" w:rsidRDefault="00864DF7" w:rsidP="00864DF7">
      <w:pPr>
        <w:jc w:val="right"/>
      </w:pPr>
    </w:p>
    <w:p w14:paraId="5759A8BB" w14:textId="77777777" w:rsidR="00864DF7" w:rsidRPr="00CA75AB" w:rsidRDefault="00864DF7" w:rsidP="00864DF7">
      <w:pPr>
        <w:rPr>
          <w:b/>
        </w:rPr>
      </w:pPr>
      <w:r w:rsidRPr="00CA75AB">
        <w:rPr>
          <w:b/>
        </w:rPr>
        <w:t xml:space="preserve">Schedule 1 – </w:t>
      </w:r>
      <w:r>
        <w:rPr>
          <w:b/>
        </w:rPr>
        <w:t>Amendments</w:t>
      </w:r>
    </w:p>
    <w:p w14:paraId="25AAF962" w14:textId="77777777" w:rsidR="00864DF7" w:rsidRDefault="00864DF7" w:rsidP="00864DF7">
      <w:pPr>
        <w:rPr>
          <w:b/>
        </w:rPr>
      </w:pPr>
    </w:p>
    <w:p w14:paraId="2B2DEA36" w14:textId="77777777" w:rsidR="00864DF7" w:rsidRDefault="00864DF7" w:rsidP="00864DF7">
      <w:pPr>
        <w:rPr>
          <w:b/>
        </w:rPr>
      </w:pPr>
      <w:r>
        <w:rPr>
          <w:b/>
        </w:rPr>
        <w:t>Part 1 – Amendments relating to removal of certification</w:t>
      </w:r>
    </w:p>
    <w:p w14:paraId="1B7EE9A5" w14:textId="77777777" w:rsidR="00864DF7" w:rsidRPr="00CA75AB" w:rsidRDefault="00864DF7" w:rsidP="00864DF7">
      <w:pPr>
        <w:rPr>
          <w:b/>
        </w:rPr>
      </w:pPr>
    </w:p>
    <w:p w14:paraId="6ED6121D" w14:textId="77777777" w:rsidR="00864DF7" w:rsidRPr="00CA75AB" w:rsidRDefault="00864DF7" w:rsidP="00864DF7">
      <w:pPr>
        <w:rPr>
          <w:b/>
          <w:i/>
        </w:rPr>
      </w:pPr>
      <w:r>
        <w:rPr>
          <w:b/>
          <w:i/>
        </w:rPr>
        <w:t>Accountability Principles 2014</w:t>
      </w:r>
    </w:p>
    <w:p w14:paraId="2581E510" w14:textId="77777777" w:rsidR="00864DF7" w:rsidRPr="00CA75AB" w:rsidRDefault="00864DF7" w:rsidP="00864DF7">
      <w:pPr>
        <w:rPr>
          <w:b/>
        </w:rPr>
      </w:pPr>
    </w:p>
    <w:p w14:paraId="033D5A54" w14:textId="77777777" w:rsidR="00864DF7" w:rsidRPr="00CA75AB" w:rsidRDefault="00864DF7" w:rsidP="00864DF7">
      <w:pPr>
        <w:rPr>
          <w:b/>
        </w:rPr>
      </w:pPr>
      <w:r w:rsidRPr="00CA75AB">
        <w:rPr>
          <w:b/>
        </w:rPr>
        <w:t xml:space="preserve">Item </w:t>
      </w:r>
      <w:r>
        <w:rPr>
          <w:b/>
        </w:rPr>
        <w:t>1</w:t>
      </w:r>
      <w:r w:rsidRPr="00CA75AB">
        <w:rPr>
          <w:b/>
        </w:rPr>
        <w:t xml:space="preserve"> – </w:t>
      </w:r>
      <w:r>
        <w:rPr>
          <w:b/>
        </w:rPr>
        <w:t xml:space="preserve">Section 4 (definition of </w:t>
      </w:r>
      <w:r w:rsidRPr="0074799E">
        <w:rPr>
          <w:b/>
          <w:i/>
          <w:iCs/>
        </w:rPr>
        <w:t>certification assessor</w:t>
      </w:r>
      <w:r>
        <w:rPr>
          <w:b/>
        </w:rPr>
        <w:t>)</w:t>
      </w:r>
    </w:p>
    <w:p w14:paraId="63BEEEE1" w14:textId="77777777" w:rsidR="00864DF7" w:rsidRDefault="00864DF7" w:rsidP="00864DF7">
      <w:r w:rsidRPr="00CA75AB">
        <w:t xml:space="preserve">This item </w:t>
      </w:r>
      <w:r>
        <w:t>repeals the definition of certification assessor.</w:t>
      </w:r>
    </w:p>
    <w:p w14:paraId="2EDF0795" w14:textId="77777777" w:rsidR="00864DF7" w:rsidRDefault="00864DF7" w:rsidP="00864DF7"/>
    <w:p w14:paraId="3D32A171" w14:textId="77777777" w:rsidR="00864DF7" w:rsidRPr="00CA75AB" w:rsidRDefault="00864DF7" w:rsidP="00864DF7">
      <w:pPr>
        <w:rPr>
          <w:b/>
        </w:rPr>
      </w:pPr>
      <w:r w:rsidRPr="00CA75AB">
        <w:rPr>
          <w:b/>
        </w:rPr>
        <w:t xml:space="preserve">Item </w:t>
      </w:r>
      <w:r>
        <w:rPr>
          <w:b/>
        </w:rPr>
        <w:t>2</w:t>
      </w:r>
      <w:r w:rsidRPr="00CA75AB">
        <w:rPr>
          <w:b/>
        </w:rPr>
        <w:t xml:space="preserve"> – </w:t>
      </w:r>
      <w:r>
        <w:rPr>
          <w:b/>
        </w:rPr>
        <w:t>Section 4 (subparagraph (a</w:t>
      </w:r>
      <w:proofErr w:type="gramStart"/>
      <w:r>
        <w:rPr>
          <w:b/>
        </w:rPr>
        <w:t>)(</w:t>
      </w:r>
      <w:proofErr w:type="gramEnd"/>
      <w:r>
        <w:rPr>
          <w:b/>
        </w:rPr>
        <w:t xml:space="preserve">i) of the definition of </w:t>
      </w:r>
      <w:r>
        <w:rPr>
          <w:b/>
          <w:i/>
          <w:iCs/>
        </w:rPr>
        <w:t>relevant official</w:t>
      </w:r>
      <w:r>
        <w:rPr>
          <w:b/>
        </w:rPr>
        <w:t>)</w:t>
      </w:r>
    </w:p>
    <w:p w14:paraId="5A683C5F" w14:textId="77777777" w:rsidR="00864DF7" w:rsidRDefault="00864DF7" w:rsidP="00864DF7">
      <w:r w:rsidRPr="00CA75AB">
        <w:t xml:space="preserve">This item </w:t>
      </w:r>
      <w:r>
        <w:t>repeals a reference to certification assessor as a relevant official.</w:t>
      </w:r>
    </w:p>
    <w:p w14:paraId="6BE0FDEC" w14:textId="77777777" w:rsidR="00864DF7" w:rsidRDefault="00864DF7" w:rsidP="00864DF7"/>
    <w:p w14:paraId="317A38C7" w14:textId="77777777" w:rsidR="00864DF7" w:rsidRPr="00CA75AB" w:rsidRDefault="00864DF7" w:rsidP="00864DF7">
      <w:pPr>
        <w:rPr>
          <w:b/>
        </w:rPr>
      </w:pPr>
      <w:r w:rsidRPr="00CA75AB">
        <w:rPr>
          <w:b/>
        </w:rPr>
        <w:t xml:space="preserve">Item </w:t>
      </w:r>
      <w:r>
        <w:rPr>
          <w:b/>
        </w:rPr>
        <w:t>3</w:t>
      </w:r>
      <w:r w:rsidRPr="00CA75AB">
        <w:rPr>
          <w:b/>
        </w:rPr>
        <w:t xml:space="preserve"> – </w:t>
      </w:r>
      <w:r>
        <w:rPr>
          <w:b/>
        </w:rPr>
        <w:t>Subdivision A of Division 1 of Part 2</w:t>
      </w:r>
    </w:p>
    <w:p w14:paraId="38E0EF4D" w14:textId="77777777" w:rsidR="00864DF7" w:rsidRDefault="00864DF7" w:rsidP="00864DF7">
      <w:r w:rsidRPr="00CA75AB">
        <w:t xml:space="preserve">This item </w:t>
      </w:r>
      <w:r>
        <w:t>repeals the subdivision as it relates to access to residential care services by certification assessors.</w:t>
      </w:r>
    </w:p>
    <w:p w14:paraId="284941FA" w14:textId="77777777" w:rsidR="00864DF7" w:rsidRDefault="00864DF7" w:rsidP="00864DF7"/>
    <w:p w14:paraId="1D74E7F8" w14:textId="77777777" w:rsidR="00864DF7" w:rsidRPr="00CA75AB" w:rsidRDefault="00864DF7" w:rsidP="00864DF7">
      <w:pPr>
        <w:rPr>
          <w:b/>
        </w:rPr>
      </w:pPr>
      <w:r w:rsidRPr="00CA75AB">
        <w:rPr>
          <w:b/>
        </w:rPr>
        <w:t>Item</w:t>
      </w:r>
      <w:r>
        <w:rPr>
          <w:b/>
        </w:rPr>
        <w:t>s</w:t>
      </w:r>
      <w:r w:rsidRPr="00CA75AB">
        <w:rPr>
          <w:b/>
        </w:rPr>
        <w:t xml:space="preserve"> </w:t>
      </w:r>
      <w:r>
        <w:rPr>
          <w:b/>
        </w:rPr>
        <w:t>4 and 5</w:t>
      </w:r>
      <w:r w:rsidRPr="00CA75AB">
        <w:rPr>
          <w:b/>
        </w:rPr>
        <w:t xml:space="preserve"> – </w:t>
      </w:r>
      <w:r>
        <w:rPr>
          <w:b/>
        </w:rPr>
        <w:t>Paragraph 19(b) and Section 23</w:t>
      </w:r>
    </w:p>
    <w:p w14:paraId="28F3C7E6" w14:textId="77777777" w:rsidR="00864DF7" w:rsidRDefault="00864DF7" w:rsidP="00864DF7">
      <w:r>
        <w:t>The</w:t>
      </w:r>
      <w:r w:rsidRPr="00CA75AB">
        <w:t>s</w:t>
      </w:r>
      <w:r>
        <w:t>e items repeal references to paragraph 63</w:t>
      </w:r>
      <w:r>
        <w:noBreakHyphen/>
      </w:r>
      <w:proofErr w:type="gramStart"/>
      <w:r>
        <w:t>1(</w:t>
      </w:r>
      <w:proofErr w:type="gramEnd"/>
      <w:r>
        <w:t>1)(j) which relate to allowing access to people to review the certification of the service.</w:t>
      </w:r>
    </w:p>
    <w:p w14:paraId="2B487BE0" w14:textId="77777777" w:rsidR="00864DF7" w:rsidRDefault="00864DF7" w:rsidP="00864DF7"/>
    <w:p w14:paraId="16C5187E" w14:textId="77777777" w:rsidR="00864DF7" w:rsidRPr="00CA75AB" w:rsidRDefault="00864DF7" w:rsidP="00864DF7">
      <w:pPr>
        <w:rPr>
          <w:b/>
        </w:rPr>
      </w:pPr>
      <w:r w:rsidRPr="00CA75AB">
        <w:rPr>
          <w:b/>
        </w:rPr>
        <w:t xml:space="preserve">Item </w:t>
      </w:r>
      <w:r>
        <w:rPr>
          <w:b/>
        </w:rPr>
        <w:t>6</w:t>
      </w:r>
      <w:r w:rsidRPr="00CA75AB">
        <w:rPr>
          <w:b/>
        </w:rPr>
        <w:t xml:space="preserve"> – </w:t>
      </w:r>
      <w:r>
        <w:rPr>
          <w:b/>
        </w:rPr>
        <w:t>Subparagraph 23(a</w:t>
      </w:r>
      <w:proofErr w:type="gramStart"/>
      <w:r>
        <w:rPr>
          <w:b/>
        </w:rPr>
        <w:t>)(</w:t>
      </w:r>
      <w:proofErr w:type="gramEnd"/>
      <w:r>
        <w:rPr>
          <w:b/>
        </w:rPr>
        <w:t>i)</w:t>
      </w:r>
    </w:p>
    <w:p w14:paraId="224964A1" w14:textId="474C5379" w:rsidR="00864DF7" w:rsidRDefault="00864DF7" w:rsidP="00864DF7">
      <w:r w:rsidRPr="00CA75AB">
        <w:t xml:space="preserve">This item </w:t>
      </w:r>
      <w:r>
        <w:t xml:space="preserve">repeals </w:t>
      </w:r>
      <w:r w:rsidR="000303F8">
        <w:t xml:space="preserve">the </w:t>
      </w:r>
      <w:r>
        <w:t xml:space="preserve">subparagraph as it refers to sections 6 to 8 of these Principles which are removed by Item 3 </w:t>
      </w:r>
      <w:r w:rsidR="000303F8">
        <w:t>above</w:t>
      </w:r>
      <w:r>
        <w:t>.</w:t>
      </w:r>
    </w:p>
    <w:p w14:paraId="74A63992" w14:textId="77777777" w:rsidR="00864DF7" w:rsidRDefault="00864DF7" w:rsidP="00864DF7"/>
    <w:p w14:paraId="27FB8203" w14:textId="77777777" w:rsidR="00864DF7" w:rsidRPr="00643A3E" w:rsidRDefault="00864DF7" w:rsidP="00864DF7">
      <w:pPr>
        <w:rPr>
          <w:b/>
          <w:bCs/>
          <w:i/>
          <w:iCs/>
        </w:rPr>
      </w:pPr>
      <w:r w:rsidRPr="00643A3E">
        <w:rPr>
          <w:b/>
          <w:bCs/>
          <w:i/>
          <w:iCs/>
        </w:rPr>
        <w:t>Allocation Principles</w:t>
      </w:r>
      <w:r>
        <w:rPr>
          <w:b/>
          <w:bCs/>
          <w:i/>
          <w:iCs/>
        </w:rPr>
        <w:t xml:space="preserve"> 2014</w:t>
      </w:r>
    </w:p>
    <w:p w14:paraId="76B77D2F" w14:textId="77777777" w:rsidR="00864DF7" w:rsidRDefault="00864DF7" w:rsidP="00864DF7"/>
    <w:p w14:paraId="784A7AF1" w14:textId="77777777" w:rsidR="00864DF7" w:rsidRPr="00CA75AB" w:rsidRDefault="00864DF7" w:rsidP="00864DF7">
      <w:pPr>
        <w:rPr>
          <w:b/>
        </w:rPr>
      </w:pPr>
      <w:r w:rsidRPr="00CA75AB">
        <w:rPr>
          <w:b/>
        </w:rPr>
        <w:t xml:space="preserve">Item </w:t>
      </w:r>
      <w:r>
        <w:rPr>
          <w:b/>
        </w:rPr>
        <w:t>7</w:t>
      </w:r>
      <w:r w:rsidRPr="00CA75AB">
        <w:rPr>
          <w:b/>
        </w:rPr>
        <w:t xml:space="preserve"> – </w:t>
      </w:r>
      <w:r>
        <w:rPr>
          <w:b/>
        </w:rPr>
        <w:t>Subparagraphs 48(2</w:t>
      </w:r>
      <w:proofErr w:type="gramStart"/>
      <w:r>
        <w:rPr>
          <w:b/>
        </w:rPr>
        <w:t>)(</w:t>
      </w:r>
      <w:proofErr w:type="gramEnd"/>
      <w:r>
        <w:rPr>
          <w:b/>
        </w:rPr>
        <w:t>g)(i) and (ii)</w:t>
      </w:r>
    </w:p>
    <w:p w14:paraId="5C5B6DF4" w14:textId="77777777" w:rsidR="00864DF7" w:rsidRDefault="00864DF7" w:rsidP="00864DF7">
      <w:r w:rsidRPr="00CA75AB">
        <w:t xml:space="preserve">This item </w:t>
      </w:r>
      <w:r>
        <w:t>repeals references to certification in these subparagraphs.</w:t>
      </w:r>
    </w:p>
    <w:p w14:paraId="3A9613F7" w14:textId="77777777" w:rsidR="00864DF7" w:rsidRDefault="00864DF7" w:rsidP="00864DF7"/>
    <w:p w14:paraId="2A88BAE8" w14:textId="77777777" w:rsidR="00864DF7" w:rsidRPr="00CA75AB" w:rsidRDefault="00864DF7" w:rsidP="00864DF7">
      <w:pPr>
        <w:rPr>
          <w:b/>
        </w:rPr>
      </w:pPr>
      <w:r w:rsidRPr="00CA75AB">
        <w:rPr>
          <w:b/>
        </w:rPr>
        <w:t xml:space="preserve">Item </w:t>
      </w:r>
      <w:r>
        <w:rPr>
          <w:b/>
        </w:rPr>
        <w:t>8</w:t>
      </w:r>
      <w:r w:rsidRPr="00CA75AB">
        <w:rPr>
          <w:b/>
        </w:rPr>
        <w:t xml:space="preserve"> – </w:t>
      </w:r>
      <w:r>
        <w:rPr>
          <w:b/>
        </w:rPr>
        <w:t>Subparagraph 51(1</w:t>
      </w:r>
      <w:proofErr w:type="gramStart"/>
      <w:r>
        <w:rPr>
          <w:b/>
        </w:rPr>
        <w:t>)(</w:t>
      </w:r>
      <w:proofErr w:type="gramEnd"/>
      <w:r>
        <w:rPr>
          <w:b/>
        </w:rPr>
        <w:t>d)(i)</w:t>
      </w:r>
    </w:p>
    <w:p w14:paraId="5A771765" w14:textId="77777777" w:rsidR="00864DF7" w:rsidRDefault="00864DF7" w:rsidP="00864DF7">
      <w:r w:rsidRPr="00CA75AB">
        <w:t xml:space="preserve">This item </w:t>
      </w:r>
      <w:r>
        <w:t>repeals the subparagraph as it relates to the certification of the service.</w:t>
      </w:r>
    </w:p>
    <w:p w14:paraId="25C9519D" w14:textId="77777777" w:rsidR="00864DF7" w:rsidRDefault="00864DF7" w:rsidP="00864DF7"/>
    <w:p w14:paraId="374CB84C" w14:textId="77777777" w:rsidR="00864DF7" w:rsidRPr="00CA75AB" w:rsidRDefault="00864DF7" w:rsidP="00864DF7">
      <w:pPr>
        <w:rPr>
          <w:b/>
        </w:rPr>
      </w:pPr>
      <w:r w:rsidRPr="00CA75AB">
        <w:rPr>
          <w:b/>
        </w:rPr>
        <w:t xml:space="preserve">Item </w:t>
      </w:r>
      <w:r>
        <w:rPr>
          <w:b/>
        </w:rPr>
        <w:t>9</w:t>
      </w:r>
      <w:r w:rsidRPr="00CA75AB">
        <w:rPr>
          <w:b/>
        </w:rPr>
        <w:t xml:space="preserve"> – </w:t>
      </w:r>
      <w:r>
        <w:rPr>
          <w:b/>
        </w:rPr>
        <w:t>Subparagraphs 59(2</w:t>
      </w:r>
      <w:proofErr w:type="gramStart"/>
      <w:r>
        <w:rPr>
          <w:b/>
        </w:rPr>
        <w:t>)(</w:t>
      </w:r>
      <w:proofErr w:type="gramEnd"/>
      <w:r>
        <w:rPr>
          <w:b/>
        </w:rPr>
        <w:t>d)(i) and (ii)</w:t>
      </w:r>
    </w:p>
    <w:p w14:paraId="1547014C" w14:textId="77777777" w:rsidR="00864DF7" w:rsidRDefault="00864DF7" w:rsidP="00864DF7">
      <w:r w:rsidRPr="00CA75AB">
        <w:t xml:space="preserve">This item </w:t>
      </w:r>
      <w:r>
        <w:t>repeals references to certification in these subparagraphs.</w:t>
      </w:r>
    </w:p>
    <w:p w14:paraId="6009713C" w14:textId="77777777" w:rsidR="00864DF7" w:rsidRDefault="00864DF7" w:rsidP="00864DF7"/>
    <w:p w14:paraId="654A0694" w14:textId="77777777" w:rsidR="00864DF7" w:rsidRPr="00CA75AB" w:rsidRDefault="00864DF7" w:rsidP="00864DF7">
      <w:pPr>
        <w:rPr>
          <w:b/>
        </w:rPr>
      </w:pPr>
      <w:r w:rsidRPr="00CA75AB">
        <w:rPr>
          <w:b/>
        </w:rPr>
        <w:t xml:space="preserve">Item </w:t>
      </w:r>
      <w:r>
        <w:rPr>
          <w:b/>
        </w:rPr>
        <w:t>10</w:t>
      </w:r>
      <w:r w:rsidRPr="00CA75AB">
        <w:rPr>
          <w:b/>
        </w:rPr>
        <w:t xml:space="preserve"> – </w:t>
      </w:r>
      <w:r>
        <w:rPr>
          <w:b/>
        </w:rPr>
        <w:t>Paragraph 62(1</w:t>
      </w:r>
      <w:proofErr w:type="gramStart"/>
      <w:r>
        <w:rPr>
          <w:b/>
        </w:rPr>
        <w:t>)(</w:t>
      </w:r>
      <w:proofErr w:type="gramEnd"/>
      <w:r>
        <w:rPr>
          <w:b/>
        </w:rPr>
        <w:t>b)</w:t>
      </w:r>
    </w:p>
    <w:p w14:paraId="63EB384D" w14:textId="77777777" w:rsidR="00864DF7" w:rsidRDefault="00864DF7" w:rsidP="00864DF7">
      <w:r w:rsidRPr="00CA75AB">
        <w:t xml:space="preserve">This item </w:t>
      </w:r>
      <w:r>
        <w:t>repeals the paragraph as it relates to the certification of the aged care service.</w:t>
      </w:r>
    </w:p>
    <w:p w14:paraId="51DBC853" w14:textId="77777777" w:rsidR="00864DF7" w:rsidRDefault="00864DF7" w:rsidP="00864DF7"/>
    <w:p w14:paraId="77A0F6A2" w14:textId="77777777" w:rsidR="00864DF7" w:rsidRPr="00643A3E" w:rsidRDefault="00864DF7" w:rsidP="00864DF7">
      <w:pPr>
        <w:rPr>
          <w:b/>
          <w:bCs/>
          <w:i/>
          <w:iCs/>
        </w:rPr>
      </w:pPr>
      <w:r w:rsidRPr="00643A3E">
        <w:rPr>
          <w:b/>
          <w:bCs/>
          <w:i/>
          <w:iCs/>
        </w:rPr>
        <w:t>Fees and Payments Principles 2014 (No. 2)</w:t>
      </w:r>
    </w:p>
    <w:p w14:paraId="7522A6ED" w14:textId="77777777" w:rsidR="00864DF7" w:rsidRDefault="00864DF7" w:rsidP="00864DF7"/>
    <w:p w14:paraId="4D6AB886" w14:textId="77777777" w:rsidR="00864DF7" w:rsidRPr="00CA75AB" w:rsidRDefault="00864DF7" w:rsidP="00864DF7">
      <w:pPr>
        <w:rPr>
          <w:b/>
        </w:rPr>
      </w:pPr>
      <w:r w:rsidRPr="00CA75AB">
        <w:rPr>
          <w:b/>
        </w:rPr>
        <w:t xml:space="preserve">Item </w:t>
      </w:r>
      <w:r>
        <w:rPr>
          <w:b/>
        </w:rPr>
        <w:t>11</w:t>
      </w:r>
      <w:r w:rsidRPr="00CA75AB">
        <w:rPr>
          <w:b/>
        </w:rPr>
        <w:t xml:space="preserve"> – </w:t>
      </w:r>
      <w:r>
        <w:rPr>
          <w:b/>
        </w:rPr>
        <w:t>Paragraphs 46(2</w:t>
      </w:r>
      <w:proofErr w:type="gramStart"/>
      <w:r>
        <w:rPr>
          <w:b/>
        </w:rPr>
        <w:t>)(</w:t>
      </w:r>
      <w:proofErr w:type="gramEnd"/>
      <w:r>
        <w:rPr>
          <w:b/>
        </w:rPr>
        <w:t>d) and 47(2)(d)</w:t>
      </w:r>
    </w:p>
    <w:p w14:paraId="1235D236" w14:textId="77777777" w:rsidR="00864DF7" w:rsidRDefault="00864DF7" w:rsidP="00864DF7">
      <w:r w:rsidRPr="00CA75AB">
        <w:t xml:space="preserve">This item </w:t>
      </w:r>
      <w:r>
        <w:t>repeals the paragraphs as they relate to residential care services ceasing to be certified.</w:t>
      </w:r>
    </w:p>
    <w:p w14:paraId="35CE19D0" w14:textId="77777777" w:rsidR="00864DF7" w:rsidRDefault="00864DF7" w:rsidP="00864DF7"/>
    <w:p w14:paraId="3EC1233E" w14:textId="77777777" w:rsidR="00864DF7" w:rsidRDefault="00864DF7" w:rsidP="00864DF7"/>
    <w:p w14:paraId="1271E3D5" w14:textId="77777777" w:rsidR="00864DF7" w:rsidRPr="0015605D" w:rsidRDefault="00864DF7" w:rsidP="00864DF7">
      <w:pPr>
        <w:rPr>
          <w:b/>
          <w:bCs/>
        </w:rPr>
      </w:pPr>
      <w:r w:rsidRPr="0015605D">
        <w:rPr>
          <w:b/>
          <w:bCs/>
        </w:rPr>
        <w:t>Part 2 – Amendments relating to accommodation supplement</w:t>
      </w:r>
    </w:p>
    <w:p w14:paraId="363E21D8" w14:textId="77777777" w:rsidR="00864DF7" w:rsidRDefault="00864DF7" w:rsidP="00864DF7"/>
    <w:p w14:paraId="08A52F8B" w14:textId="77777777" w:rsidR="00864DF7" w:rsidRPr="0015605D" w:rsidRDefault="00864DF7" w:rsidP="00864DF7">
      <w:pPr>
        <w:rPr>
          <w:b/>
          <w:bCs/>
          <w:i/>
          <w:iCs/>
        </w:rPr>
      </w:pPr>
      <w:r w:rsidRPr="0015605D">
        <w:rPr>
          <w:b/>
          <w:bCs/>
          <w:i/>
          <w:iCs/>
        </w:rPr>
        <w:t>Subsidy Principles 2014</w:t>
      </w:r>
    </w:p>
    <w:p w14:paraId="441D9354" w14:textId="77777777" w:rsidR="00864DF7" w:rsidRDefault="00864DF7" w:rsidP="00864DF7"/>
    <w:p w14:paraId="3DA9E152" w14:textId="77777777" w:rsidR="00864DF7" w:rsidRPr="00CA75AB" w:rsidRDefault="00864DF7" w:rsidP="00864DF7">
      <w:pPr>
        <w:rPr>
          <w:b/>
        </w:rPr>
      </w:pPr>
      <w:r w:rsidRPr="00CA75AB">
        <w:rPr>
          <w:b/>
        </w:rPr>
        <w:t xml:space="preserve">Item </w:t>
      </w:r>
      <w:r>
        <w:rPr>
          <w:b/>
        </w:rPr>
        <w:t>12</w:t>
      </w:r>
      <w:r w:rsidRPr="00CA75AB">
        <w:rPr>
          <w:b/>
        </w:rPr>
        <w:t xml:space="preserve"> – </w:t>
      </w:r>
      <w:r>
        <w:rPr>
          <w:b/>
        </w:rPr>
        <w:t>Section 4</w:t>
      </w:r>
    </w:p>
    <w:p w14:paraId="3935DE88" w14:textId="562B14EF" w:rsidR="00864DF7" w:rsidRDefault="00864DF7" w:rsidP="00864DF7">
      <w:r w:rsidRPr="00CA75AB">
        <w:t xml:space="preserve">This item </w:t>
      </w:r>
      <w:r>
        <w:t xml:space="preserve">inserts definitions for ‘newly built residential care service’, ‘post-2008 reform resident’, ‘relevant resident’ and ‘significantly refurbished residential care service’.  These terms are used in section 50 of these Principles, as inserted by Item 13 </w:t>
      </w:r>
      <w:r w:rsidR="009C658D">
        <w:t>below.</w:t>
      </w:r>
    </w:p>
    <w:p w14:paraId="62A6D5C8" w14:textId="77777777" w:rsidR="00864DF7" w:rsidRDefault="00864DF7" w:rsidP="00864DF7"/>
    <w:p w14:paraId="35643359" w14:textId="77777777" w:rsidR="00864DF7" w:rsidRPr="00CA75AB" w:rsidRDefault="00864DF7" w:rsidP="00864DF7">
      <w:pPr>
        <w:rPr>
          <w:b/>
        </w:rPr>
      </w:pPr>
      <w:r w:rsidRPr="00CA75AB">
        <w:rPr>
          <w:b/>
        </w:rPr>
        <w:t xml:space="preserve">Item </w:t>
      </w:r>
      <w:r>
        <w:rPr>
          <w:b/>
        </w:rPr>
        <w:t>13</w:t>
      </w:r>
      <w:r w:rsidRPr="00CA75AB">
        <w:rPr>
          <w:b/>
        </w:rPr>
        <w:t xml:space="preserve"> – </w:t>
      </w:r>
      <w:r>
        <w:rPr>
          <w:b/>
        </w:rPr>
        <w:t>Section 50</w:t>
      </w:r>
    </w:p>
    <w:p w14:paraId="3F634627" w14:textId="5E872D1E" w:rsidR="008C29D4" w:rsidRDefault="008C29D4" w:rsidP="008C29D4">
      <w:r w:rsidRPr="00CA75AB">
        <w:t xml:space="preserve">This item </w:t>
      </w:r>
      <w:r>
        <w:t>makes technical corrections to clarify the operation of the accommodation supplement, by repealing the section and substituting a new section 50.</w:t>
      </w:r>
    </w:p>
    <w:p w14:paraId="65C4EAD2" w14:textId="77777777" w:rsidR="002D5ED2" w:rsidRDefault="002D5ED2" w:rsidP="00864DF7"/>
    <w:p w14:paraId="45B9EACF" w14:textId="77777777" w:rsidR="00864DF7" w:rsidRDefault="00864DF7" w:rsidP="00864DF7">
      <w:pPr>
        <w:rPr>
          <w:b/>
          <w:bCs/>
        </w:rPr>
      </w:pPr>
      <w:r w:rsidRPr="00AE0BE8">
        <w:rPr>
          <w:b/>
          <w:bCs/>
        </w:rPr>
        <w:t>Part 3 – Other amendments</w:t>
      </w:r>
    </w:p>
    <w:p w14:paraId="0871D4AE" w14:textId="77777777" w:rsidR="00864DF7" w:rsidRDefault="00864DF7" w:rsidP="00864DF7">
      <w:pPr>
        <w:rPr>
          <w:b/>
          <w:bCs/>
        </w:rPr>
      </w:pPr>
    </w:p>
    <w:p w14:paraId="11F8C3A6" w14:textId="77777777" w:rsidR="00864DF7" w:rsidRPr="00AE0BE8" w:rsidRDefault="00864DF7" w:rsidP="00864DF7">
      <w:pPr>
        <w:rPr>
          <w:b/>
          <w:bCs/>
          <w:i/>
          <w:iCs/>
        </w:rPr>
      </w:pPr>
      <w:r w:rsidRPr="00AE0BE8">
        <w:rPr>
          <w:b/>
          <w:bCs/>
          <w:i/>
          <w:iCs/>
        </w:rPr>
        <w:t>Subsidy Principles 2014</w:t>
      </w:r>
    </w:p>
    <w:p w14:paraId="0F765FC5" w14:textId="77777777" w:rsidR="00864DF7" w:rsidRPr="00AE0BE8" w:rsidRDefault="00864DF7" w:rsidP="00864DF7">
      <w:pPr>
        <w:rPr>
          <w:b/>
          <w:bCs/>
        </w:rPr>
      </w:pPr>
    </w:p>
    <w:p w14:paraId="4B44BF57" w14:textId="77777777" w:rsidR="00864DF7" w:rsidRPr="00CA75AB" w:rsidRDefault="00864DF7" w:rsidP="00864DF7">
      <w:pPr>
        <w:rPr>
          <w:b/>
        </w:rPr>
      </w:pPr>
      <w:r w:rsidRPr="00CA75AB">
        <w:rPr>
          <w:b/>
        </w:rPr>
        <w:t>Item</w:t>
      </w:r>
      <w:r>
        <w:rPr>
          <w:b/>
        </w:rPr>
        <w:t>s</w:t>
      </w:r>
      <w:r w:rsidRPr="00CA75AB">
        <w:rPr>
          <w:b/>
        </w:rPr>
        <w:t xml:space="preserve"> </w:t>
      </w:r>
      <w:r>
        <w:rPr>
          <w:b/>
        </w:rPr>
        <w:t>14</w:t>
      </w:r>
      <w:r w:rsidRPr="00CA75AB">
        <w:rPr>
          <w:b/>
        </w:rPr>
        <w:t xml:space="preserve"> </w:t>
      </w:r>
      <w:r>
        <w:rPr>
          <w:b/>
        </w:rPr>
        <w:t xml:space="preserve">and 15 </w:t>
      </w:r>
      <w:r w:rsidRPr="00CA75AB">
        <w:rPr>
          <w:b/>
        </w:rPr>
        <w:t xml:space="preserve">– </w:t>
      </w:r>
      <w:r>
        <w:rPr>
          <w:b/>
        </w:rPr>
        <w:t>Paragraphs 83(2</w:t>
      </w:r>
      <w:proofErr w:type="gramStart"/>
      <w:r>
        <w:rPr>
          <w:b/>
        </w:rPr>
        <w:t>)(</w:t>
      </w:r>
      <w:proofErr w:type="gramEnd"/>
      <w:r>
        <w:rPr>
          <w:b/>
        </w:rPr>
        <w:t>b) and 83(3)(c)</w:t>
      </w:r>
    </w:p>
    <w:p w14:paraId="276D3DFB" w14:textId="69D027FA" w:rsidR="00864DF7" w:rsidRDefault="002F22FF" w:rsidP="00864DF7">
      <w:r>
        <w:t>These items</w:t>
      </w:r>
      <w:r w:rsidR="00864DF7" w:rsidRPr="00CA75AB">
        <w:t xml:space="preserve"> </w:t>
      </w:r>
      <w:r w:rsidR="00864DF7">
        <w:t>insert clinical psychologist into the list of practitioners that may conduct the relevant assessment used to determine eligibility for the dementia and cognition supplement</w:t>
      </w:r>
      <w:r>
        <w:t>.</w:t>
      </w:r>
      <w:r w:rsidR="00864DF7">
        <w:t xml:space="preserve"> </w:t>
      </w:r>
    </w:p>
    <w:p w14:paraId="24EF83B4" w14:textId="77777777" w:rsidR="00864DF7" w:rsidRDefault="00864DF7" w:rsidP="00864DF7"/>
    <w:p w14:paraId="139C48BD" w14:textId="77777777" w:rsidR="00864DF7" w:rsidRDefault="00864DF7" w:rsidP="00864DF7"/>
    <w:p w14:paraId="6D9F44E9" w14:textId="77777777" w:rsidR="00864DF7" w:rsidRDefault="00864DF7" w:rsidP="00864DF7"/>
    <w:p w14:paraId="12239F13" w14:textId="77777777" w:rsidR="00864DF7" w:rsidRDefault="00864DF7" w:rsidP="00864DF7"/>
    <w:p w14:paraId="7B9A5C1D" w14:textId="77777777" w:rsidR="00864DF7" w:rsidRPr="00CA75AB" w:rsidRDefault="00864DF7" w:rsidP="00864DF7"/>
    <w:p w14:paraId="6BCCB7EC" w14:textId="77777777" w:rsidR="00864DF7" w:rsidRPr="00CA75AB" w:rsidRDefault="00864DF7" w:rsidP="00864DF7">
      <w:pPr>
        <w:widowControl/>
        <w:spacing w:after="200" w:line="276" w:lineRule="auto"/>
      </w:pPr>
      <w:r w:rsidRPr="00CA75AB">
        <w:br w:type="page"/>
      </w:r>
    </w:p>
    <w:p w14:paraId="27B8CE73" w14:textId="77777777" w:rsidR="00864DF7" w:rsidRPr="00CA75AB" w:rsidRDefault="00864DF7" w:rsidP="00864DF7">
      <w:pPr>
        <w:spacing w:before="120" w:after="120"/>
        <w:jc w:val="center"/>
        <w:rPr>
          <w:b/>
          <w:sz w:val="28"/>
          <w:szCs w:val="28"/>
        </w:rPr>
      </w:pPr>
      <w:r w:rsidRPr="001A2D1F">
        <w:rPr>
          <w:b/>
          <w:sz w:val="28"/>
          <w:szCs w:val="28"/>
        </w:rPr>
        <w:lastRenderedPageBreak/>
        <w:t>Statement of Compatibility with Human Rights</w:t>
      </w:r>
    </w:p>
    <w:p w14:paraId="77D4D309" w14:textId="77777777" w:rsidR="00864DF7" w:rsidRPr="000C34F3" w:rsidRDefault="00864DF7" w:rsidP="00864DF7">
      <w:pPr>
        <w:pStyle w:val="Title"/>
        <w:rPr>
          <w:b w:val="0"/>
        </w:rPr>
      </w:pPr>
    </w:p>
    <w:p w14:paraId="3AB1087D" w14:textId="77777777" w:rsidR="00864DF7" w:rsidRPr="00B927FE" w:rsidRDefault="00864DF7" w:rsidP="00864DF7">
      <w:pPr>
        <w:widowControl/>
        <w:spacing w:before="120" w:after="120"/>
        <w:jc w:val="center"/>
        <w:rPr>
          <w:snapToGrid/>
          <w:szCs w:val="24"/>
          <w:lang w:eastAsia="en-AU"/>
        </w:rPr>
      </w:pPr>
      <w:r w:rsidRPr="00B927FE">
        <w:rPr>
          <w:i/>
          <w:iCs/>
          <w:snapToGrid/>
          <w:szCs w:val="24"/>
          <w:lang w:eastAsia="en-AU"/>
        </w:rPr>
        <w:t>Prepared in accordance with Part 3 of the Human Rights (Parliamentary Scrutiny) Act 2011</w:t>
      </w:r>
    </w:p>
    <w:p w14:paraId="349F85CB" w14:textId="77777777" w:rsidR="00864DF7" w:rsidRPr="004B48DD" w:rsidRDefault="00864DF7" w:rsidP="00864DF7">
      <w:pPr>
        <w:widowControl/>
        <w:spacing w:before="100" w:beforeAutospacing="1" w:after="100" w:afterAutospacing="1"/>
        <w:jc w:val="center"/>
        <w:rPr>
          <w:rFonts w:ascii="Helvetica Neue" w:hAnsi="Helvetica Neue"/>
          <w:b/>
          <w:i/>
          <w:iCs/>
          <w:snapToGrid/>
          <w:sz w:val="19"/>
          <w:szCs w:val="19"/>
          <w:lang w:eastAsia="en-AU"/>
        </w:rPr>
      </w:pPr>
      <w:r w:rsidRPr="004B48DD">
        <w:rPr>
          <w:b/>
          <w:i/>
        </w:rPr>
        <w:t>Aged Care Legislation Amendment (Removal of Certification and Other Measures) Principles 2015</w:t>
      </w:r>
    </w:p>
    <w:p w14:paraId="66DC832D" w14:textId="77777777" w:rsidR="00864DF7" w:rsidRPr="00B927FE" w:rsidRDefault="00864DF7" w:rsidP="00864DF7">
      <w:pPr>
        <w:widowControl/>
        <w:spacing w:before="120" w:after="120"/>
        <w:rPr>
          <w:snapToGrid/>
          <w:szCs w:val="24"/>
          <w:lang w:eastAsia="en-AU"/>
        </w:rPr>
      </w:pPr>
      <w:r w:rsidRPr="00B927FE">
        <w:rPr>
          <w:snapToGrid/>
          <w:szCs w:val="24"/>
          <w:lang w:eastAsia="en-AU"/>
        </w:rPr>
        <w:t xml:space="preserve">This </w:t>
      </w:r>
      <w:r w:rsidRPr="004B48DD">
        <w:rPr>
          <w:bCs/>
          <w:i/>
        </w:rPr>
        <w:t>Aged Care Legislation Amendment (Removal of Certification and Other Measures) Principles 2015</w:t>
      </w:r>
      <w:r>
        <w:rPr>
          <w:bCs/>
          <w:i/>
        </w:rPr>
        <w:t xml:space="preserve"> </w:t>
      </w:r>
      <w:r w:rsidRPr="00B927FE">
        <w:rPr>
          <w:snapToGrid/>
          <w:szCs w:val="24"/>
          <w:lang w:eastAsia="en-AU"/>
        </w:rPr>
        <w:t xml:space="preserve">is compatible with the human rights and freedoms recognised or declared in the international instruments listed in section 3 of the </w:t>
      </w:r>
      <w:r w:rsidRPr="00B927FE">
        <w:rPr>
          <w:i/>
          <w:iCs/>
          <w:snapToGrid/>
          <w:szCs w:val="24"/>
          <w:lang w:eastAsia="en-AU"/>
        </w:rPr>
        <w:t>Human Rights (Parliamentary Scrutiny) Act 2011</w:t>
      </w:r>
      <w:r w:rsidRPr="00B927FE">
        <w:rPr>
          <w:snapToGrid/>
          <w:szCs w:val="24"/>
          <w:lang w:eastAsia="en-AU"/>
        </w:rPr>
        <w:t>.</w:t>
      </w:r>
    </w:p>
    <w:p w14:paraId="34A14BA9" w14:textId="77777777" w:rsidR="00864DF7" w:rsidRPr="00B927FE" w:rsidRDefault="00864DF7" w:rsidP="00864DF7">
      <w:pPr>
        <w:widowControl/>
        <w:spacing w:before="120" w:after="120"/>
        <w:jc w:val="both"/>
        <w:rPr>
          <w:snapToGrid/>
          <w:szCs w:val="24"/>
          <w:lang w:eastAsia="en-AU"/>
        </w:rPr>
      </w:pPr>
      <w:r w:rsidRPr="00B927FE">
        <w:rPr>
          <w:b/>
          <w:bCs/>
          <w:snapToGrid/>
          <w:szCs w:val="24"/>
          <w:lang w:eastAsia="en-AU"/>
        </w:rPr>
        <w:t>Overview of Legislative Instrument</w:t>
      </w:r>
    </w:p>
    <w:p w14:paraId="46A7D51B" w14:textId="28591F24" w:rsidR="00864DF7" w:rsidRPr="006C3B01" w:rsidRDefault="00864DF7" w:rsidP="00864DF7">
      <w:pPr>
        <w:widowControl/>
        <w:spacing w:before="100" w:beforeAutospacing="1" w:after="100" w:afterAutospacing="1"/>
        <w:rPr>
          <w:snapToGrid/>
          <w:szCs w:val="24"/>
          <w:lang w:eastAsia="en-AU"/>
        </w:rPr>
      </w:pPr>
      <w:r w:rsidRPr="00B927FE">
        <w:rPr>
          <w:snapToGrid/>
          <w:szCs w:val="24"/>
          <w:lang w:eastAsia="en-AU"/>
        </w:rPr>
        <w:t xml:space="preserve">The </w:t>
      </w:r>
      <w:r w:rsidRPr="004B48DD">
        <w:rPr>
          <w:bCs/>
          <w:i/>
        </w:rPr>
        <w:t>Aged Care Legislation Amendment (Removal of Certification and Other Measures) Principles 2015</w:t>
      </w:r>
      <w:r w:rsidRPr="00B927FE">
        <w:rPr>
          <w:snapToGrid/>
          <w:szCs w:val="24"/>
          <w:lang w:eastAsia="en-AU"/>
        </w:rPr>
        <w:t xml:space="preserve"> </w:t>
      </w:r>
      <w:r w:rsidR="00DB6029">
        <w:rPr>
          <w:snapToGrid/>
          <w:szCs w:val="24"/>
          <w:lang w:eastAsia="en-AU"/>
        </w:rPr>
        <w:t>removes</w:t>
      </w:r>
      <w:r>
        <w:rPr>
          <w:snapToGrid/>
          <w:szCs w:val="24"/>
          <w:lang w:eastAsia="en-AU"/>
        </w:rPr>
        <w:t xml:space="preserve"> references to certification from the </w:t>
      </w:r>
      <w:r w:rsidRPr="00250D16">
        <w:rPr>
          <w:i/>
          <w:snapToGrid/>
          <w:szCs w:val="24"/>
          <w:lang w:eastAsia="en-AU"/>
        </w:rPr>
        <w:t>Accountability Principles 2014</w:t>
      </w:r>
      <w:r>
        <w:rPr>
          <w:snapToGrid/>
          <w:szCs w:val="24"/>
          <w:lang w:eastAsia="en-AU"/>
        </w:rPr>
        <w:t xml:space="preserve">, </w:t>
      </w:r>
      <w:r w:rsidRPr="00250D16">
        <w:rPr>
          <w:i/>
          <w:snapToGrid/>
          <w:szCs w:val="24"/>
          <w:lang w:eastAsia="en-AU"/>
        </w:rPr>
        <w:t>Allocation Principles 2014</w:t>
      </w:r>
      <w:r w:rsidR="00DB6029">
        <w:rPr>
          <w:snapToGrid/>
          <w:szCs w:val="24"/>
          <w:lang w:eastAsia="en-AU"/>
        </w:rPr>
        <w:t xml:space="preserve"> </w:t>
      </w:r>
      <w:r w:rsidR="004B2260" w:rsidRPr="00153735">
        <w:rPr>
          <w:snapToGrid/>
          <w:szCs w:val="24"/>
          <w:lang w:eastAsia="en-AU"/>
        </w:rPr>
        <w:t>and</w:t>
      </w:r>
      <w:r w:rsidR="004B2260" w:rsidRPr="00637CC2">
        <w:rPr>
          <w:i/>
          <w:snapToGrid/>
          <w:szCs w:val="24"/>
          <w:lang w:eastAsia="en-AU"/>
        </w:rPr>
        <w:t xml:space="preserve"> </w:t>
      </w:r>
      <w:r w:rsidRPr="00637CC2">
        <w:rPr>
          <w:i/>
          <w:snapToGrid/>
          <w:szCs w:val="24"/>
          <w:lang w:eastAsia="en-AU"/>
        </w:rPr>
        <w:t>Fees and Payments Principles 2014</w:t>
      </w:r>
      <w:r>
        <w:rPr>
          <w:i/>
          <w:snapToGrid/>
          <w:szCs w:val="24"/>
          <w:lang w:eastAsia="en-AU"/>
        </w:rPr>
        <w:t xml:space="preserve"> (No.2) </w:t>
      </w:r>
      <w:r>
        <w:rPr>
          <w:snapToGrid/>
          <w:szCs w:val="24"/>
          <w:lang w:eastAsia="en-AU"/>
        </w:rPr>
        <w:t xml:space="preserve">as a result of the </w:t>
      </w:r>
      <w:r w:rsidRPr="0074799E">
        <w:rPr>
          <w:i/>
          <w:iCs/>
          <w:snapToGrid/>
          <w:szCs w:val="24"/>
          <w:lang w:eastAsia="en-AU"/>
        </w:rPr>
        <w:t>Omnibus Repeal Day (Autumn 2014) Act 2014</w:t>
      </w:r>
      <w:r w:rsidR="004B2260" w:rsidRPr="000B3C7F">
        <w:rPr>
          <w:iCs/>
          <w:snapToGrid/>
          <w:szCs w:val="24"/>
          <w:lang w:eastAsia="en-AU"/>
        </w:rPr>
        <w:t>,</w:t>
      </w:r>
      <w:r w:rsidR="0001711E" w:rsidRPr="004B2260">
        <w:rPr>
          <w:snapToGrid/>
          <w:szCs w:val="24"/>
          <w:lang w:eastAsia="en-AU"/>
        </w:rPr>
        <w:t xml:space="preserve"> </w:t>
      </w:r>
      <w:r w:rsidR="006405E6">
        <w:rPr>
          <w:snapToGrid/>
          <w:szCs w:val="24"/>
          <w:lang w:eastAsia="en-AU"/>
        </w:rPr>
        <w:t>makes a technical correction</w:t>
      </w:r>
      <w:r>
        <w:rPr>
          <w:snapToGrid/>
          <w:szCs w:val="24"/>
          <w:lang w:eastAsia="en-AU"/>
        </w:rPr>
        <w:t xml:space="preserve"> </w:t>
      </w:r>
      <w:r w:rsidR="004B2260">
        <w:rPr>
          <w:snapToGrid/>
          <w:szCs w:val="24"/>
          <w:lang w:eastAsia="en-AU"/>
        </w:rPr>
        <w:t xml:space="preserve">to the </w:t>
      </w:r>
      <w:r w:rsidR="004B2260">
        <w:rPr>
          <w:i/>
          <w:snapToGrid/>
          <w:szCs w:val="24"/>
          <w:lang w:eastAsia="en-AU"/>
        </w:rPr>
        <w:t xml:space="preserve">Subsidy Principles 2014 </w:t>
      </w:r>
      <w:r>
        <w:rPr>
          <w:snapToGrid/>
          <w:szCs w:val="24"/>
          <w:lang w:eastAsia="en-AU"/>
        </w:rPr>
        <w:t>by clarifying the matters on which a Minister can determine the amount of accommodation supplement</w:t>
      </w:r>
      <w:r w:rsidR="004B2260">
        <w:rPr>
          <w:snapToGrid/>
          <w:szCs w:val="24"/>
          <w:lang w:eastAsia="en-AU"/>
        </w:rPr>
        <w:t>,</w:t>
      </w:r>
      <w:r w:rsidR="0001711E">
        <w:rPr>
          <w:snapToGrid/>
          <w:szCs w:val="24"/>
          <w:lang w:eastAsia="en-AU"/>
        </w:rPr>
        <w:t xml:space="preserve"> and </w:t>
      </w:r>
      <w:r>
        <w:rPr>
          <w:snapToGrid/>
          <w:szCs w:val="24"/>
          <w:lang w:eastAsia="en-AU"/>
        </w:rPr>
        <w:t xml:space="preserve">inserts clinical psychologist </w:t>
      </w:r>
      <w:r w:rsidR="0001711E">
        <w:rPr>
          <w:snapToGrid/>
          <w:szCs w:val="24"/>
          <w:lang w:eastAsia="en-AU"/>
        </w:rPr>
        <w:t xml:space="preserve">in </w:t>
      </w:r>
      <w:r>
        <w:rPr>
          <w:snapToGrid/>
          <w:szCs w:val="24"/>
          <w:lang w:eastAsia="en-AU"/>
        </w:rPr>
        <w:t xml:space="preserve">to the list of practitioners that may conduct assessments </w:t>
      </w:r>
      <w:r w:rsidR="0001711E">
        <w:rPr>
          <w:snapToGrid/>
          <w:szCs w:val="24"/>
          <w:lang w:eastAsia="en-AU"/>
        </w:rPr>
        <w:t>that determine eligibility for the dementia and cognition supplement.</w:t>
      </w:r>
    </w:p>
    <w:p w14:paraId="2FA734E4" w14:textId="326664F1" w:rsidR="00864DF7" w:rsidRPr="00B927FE" w:rsidRDefault="00864DF7" w:rsidP="00864DF7">
      <w:pPr>
        <w:widowControl/>
        <w:spacing w:before="120" w:after="120"/>
        <w:rPr>
          <w:snapToGrid/>
          <w:szCs w:val="24"/>
          <w:lang w:eastAsia="en-AU"/>
        </w:rPr>
      </w:pPr>
      <w:r w:rsidRPr="00B927FE">
        <w:rPr>
          <w:b/>
          <w:bCs/>
          <w:snapToGrid/>
          <w:szCs w:val="24"/>
          <w:lang w:eastAsia="en-AU"/>
        </w:rPr>
        <w:t xml:space="preserve">Human </w:t>
      </w:r>
      <w:r w:rsidR="0001711E">
        <w:rPr>
          <w:b/>
          <w:bCs/>
          <w:snapToGrid/>
          <w:szCs w:val="24"/>
          <w:lang w:eastAsia="en-AU"/>
        </w:rPr>
        <w:t>R</w:t>
      </w:r>
      <w:r w:rsidRPr="00B927FE">
        <w:rPr>
          <w:b/>
          <w:bCs/>
          <w:snapToGrid/>
          <w:szCs w:val="24"/>
          <w:lang w:eastAsia="en-AU"/>
        </w:rPr>
        <w:t xml:space="preserve">ights </w:t>
      </w:r>
      <w:r w:rsidR="0001711E">
        <w:rPr>
          <w:b/>
          <w:bCs/>
          <w:snapToGrid/>
          <w:szCs w:val="24"/>
          <w:lang w:eastAsia="en-AU"/>
        </w:rPr>
        <w:t>I</w:t>
      </w:r>
      <w:r w:rsidRPr="00B927FE">
        <w:rPr>
          <w:b/>
          <w:bCs/>
          <w:snapToGrid/>
          <w:szCs w:val="24"/>
          <w:lang w:eastAsia="en-AU"/>
        </w:rPr>
        <w:t>mplications</w:t>
      </w:r>
    </w:p>
    <w:p w14:paraId="3CA4DEA1" w14:textId="61C52F87" w:rsidR="00864DF7" w:rsidRPr="00313075" w:rsidRDefault="00864DF7" w:rsidP="00864DF7">
      <w:pPr>
        <w:rPr>
          <w:szCs w:val="24"/>
          <w:lang w:eastAsia="en-AU"/>
        </w:rPr>
      </w:pPr>
      <w:r>
        <w:rPr>
          <w:szCs w:val="24"/>
          <w:lang w:eastAsia="en-AU"/>
        </w:rPr>
        <w:t xml:space="preserve">This legislative instrument </w:t>
      </w:r>
      <w:r w:rsidRPr="00313075">
        <w:rPr>
          <w:szCs w:val="24"/>
          <w:lang w:eastAsia="en-AU"/>
        </w:rPr>
        <w:t xml:space="preserve">is compatible with the </w:t>
      </w:r>
      <w:r w:rsidRPr="00FD50BD">
        <w:rPr>
          <w:szCs w:val="24"/>
          <w:lang w:eastAsia="en-AU"/>
        </w:rPr>
        <w:t>right to an adequate standard of living contained in article 11 of the International Covenant on Economic, Social and Cultural Rights</w:t>
      </w:r>
      <w:r w:rsidRPr="00313075">
        <w:rPr>
          <w:szCs w:val="24"/>
          <w:lang w:eastAsia="en-AU"/>
        </w:rPr>
        <w:t xml:space="preserve">. </w:t>
      </w:r>
      <w:r w:rsidR="00856E90">
        <w:rPr>
          <w:szCs w:val="24"/>
          <w:lang w:eastAsia="en-AU"/>
        </w:rPr>
        <w:t>A</w:t>
      </w:r>
      <w:r w:rsidR="00682616">
        <w:rPr>
          <w:szCs w:val="24"/>
          <w:lang w:eastAsia="en-AU"/>
        </w:rPr>
        <w:t>ged care facilities must continue to comply with state and territory building requirements.</w:t>
      </w:r>
    </w:p>
    <w:p w14:paraId="1BFD8B20" w14:textId="77777777" w:rsidR="00864DF7" w:rsidRPr="00313075" w:rsidRDefault="00864DF7" w:rsidP="00864DF7">
      <w:pPr>
        <w:rPr>
          <w:szCs w:val="24"/>
          <w:lang w:eastAsia="en-AU"/>
        </w:rPr>
      </w:pPr>
    </w:p>
    <w:p w14:paraId="68CF0CC9" w14:textId="2810A456" w:rsidR="00864DF7" w:rsidRPr="00250D16" w:rsidRDefault="00864DF7" w:rsidP="00864DF7">
      <w:pPr>
        <w:rPr>
          <w:szCs w:val="24"/>
          <w:lang w:eastAsia="en-AU"/>
        </w:rPr>
      </w:pPr>
      <w:r>
        <w:rPr>
          <w:color w:val="000000"/>
          <w:szCs w:val="24"/>
          <w:lang w:eastAsia="en-AU"/>
        </w:rPr>
        <w:t>This legislative instrument is also compatible with</w:t>
      </w:r>
      <w:r w:rsidRPr="00916E12">
        <w:rPr>
          <w:color w:val="000000"/>
          <w:szCs w:val="24"/>
          <w:lang w:eastAsia="en-AU"/>
        </w:rPr>
        <w:t xml:space="preserve"> the right to the enjoyment of the highest attainable standard of physical and mental health as contained in article 12(1) of the International Covenant on Economic, Social and Cultural Rights, and article 25 and article 28 of the </w:t>
      </w:r>
      <w:hyperlink r:id="rId9" w:history="1">
        <w:r w:rsidRPr="00313075">
          <w:rPr>
            <w:color w:val="000000"/>
            <w:szCs w:val="24"/>
            <w:lang w:eastAsia="en-AU"/>
          </w:rPr>
          <w:t>Convention on the Rights of Persons with Disabilities</w:t>
        </w:r>
      </w:hyperlink>
      <w:r w:rsidRPr="00916E12">
        <w:rPr>
          <w:color w:val="000000"/>
          <w:szCs w:val="24"/>
          <w:lang w:eastAsia="en-AU"/>
        </w:rPr>
        <w:t xml:space="preserve">. </w:t>
      </w:r>
      <w:r w:rsidRPr="00313075">
        <w:rPr>
          <w:color w:val="000000"/>
          <w:szCs w:val="24"/>
          <w:lang w:eastAsia="en-AU"/>
        </w:rPr>
        <w:t xml:space="preserve"> </w:t>
      </w:r>
      <w:r w:rsidR="00B901EC">
        <w:rPr>
          <w:color w:val="000000"/>
          <w:szCs w:val="24"/>
          <w:lang w:eastAsia="en-AU"/>
        </w:rPr>
        <w:t>The Amending Principles continue to enable</w:t>
      </w:r>
      <w:r w:rsidRPr="00313075">
        <w:rPr>
          <w:color w:val="000000"/>
          <w:szCs w:val="24"/>
          <w:lang w:eastAsia="en-AU"/>
        </w:rPr>
        <w:t xml:space="preserve"> the payment of supplements</w:t>
      </w:r>
      <w:r w:rsidRPr="00916E12">
        <w:rPr>
          <w:color w:val="000000"/>
          <w:szCs w:val="24"/>
          <w:lang w:eastAsia="en-AU"/>
        </w:rPr>
        <w:t xml:space="preserve"> to approved providers for the provision of care and services to people with a condition of frailty or disability who require assistance to achieve and maintain the highest attainable standard of physical and mental health. </w:t>
      </w:r>
      <w:r w:rsidRPr="00313075">
        <w:rPr>
          <w:color w:val="000000"/>
          <w:szCs w:val="24"/>
          <w:lang w:eastAsia="en-AU"/>
        </w:rPr>
        <w:t xml:space="preserve"> </w:t>
      </w:r>
    </w:p>
    <w:p w14:paraId="6A2A63C4" w14:textId="77777777" w:rsidR="00864DF7" w:rsidRPr="00B927FE" w:rsidRDefault="00864DF7" w:rsidP="00864DF7">
      <w:pPr>
        <w:widowControl/>
        <w:spacing w:before="120" w:after="120"/>
        <w:rPr>
          <w:snapToGrid/>
          <w:szCs w:val="24"/>
          <w:lang w:eastAsia="en-AU"/>
        </w:rPr>
      </w:pPr>
      <w:r w:rsidRPr="00B927FE">
        <w:rPr>
          <w:b/>
          <w:bCs/>
          <w:snapToGrid/>
          <w:szCs w:val="24"/>
          <w:lang w:eastAsia="en-AU"/>
        </w:rPr>
        <w:t>Conclusion</w:t>
      </w:r>
    </w:p>
    <w:p w14:paraId="774253DB" w14:textId="77777777" w:rsidR="00864DF7" w:rsidRPr="00916E12" w:rsidRDefault="00864DF7" w:rsidP="00864DF7">
      <w:pPr>
        <w:rPr>
          <w:szCs w:val="24"/>
          <w:lang w:eastAsia="en-AU"/>
        </w:rPr>
      </w:pPr>
      <w:r w:rsidRPr="00916E12">
        <w:rPr>
          <w:szCs w:val="24"/>
          <w:lang w:eastAsia="en-AU"/>
        </w:rPr>
        <w:t>This legislative instrument is compatible with human rights as it promotes the human right to an adequate standard of living and the highest attainable standard of physical and mental health.</w:t>
      </w:r>
    </w:p>
    <w:p w14:paraId="4697E9DA" w14:textId="77777777" w:rsidR="00864DF7" w:rsidRDefault="00864DF7" w:rsidP="00864DF7">
      <w:pPr>
        <w:pStyle w:val="Title"/>
        <w:rPr>
          <w:b w:val="0"/>
          <w:i/>
          <w:szCs w:val="24"/>
        </w:rPr>
      </w:pPr>
    </w:p>
    <w:p w14:paraId="4CF31C3F" w14:textId="77777777" w:rsidR="00864DF7" w:rsidRPr="00E1734E" w:rsidRDefault="00864DF7" w:rsidP="00864DF7">
      <w:pPr>
        <w:pStyle w:val="Title"/>
        <w:rPr>
          <w:szCs w:val="24"/>
        </w:rPr>
      </w:pPr>
    </w:p>
    <w:p w14:paraId="258F84BD" w14:textId="77777777" w:rsidR="00864DF7" w:rsidRPr="00E1734E" w:rsidRDefault="00864DF7" w:rsidP="00864DF7">
      <w:pPr>
        <w:pStyle w:val="Title"/>
        <w:rPr>
          <w:szCs w:val="24"/>
        </w:rPr>
      </w:pPr>
      <w:r w:rsidRPr="00E1734E">
        <w:rPr>
          <w:szCs w:val="24"/>
        </w:rPr>
        <w:t>Senator the Hon Mitch Fifield</w:t>
      </w:r>
    </w:p>
    <w:p w14:paraId="0DE41710" w14:textId="77777777" w:rsidR="00864DF7" w:rsidRPr="00CD002F" w:rsidRDefault="00864DF7" w:rsidP="00864DF7">
      <w:pPr>
        <w:pStyle w:val="Title"/>
      </w:pPr>
      <w:r w:rsidRPr="00E1734E">
        <w:rPr>
          <w:szCs w:val="24"/>
        </w:rPr>
        <w:t>Assistant Minister for Social Services</w:t>
      </w:r>
    </w:p>
    <w:p w14:paraId="31066FF2" w14:textId="21FC172A" w:rsidR="007F4E20" w:rsidRPr="00CD002F" w:rsidRDefault="007F4E20" w:rsidP="002F75C6">
      <w:pPr>
        <w:pStyle w:val="Title"/>
      </w:pPr>
    </w:p>
    <w:sectPr w:rsidR="007F4E20" w:rsidRPr="00CD002F" w:rsidSect="005460C1">
      <w:footerReference w:type="defaul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C89DD" w14:textId="77777777" w:rsidR="003B08A0" w:rsidRDefault="003B08A0">
      <w:r>
        <w:separator/>
      </w:r>
    </w:p>
  </w:endnote>
  <w:endnote w:type="continuationSeparator" w:id="0">
    <w:p w14:paraId="343E4111" w14:textId="77777777" w:rsidR="003B08A0" w:rsidRDefault="003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1341" w14:textId="77777777"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1900DD">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E788D" w14:textId="77777777" w:rsidR="003B08A0" w:rsidRDefault="003B08A0">
      <w:r>
        <w:separator/>
      </w:r>
    </w:p>
  </w:footnote>
  <w:footnote w:type="continuationSeparator" w:id="0">
    <w:p w14:paraId="31291391" w14:textId="77777777" w:rsidR="003B08A0" w:rsidRDefault="003B0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4208DA"/>
    <w:multiLevelType w:val="hybridMultilevel"/>
    <w:tmpl w:val="77E86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6"/>
  </w:num>
  <w:num w:numId="6">
    <w:abstractNumId w:val="1"/>
  </w:num>
  <w:num w:numId="7">
    <w:abstractNumId w:val="2"/>
  </w:num>
  <w:num w:numId="8">
    <w:abstractNumId w:val="7"/>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1C5C"/>
    <w:rsid w:val="000075ED"/>
    <w:rsid w:val="00007DEB"/>
    <w:rsid w:val="0001280B"/>
    <w:rsid w:val="0001602D"/>
    <w:rsid w:val="0001702A"/>
    <w:rsid w:val="0001711E"/>
    <w:rsid w:val="00021611"/>
    <w:rsid w:val="000303F8"/>
    <w:rsid w:val="00032988"/>
    <w:rsid w:val="00033868"/>
    <w:rsid w:val="0004189E"/>
    <w:rsid w:val="00044942"/>
    <w:rsid w:val="000777AE"/>
    <w:rsid w:val="00084704"/>
    <w:rsid w:val="000A5381"/>
    <w:rsid w:val="000A725E"/>
    <w:rsid w:val="000B2697"/>
    <w:rsid w:val="000B3C7F"/>
    <w:rsid w:val="000B593D"/>
    <w:rsid w:val="000C0100"/>
    <w:rsid w:val="000E7D81"/>
    <w:rsid w:val="000F6A8E"/>
    <w:rsid w:val="00106A84"/>
    <w:rsid w:val="0011780A"/>
    <w:rsid w:val="001213CD"/>
    <w:rsid w:val="00124D33"/>
    <w:rsid w:val="00142AB4"/>
    <w:rsid w:val="00153735"/>
    <w:rsid w:val="0015605D"/>
    <w:rsid w:val="001900DD"/>
    <w:rsid w:val="001A2D1F"/>
    <w:rsid w:val="001B4086"/>
    <w:rsid w:val="001B678D"/>
    <w:rsid w:val="001F2529"/>
    <w:rsid w:val="001F303C"/>
    <w:rsid w:val="001F5BB2"/>
    <w:rsid w:val="001F5F80"/>
    <w:rsid w:val="00217443"/>
    <w:rsid w:val="0021782D"/>
    <w:rsid w:val="002328BE"/>
    <w:rsid w:val="00234CB8"/>
    <w:rsid w:val="002662DF"/>
    <w:rsid w:val="002932E3"/>
    <w:rsid w:val="00294C56"/>
    <w:rsid w:val="002A79B9"/>
    <w:rsid w:val="002D5ED2"/>
    <w:rsid w:val="002D6174"/>
    <w:rsid w:val="002D71DB"/>
    <w:rsid w:val="002E1783"/>
    <w:rsid w:val="002E33BC"/>
    <w:rsid w:val="002F21D7"/>
    <w:rsid w:val="002F22FF"/>
    <w:rsid w:val="002F75C6"/>
    <w:rsid w:val="00320055"/>
    <w:rsid w:val="0032031A"/>
    <w:rsid w:val="00332D22"/>
    <w:rsid w:val="003403BA"/>
    <w:rsid w:val="00341555"/>
    <w:rsid w:val="00344EA5"/>
    <w:rsid w:val="00345BEC"/>
    <w:rsid w:val="00360276"/>
    <w:rsid w:val="003622D8"/>
    <w:rsid w:val="003A1D6D"/>
    <w:rsid w:val="003A4185"/>
    <w:rsid w:val="003B08A0"/>
    <w:rsid w:val="003D2410"/>
    <w:rsid w:val="003E4CE3"/>
    <w:rsid w:val="003F6489"/>
    <w:rsid w:val="00405491"/>
    <w:rsid w:val="00423BC5"/>
    <w:rsid w:val="00441543"/>
    <w:rsid w:val="00476F3E"/>
    <w:rsid w:val="004A017D"/>
    <w:rsid w:val="004A2FE7"/>
    <w:rsid w:val="004A7919"/>
    <w:rsid w:val="004B0DE2"/>
    <w:rsid w:val="004B2260"/>
    <w:rsid w:val="004B48DD"/>
    <w:rsid w:val="004C7716"/>
    <w:rsid w:val="004D24FA"/>
    <w:rsid w:val="004F0152"/>
    <w:rsid w:val="004F232A"/>
    <w:rsid w:val="00521160"/>
    <w:rsid w:val="00527C50"/>
    <w:rsid w:val="005307CD"/>
    <w:rsid w:val="005460C1"/>
    <w:rsid w:val="005504C3"/>
    <w:rsid w:val="005A2BD0"/>
    <w:rsid w:val="005B0113"/>
    <w:rsid w:val="005B1420"/>
    <w:rsid w:val="005D2CF3"/>
    <w:rsid w:val="005E1C1E"/>
    <w:rsid w:val="0061489F"/>
    <w:rsid w:val="006405E6"/>
    <w:rsid w:val="00643A3E"/>
    <w:rsid w:val="00680B19"/>
    <w:rsid w:val="00682616"/>
    <w:rsid w:val="0068376E"/>
    <w:rsid w:val="006975A1"/>
    <w:rsid w:val="006C37FF"/>
    <w:rsid w:val="006C3B01"/>
    <w:rsid w:val="006C6616"/>
    <w:rsid w:val="006D2728"/>
    <w:rsid w:val="006D552C"/>
    <w:rsid w:val="006E0E58"/>
    <w:rsid w:val="006E3DFC"/>
    <w:rsid w:val="006E7D97"/>
    <w:rsid w:val="006F408E"/>
    <w:rsid w:val="00702996"/>
    <w:rsid w:val="00722902"/>
    <w:rsid w:val="007236AF"/>
    <w:rsid w:val="0074799E"/>
    <w:rsid w:val="00763E11"/>
    <w:rsid w:val="00786EDD"/>
    <w:rsid w:val="007A4D83"/>
    <w:rsid w:val="007E17F8"/>
    <w:rsid w:val="007F4E20"/>
    <w:rsid w:val="0080399D"/>
    <w:rsid w:val="008240B8"/>
    <w:rsid w:val="00825A8A"/>
    <w:rsid w:val="00825ABC"/>
    <w:rsid w:val="008275B4"/>
    <w:rsid w:val="00834F84"/>
    <w:rsid w:val="0083514D"/>
    <w:rsid w:val="00836B16"/>
    <w:rsid w:val="0085346D"/>
    <w:rsid w:val="00856E90"/>
    <w:rsid w:val="0086056D"/>
    <w:rsid w:val="00864DF7"/>
    <w:rsid w:val="00866BCD"/>
    <w:rsid w:val="008855C3"/>
    <w:rsid w:val="008C29D4"/>
    <w:rsid w:val="008D0F35"/>
    <w:rsid w:val="008D61FD"/>
    <w:rsid w:val="008F506D"/>
    <w:rsid w:val="00905346"/>
    <w:rsid w:val="009514C0"/>
    <w:rsid w:val="00962DEF"/>
    <w:rsid w:val="00962F55"/>
    <w:rsid w:val="00982600"/>
    <w:rsid w:val="009B492A"/>
    <w:rsid w:val="009B6228"/>
    <w:rsid w:val="009C41EB"/>
    <w:rsid w:val="009C4A7D"/>
    <w:rsid w:val="009C658D"/>
    <w:rsid w:val="009C7394"/>
    <w:rsid w:val="00A05E6E"/>
    <w:rsid w:val="00A20C10"/>
    <w:rsid w:val="00A263B8"/>
    <w:rsid w:val="00A45E30"/>
    <w:rsid w:val="00A6040B"/>
    <w:rsid w:val="00A704D1"/>
    <w:rsid w:val="00A71561"/>
    <w:rsid w:val="00A71BAC"/>
    <w:rsid w:val="00A7352F"/>
    <w:rsid w:val="00A75B2C"/>
    <w:rsid w:val="00A9096E"/>
    <w:rsid w:val="00A96B30"/>
    <w:rsid w:val="00AA2CC9"/>
    <w:rsid w:val="00AA36E8"/>
    <w:rsid w:val="00AA3B63"/>
    <w:rsid w:val="00AC0932"/>
    <w:rsid w:val="00AC411B"/>
    <w:rsid w:val="00AE0BE8"/>
    <w:rsid w:val="00AE2AF0"/>
    <w:rsid w:val="00B47DB0"/>
    <w:rsid w:val="00B50B43"/>
    <w:rsid w:val="00B53ACE"/>
    <w:rsid w:val="00B5637C"/>
    <w:rsid w:val="00B57635"/>
    <w:rsid w:val="00B74345"/>
    <w:rsid w:val="00B82701"/>
    <w:rsid w:val="00B830AF"/>
    <w:rsid w:val="00B86196"/>
    <w:rsid w:val="00B901EC"/>
    <w:rsid w:val="00B927FE"/>
    <w:rsid w:val="00BA0661"/>
    <w:rsid w:val="00BD502D"/>
    <w:rsid w:val="00BF5615"/>
    <w:rsid w:val="00C04883"/>
    <w:rsid w:val="00C2077E"/>
    <w:rsid w:val="00C2692A"/>
    <w:rsid w:val="00C503A3"/>
    <w:rsid w:val="00C67D05"/>
    <w:rsid w:val="00C748BC"/>
    <w:rsid w:val="00CA3271"/>
    <w:rsid w:val="00CA75AB"/>
    <w:rsid w:val="00CB0A73"/>
    <w:rsid w:val="00CD002F"/>
    <w:rsid w:val="00CE7D5F"/>
    <w:rsid w:val="00D162C3"/>
    <w:rsid w:val="00D25208"/>
    <w:rsid w:val="00D31676"/>
    <w:rsid w:val="00D32DBD"/>
    <w:rsid w:val="00D5586A"/>
    <w:rsid w:val="00D635D6"/>
    <w:rsid w:val="00DA6117"/>
    <w:rsid w:val="00DB6029"/>
    <w:rsid w:val="00DB66F2"/>
    <w:rsid w:val="00DC58AB"/>
    <w:rsid w:val="00DC5EEE"/>
    <w:rsid w:val="00DD1134"/>
    <w:rsid w:val="00DE5F73"/>
    <w:rsid w:val="00DE6F3F"/>
    <w:rsid w:val="00DF4C90"/>
    <w:rsid w:val="00DF5998"/>
    <w:rsid w:val="00E3374A"/>
    <w:rsid w:val="00E43BB0"/>
    <w:rsid w:val="00E648D1"/>
    <w:rsid w:val="00E7071E"/>
    <w:rsid w:val="00E83820"/>
    <w:rsid w:val="00E91DB7"/>
    <w:rsid w:val="00EA06EB"/>
    <w:rsid w:val="00EA26C6"/>
    <w:rsid w:val="00EB1D38"/>
    <w:rsid w:val="00F37903"/>
    <w:rsid w:val="00F459D1"/>
    <w:rsid w:val="00F57F45"/>
    <w:rsid w:val="00F77C32"/>
    <w:rsid w:val="00F818F1"/>
    <w:rsid w:val="00F82C6F"/>
    <w:rsid w:val="00F94D5B"/>
    <w:rsid w:val="00F95F81"/>
    <w:rsid w:val="00FA0896"/>
    <w:rsid w:val="00FD000D"/>
    <w:rsid w:val="00FE59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0E14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6D"/>
    <w:pPr>
      <w:widowControl w:val="0"/>
      <w:spacing w:after="0" w:line="240" w:lineRule="auto"/>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uiPriority w:val="99"/>
    <w:rsid w:val="0085346D"/>
    <w:pPr>
      <w:tabs>
        <w:tab w:val="center" w:pos="4153"/>
        <w:tab w:val="right" w:pos="8306"/>
      </w:tabs>
    </w:pPr>
  </w:style>
  <w:style w:type="character" w:customStyle="1" w:styleId="HeaderChar">
    <w:name w:val="Header Char"/>
    <w:basedOn w:val="DefaultParagraphFont"/>
    <w:link w:val="Header"/>
    <w:uiPriority w:val="99"/>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6D"/>
    <w:pPr>
      <w:widowControl w:val="0"/>
      <w:spacing w:after="0" w:line="240" w:lineRule="auto"/>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uiPriority w:val="99"/>
    <w:rsid w:val="0085346D"/>
    <w:pPr>
      <w:tabs>
        <w:tab w:val="center" w:pos="4153"/>
        <w:tab w:val="right" w:pos="8306"/>
      </w:tabs>
    </w:pPr>
  </w:style>
  <w:style w:type="character" w:customStyle="1" w:styleId="HeaderChar">
    <w:name w:val="Header Char"/>
    <w:basedOn w:val="DefaultParagraphFont"/>
    <w:link w:val="Header"/>
    <w:uiPriority w:val="99"/>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 w:id="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2104184412">
          <w:marLeft w:val="0"/>
          <w:marRight w:val="0"/>
          <w:marTop w:val="0"/>
          <w:marBottom w:val="0"/>
          <w:divBdr>
            <w:top w:val="none" w:sz="0" w:space="0" w:color="auto"/>
            <w:left w:val="none" w:sz="0" w:space="0" w:color="auto"/>
            <w:bottom w:val="none" w:sz="0" w:space="0" w:color="auto"/>
            <w:right w:val="none" w:sz="0" w:space="0" w:color="auto"/>
          </w:divBdr>
          <w:divsChild>
            <w:div w:id="907691166">
              <w:marLeft w:val="0"/>
              <w:marRight w:val="0"/>
              <w:marTop w:val="0"/>
              <w:marBottom w:val="0"/>
              <w:divBdr>
                <w:top w:val="none" w:sz="0" w:space="0" w:color="auto"/>
                <w:left w:val="none" w:sz="0" w:space="0" w:color="auto"/>
                <w:bottom w:val="none" w:sz="0" w:space="0" w:color="auto"/>
                <w:right w:val="none" w:sz="0" w:space="0" w:color="auto"/>
              </w:divBdr>
              <w:divsChild>
                <w:div w:id="1362900870">
                  <w:marLeft w:val="0"/>
                  <w:marRight w:val="0"/>
                  <w:marTop w:val="0"/>
                  <w:marBottom w:val="0"/>
                  <w:divBdr>
                    <w:top w:val="none" w:sz="0" w:space="0" w:color="auto"/>
                    <w:left w:val="none" w:sz="0" w:space="0" w:color="auto"/>
                    <w:bottom w:val="none" w:sz="0" w:space="0" w:color="auto"/>
                    <w:right w:val="none" w:sz="0" w:space="0" w:color="auto"/>
                  </w:divBdr>
                  <w:divsChild>
                    <w:div w:id="880556255">
                      <w:marLeft w:val="0"/>
                      <w:marRight w:val="0"/>
                      <w:marTop w:val="0"/>
                      <w:marBottom w:val="0"/>
                      <w:divBdr>
                        <w:top w:val="none" w:sz="0" w:space="0" w:color="auto"/>
                        <w:left w:val="none" w:sz="0" w:space="0" w:color="auto"/>
                        <w:bottom w:val="none" w:sz="0" w:space="0" w:color="auto"/>
                        <w:right w:val="none" w:sz="0" w:space="0" w:color="auto"/>
                      </w:divBdr>
                      <w:divsChild>
                        <w:div w:id="460850701">
                          <w:marLeft w:val="0"/>
                          <w:marRight w:val="0"/>
                          <w:marTop w:val="0"/>
                          <w:marBottom w:val="0"/>
                          <w:divBdr>
                            <w:top w:val="single" w:sz="6" w:space="0" w:color="828282"/>
                            <w:left w:val="single" w:sz="6" w:space="0" w:color="828282"/>
                            <w:bottom w:val="single" w:sz="6" w:space="0" w:color="828282"/>
                            <w:right w:val="single" w:sz="6" w:space="0" w:color="828282"/>
                          </w:divBdr>
                          <w:divsChild>
                            <w:div w:id="1053237998">
                              <w:marLeft w:val="0"/>
                              <w:marRight w:val="0"/>
                              <w:marTop w:val="0"/>
                              <w:marBottom w:val="0"/>
                              <w:divBdr>
                                <w:top w:val="none" w:sz="0" w:space="0" w:color="auto"/>
                                <w:left w:val="none" w:sz="0" w:space="0" w:color="auto"/>
                                <w:bottom w:val="none" w:sz="0" w:space="0" w:color="auto"/>
                                <w:right w:val="none" w:sz="0" w:space="0" w:color="auto"/>
                              </w:divBdr>
                              <w:divsChild>
                                <w:div w:id="1406799988">
                                  <w:marLeft w:val="0"/>
                                  <w:marRight w:val="0"/>
                                  <w:marTop w:val="0"/>
                                  <w:marBottom w:val="0"/>
                                  <w:divBdr>
                                    <w:top w:val="none" w:sz="0" w:space="0" w:color="auto"/>
                                    <w:left w:val="none" w:sz="0" w:space="0" w:color="auto"/>
                                    <w:bottom w:val="none" w:sz="0" w:space="0" w:color="auto"/>
                                    <w:right w:val="none" w:sz="0" w:space="0" w:color="auto"/>
                                  </w:divBdr>
                                  <w:divsChild>
                                    <w:div w:id="537201640">
                                      <w:marLeft w:val="0"/>
                                      <w:marRight w:val="0"/>
                                      <w:marTop w:val="0"/>
                                      <w:marBottom w:val="0"/>
                                      <w:divBdr>
                                        <w:top w:val="none" w:sz="0" w:space="0" w:color="auto"/>
                                        <w:left w:val="none" w:sz="0" w:space="0" w:color="auto"/>
                                        <w:bottom w:val="none" w:sz="0" w:space="0" w:color="auto"/>
                                        <w:right w:val="none" w:sz="0" w:space="0" w:color="auto"/>
                                      </w:divBdr>
                                      <w:divsChild>
                                        <w:div w:id="1417704430">
                                          <w:marLeft w:val="0"/>
                                          <w:marRight w:val="0"/>
                                          <w:marTop w:val="0"/>
                                          <w:marBottom w:val="0"/>
                                          <w:divBdr>
                                            <w:top w:val="none" w:sz="0" w:space="0" w:color="auto"/>
                                            <w:left w:val="none" w:sz="0" w:space="0" w:color="auto"/>
                                            <w:bottom w:val="none" w:sz="0" w:space="0" w:color="auto"/>
                                            <w:right w:val="none" w:sz="0" w:space="0" w:color="auto"/>
                                          </w:divBdr>
                                          <w:divsChild>
                                            <w:div w:id="1950744795">
                                              <w:marLeft w:val="0"/>
                                              <w:marRight w:val="0"/>
                                              <w:marTop w:val="0"/>
                                              <w:marBottom w:val="0"/>
                                              <w:divBdr>
                                                <w:top w:val="none" w:sz="0" w:space="0" w:color="auto"/>
                                                <w:left w:val="none" w:sz="0" w:space="0" w:color="auto"/>
                                                <w:bottom w:val="none" w:sz="0" w:space="0" w:color="auto"/>
                                                <w:right w:val="none" w:sz="0" w:space="0" w:color="auto"/>
                                              </w:divBdr>
                                              <w:divsChild>
                                                <w:div w:id="2074624394">
                                                  <w:marLeft w:val="0"/>
                                                  <w:marRight w:val="0"/>
                                                  <w:marTop w:val="0"/>
                                                  <w:marBottom w:val="0"/>
                                                  <w:divBdr>
                                                    <w:top w:val="none" w:sz="0" w:space="0" w:color="auto"/>
                                                    <w:left w:val="none" w:sz="0" w:space="0" w:color="auto"/>
                                                    <w:bottom w:val="none" w:sz="0" w:space="0" w:color="auto"/>
                                                    <w:right w:val="none" w:sz="0" w:space="0" w:color="auto"/>
                                                  </w:divBdr>
                                                  <w:divsChild>
                                                    <w:div w:id="4982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495390">
      <w:bodyDiv w:val="1"/>
      <w:marLeft w:val="0"/>
      <w:marRight w:val="0"/>
      <w:marTop w:val="0"/>
      <w:marBottom w:val="0"/>
      <w:divBdr>
        <w:top w:val="none" w:sz="0" w:space="0" w:color="auto"/>
        <w:left w:val="none" w:sz="0" w:space="0" w:color="auto"/>
        <w:bottom w:val="none" w:sz="0" w:space="0" w:color="auto"/>
        <w:right w:val="none" w:sz="0" w:space="0" w:color="auto"/>
      </w:divBdr>
      <w:divsChild>
        <w:div w:id="551767480">
          <w:marLeft w:val="0"/>
          <w:marRight w:val="0"/>
          <w:marTop w:val="0"/>
          <w:marBottom w:val="0"/>
          <w:divBdr>
            <w:top w:val="none" w:sz="0" w:space="0" w:color="auto"/>
            <w:left w:val="none" w:sz="0" w:space="0" w:color="auto"/>
            <w:bottom w:val="none" w:sz="0" w:space="0" w:color="auto"/>
            <w:right w:val="none" w:sz="0" w:space="0" w:color="auto"/>
          </w:divBdr>
          <w:divsChild>
            <w:div w:id="341973111">
              <w:marLeft w:val="0"/>
              <w:marRight w:val="0"/>
              <w:marTop w:val="0"/>
              <w:marBottom w:val="0"/>
              <w:divBdr>
                <w:top w:val="none" w:sz="0" w:space="0" w:color="auto"/>
                <w:left w:val="none" w:sz="0" w:space="0" w:color="auto"/>
                <w:bottom w:val="none" w:sz="0" w:space="0" w:color="auto"/>
                <w:right w:val="none" w:sz="0" w:space="0" w:color="auto"/>
              </w:divBdr>
              <w:divsChild>
                <w:div w:id="1038168124">
                  <w:marLeft w:val="0"/>
                  <w:marRight w:val="0"/>
                  <w:marTop w:val="0"/>
                  <w:marBottom w:val="0"/>
                  <w:divBdr>
                    <w:top w:val="none" w:sz="0" w:space="0" w:color="auto"/>
                    <w:left w:val="none" w:sz="0" w:space="0" w:color="auto"/>
                    <w:bottom w:val="none" w:sz="0" w:space="0" w:color="auto"/>
                    <w:right w:val="none" w:sz="0" w:space="0" w:color="auto"/>
                  </w:divBdr>
                  <w:divsChild>
                    <w:div w:id="1687631170">
                      <w:marLeft w:val="0"/>
                      <w:marRight w:val="0"/>
                      <w:marTop w:val="0"/>
                      <w:marBottom w:val="0"/>
                      <w:divBdr>
                        <w:top w:val="none" w:sz="0" w:space="0" w:color="auto"/>
                        <w:left w:val="none" w:sz="0" w:space="0" w:color="auto"/>
                        <w:bottom w:val="none" w:sz="0" w:space="0" w:color="auto"/>
                        <w:right w:val="none" w:sz="0" w:space="0" w:color="auto"/>
                      </w:divBdr>
                      <w:divsChild>
                        <w:div w:id="1284728268">
                          <w:marLeft w:val="0"/>
                          <w:marRight w:val="0"/>
                          <w:marTop w:val="0"/>
                          <w:marBottom w:val="0"/>
                          <w:divBdr>
                            <w:top w:val="single" w:sz="6" w:space="0" w:color="828282"/>
                            <w:left w:val="single" w:sz="6" w:space="0" w:color="828282"/>
                            <w:bottom w:val="single" w:sz="6" w:space="0" w:color="828282"/>
                            <w:right w:val="single" w:sz="6" w:space="0" w:color="828282"/>
                          </w:divBdr>
                          <w:divsChild>
                            <w:div w:id="2115128801">
                              <w:marLeft w:val="0"/>
                              <w:marRight w:val="0"/>
                              <w:marTop w:val="0"/>
                              <w:marBottom w:val="0"/>
                              <w:divBdr>
                                <w:top w:val="none" w:sz="0" w:space="0" w:color="auto"/>
                                <w:left w:val="none" w:sz="0" w:space="0" w:color="auto"/>
                                <w:bottom w:val="none" w:sz="0" w:space="0" w:color="auto"/>
                                <w:right w:val="none" w:sz="0" w:space="0" w:color="auto"/>
                              </w:divBdr>
                              <w:divsChild>
                                <w:div w:id="644353572">
                                  <w:marLeft w:val="0"/>
                                  <w:marRight w:val="0"/>
                                  <w:marTop w:val="0"/>
                                  <w:marBottom w:val="0"/>
                                  <w:divBdr>
                                    <w:top w:val="none" w:sz="0" w:space="0" w:color="auto"/>
                                    <w:left w:val="none" w:sz="0" w:space="0" w:color="auto"/>
                                    <w:bottom w:val="none" w:sz="0" w:space="0" w:color="auto"/>
                                    <w:right w:val="none" w:sz="0" w:space="0" w:color="auto"/>
                                  </w:divBdr>
                                  <w:divsChild>
                                    <w:div w:id="868955878">
                                      <w:marLeft w:val="0"/>
                                      <w:marRight w:val="0"/>
                                      <w:marTop w:val="0"/>
                                      <w:marBottom w:val="0"/>
                                      <w:divBdr>
                                        <w:top w:val="none" w:sz="0" w:space="0" w:color="auto"/>
                                        <w:left w:val="none" w:sz="0" w:space="0" w:color="auto"/>
                                        <w:bottom w:val="none" w:sz="0" w:space="0" w:color="auto"/>
                                        <w:right w:val="none" w:sz="0" w:space="0" w:color="auto"/>
                                      </w:divBdr>
                                      <w:divsChild>
                                        <w:div w:id="1665860239">
                                          <w:marLeft w:val="0"/>
                                          <w:marRight w:val="0"/>
                                          <w:marTop w:val="0"/>
                                          <w:marBottom w:val="0"/>
                                          <w:divBdr>
                                            <w:top w:val="none" w:sz="0" w:space="0" w:color="auto"/>
                                            <w:left w:val="none" w:sz="0" w:space="0" w:color="auto"/>
                                            <w:bottom w:val="none" w:sz="0" w:space="0" w:color="auto"/>
                                            <w:right w:val="none" w:sz="0" w:space="0" w:color="auto"/>
                                          </w:divBdr>
                                          <w:divsChild>
                                            <w:div w:id="1090467149">
                                              <w:marLeft w:val="0"/>
                                              <w:marRight w:val="0"/>
                                              <w:marTop w:val="0"/>
                                              <w:marBottom w:val="0"/>
                                              <w:divBdr>
                                                <w:top w:val="none" w:sz="0" w:space="0" w:color="auto"/>
                                                <w:left w:val="none" w:sz="0" w:space="0" w:color="auto"/>
                                                <w:bottom w:val="none" w:sz="0" w:space="0" w:color="auto"/>
                                                <w:right w:val="none" w:sz="0" w:space="0" w:color="auto"/>
                                              </w:divBdr>
                                              <w:divsChild>
                                                <w:div w:id="294260442">
                                                  <w:marLeft w:val="0"/>
                                                  <w:marRight w:val="0"/>
                                                  <w:marTop w:val="0"/>
                                                  <w:marBottom w:val="0"/>
                                                  <w:divBdr>
                                                    <w:top w:val="none" w:sz="0" w:space="0" w:color="auto"/>
                                                    <w:left w:val="none" w:sz="0" w:space="0" w:color="auto"/>
                                                    <w:bottom w:val="none" w:sz="0" w:space="0" w:color="auto"/>
                                                    <w:right w:val="none" w:sz="0" w:space="0" w:color="auto"/>
                                                  </w:divBdr>
                                                  <w:divsChild>
                                                    <w:div w:id="697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85239">
      <w:bodyDiv w:val="1"/>
      <w:marLeft w:val="0"/>
      <w:marRight w:val="0"/>
      <w:marTop w:val="0"/>
      <w:marBottom w:val="0"/>
      <w:divBdr>
        <w:top w:val="none" w:sz="0" w:space="0" w:color="auto"/>
        <w:left w:val="none" w:sz="0" w:space="0" w:color="auto"/>
        <w:bottom w:val="none" w:sz="0" w:space="0" w:color="auto"/>
        <w:right w:val="none" w:sz="0" w:space="0" w:color="auto"/>
      </w:divBdr>
      <w:divsChild>
        <w:div w:id="1367096513">
          <w:marLeft w:val="0"/>
          <w:marRight w:val="0"/>
          <w:marTop w:val="0"/>
          <w:marBottom w:val="0"/>
          <w:divBdr>
            <w:top w:val="single" w:sz="6" w:space="8" w:color="B8B8B8"/>
            <w:left w:val="none" w:sz="0" w:space="0" w:color="auto"/>
            <w:bottom w:val="none" w:sz="0" w:space="0" w:color="auto"/>
            <w:right w:val="none" w:sz="0" w:space="0" w:color="auto"/>
          </w:divBdr>
          <w:divsChild>
            <w:div w:id="834304791">
              <w:marLeft w:val="2"/>
              <w:marRight w:val="2"/>
              <w:marTop w:val="0"/>
              <w:marBottom w:val="0"/>
              <w:divBdr>
                <w:top w:val="single" w:sz="6" w:space="8" w:color="CDCCD4"/>
                <w:left w:val="single" w:sz="6" w:space="8" w:color="CDCCD4"/>
                <w:bottom w:val="single" w:sz="6" w:space="8" w:color="CDCCD4"/>
                <w:right w:val="single" w:sz="6" w:space="4" w:color="CDCCD4"/>
              </w:divBdr>
              <w:divsChild>
                <w:div w:id="489371283">
                  <w:marLeft w:val="0"/>
                  <w:marRight w:val="0"/>
                  <w:marTop w:val="75"/>
                  <w:marBottom w:val="75"/>
                  <w:divBdr>
                    <w:top w:val="single" w:sz="6" w:space="8" w:color="CCCCD4"/>
                    <w:left w:val="single" w:sz="6" w:space="8" w:color="CCCCD4"/>
                    <w:bottom w:val="single" w:sz="6" w:space="8" w:color="CCCCD4"/>
                    <w:right w:val="single" w:sz="6" w:space="8" w:color="CCCCD4"/>
                  </w:divBdr>
                  <w:divsChild>
                    <w:div w:id="21460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30032">
      <w:bodyDiv w:val="1"/>
      <w:marLeft w:val="0"/>
      <w:marRight w:val="0"/>
      <w:marTop w:val="0"/>
      <w:marBottom w:val="0"/>
      <w:divBdr>
        <w:top w:val="none" w:sz="0" w:space="0" w:color="auto"/>
        <w:left w:val="none" w:sz="0" w:space="0" w:color="auto"/>
        <w:bottom w:val="none" w:sz="0" w:space="0" w:color="auto"/>
        <w:right w:val="none" w:sz="0" w:space="0" w:color="auto"/>
      </w:divBdr>
      <w:divsChild>
        <w:div w:id="925380474">
          <w:marLeft w:val="0"/>
          <w:marRight w:val="0"/>
          <w:marTop w:val="0"/>
          <w:marBottom w:val="0"/>
          <w:divBdr>
            <w:top w:val="none" w:sz="0" w:space="0" w:color="auto"/>
            <w:left w:val="none" w:sz="0" w:space="0" w:color="auto"/>
            <w:bottom w:val="none" w:sz="0" w:space="0" w:color="auto"/>
            <w:right w:val="none" w:sz="0" w:space="0" w:color="auto"/>
          </w:divBdr>
          <w:divsChild>
            <w:div w:id="750661867">
              <w:marLeft w:val="0"/>
              <w:marRight w:val="0"/>
              <w:marTop w:val="0"/>
              <w:marBottom w:val="0"/>
              <w:divBdr>
                <w:top w:val="none" w:sz="0" w:space="0" w:color="auto"/>
                <w:left w:val="none" w:sz="0" w:space="0" w:color="auto"/>
                <w:bottom w:val="none" w:sz="0" w:space="0" w:color="auto"/>
                <w:right w:val="none" w:sz="0" w:space="0" w:color="auto"/>
              </w:divBdr>
              <w:divsChild>
                <w:div w:id="1184368114">
                  <w:marLeft w:val="0"/>
                  <w:marRight w:val="0"/>
                  <w:marTop w:val="0"/>
                  <w:marBottom w:val="0"/>
                  <w:divBdr>
                    <w:top w:val="none" w:sz="0" w:space="0" w:color="auto"/>
                    <w:left w:val="none" w:sz="0" w:space="0" w:color="auto"/>
                    <w:bottom w:val="none" w:sz="0" w:space="0" w:color="auto"/>
                    <w:right w:val="none" w:sz="0" w:space="0" w:color="auto"/>
                  </w:divBdr>
                  <w:divsChild>
                    <w:div w:id="1495104132">
                      <w:marLeft w:val="0"/>
                      <w:marRight w:val="0"/>
                      <w:marTop w:val="0"/>
                      <w:marBottom w:val="0"/>
                      <w:divBdr>
                        <w:top w:val="none" w:sz="0" w:space="0" w:color="auto"/>
                        <w:left w:val="none" w:sz="0" w:space="0" w:color="auto"/>
                        <w:bottom w:val="none" w:sz="0" w:space="0" w:color="auto"/>
                        <w:right w:val="none" w:sz="0" w:space="0" w:color="auto"/>
                      </w:divBdr>
                      <w:divsChild>
                        <w:div w:id="1247572629">
                          <w:marLeft w:val="0"/>
                          <w:marRight w:val="0"/>
                          <w:marTop w:val="0"/>
                          <w:marBottom w:val="0"/>
                          <w:divBdr>
                            <w:top w:val="single" w:sz="6" w:space="0" w:color="828282"/>
                            <w:left w:val="single" w:sz="6" w:space="0" w:color="828282"/>
                            <w:bottom w:val="single" w:sz="6" w:space="0" w:color="828282"/>
                            <w:right w:val="single" w:sz="6" w:space="0" w:color="828282"/>
                          </w:divBdr>
                          <w:divsChild>
                            <w:div w:id="989795104">
                              <w:marLeft w:val="0"/>
                              <w:marRight w:val="0"/>
                              <w:marTop w:val="0"/>
                              <w:marBottom w:val="0"/>
                              <w:divBdr>
                                <w:top w:val="none" w:sz="0" w:space="0" w:color="auto"/>
                                <w:left w:val="none" w:sz="0" w:space="0" w:color="auto"/>
                                <w:bottom w:val="none" w:sz="0" w:space="0" w:color="auto"/>
                                <w:right w:val="none" w:sz="0" w:space="0" w:color="auto"/>
                              </w:divBdr>
                              <w:divsChild>
                                <w:div w:id="2068139045">
                                  <w:marLeft w:val="0"/>
                                  <w:marRight w:val="0"/>
                                  <w:marTop w:val="0"/>
                                  <w:marBottom w:val="0"/>
                                  <w:divBdr>
                                    <w:top w:val="none" w:sz="0" w:space="0" w:color="auto"/>
                                    <w:left w:val="none" w:sz="0" w:space="0" w:color="auto"/>
                                    <w:bottom w:val="none" w:sz="0" w:space="0" w:color="auto"/>
                                    <w:right w:val="none" w:sz="0" w:space="0" w:color="auto"/>
                                  </w:divBdr>
                                  <w:divsChild>
                                    <w:div w:id="2144736207">
                                      <w:marLeft w:val="0"/>
                                      <w:marRight w:val="0"/>
                                      <w:marTop w:val="0"/>
                                      <w:marBottom w:val="0"/>
                                      <w:divBdr>
                                        <w:top w:val="none" w:sz="0" w:space="0" w:color="auto"/>
                                        <w:left w:val="none" w:sz="0" w:space="0" w:color="auto"/>
                                        <w:bottom w:val="none" w:sz="0" w:space="0" w:color="auto"/>
                                        <w:right w:val="none" w:sz="0" w:space="0" w:color="auto"/>
                                      </w:divBdr>
                                      <w:divsChild>
                                        <w:div w:id="1694570303">
                                          <w:marLeft w:val="0"/>
                                          <w:marRight w:val="0"/>
                                          <w:marTop w:val="0"/>
                                          <w:marBottom w:val="0"/>
                                          <w:divBdr>
                                            <w:top w:val="none" w:sz="0" w:space="0" w:color="auto"/>
                                            <w:left w:val="none" w:sz="0" w:space="0" w:color="auto"/>
                                            <w:bottom w:val="none" w:sz="0" w:space="0" w:color="auto"/>
                                            <w:right w:val="none" w:sz="0" w:space="0" w:color="auto"/>
                                          </w:divBdr>
                                          <w:divsChild>
                                            <w:div w:id="934821441">
                                              <w:marLeft w:val="0"/>
                                              <w:marRight w:val="0"/>
                                              <w:marTop w:val="0"/>
                                              <w:marBottom w:val="0"/>
                                              <w:divBdr>
                                                <w:top w:val="none" w:sz="0" w:space="0" w:color="auto"/>
                                                <w:left w:val="none" w:sz="0" w:space="0" w:color="auto"/>
                                                <w:bottom w:val="none" w:sz="0" w:space="0" w:color="auto"/>
                                                <w:right w:val="none" w:sz="0" w:space="0" w:color="auto"/>
                                              </w:divBdr>
                                              <w:divsChild>
                                                <w:div w:id="1140926602">
                                                  <w:marLeft w:val="0"/>
                                                  <w:marRight w:val="0"/>
                                                  <w:marTop w:val="0"/>
                                                  <w:marBottom w:val="0"/>
                                                  <w:divBdr>
                                                    <w:top w:val="none" w:sz="0" w:space="0" w:color="auto"/>
                                                    <w:left w:val="none" w:sz="0" w:space="0" w:color="auto"/>
                                                    <w:bottom w:val="none" w:sz="0" w:space="0" w:color="auto"/>
                                                    <w:right w:val="none" w:sz="0" w:space="0" w:color="auto"/>
                                                  </w:divBdr>
                                                  <w:divsChild>
                                                    <w:div w:id="21043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430593">
      <w:bodyDiv w:val="1"/>
      <w:marLeft w:val="0"/>
      <w:marRight w:val="0"/>
      <w:marTop w:val="0"/>
      <w:marBottom w:val="0"/>
      <w:divBdr>
        <w:top w:val="none" w:sz="0" w:space="0" w:color="auto"/>
        <w:left w:val="none" w:sz="0" w:space="0" w:color="auto"/>
        <w:bottom w:val="none" w:sz="0" w:space="0" w:color="auto"/>
        <w:right w:val="none" w:sz="0" w:space="0" w:color="auto"/>
      </w:divBdr>
      <w:divsChild>
        <w:div w:id="1514030761">
          <w:marLeft w:val="0"/>
          <w:marRight w:val="0"/>
          <w:marTop w:val="0"/>
          <w:marBottom w:val="0"/>
          <w:divBdr>
            <w:top w:val="single" w:sz="6" w:space="8" w:color="B8B8B8"/>
            <w:left w:val="none" w:sz="0" w:space="0" w:color="auto"/>
            <w:bottom w:val="none" w:sz="0" w:space="0" w:color="auto"/>
            <w:right w:val="none" w:sz="0" w:space="0" w:color="auto"/>
          </w:divBdr>
          <w:divsChild>
            <w:div w:id="1929263611">
              <w:marLeft w:val="2"/>
              <w:marRight w:val="2"/>
              <w:marTop w:val="0"/>
              <w:marBottom w:val="0"/>
              <w:divBdr>
                <w:top w:val="single" w:sz="6" w:space="8" w:color="CDCCD4"/>
                <w:left w:val="single" w:sz="6" w:space="8" w:color="CDCCD4"/>
                <w:bottom w:val="single" w:sz="6" w:space="8" w:color="CDCCD4"/>
                <w:right w:val="single" w:sz="6" w:space="4" w:color="CDCCD4"/>
              </w:divBdr>
              <w:divsChild>
                <w:div w:id="1313221378">
                  <w:marLeft w:val="0"/>
                  <w:marRight w:val="0"/>
                  <w:marTop w:val="75"/>
                  <w:marBottom w:val="75"/>
                  <w:divBdr>
                    <w:top w:val="single" w:sz="6" w:space="8" w:color="CCCCD4"/>
                    <w:left w:val="single" w:sz="6" w:space="8" w:color="CCCCD4"/>
                    <w:bottom w:val="single" w:sz="6" w:space="8" w:color="CCCCD4"/>
                    <w:right w:val="single" w:sz="6" w:space="8" w:color="CCCCD4"/>
                  </w:divBdr>
                  <w:divsChild>
                    <w:div w:id="14141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fo.dfat.gov.au/Info/Treaties/treaties.nsf/AllDocIDs/636560118784755BCA25726C0007D2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99E5-6043-436D-99FE-C256C0E3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Burrowes, Megan</cp:lastModifiedBy>
  <cp:revision>2</cp:revision>
  <cp:lastPrinted>2015-06-24T01:05:00Z</cp:lastPrinted>
  <dcterms:created xsi:type="dcterms:W3CDTF">2015-06-24T01:11:00Z</dcterms:created>
  <dcterms:modified xsi:type="dcterms:W3CDTF">2015-06-24T01:11:00Z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