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CA1A8" w14:textId="77777777" w:rsidR="00226C3E" w:rsidRPr="00C67D05" w:rsidRDefault="00226C3E" w:rsidP="00226C3E">
      <w:pPr>
        <w:pStyle w:val="Title"/>
        <w:rPr>
          <w:sz w:val="28"/>
          <w:szCs w:val="28"/>
          <w:u w:val="single"/>
        </w:rPr>
      </w:pPr>
      <w:bookmarkStart w:id="0" w:name="_GoBack"/>
      <w:bookmarkEnd w:id="0"/>
      <w:r w:rsidRPr="00C67D05">
        <w:rPr>
          <w:sz w:val="28"/>
          <w:szCs w:val="28"/>
          <w:u w:val="single"/>
        </w:rPr>
        <w:t>EXPLANATORY STATEMENT</w:t>
      </w:r>
    </w:p>
    <w:p w14:paraId="0B9272A4" w14:textId="77777777" w:rsidR="00226C3E" w:rsidRPr="00CA75AB" w:rsidRDefault="00226C3E" w:rsidP="00226C3E">
      <w:pPr>
        <w:tabs>
          <w:tab w:val="left" w:pos="720"/>
        </w:tabs>
        <w:jc w:val="center"/>
        <w:rPr>
          <w:b/>
        </w:rPr>
      </w:pPr>
    </w:p>
    <w:p w14:paraId="0C44B16F" w14:textId="77777777" w:rsidR="00226C3E" w:rsidRPr="00CA75AB" w:rsidRDefault="00226C3E" w:rsidP="00226C3E">
      <w:pPr>
        <w:tabs>
          <w:tab w:val="left" w:pos="720"/>
        </w:tabs>
        <w:jc w:val="center"/>
        <w:rPr>
          <w:b/>
        </w:rPr>
      </w:pPr>
      <w:r w:rsidRPr="00CA75AB">
        <w:rPr>
          <w:b/>
        </w:rPr>
        <w:t>Issued by the authority of the Assistant Minister for Social Services</w:t>
      </w:r>
    </w:p>
    <w:p w14:paraId="4257971D" w14:textId="77777777" w:rsidR="00226C3E" w:rsidRPr="00CA75AB" w:rsidRDefault="00226C3E" w:rsidP="00226C3E">
      <w:pPr>
        <w:tabs>
          <w:tab w:val="left" w:pos="720"/>
        </w:tabs>
        <w:jc w:val="center"/>
        <w:rPr>
          <w:b/>
          <w:u w:val="single"/>
        </w:rPr>
      </w:pPr>
    </w:p>
    <w:p w14:paraId="354CF852" w14:textId="77777777" w:rsidR="00226C3E" w:rsidRPr="00CA75AB" w:rsidRDefault="00226C3E" w:rsidP="00226C3E">
      <w:pPr>
        <w:tabs>
          <w:tab w:val="left" w:pos="720"/>
        </w:tabs>
        <w:jc w:val="center"/>
        <w:rPr>
          <w:b/>
          <w:i/>
        </w:rPr>
      </w:pPr>
      <w:r>
        <w:rPr>
          <w:b/>
          <w:i/>
        </w:rPr>
        <w:t>Aged Care (Transitional Provisions) Act 1997</w:t>
      </w:r>
    </w:p>
    <w:p w14:paraId="64DF31E3" w14:textId="77777777" w:rsidR="00226C3E" w:rsidRPr="00CA75AB" w:rsidRDefault="00226C3E" w:rsidP="00226C3E">
      <w:pPr>
        <w:tabs>
          <w:tab w:val="left" w:pos="720"/>
        </w:tabs>
        <w:jc w:val="center"/>
        <w:rPr>
          <w:b/>
          <w:i/>
        </w:rPr>
      </w:pPr>
    </w:p>
    <w:p w14:paraId="6189B1F9" w14:textId="77777777" w:rsidR="00226C3E" w:rsidRPr="00CA75AB" w:rsidRDefault="00226C3E" w:rsidP="00226C3E">
      <w:pPr>
        <w:tabs>
          <w:tab w:val="left" w:pos="720"/>
        </w:tabs>
        <w:jc w:val="center"/>
        <w:rPr>
          <w:b/>
          <w:i/>
        </w:rPr>
      </w:pPr>
      <w:r>
        <w:rPr>
          <w:b/>
          <w:i/>
        </w:rPr>
        <w:t>Aged Care (Transitional Provisions) Amendment (Removal of Certification and Other Measures) Principles 2015</w:t>
      </w:r>
    </w:p>
    <w:p w14:paraId="7A7D757F" w14:textId="77777777" w:rsidR="00226C3E" w:rsidRPr="00CA75AB" w:rsidRDefault="00226C3E" w:rsidP="00226C3E">
      <w:pPr>
        <w:tabs>
          <w:tab w:val="left" w:pos="720"/>
        </w:tabs>
        <w:jc w:val="center"/>
        <w:rPr>
          <w:b/>
        </w:rPr>
      </w:pPr>
    </w:p>
    <w:p w14:paraId="3A117363" w14:textId="77777777" w:rsidR="00226C3E" w:rsidRDefault="00226C3E" w:rsidP="00226C3E">
      <w:pPr>
        <w:widowControl/>
        <w:spacing w:before="100" w:beforeAutospacing="1" w:after="100" w:afterAutospacing="1"/>
        <w:rPr>
          <w:snapToGrid/>
          <w:szCs w:val="24"/>
          <w:lang w:eastAsia="en-AU"/>
        </w:rPr>
      </w:pPr>
      <w:r>
        <w:rPr>
          <w:snapToGrid/>
          <w:szCs w:val="24"/>
          <w:lang w:eastAsia="en-AU"/>
        </w:rPr>
        <w:t xml:space="preserve">The </w:t>
      </w:r>
      <w:r w:rsidRPr="0074799E">
        <w:rPr>
          <w:i/>
          <w:iCs/>
          <w:snapToGrid/>
          <w:szCs w:val="24"/>
          <w:lang w:eastAsia="en-AU"/>
        </w:rPr>
        <w:t>Omnibus Repeal Day (Autumn 2014) Act 2014</w:t>
      </w:r>
      <w:r>
        <w:rPr>
          <w:snapToGrid/>
          <w:szCs w:val="24"/>
          <w:lang w:eastAsia="en-AU"/>
        </w:rPr>
        <w:t xml:space="preserve"> amended the </w:t>
      </w:r>
      <w:r w:rsidRPr="00637CC2">
        <w:rPr>
          <w:i/>
          <w:snapToGrid/>
          <w:szCs w:val="24"/>
          <w:lang w:eastAsia="en-AU"/>
        </w:rPr>
        <w:t>Aged Care Act 1997</w:t>
      </w:r>
      <w:r>
        <w:rPr>
          <w:snapToGrid/>
          <w:szCs w:val="24"/>
          <w:lang w:eastAsia="en-AU"/>
        </w:rPr>
        <w:t xml:space="preserve"> (the Act) and the </w:t>
      </w:r>
      <w:r w:rsidRPr="0074799E">
        <w:rPr>
          <w:i/>
          <w:iCs/>
          <w:snapToGrid/>
          <w:szCs w:val="24"/>
          <w:lang w:eastAsia="en-AU"/>
        </w:rPr>
        <w:t>Aged Care (Transitional Provisions) Act 1997</w:t>
      </w:r>
      <w:r>
        <w:rPr>
          <w:snapToGrid/>
          <w:szCs w:val="24"/>
          <w:lang w:eastAsia="en-AU"/>
        </w:rPr>
        <w:t xml:space="preserve"> (TP Act) to repeal the requirement for residential care services to be certified. The repeal of the certification provisions occurred as part of the Government’s red tape reduction agenda.</w:t>
      </w:r>
    </w:p>
    <w:p w14:paraId="4A84662B" w14:textId="77777777" w:rsidR="00226C3E" w:rsidRDefault="00226C3E" w:rsidP="00226C3E">
      <w:pPr>
        <w:widowControl/>
        <w:spacing w:before="100" w:beforeAutospacing="1" w:after="100" w:afterAutospacing="1"/>
        <w:rPr>
          <w:snapToGrid/>
          <w:szCs w:val="24"/>
          <w:lang w:eastAsia="en-AU"/>
        </w:rPr>
      </w:pPr>
      <w:r w:rsidRPr="008855C3">
        <w:rPr>
          <w:snapToGrid/>
          <w:szCs w:val="24"/>
          <w:lang w:eastAsia="en-AU"/>
        </w:rPr>
        <w:t xml:space="preserve">Certification requirements under the Act </w:t>
      </w:r>
      <w:r>
        <w:rPr>
          <w:snapToGrid/>
          <w:szCs w:val="24"/>
          <w:lang w:eastAsia="en-AU"/>
        </w:rPr>
        <w:t>were</w:t>
      </w:r>
      <w:r w:rsidRPr="008855C3">
        <w:rPr>
          <w:snapToGrid/>
          <w:szCs w:val="24"/>
          <w:lang w:eastAsia="en-AU"/>
        </w:rPr>
        <w:t xml:space="preserve"> duplicative, in that a number of these requirements replicate</w:t>
      </w:r>
      <w:r>
        <w:rPr>
          <w:snapToGrid/>
          <w:szCs w:val="24"/>
          <w:lang w:eastAsia="en-AU"/>
        </w:rPr>
        <w:t>d</w:t>
      </w:r>
      <w:r w:rsidRPr="008855C3">
        <w:rPr>
          <w:snapToGrid/>
          <w:szCs w:val="24"/>
          <w:lang w:eastAsia="en-AU"/>
        </w:rPr>
        <w:t xml:space="preserve"> building regulations administered by state, territory and local governments. Aspects of certification under the Act also replicate</w:t>
      </w:r>
      <w:r>
        <w:rPr>
          <w:snapToGrid/>
          <w:szCs w:val="24"/>
          <w:lang w:eastAsia="en-AU"/>
        </w:rPr>
        <w:t>d</w:t>
      </w:r>
      <w:r w:rsidRPr="008855C3">
        <w:rPr>
          <w:snapToGrid/>
          <w:szCs w:val="24"/>
          <w:lang w:eastAsia="en-AU"/>
        </w:rPr>
        <w:t xml:space="preserve"> certain requirements under the Accreditation Standards administered by the Australian Aged Care Quality Agency.</w:t>
      </w:r>
    </w:p>
    <w:p w14:paraId="54506B38" w14:textId="77777777" w:rsidR="00226C3E" w:rsidRDefault="00226C3E" w:rsidP="00226C3E">
      <w:pPr>
        <w:widowControl/>
        <w:spacing w:before="100" w:beforeAutospacing="1" w:after="100" w:afterAutospacing="1"/>
        <w:rPr>
          <w:snapToGrid/>
          <w:szCs w:val="24"/>
          <w:lang w:eastAsia="en-AU"/>
        </w:rPr>
      </w:pPr>
      <w:r>
        <w:rPr>
          <w:snapToGrid/>
          <w:szCs w:val="24"/>
          <w:lang w:eastAsia="en-AU"/>
        </w:rPr>
        <w:t xml:space="preserve">The </w:t>
      </w:r>
      <w:r w:rsidRPr="00BA7710">
        <w:rPr>
          <w:i/>
          <w:snapToGrid/>
          <w:szCs w:val="24"/>
          <w:lang w:eastAsia="en-AU"/>
        </w:rPr>
        <w:t xml:space="preserve">Aged Care (Transitional Provisions) Amendment (Removal of Certification and Other Measures) Principles 2015 </w:t>
      </w:r>
      <w:r>
        <w:rPr>
          <w:snapToGrid/>
          <w:szCs w:val="24"/>
          <w:lang w:eastAsia="en-AU"/>
        </w:rPr>
        <w:t xml:space="preserve">(Amending Principles) address consequential changes required as a result of the repeal of certification from the Act and the TP Act, and unrelated unintended drafting errors made in the </w:t>
      </w:r>
      <w:r>
        <w:rPr>
          <w:i/>
          <w:snapToGrid/>
          <w:szCs w:val="24"/>
          <w:lang w:eastAsia="en-AU"/>
        </w:rPr>
        <w:t>Aged Care (Transitional Provisions) Principles 2014</w:t>
      </w:r>
      <w:r w:rsidRPr="006C683E">
        <w:rPr>
          <w:snapToGrid/>
          <w:szCs w:val="24"/>
          <w:lang w:eastAsia="en-AU"/>
        </w:rPr>
        <w:t>.</w:t>
      </w:r>
    </w:p>
    <w:p w14:paraId="2C2E16E4" w14:textId="77777777" w:rsidR="00226C3E" w:rsidRDefault="00226C3E" w:rsidP="00226C3E">
      <w:pPr>
        <w:widowControl/>
        <w:spacing w:before="100" w:beforeAutospacing="1" w:after="100" w:afterAutospacing="1"/>
        <w:rPr>
          <w:snapToGrid/>
          <w:szCs w:val="24"/>
          <w:lang w:eastAsia="en-AU"/>
        </w:rPr>
      </w:pPr>
      <w:r>
        <w:rPr>
          <w:snapToGrid/>
          <w:szCs w:val="24"/>
          <w:lang w:eastAsia="en-AU"/>
        </w:rPr>
        <w:t xml:space="preserve">The Amending Principles remove obsolete references to certification from the conditions of eligibility for the accommodation charge top-up supplement, and conditions relating to accommodation bonds and accommodation charges.  </w:t>
      </w:r>
    </w:p>
    <w:p w14:paraId="7F30F09B" w14:textId="77777777" w:rsidR="00226C3E" w:rsidRDefault="00226C3E" w:rsidP="00226C3E">
      <w:pPr>
        <w:tabs>
          <w:tab w:val="left" w:pos="1701"/>
        </w:tabs>
        <w:rPr>
          <w:lang w:eastAsia="en-AU"/>
        </w:rPr>
      </w:pPr>
      <w:r>
        <w:rPr>
          <w:snapToGrid/>
          <w:szCs w:val="24"/>
          <w:lang w:eastAsia="en-AU"/>
        </w:rPr>
        <w:t>For the purposes of eligibility for the concessional resident supplement, it is necessary to distinguish between care recipients who entered a service after it was certified and those who entered before. The Amending Principles address this matter.</w:t>
      </w:r>
    </w:p>
    <w:p w14:paraId="138B6AF7" w14:textId="4005A824" w:rsidR="00226C3E" w:rsidRDefault="00226C3E" w:rsidP="00226C3E">
      <w:pPr>
        <w:widowControl/>
        <w:spacing w:before="100" w:beforeAutospacing="1" w:after="100" w:afterAutospacing="1"/>
        <w:rPr>
          <w:snapToGrid/>
          <w:szCs w:val="24"/>
          <w:lang w:eastAsia="en-AU"/>
        </w:rPr>
      </w:pPr>
      <w:r>
        <w:rPr>
          <w:snapToGrid/>
          <w:szCs w:val="24"/>
          <w:lang w:eastAsia="en-AU"/>
        </w:rPr>
        <w:t xml:space="preserve">In addition, the Amending Principles make </w:t>
      </w:r>
      <w:r w:rsidR="00D106C9">
        <w:rPr>
          <w:snapToGrid/>
          <w:szCs w:val="24"/>
          <w:lang w:eastAsia="en-AU"/>
        </w:rPr>
        <w:t>technical corrections</w:t>
      </w:r>
      <w:r>
        <w:rPr>
          <w:snapToGrid/>
          <w:szCs w:val="24"/>
          <w:lang w:eastAsia="en-AU"/>
        </w:rPr>
        <w:t xml:space="preserve"> in relation to the accommodation and concessional resident supplement</w:t>
      </w:r>
      <w:r w:rsidR="006A05CA">
        <w:rPr>
          <w:snapToGrid/>
          <w:szCs w:val="24"/>
          <w:lang w:eastAsia="en-AU"/>
        </w:rPr>
        <w:t>s</w:t>
      </w:r>
      <w:r>
        <w:rPr>
          <w:snapToGrid/>
          <w:szCs w:val="24"/>
          <w:lang w:eastAsia="en-AU"/>
        </w:rPr>
        <w:t xml:space="preserve"> and correct minor technical errors in relation to the veterans’ and homeless supplements that arise due to the </w:t>
      </w:r>
      <w:r w:rsidRPr="006C683E">
        <w:rPr>
          <w:i/>
          <w:snapToGrid/>
          <w:szCs w:val="24"/>
          <w:lang w:eastAsia="en-AU"/>
        </w:rPr>
        <w:t>Aged Care and Other Legislation Amendment Act 2014</w:t>
      </w:r>
      <w:r>
        <w:rPr>
          <w:snapToGrid/>
          <w:szCs w:val="24"/>
          <w:lang w:eastAsia="en-AU"/>
        </w:rPr>
        <w:t>.</w:t>
      </w:r>
    </w:p>
    <w:p w14:paraId="6693348F" w14:textId="77777777" w:rsidR="00226C3E" w:rsidRPr="00CA75AB" w:rsidRDefault="00226C3E" w:rsidP="00226C3E">
      <w:pPr>
        <w:tabs>
          <w:tab w:val="left" w:pos="720"/>
        </w:tabs>
        <w:rPr>
          <w:i/>
          <w:color w:val="000000"/>
        </w:rPr>
      </w:pPr>
      <w:r>
        <w:rPr>
          <w:color w:val="000000"/>
        </w:rPr>
        <w:t>The Amending Principles</w:t>
      </w:r>
      <w:r w:rsidRPr="00CA75AB">
        <w:rPr>
          <w:color w:val="000000"/>
        </w:rPr>
        <w:t xml:space="preserve"> </w:t>
      </w:r>
      <w:r>
        <w:rPr>
          <w:color w:val="000000"/>
        </w:rPr>
        <w:t>are</w:t>
      </w:r>
      <w:r w:rsidRPr="00CA75AB">
        <w:rPr>
          <w:color w:val="000000"/>
        </w:rPr>
        <w:t xml:space="preserve"> a legislative instrument for the purposes of the </w:t>
      </w:r>
      <w:r w:rsidRPr="00CA75AB">
        <w:rPr>
          <w:i/>
          <w:color w:val="000000"/>
        </w:rPr>
        <w:t>Legislative Instruments Act 2003.</w:t>
      </w:r>
    </w:p>
    <w:p w14:paraId="38543FF2" w14:textId="77777777" w:rsidR="00226C3E" w:rsidRDefault="00226C3E" w:rsidP="00226C3E">
      <w:pPr>
        <w:tabs>
          <w:tab w:val="left" w:pos="720"/>
        </w:tabs>
        <w:rPr>
          <w:szCs w:val="24"/>
        </w:rPr>
      </w:pPr>
    </w:p>
    <w:p w14:paraId="1325F345" w14:textId="77777777" w:rsidR="00226C3E" w:rsidRPr="003403BA" w:rsidRDefault="00226C3E" w:rsidP="00226C3E">
      <w:pPr>
        <w:rPr>
          <w:b/>
        </w:rPr>
      </w:pPr>
      <w:r w:rsidRPr="003403BA">
        <w:rPr>
          <w:b/>
        </w:rPr>
        <w:t>Commencement</w:t>
      </w:r>
    </w:p>
    <w:p w14:paraId="31F25511" w14:textId="77777777" w:rsidR="00226C3E" w:rsidRPr="00763E11" w:rsidRDefault="00226C3E" w:rsidP="00226C3E">
      <w:r>
        <w:t>These Amending Principles commence the day after they are registered on the Federal Register of Legislative Instruments.</w:t>
      </w:r>
    </w:p>
    <w:p w14:paraId="38B62D17" w14:textId="77777777" w:rsidR="00226C3E" w:rsidRPr="003403BA" w:rsidRDefault="00226C3E" w:rsidP="00226C3E">
      <w:pPr>
        <w:tabs>
          <w:tab w:val="left" w:pos="720"/>
        </w:tabs>
        <w:rPr>
          <w:szCs w:val="24"/>
        </w:rPr>
      </w:pPr>
    </w:p>
    <w:p w14:paraId="3FECA2DF" w14:textId="77777777" w:rsidR="00226C3E" w:rsidRPr="003403BA" w:rsidRDefault="00226C3E" w:rsidP="00226C3E">
      <w:pPr>
        <w:tabs>
          <w:tab w:val="left" w:pos="720"/>
        </w:tabs>
        <w:rPr>
          <w:b/>
          <w:szCs w:val="24"/>
        </w:rPr>
      </w:pPr>
      <w:r>
        <w:rPr>
          <w:b/>
          <w:szCs w:val="24"/>
        </w:rPr>
        <w:t xml:space="preserve">Reliance on subsection 33(3) of the </w:t>
      </w:r>
      <w:r>
        <w:rPr>
          <w:b/>
          <w:i/>
          <w:szCs w:val="24"/>
        </w:rPr>
        <w:t>Acts Interpretation Act 1901</w:t>
      </w:r>
    </w:p>
    <w:p w14:paraId="743124D8" w14:textId="77777777" w:rsidR="00226C3E" w:rsidRDefault="00226C3E" w:rsidP="00226C3E">
      <w:pPr>
        <w:rPr>
          <w:szCs w:val="24"/>
        </w:rPr>
      </w:pPr>
      <w:r w:rsidRPr="006535F0">
        <w:rPr>
          <w:szCs w:val="24"/>
        </w:rPr>
        <w:t>Under subsection</w:t>
      </w:r>
      <w:r>
        <w:rPr>
          <w:szCs w:val="24"/>
        </w:rPr>
        <w:t> </w:t>
      </w:r>
      <w:r w:rsidRPr="006535F0">
        <w:rPr>
          <w:szCs w:val="24"/>
        </w:rPr>
        <w:t xml:space="preserve">33(3) of the </w:t>
      </w:r>
      <w:r w:rsidRPr="006535F0">
        <w:rPr>
          <w:i/>
          <w:szCs w:val="24"/>
        </w:rPr>
        <w:t>Acts Interpretation Act 1901</w:t>
      </w:r>
      <w:r w:rsidRPr="006535F0">
        <w:rPr>
          <w:szCs w:val="24"/>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w:t>
      </w:r>
      <w:r w:rsidRPr="006535F0">
        <w:rPr>
          <w:szCs w:val="24"/>
        </w:rPr>
        <w:lastRenderedPageBreak/>
        <w:t>amend, or vary any such instrument</w:t>
      </w:r>
      <w:r>
        <w:rPr>
          <w:szCs w:val="24"/>
        </w:rPr>
        <w:t>.</w:t>
      </w:r>
    </w:p>
    <w:p w14:paraId="1C5F5886" w14:textId="77777777" w:rsidR="00226C3E" w:rsidRPr="003403BA" w:rsidRDefault="00226C3E" w:rsidP="00226C3E">
      <w:pPr>
        <w:tabs>
          <w:tab w:val="left" w:pos="720"/>
        </w:tabs>
        <w:rPr>
          <w:szCs w:val="24"/>
        </w:rPr>
      </w:pPr>
    </w:p>
    <w:p w14:paraId="10D3CF4B" w14:textId="77777777" w:rsidR="00226C3E" w:rsidRPr="003403BA" w:rsidRDefault="00226C3E" w:rsidP="00226C3E">
      <w:pPr>
        <w:tabs>
          <w:tab w:val="left" w:pos="720"/>
        </w:tabs>
        <w:rPr>
          <w:b/>
        </w:rPr>
      </w:pPr>
      <w:r w:rsidRPr="003403BA">
        <w:rPr>
          <w:b/>
        </w:rPr>
        <w:t>Consultation</w:t>
      </w:r>
    </w:p>
    <w:p w14:paraId="28C43615" w14:textId="77777777" w:rsidR="00226C3E" w:rsidRDefault="00226C3E" w:rsidP="00226C3E">
      <w:pPr>
        <w:tabs>
          <w:tab w:val="left" w:pos="720"/>
        </w:tabs>
        <w:rPr>
          <w:snapToGrid/>
          <w:szCs w:val="24"/>
          <w:lang w:eastAsia="en-AU"/>
        </w:rPr>
      </w:pPr>
      <w:r>
        <w:t xml:space="preserve">The amendments in Part 1 are consequential amendments that flow from the </w:t>
      </w:r>
      <w:r w:rsidRPr="0074799E">
        <w:rPr>
          <w:i/>
          <w:iCs/>
          <w:snapToGrid/>
          <w:szCs w:val="24"/>
          <w:lang w:eastAsia="en-AU"/>
        </w:rPr>
        <w:t>Omnibus Repeal Day (Autumn 2014) Act 2014</w:t>
      </w:r>
      <w:r>
        <w:rPr>
          <w:snapToGrid/>
          <w:szCs w:val="24"/>
          <w:lang w:eastAsia="en-AU"/>
        </w:rPr>
        <w:t>. As such no specific consultations were undertaken in regard to the changes in this instrument.</w:t>
      </w:r>
    </w:p>
    <w:p w14:paraId="0A5B8233" w14:textId="77777777" w:rsidR="00226C3E" w:rsidRDefault="00226C3E" w:rsidP="00226C3E">
      <w:pPr>
        <w:tabs>
          <w:tab w:val="left" w:pos="720"/>
        </w:tabs>
        <w:rPr>
          <w:snapToGrid/>
          <w:szCs w:val="24"/>
          <w:lang w:eastAsia="en-AU"/>
        </w:rPr>
      </w:pPr>
    </w:p>
    <w:p w14:paraId="739E8556" w14:textId="7BBA158C" w:rsidR="00226C3E" w:rsidRPr="006975A1" w:rsidRDefault="00226C3E" w:rsidP="00226C3E">
      <w:pPr>
        <w:tabs>
          <w:tab w:val="left" w:pos="720"/>
        </w:tabs>
      </w:pPr>
      <w:r>
        <w:t xml:space="preserve">The amendments in Part 2 </w:t>
      </w:r>
      <w:r w:rsidR="007329EF">
        <w:t>make technical corrections</w:t>
      </w:r>
      <w:r>
        <w:t xml:space="preserve">, while Part 3 makes minor technical amendments. As Part 2 and Part 3 are of a machinery nature and do not substantially alter existing arrangements no consultation has occurred (section 18, </w:t>
      </w:r>
      <w:r w:rsidRPr="005C0606">
        <w:rPr>
          <w:i/>
        </w:rPr>
        <w:t>Legislative Instruments Act 2003</w:t>
      </w:r>
      <w:r>
        <w:t>).</w:t>
      </w:r>
    </w:p>
    <w:p w14:paraId="236E37E5" w14:textId="77777777" w:rsidR="00226C3E" w:rsidRPr="00CA75AB" w:rsidRDefault="00226C3E" w:rsidP="00226C3E">
      <w:pPr>
        <w:tabs>
          <w:tab w:val="left" w:pos="720"/>
        </w:tabs>
        <w:rPr>
          <w:i/>
          <w:color w:val="000000"/>
          <w:u w:val="single"/>
        </w:rPr>
      </w:pPr>
    </w:p>
    <w:p w14:paraId="56630536" w14:textId="77777777" w:rsidR="00226C3E" w:rsidRPr="003403BA" w:rsidRDefault="00226C3E" w:rsidP="00226C3E">
      <w:pPr>
        <w:tabs>
          <w:tab w:val="left" w:pos="720"/>
        </w:tabs>
        <w:rPr>
          <w:b/>
        </w:rPr>
      </w:pPr>
      <w:r w:rsidRPr="003403BA">
        <w:rPr>
          <w:b/>
        </w:rPr>
        <w:t>Regulation Impact Statement</w:t>
      </w:r>
    </w:p>
    <w:p w14:paraId="3F1F8D6B" w14:textId="32AF6A49" w:rsidR="000949F6" w:rsidRDefault="000949F6" w:rsidP="000949F6">
      <w:r>
        <w:t xml:space="preserve">The Office of Best Practice Regulation has advised that no Regulation Impact Statement is required in respect of the repeal of certification requirements (OBPR ID: 16379) or the </w:t>
      </w:r>
      <w:r w:rsidR="007329EF">
        <w:t>technical corrections to</w:t>
      </w:r>
      <w:r>
        <w:t xml:space="preserve"> the amount of concessional resident supplement (OBPR ID: 17938) or accommodation supplement payable (OBPR ID: 17541).</w:t>
      </w:r>
    </w:p>
    <w:p w14:paraId="3840250C" w14:textId="77777777" w:rsidR="00226C3E" w:rsidRPr="00CA75AB" w:rsidRDefault="00226C3E" w:rsidP="00226C3E">
      <w:pPr>
        <w:tabs>
          <w:tab w:val="left" w:pos="720"/>
        </w:tabs>
        <w:rPr>
          <w:color w:val="000000"/>
        </w:rPr>
      </w:pPr>
    </w:p>
    <w:p w14:paraId="0FDA00F3" w14:textId="77777777" w:rsidR="00226C3E" w:rsidRPr="00CA75AB" w:rsidRDefault="00226C3E" w:rsidP="00226C3E">
      <w:pPr>
        <w:tabs>
          <w:tab w:val="left" w:pos="720"/>
        </w:tabs>
        <w:rPr>
          <w:i/>
          <w:color w:val="000000"/>
        </w:rPr>
      </w:pPr>
    </w:p>
    <w:p w14:paraId="3963179C" w14:textId="77777777" w:rsidR="00226C3E" w:rsidRPr="00CA75AB" w:rsidRDefault="00226C3E" w:rsidP="00226C3E">
      <w:pPr>
        <w:widowControl/>
        <w:spacing w:after="200" w:line="276" w:lineRule="auto"/>
      </w:pPr>
      <w:r w:rsidRPr="00CA75AB">
        <w:br w:type="page"/>
      </w:r>
    </w:p>
    <w:p w14:paraId="298D9164" w14:textId="77777777" w:rsidR="00226C3E" w:rsidRPr="00CA75AB" w:rsidRDefault="00226C3E" w:rsidP="00226C3E">
      <w:pPr>
        <w:ind w:left="720" w:hanging="720"/>
        <w:jc w:val="right"/>
        <w:rPr>
          <w:b/>
        </w:rPr>
      </w:pPr>
      <w:r w:rsidRPr="00CA75AB">
        <w:rPr>
          <w:b/>
        </w:rPr>
        <w:lastRenderedPageBreak/>
        <w:t>ATTACHMENT</w:t>
      </w:r>
    </w:p>
    <w:p w14:paraId="370F7B60" w14:textId="77777777" w:rsidR="00226C3E" w:rsidRPr="00CA75AB" w:rsidRDefault="00226C3E" w:rsidP="00226C3E">
      <w:pPr>
        <w:jc w:val="right"/>
      </w:pPr>
    </w:p>
    <w:p w14:paraId="67FCE7BE" w14:textId="77777777" w:rsidR="00226C3E" w:rsidRPr="00CA75AB" w:rsidRDefault="00226C3E" w:rsidP="00226C3E">
      <w:pPr>
        <w:jc w:val="right"/>
      </w:pPr>
    </w:p>
    <w:p w14:paraId="6C534401" w14:textId="77777777" w:rsidR="00226C3E" w:rsidRPr="004B48DD" w:rsidRDefault="00226C3E" w:rsidP="00226C3E">
      <w:pPr>
        <w:rPr>
          <w:b/>
          <w:i/>
          <w:u w:val="single"/>
        </w:rPr>
      </w:pPr>
      <w:r w:rsidRPr="006C683E">
        <w:rPr>
          <w:b/>
          <w:u w:val="single"/>
        </w:rPr>
        <w:t>Details of the</w:t>
      </w:r>
      <w:r w:rsidRPr="00CA75AB">
        <w:rPr>
          <w:b/>
          <w:i/>
          <w:u w:val="single"/>
        </w:rPr>
        <w:t xml:space="preserve"> </w:t>
      </w:r>
      <w:r w:rsidRPr="00A269FC">
        <w:rPr>
          <w:b/>
          <w:bCs/>
          <w:i/>
          <w:iCs/>
          <w:u w:val="single"/>
        </w:rPr>
        <w:t>Aged Care (Transitional Provisions) Amendment (Removal of Certification and Other Measures) Principles 2015</w:t>
      </w:r>
    </w:p>
    <w:p w14:paraId="5164CE5A" w14:textId="77777777" w:rsidR="00226C3E" w:rsidRPr="00CA75AB" w:rsidRDefault="00226C3E" w:rsidP="00226C3E">
      <w:pPr>
        <w:jc w:val="right"/>
      </w:pPr>
    </w:p>
    <w:p w14:paraId="234D336E" w14:textId="77777777" w:rsidR="00226C3E" w:rsidRPr="004B48DD" w:rsidRDefault="00226C3E" w:rsidP="00226C3E">
      <w:pPr>
        <w:rPr>
          <w:b/>
          <w:iCs/>
        </w:rPr>
      </w:pPr>
      <w:r w:rsidRPr="00CA75AB">
        <w:rPr>
          <w:b/>
        </w:rPr>
        <w:t>Clause 1</w:t>
      </w:r>
      <w:r w:rsidRPr="00CA75AB">
        <w:t xml:space="preserve"> states that the name of the </w:t>
      </w:r>
      <w:r>
        <w:t>instrument</w:t>
      </w:r>
      <w:r w:rsidRPr="00CA75AB">
        <w:t xml:space="preserve"> is the </w:t>
      </w:r>
      <w:r w:rsidRPr="00A269FC">
        <w:rPr>
          <w:i/>
          <w:iCs/>
        </w:rPr>
        <w:t>Aged Care (Transitional Provisions) Amendment (Removal of Certification and Other Measures) Principles 2015</w:t>
      </w:r>
      <w:r w:rsidRPr="00A269FC">
        <w:rPr>
          <w:iCs/>
        </w:rPr>
        <w:t>.</w:t>
      </w:r>
    </w:p>
    <w:p w14:paraId="63BAC98B" w14:textId="77777777" w:rsidR="00226C3E" w:rsidRPr="00CA75AB" w:rsidRDefault="00226C3E" w:rsidP="00226C3E">
      <w:pPr>
        <w:rPr>
          <w:b/>
        </w:rPr>
      </w:pPr>
    </w:p>
    <w:p w14:paraId="0FD2B762" w14:textId="77777777" w:rsidR="00226C3E" w:rsidRPr="00CA75AB" w:rsidRDefault="00226C3E" w:rsidP="00226C3E">
      <w:r w:rsidRPr="00CA75AB">
        <w:rPr>
          <w:b/>
        </w:rPr>
        <w:t xml:space="preserve">Clause 2 </w:t>
      </w:r>
      <w:r w:rsidRPr="00CA75AB">
        <w:t>sets out the commencement date</w:t>
      </w:r>
      <w:r>
        <w:t xml:space="preserve"> of</w:t>
      </w:r>
      <w:r w:rsidRPr="00CA75AB">
        <w:t xml:space="preserve"> the </w:t>
      </w:r>
      <w:r>
        <w:t>Amending Principles.</w:t>
      </w:r>
    </w:p>
    <w:p w14:paraId="21D1F4EF" w14:textId="77777777" w:rsidR="00226C3E" w:rsidRPr="00CA75AB" w:rsidRDefault="00226C3E" w:rsidP="00226C3E">
      <w:pPr>
        <w:rPr>
          <w:b/>
        </w:rPr>
      </w:pPr>
    </w:p>
    <w:p w14:paraId="0EAE2F7F" w14:textId="77777777" w:rsidR="00226C3E" w:rsidRPr="00CA75AB" w:rsidRDefault="00226C3E" w:rsidP="00226C3E">
      <w:r w:rsidRPr="00CA75AB">
        <w:rPr>
          <w:b/>
        </w:rPr>
        <w:t xml:space="preserve">Clause 3 </w:t>
      </w:r>
      <w:r w:rsidRPr="00CA75AB">
        <w:t>provides that the authority for the making of the</w:t>
      </w:r>
      <w:r w:rsidRPr="00CA75AB">
        <w:rPr>
          <w:b/>
        </w:rPr>
        <w:t xml:space="preserve"> </w:t>
      </w:r>
      <w:r>
        <w:t>instrument</w:t>
      </w:r>
      <w:r w:rsidRPr="00CA75AB">
        <w:t xml:space="preserve"> is</w:t>
      </w:r>
      <w:r>
        <w:t xml:space="preserve"> section 96-1 of</w:t>
      </w:r>
      <w:r w:rsidRPr="00CA75AB">
        <w:t xml:space="preserve"> </w:t>
      </w:r>
      <w:r>
        <w:t xml:space="preserve">the </w:t>
      </w:r>
      <w:r w:rsidRPr="0074799E">
        <w:rPr>
          <w:i/>
          <w:iCs/>
        </w:rPr>
        <w:t>Aged Care</w:t>
      </w:r>
      <w:r>
        <w:rPr>
          <w:i/>
          <w:iCs/>
        </w:rPr>
        <w:t xml:space="preserve"> (Transitional Provisions)</w:t>
      </w:r>
      <w:r w:rsidRPr="0074799E">
        <w:rPr>
          <w:i/>
          <w:iCs/>
        </w:rPr>
        <w:t xml:space="preserve"> Act 1997</w:t>
      </w:r>
      <w:r>
        <w:t>.</w:t>
      </w:r>
    </w:p>
    <w:p w14:paraId="4B60D73B" w14:textId="77777777" w:rsidR="00226C3E" w:rsidRPr="00294C56" w:rsidRDefault="00226C3E" w:rsidP="00226C3E">
      <w:pPr>
        <w:tabs>
          <w:tab w:val="left" w:pos="3105"/>
        </w:tabs>
      </w:pPr>
    </w:p>
    <w:p w14:paraId="5D2DBFD5" w14:textId="77777777" w:rsidR="00226C3E" w:rsidRPr="00CA75AB" w:rsidRDefault="00226C3E" w:rsidP="00226C3E">
      <w:r w:rsidRPr="00905346">
        <w:rPr>
          <w:b/>
        </w:rPr>
        <w:t>Clause 4</w:t>
      </w:r>
      <w:r w:rsidRPr="00CA75AB">
        <w:rPr>
          <w:b/>
        </w:rPr>
        <w:t xml:space="preserve"> </w:t>
      </w:r>
      <w:r w:rsidRPr="00CA75AB">
        <w:rPr>
          <w:bCs/>
          <w:color w:val="000000"/>
        </w:rPr>
        <w:t xml:space="preserve">provides that </w:t>
      </w:r>
      <w:r w:rsidRPr="00CA75AB">
        <w:t>each instrument that is specified in a Schedule to this instrument is amended or repealed as set out in the applicable items in the Schedule concerned, and any other item in a Schedule to this instrument has effect according to its terms.</w:t>
      </w:r>
    </w:p>
    <w:p w14:paraId="3F254092" w14:textId="77777777" w:rsidR="00226C3E" w:rsidRPr="00CA75AB" w:rsidRDefault="00226C3E" w:rsidP="00226C3E">
      <w:pPr>
        <w:jc w:val="right"/>
      </w:pPr>
    </w:p>
    <w:p w14:paraId="132AF3FD" w14:textId="77777777" w:rsidR="00226C3E" w:rsidRDefault="00226C3E" w:rsidP="00226C3E">
      <w:pPr>
        <w:rPr>
          <w:b/>
        </w:rPr>
      </w:pPr>
    </w:p>
    <w:p w14:paraId="71DEE74E" w14:textId="77777777" w:rsidR="00226C3E" w:rsidRPr="00CA75AB" w:rsidRDefault="00226C3E" w:rsidP="00226C3E">
      <w:pPr>
        <w:rPr>
          <w:b/>
        </w:rPr>
      </w:pPr>
      <w:r w:rsidRPr="00CA75AB">
        <w:rPr>
          <w:b/>
        </w:rPr>
        <w:t xml:space="preserve">Schedule 1 – </w:t>
      </w:r>
      <w:r>
        <w:rPr>
          <w:b/>
        </w:rPr>
        <w:t>Amendments</w:t>
      </w:r>
    </w:p>
    <w:p w14:paraId="0F5C9699" w14:textId="77777777" w:rsidR="00226C3E" w:rsidRDefault="00226C3E" w:rsidP="00226C3E">
      <w:pPr>
        <w:rPr>
          <w:b/>
        </w:rPr>
      </w:pPr>
    </w:p>
    <w:p w14:paraId="6E0A176A" w14:textId="77777777" w:rsidR="00226C3E" w:rsidRDefault="00226C3E" w:rsidP="00226C3E">
      <w:pPr>
        <w:rPr>
          <w:b/>
        </w:rPr>
      </w:pPr>
      <w:r>
        <w:rPr>
          <w:b/>
        </w:rPr>
        <w:t>Part 1 – Amendments relating to removal of certification</w:t>
      </w:r>
    </w:p>
    <w:p w14:paraId="14312151" w14:textId="77777777" w:rsidR="00226C3E" w:rsidRPr="00CA75AB" w:rsidRDefault="00226C3E" w:rsidP="00226C3E">
      <w:pPr>
        <w:rPr>
          <w:b/>
        </w:rPr>
      </w:pPr>
    </w:p>
    <w:p w14:paraId="3BD7D1CE" w14:textId="77777777" w:rsidR="00226C3E" w:rsidRPr="00CA75AB" w:rsidRDefault="00226C3E" w:rsidP="00226C3E">
      <w:pPr>
        <w:rPr>
          <w:b/>
          <w:i/>
        </w:rPr>
      </w:pPr>
      <w:r>
        <w:rPr>
          <w:b/>
          <w:i/>
        </w:rPr>
        <w:t>Aged Care (Transitional Provisions) Principles 2014</w:t>
      </w:r>
    </w:p>
    <w:p w14:paraId="61989A36" w14:textId="77777777" w:rsidR="00226C3E" w:rsidRPr="00CA75AB" w:rsidRDefault="00226C3E" w:rsidP="00226C3E">
      <w:pPr>
        <w:rPr>
          <w:b/>
        </w:rPr>
      </w:pPr>
    </w:p>
    <w:p w14:paraId="3660E34F" w14:textId="77777777" w:rsidR="00226C3E" w:rsidRPr="00CA75AB" w:rsidRDefault="00226C3E" w:rsidP="00226C3E">
      <w:pPr>
        <w:rPr>
          <w:b/>
        </w:rPr>
      </w:pPr>
      <w:r w:rsidRPr="00CA75AB">
        <w:rPr>
          <w:b/>
        </w:rPr>
        <w:t xml:space="preserve">Item </w:t>
      </w:r>
      <w:r>
        <w:rPr>
          <w:b/>
        </w:rPr>
        <w:t>1</w:t>
      </w:r>
      <w:r w:rsidRPr="00CA75AB">
        <w:rPr>
          <w:b/>
        </w:rPr>
        <w:t xml:space="preserve"> – </w:t>
      </w:r>
      <w:r>
        <w:rPr>
          <w:b/>
        </w:rPr>
        <w:t xml:space="preserve">Section 4 </w:t>
      </w:r>
    </w:p>
    <w:p w14:paraId="3DFD116F" w14:textId="77777777" w:rsidR="00226C3E" w:rsidRDefault="00226C3E" w:rsidP="00226C3E">
      <w:r w:rsidRPr="00CA75AB">
        <w:t xml:space="preserve">This item </w:t>
      </w:r>
      <w:r>
        <w:t>inserts a definition for ‘certified’, which allows the TP Principles to deal with certification matters for transitional residents, such as concessional residents and assisted residents.</w:t>
      </w:r>
    </w:p>
    <w:p w14:paraId="3092B0F5" w14:textId="77777777" w:rsidR="00226C3E" w:rsidRDefault="00226C3E" w:rsidP="00226C3E"/>
    <w:p w14:paraId="069B747C" w14:textId="5C4FE742" w:rsidR="00226C3E" w:rsidRDefault="00226C3E" w:rsidP="00226C3E">
      <w:pPr>
        <w:rPr>
          <w:b/>
        </w:rPr>
      </w:pPr>
      <w:r>
        <w:rPr>
          <w:b/>
        </w:rPr>
        <w:t xml:space="preserve">Items </w:t>
      </w:r>
      <w:r w:rsidR="00226F26">
        <w:rPr>
          <w:b/>
        </w:rPr>
        <w:t xml:space="preserve">2 </w:t>
      </w:r>
      <w:r>
        <w:rPr>
          <w:b/>
        </w:rPr>
        <w:t xml:space="preserve">and </w:t>
      </w:r>
      <w:r w:rsidR="00226F26">
        <w:rPr>
          <w:b/>
        </w:rPr>
        <w:t xml:space="preserve">3 </w:t>
      </w:r>
      <w:r>
        <w:rPr>
          <w:b/>
        </w:rPr>
        <w:t>– section 33</w:t>
      </w:r>
    </w:p>
    <w:p w14:paraId="14D0657B" w14:textId="1E42B073" w:rsidR="00226C3E" w:rsidRDefault="00226C3E" w:rsidP="00226C3E">
      <w:r>
        <w:t xml:space="preserve">These items </w:t>
      </w:r>
      <w:r w:rsidR="00C34F60">
        <w:t>make technical corrections</w:t>
      </w:r>
      <w:r w:rsidR="00AB7552">
        <w:t xml:space="preserve"> to clarify the eligibility requirements for the transitional supplement in light of the </w:t>
      </w:r>
      <w:r w:rsidR="0077208D">
        <w:t>repeal of</w:t>
      </w:r>
      <w:r w:rsidR="00AB7552">
        <w:t xml:space="preserve"> certification </w:t>
      </w:r>
      <w:r w:rsidR="00AB7552" w:rsidRPr="00F724DE">
        <w:rPr>
          <w:iCs/>
          <w:snapToGrid/>
          <w:szCs w:val="24"/>
          <w:lang w:eastAsia="en-AU"/>
        </w:rPr>
        <w:t xml:space="preserve">on </w:t>
      </w:r>
      <w:r w:rsidR="00226F26" w:rsidRPr="00F724DE">
        <w:rPr>
          <w:iCs/>
          <w:snapToGrid/>
          <w:szCs w:val="24"/>
          <w:lang w:eastAsia="en-AU"/>
        </w:rPr>
        <w:t>17</w:t>
      </w:r>
      <w:r w:rsidR="00226F26">
        <w:rPr>
          <w:iCs/>
          <w:snapToGrid/>
          <w:szCs w:val="24"/>
          <w:lang w:eastAsia="en-AU"/>
        </w:rPr>
        <w:t> </w:t>
      </w:r>
      <w:r w:rsidR="00226F26" w:rsidRPr="00F724DE">
        <w:rPr>
          <w:iCs/>
          <w:snapToGrid/>
          <w:szCs w:val="24"/>
          <w:lang w:eastAsia="en-AU"/>
        </w:rPr>
        <w:t>October</w:t>
      </w:r>
      <w:r w:rsidR="00226F26">
        <w:rPr>
          <w:iCs/>
          <w:snapToGrid/>
          <w:szCs w:val="24"/>
          <w:lang w:eastAsia="en-AU"/>
        </w:rPr>
        <w:t> </w:t>
      </w:r>
      <w:r w:rsidR="00AB7552" w:rsidRPr="00F724DE">
        <w:rPr>
          <w:iCs/>
          <w:snapToGrid/>
          <w:szCs w:val="24"/>
          <w:lang w:eastAsia="en-AU"/>
        </w:rPr>
        <w:t>2014</w:t>
      </w:r>
      <w:r w:rsidR="00AB7552">
        <w:rPr>
          <w:iCs/>
          <w:snapToGrid/>
          <w:szCs w:val="24"/>
          <w:lang w:eastAsia="en-AU"/>
        </w:rPr>
        <w:t xml:space="preserve"> </w:t>
      </w:r>
      <w:r w:rsidR="00AB7552">
        <w:t xml:space="preserve">by the </w:t>
      </w:r>
      <w:r w:rsidR="00AB7552" w:rsidRPr="0074799E">
        <w:rPr>
          <w:i/>
          <w:iCs/>
          <w:snapToGrid/>
          <w:szCs w:val="24"/>
          <w:lang w:eastAsia="en-AU"/>
        </w:rPr>
        <w:t>Omnibus Repeal Day (Autumn 2014) Act 2014</w:t>
      </w:r>
      <w:r w:rsidR="00AB7552">
        <w:rPr>
          <w:i/>
          <w:iCs/>
          <w:snapToGrid/>
          <w:szCs w:val="24"/>
          <w:lang w:eastAsia="en-AU"/>
        </w:rPr>
        <w:t>.</w:t>
      </w:r>
      <w:r>
        <w:t> </w:t>
      </w:r>
      <w:r w:rsidR="00077CF9">
        <w:t xml:space="preserve">These amendments </w:t>
      </w:r>
      <w:r w:rsidR="0077208D">
        <w:t>ensure continuity</w:t>
      </w:r>
      <w:r w:rsidR="00077CF9">
        <w:t xml:space="preserve"> with previous arrangements</w:t>
      </w:r>
      <w:r w:rsidR="00226F26">
        <w:t xml:space="preserve"> by ensuring the certification amendments made on 17 October 2014</w:t>
      </w:r>
      <w:r w:rsidR="00F02162">
        <w:t xml:space="preserve"> do not alter eligibility for the transitional supplement</w:t>
      </w:r>
      <w:r w:rsidR="00077CF9">
        <w:t xml:space="preserve">. </w:t>
      </w:r>
      <w:r w:rsidR="00AB7552">
        <w:t>The n</w:t>
      </w:r>
      <w:r>
        <w:t xml:space="preserve">ew subsection 33(2) provides that whether a care recipient entered care before </w:t>
      </w:r>
      <w:r w:rsidR="00D106C9">
        <w:t>17 October </w:t>
      </w:r>
      <w:r>
        <w:t xml:space="preserve">2014 will determine whether or not transitional supplement should be paid for a day.  </w:t>
      </w:r>
    </w:p>
    <w:p w14:paraId="19D1EE83" w14:textId="77777777" w:rsidR="00226C3E" w:rsidRDefault="00226C3E" w:rsidP="00226C3E"/>
    <w:p w14:paraId="25B7CE5D" w14:textId="36116AAC" w:rsidR="00226C3E" w:rsidRDefault="00226C3E" w:rsidP="00226C3E">
      <w:r>
        <w:t xml:space="preserve">These items do not affect </w:t>
      </w:r>
      <w:r w:rsidR="00F02162">
        <w:t xml:space="preserve">eligibility for the </w:t>
      </w:r>
      <w:r>
        <w:t xml:space="preserve">transitional supplement during the period of </w:t>
      </w:r>
      <w:r w:rsidR="00C34F60">
        <w:t>17 </w:t>
      </w:r>
      <w:r>
        <w:t>October 2014 to the date of registration. The calculation and payment of transitional supplement according to new subsection 33(2) will only commence from the date of commencement and not from 17 October 2014.</w:t>
      </w:r>
    </w:p>
    <w:p w14:paraId="17749729" w14:textId="77777777" w:rsidR="00226C3E" w:rsidRDefault="00226C3E" w:rsidP="00226C3E">
      <w:pPr>
        <w:rPr>
          <w:b/>
        </w:rPr>
      </w:pPr>
    </w:p>
    <w:p w14:paraId="6ED7BD68" w14:textId="17C727BA" w:rsidR="00226C3E" w:rsidRPr="00CA75AB" w:rsidRDefault="00226C3E" w:rsidP="00226C3E">
      <w:pPr>
        <w:rPr>
          <w:b/>
        </w:rPr>
      </w:pPr>
      <w:r w:rsidRPr="00CA75AB">
        <w:rPr>
          <w:b/>
        </w:rPr>
        <w:t xml:space="preserve">Item </w:t>
      </w:r>
      <w:r w:rsidR="00226F26">
        <w:rPr>
          <w:b/>
        </w:rPr>
        <w:t>4</w:t>
      </w:r>
      <w:r w:rsidR="00226F26" w:rsidRPr="00CA75AB">
        <w:rPr>
          <w:b/>
        </w:rPr>
        <w:t xml:space="preserve"> </w:t>
      </w:r>
      <w:r w:rsidRPr="00DD5F11">
        <w:rPr>
          <w:b/>
        </w:rPr>
        <w:t xml:space="preserve">– </w:t>
      </w:r>
      <w:r>
        <w:rPr>
          <w:b/>
        </w:rPr>
        <w:t>Paragraph 35(b)</w:t>
      </w:r>
    </w:p>
    <w:p w14:paraId="658A43DA" w14:textId="77777777" w:rsidR="00226C3E" w:rsidRDefault="00226C3E" w:rsidP="00226C3E">
      <w:r w:rsidRPr="00CA75AB">
        <w:t xml:space="preserve">This item </w:t>
      </w:r>
      <w:r>
        <w:t xml:space="preserve">repeals the paragraph and removes the requirement for the service to be certified, as the requirement for certification was repealed in the </w:t>
      </w:r>
      <w:r w:rsidRPr="005F2503">
        <w:rPr>
          <w:i/>
          <w:iCs/>
          <w:snapToGrid/>
          <w:szCs w:val="24"/>
          <w:lang w:eastAsia="en-AU"/>
        </w:rPr>
        <w:t>Omnibus Repeal Day (Autumn 2014) Act 2014</w:t>
      </w:r>
      <w:r w:rsidRPr="005F2503">
        <w:rPr>
          <w:snapToGrid/>
          <w:szCs w:val="24"/>
          <w:lang w:eastAsia="en-AU"/>
        </w:rPr>
        <w:t>.</w:t>
      </w:r>
    </w:p>
    <w:p w14:paraId="0459F2D1" w14:textId="77777777" w:rsidR="00226C3E" w:rsidRDefault="00226C3E" w:rsidP="00226C3E"/>
    <w:p w14:paraId="09C4EFA1" w14:textId="4A08EC91" w:rsidR="00226C3E" w:rsidRPr="00CA75AB" w:rsidRDefault="00226C3E" w:rsidP="00226C3E">
      <w:pPr>
        <w:keepNext/>
        <w:keepLines/>
        <w:rPr>
          <w:b/>
        </w:rPr>
      </w:pPr>
      <w:r w:rsidRPr="00CA75AB">
        <w:rPr>
          <w:b/>
        </w:rPr>
        <w:lastRenderedPageBreak/>
        <w:t xml:space="preserve">Item </w:t>
      </w:r>
      <w:r w:rsidR="00226F26">
        <w:rPr>
          <w:b/>
        </w:rPr>
        <w:t>5</w:t>
      </w:r>
      <w:r w:rsidR="00226F26" w:rsidRPr="00CA75AB">
        <w:rPr>
          <w:b/>
        </w:rPr>
        <w:t xml:space="preserve"> </w:t>
      </w:r>
      <w:r w:rsidRPr="00CA75AB">
        <w:rPr>
          <w:b/>
        </w:rPr>
        <w:t xml:space="preserve">– </w:t>
      </w:r>
      <w:r>
        <w:rPr>
          <w:b/>
        </w:rPr>
        <w:t>Sections 100, 103, and 110</w:t>
      </w:r>
    </w:p>
    <w:p w14:paraId="6329B3B3" w14:textId="77777777" w:rsidR="00226C3E" w:rsidRDefault="00226C3E" w:rsidP="00226C3E">
      <w:pPr>
        <w:keepNext/>
        <w:keepLines/>
      </w:pPr>
      <w:r w:rsidRPr="00CA75AB">
        <w:t xml:space="preserve">This item </w:t>
      </w:r>
      <w:r>
        <w:t>repeals sections 100, 103 and 110 as the sections refer to situations where the residential care service is suspended due to certification matters.</w:t>
      </w:r>
    </w:p>
    <w:p w14:paraId="51DFCD6B" w14:textId="77777777" w:rsidR="00226C3E" w:rsidRDefault="00226C3E" w:rsidP="00226C3E"/>
    <w:p w14:paraId="11D85139" w14:textId="53685383" w:rsidR="00226C3E" w:rsidRPr="00CA75AB" w:rsidRDefault="00226C3E" w:rsidP="00226C3E">
      <w:pPr>
        <w:rPr>
          <w:b/>
        </w:rPr>
      </w:pPr>
      <w:r w:rsidRPr="00CA75AB">
        <w:rPr>
          <w:b/>
        </w:rPr>
        <w:t xml:space="preserve">Item </w:t>
      </w:r>
      <w:r w:rsidR="00226F26">
        <w:rPr>
          <w:b/>
        </w:rPr>
        <w:t xml:space="preserve">6 </w:t>
      </w:r>
      <w:r w:rsidRPr="00CA75AB">
        <w:rPr>
          <w:b/>
        </w:rPr>
        <w:t xml:space="preserve">– </w:t>
      </w:r>
      <w:r>
        <w:rPr>
          <w:b/>
        </w:rPr>
        <w:t>Clause 1 of Schedule 1</w:t>
      </w:r>
    </w:p>
    <w:p w14:paraId="32B0B8E5" w14:textId="77777777" w:rsidR="00226C3E" w:rsidRDefault="00226C3E" w:rsidP="00226C3E">
      <w:r>
        <w:t xml:space="preserve">This item repeals definitions of ‘Building Code of Australia’ and ‘fire and safety requirements’ as they are no longer required as they were only relevant to sections that were previously repealed in the </w:t>
      </w:r>
      <w:r w:rsidRPr="005F2503">
        <w:rPr>
          <w:i/>
          <w:iCs/>
          <w:snapToGrid/>
          <w:szCs w:val="24"/>
          <w:lang w:eastAsia="en-AU"/>
        </w:rPr>
        <w:t>Omnibus Repeal Day (Autumn 2014) Act 2014</w:t>
      </w:r>
      <w:r w:rsidRPr="005F2503">
        <w:rPr>
          <w:snapToGrid/>
          <w:szCs w:val="24"/>
          <w:lang w:eastAsia="en-AU"/>
        </w:rPr>
        <w:t>.</w:t>
      </w:r>
    </w:p>
    <w:p w14:paraId="40B20414" w14:textId="77777777" w:rsidR="00226C3E" w:rsidRDefault="00226C3E" w:rsidP="00226C3E"/>
    <w:p w14:paraId="085359C5" w14:textId="6458A473" w:rsidR="00226C3E" w:rsidRPr="00CA75AB" w:rsidRDefault="00226C3E" w:rsidP="00226C3E">
      <w:pPr>
        <w:rPr>
          <w:b/>
        </w:rPr>
      </w:pPr>
      <w:r w:rsidRPr="00CA75AB">
        <w:rPr>
          <w:b/>
        </w:rPr>
        <w:t xml:space="preserve">Item </w:t>
      </w:r>
      <w:r w:rsidR="00226F26">
        <w:rPr>
          <w:b/>
        </w:rPr>
        <w:t xml:space="preserve">7 </w:t>
      </w:r>
      <w:r w:rsidRPr="00CA75AB">
        <w:rPr>
          <w:b/>
        </w:rPr>
        <w:t xml:space="preserve">– </w:t>
      </w:r>
      <w:r>
        <w:rPr>
          <w:b/>
        </w:rPr>
        <w:t>Clause 2 of Schedule 1</w:t>
      </w:r>
    </w:p>
    <w:p w14:paraId="00A7A0A1" w14:textId="77777777" w:rsidR="00226C3E" w:rsidRDefault="00226C3E" w:rsidP="00226C3E">
      <w:r>
        <w:t xml:space="preserve">This item repeals the clause as it relates to matters considered as part of the Certification Principles 1997, which have </w:t>
      </w:r>
      <w:r w:rsidRPr="00E926B3">
        <w:t xml:space="preserve">been repealed as a result of the changes made in the </w:t>
      </w:r>
      <w:r w:rsidRPr="005F2503">
        <w:rPr>
          <w:i/>
          <w:iCs/>
          <w:snapToGrid/>
          <w:szCs w:val="24"/>
          <w:lang w:eastAsia="en-AU"/>
        </w:rPr>
        <w:t>Omnibus Repeal Day (Autumn 2014) Act 2014</w:t>
      </w:r>
      <w:r w:rsidRPr="005F2503">
        <w:rPr>
          <w:snapToGrid/>
          <w:szCs w:val="24"/>
          <w:lang w:eastAsia="en-AU"/>
        </w:rPr>
        <w:t>.</w:t>
      </w:r>
    </w:p>
    <w:p w14:paraId="39C9ED99" w14:textId="77777777" w:rsidR="00226C3E" w:rsidRDefault="00226C3E" w:rsidP="00226C3E"/>
    <w:p w14:paraId="12ACC766" w14:textId="77777777" w:rsidR="00226C3E" w:rsidRPr="00E60979" w:rsidRDefault="00226C3E" w:rsidP="00226C3E">
      <w:pPr>
        <w:keepNext/>
        <w:rPr>
          <w:b/>
          <w:bCs/>
        </w:rPr>
      </w:pPr>
      <w:r w:rsidRPr="00E60979">
        <w:rPr>
          <w:b/>
          <w:bCs/>
        </w:rPr>
        <w:t xml:space="preserve">Part 2 – Amendments relating to </w:t>
      </w:r>
      <w:r>
        <w:rPr>
          <w:b/>
          <w:bCs/>
        </w:rPr>
        <w:t>primary supplements</w:t>
      </w:r>
    </w:p>
    <w:p w14:paraId="096A5792" w14:textId="77777777" w:rsidR="00226C3E" w:rsidRDefault="00226C3E" w:rsidP="00226C3E">
      <w:pPr>
        <w:keepNext/>
      </w:pPr>
    </w:p>
    <w:p w14:paraId="4FAE2267" w14:textId="77777777" w:rsidR="00226C3E" w:rsidRPr="00E60979" w:rsidRDefault="00226C3E" w:rsidP="00226C3E">
      <w:pPr>
        <w:keepNext/>
        <w:rPr>
          <w:b/>
          <w:bCs/>
          <w:i/>
          <w:iCs/>
        </w:rPr>
      </w:pPr>
      <w:r w:rsidRPr="00E60979">
        <w:rPr>
          <w:b/>
          <w:bCs/>
          <w:i/>
          <w:iCs/>
        </w:rPr>
        <w:t>Aged Care (</w:t>
      </w:r>
      <w:r>
        <w:rPr>
          <w:b/>
          <w:bCs/>
          <w:i/>
          <w:iCs/>
        </w:rPr>
        <w:t>Transitional Provisions</w:t>
      </w:r>
      <w:r w:rsidRPr="00E60979">
        <w:rPr>
          <w:b/>
          <w:bCs/>
          <w:i/>
          <w:iCs/>
        </w:rPr>
        <w:t xml:space="preserve">) </w:t>
      </w:r>
      <w:r>
        <w:rPr>
          <w:b/>
          <w:bCs/>
          <w:i/>
          <w:iCs/>
        </w:rPr>
        <w:t xml:space="preserve">Principles </w:t>
      </w:r>
      <w:r w:rsidRPr="00E60979">
        <w:rPr>
          <w:b/>
          <w:bCs/>
          <w:i/>
          <w:iCs/>
        </w:rPr>
        <w:t>2014</w:t>
      </w:r>
    </w:p>
    <w:p w14:paraId="666AA341" w14:textId="77777777" w:rsidR="00226C3E" w:rsidRDefault="00226C3E" w:rsidP="00226C3E">
      <w:pPr>
        <w:keepNext/>
      </w:pPr>
    </w:p>
    <w:p w14:paraId="2405ECA7" w14:textId="06D6764B" w:rsidR="00226C3E" w:rsidRPr="00CA75AB" w:rsidRDefault="00226C3E" w:rsidP="00226C3E">
      <w:pPr>
        <w:keepNext/>
        <w:rPr>
          <w:b/>
        </w:rPr>
      </w:pPr>
      <w:r w:rsidRPr="00CA75AB">
        <w:rPr>
          <w:b/>
        </w:rPr>
        <w:t xml:space="preserve">Item </w:t>
      </w:r>
      <w:r w:rsidR="00226F26">
        <w:rPr>
          <w:b/>
        </w:rPr>
        <w:t>8</w:t>
      </w:r>
      <w:r w:rsidR="00226F26" w:rsidRPr="00CA75AB">
        <w:rPr>
          <w:b/>
        </w:rPr>
        <w:t xml:space="preserve"> </w:t>
      </w:r>
      <w:r w:rsidRPr="00CA75AB">
        <w:rPr>
          <w:b/>
        </w:rPr>
        <w:t xml:space="preserve">– </w:t>
      </w:r>
      <w:r>
        <w:rPr>
          <w:b/>
        </w:rPr>
        <w:t>Section 4</w:t>
      </w:r>
    </w:p>
    <w:p w14:paraId="125475B2" w14:textId="77777777" w:rsidR="00226C3E" w:rsidRDefault="00226C3E" w:rsidP="00226C3E">
      <w:r w:rsidRPr="00CA75AB">
        <w:t xml:space="preserve">This item </w:t>
      </w:r>
      <w:r>
        <w:t>inserts a definition for ‘newly built residential care service’. This term is needed for Items 10 and 12 below.</w:t>
      </w:r>
    </w:p>
    <w:p w14:paraId="4D33FBE4" w14:textId="77777777" w:rsidR="00226C3E" w:rsidRDefault="00226C3E" w:rsidP="00226C3E"/>
    <w:p w14:paraId="5E532594" w14:textId="3DC1E377" w:rsidR="00226C3E" w:rsidRPr="00CA75AB" w:rsidRDefault="00226C3E" w:rsidP="00226C3E">
      <w:pPr>
        <w:rPr>
          <w:b/>
        </w:rPr>
      </w:pPr>
      <w:r w:rsidRPr="00CA75AB">
        <w:rPr>
          <w:b/>
        </w:rPr>
        <w:t xml:space="preserve">Item </w:t>
      </w:r>
      <w:r w:rsidR="00226F26">
        <w:rPr>
          <w:b/>
        </w:rPr>
        <w:t>9</w:t>
      </w:r>
      <w:r w:rsidR="00226F26" w:rsidRPr="00CA75AB">
        <w:rPr>
          <w:b/>
        </w:rPr>
        <w:t xml:space="preserve"> </w:t>
      </w:r>
      <w:r w:rsidRPr="00CA75AB">
        <w:rPr>
          <w:b/>
        </w:rPr>
        <w:t xml:space="preserve">– </w:t>
      </w:r>
      <w:r>
        <w:rPr>
          <w:b/>
        </w:rPr>
        <w:t>Section 4 (definition of new resident)</w:t>
      </w:r>
    </w:p>
    <w:p w14:paraId="36D5911B" w14:textId="77777777" w:rsidR="00226C3E" w:rsidRDefault="00226C3E" w:rsidP="00226C3E">
      <w:r w:rsidRPr="00CA75AB">
        <w:t xml:space="preserve">This item </w:t>
      </w:r>
      <w:r>
        <w:t>repeals the definition of ‘new resident’, as the term is no longer required.</w:t>
      </w:r>
    </w:p>
    <w:p w14:paraId="3A2C99B1" w14:textId="77777777" w:rsidR="00226C3E" w:rsidRDefault="00226C3E" w:rsidP="00226C3E"/>
    <w:p w14:paraId="5C10EFD2" w14:textId="02CA892A" w:rsidR="00226C3E" w:rsidRPr="00CA75AB" w:rsidRDefault="00226C3E" w:rsidP="00226C3E">
      <w:pPr>
        <w:rPr>
          <w:b/>
        </w:rPr>
      </w:pPr>
      <w:r w:rsidRPr="00CA75AB">
        <w:rPr>
          <w:b/>
        </w:rPr>
        <w:t xml:space="preserve">Item </w:t>
      </w:r>
      <w:r w:rsidR="00226F26">
        <w:rPr>
          <w:b/>
        </w:rPr>
        <w:t>10</w:t>
      </w:r>
      <w:r w:rsidR="00226F26" w:rsidRPr="00CA75AB">
        <w:rPr>
          <w:b/>
        </w:rPr>
        <w:t xml:space="preserve"> </w:t>
      </w:r>
      <w:r w:rsidRPr="00CA75AB">
        <w:rPr>
          <w:b/>
        </w:rPr>
        <w:t xml:space="preserve">– </w:t>
      </w:r>
      <w:r>
        <w:rPr>
          <w:b/>
        </w:rPr>
        <w:t>Section 4</w:t>
      </w:r>
    </w:p>
    <w:p w14:paraId="10CD20EF" w14:textId="47FCB1B6" w:rsidR="00226C3E" w:rsidRDefault="00226C3E" w:rsidP="00226C3E">
      <w:r w:rsidRPr="00CA75AB">
        <w:t xml:space="preserve">This item </w:t>
      </w:r>
      <w:r>
        <w:t xml:space="preserve">inserts definitions for ‘relevant resident’ and ‘significantly refurbished residential care service’. These terms are needed for Items </w:t>
      </w:r>
      <w:r w:rsidR="006A05CA">
        <w:t xml:space="preserve">12 </w:t>
      </w:r>
      <w:r>
        <w:t xml:space="preserve">and </w:t>
      </w:r>
      <w:r w:rsidR="006A05CA">
        <w:t xml:space="preserve">14 </w:t>
      </w:r>
      <w:r>
        <w:t>below.</w:t>
      </w:r>
    </w:p>
    <w:p w14:paraId="28753BE7" w14:textId="77777777" w:rsidR="00226C3E" w:rsidRDefault="00226C3E" w:rsidP="00226C3E"/>
    <w:p w14:paraId="3487E6E8" w14:textId="2EDFF826" w:rsidR="00226C3E" w:rsidRPr="00CA75AB" w:rsidRDefault="00226C3E" w:rsidP="00226C3E">
      <w:pPr>
        <w:rPr>
          <w:b/>
        </w:rPr>
      </w:pPr>
      <w:r w:rsidRPr="00CA75AB">
        <w:rPr>
          <w:b/>
        </w:rPr>
        <w:t xml:space="preserve">Item </w:t>
      </w:r>
      <w:r w:rsidR="00226F26">
        <w:rPr>
          <w:b/>
        </w:rPr>
        <w:t>11</w:t>
      </w:r>
      <w:r w:rsidR="00226F26" w:rsidRPr="00CA75AB">
        <w:rPr>
          <w:b/>
        </w:rPr>
        <w:t xml:space="preserve"> </w:t>
      </w:r>
      <w:r w:rsidRPr="00CA75AB">
        <w:rPr>
          <w:b/>
        </w:rPr>
        <w:t xml:space="preserve">– </w:t>
      </w:r>
      <w:r>
        <w:rPr>
          <w:b/>
        </w:rPr>
        <w:t>Subsection 19(1)</w:t>
      </w:r>
    </w:p>
    <w:p w14:paraId="5CB231E3" w14:textId="77777777" w:rsidR="00226C3E" w:rsidRDefault="00226C3E" w:rsidP="00226C3E">
      <w:r w:rsidRPr="00CA75AB">
        <w:t xml:space="preserve">This item </w:t>
      </w:r>
      <w:r>
        <w:t>clarifies that the type of residential care referred to in this subsection that is to be provided by the residential care service to the care recipient is residential care other than respite care or care provided on an extra service basis.</w:t>
      </w:r>
    </w:p>
    <w:p w14:paraId="3B30C8FA" w14:textId="77777777" w:rsidR="00226C3E" w:rsidRDefault="00226C3E" w:rsidP="00226C3E"/>
    <w:p w14:paraId="599AEDCB" w14:textId="60592F6A" w:rsidR="00226C3E" w:rsidRPr="00CA75AB" w:rsidRDefault="00226C3E" w:rsidP="00226C3E">
      <w:pPr>
        <w:rPr>
          <w:b/>
        </w:rPr>
      </w:pPr>
      <w:r w:rsidRPr="00CA75AB">
        <w:rPr>
          <w:b/>
        </w:rPr>
        <w:t xml:space="preserve">Item </w:t>
      </w:r>
      <w:r w:rsidR="00226F26">
        <w:rPr>
          <w:b/>
        </w:rPr>
        <w:t>12</w:t>
      </w:r>
      <w:r w:rsidR="00226F26" w:rsidRPr="00CA75AB">
        <w:rPr>
          <w:b/>
        </w:rPr>
        <w:t xml:space="preserve"> </w:t>
      </w:r>
      <w:r w:rsidRPr="00CA75AB">
        <w:rPr>
          <w:b/>
        </w:rPr>
        <w:t xml:space="preserve">– </w:t>
      </w:r>
      <w:r>
        <w:rPr>
          <w:b/>
        </w:rPr>
        <w:t>Paragraph 19(1</w:t>
      </w:r>
      <w:proofErr w:type="gramStart"/>
      <w:r>
        <w:rPr>
          <w:b/>
        </w:rPr>
        <w:t>)(</w:t>
      </w:r>
      <w:proofErr w:type="gramEnd"/>
      <w:r>
        <w:rPr>
          <w:b/>
        </w:rPr>
        <w:t>a) and (b)</w:t>
      </w:r>
    </w:p>
    <w:p w14:paraId="71AF492C" w14:textId="410DC105" w:rsidR="00CD094C" w:rsidRDefault="00CD094C" w:rsidP="00CD094C">
      <w:r w:rsidRPr="00CA75AB">
        <w:t xml:space="preserve">This item </w:t>
      </w:r>
      <w:r>
        <w:t>makes technical corrections to clarify the operation of the accommodation supplement, by repealing the paragraphs and substituting new paragraphs (a) to (d).</w:t>
      </w:r>
    </w:p>
    <w:p w14:paraId="774B946B" w14:textId="77777777" w:rsidR="00226C3E" w:rsidRDefault="00226C3E" w:rsidP="00226C3E"/>
    <w:p w14:paraId="2989B180" w14:textId="3018A58E" w:rsidR="00226C3E" w:rsidRPr="00CA75AB" w:rsidRDefault="00226C3E" w:rsidP="00226C3E">
      <w:pPr>
        <w:rPr>
          <w:b/>
        </w:rPr>
      </w:pPr>
      <w:r w:rsidRPr="00CA75AB">
        <w:rPr>
          <w:b/>
        </w:rPr>
        <w:t xml:space="preserve">Item </w:t>
      </w:r>
      <w:r w:rsidR="00226F26">
        <w:rPr>
          <w:b/>
        </w:rPr>
        <w:t>13</w:t>
      </w:r>
      <w:r w:rsidR="00226F26" w:rsidRPr="00CA75AB">
        <w:rPr>
          <w:b/>
        </w:rPr>
        <w:t xml:space="preserve"> </w:t>
      </w:r>
      <w:r w:rsidRPr="00CA75AB">
        <w:rPr>
          <w:b/>
        </w:rPr>
        <w:t xml:space="preserve">– </w:t>
      </w:r>
      <w:r>
        <w:rPr>
          <w:b/>
        </w:rPr>
        <w:t>Subsection 19(2)</w:t>
      </w:r>
    </w:p>
    <w:p w14:paraId="226B533E" w14:textId="443A76FF" w:rsidR="00226C3E" w:rsidRDefault="00226C3E" w:rsidP="00226C3E">
      <w:r w:rsidRPr="00CA75AB">
        <w:t xml:space="preserve">This </w:t>
      </w:r>
      <w:r>
        <w:t xml:space="preserve">item repeals the subsection as a result of Item </w:t>
      </w:r>
      <w:r w:rsidR="006A05CA">
        <w:t xml:space="preserve">12 </w:t>
      </w:r>
      <w:r>
        <w:t>above.</w:t>
      </w:r>
    </w:p>
    <w:p w14:paraId="0A653FE7" w14:textId="77777777" w:rsidR="00226C3E" w:rsidRDefault="00226C3E" w:rsidP="00226C3E"/>
    <w:p w14:paraId="6B4E189F" w14:textId="1632212E" w:rsidR="00226C3E" w:rsidRPr="00CA75AB" w:rsidRDefault="00226C3E" w:rsidP="00226C3E">
      <w:pPr>
        <w:rPr>
          <w:b/>
        </w:rPr>
      </w:pPr>
      <w:r w:rsidRPr="00CA75AB">
        <w:rPr>
          <w:b/>
        </w:rPr>
        <w:t xml:space="preserve">Item </w:t>
      </w:r>
      <w:r w:rsidR="00226F26">
        <w:rPr>
          <w:b/>
        </w:rPr>
        <w:t>14</w:t>
      </w:r>
      <w:r w:rsidR="00226F26" w:rsidRPr="00CA75AB">
        <w:rPr>
          <w:b/>
        </w:rPr>
        <w:t xml:space="preserve"> </w:t>
      </w:r>
      <w:r w:rsidRPr="00CA75AB">
        <w:rPr>
          <w:b/>
        </w:rPr>
        <w:t xml:space="preserve">– </w:t>
      </w:r>
      <w:r>
        <w:rPr>
          <w:b/>
        </w:rPr>
        <w:t>Section 20</w:t>
      </w:r>
    </w:p>
    <w:p w14:paraId="2E136D65" w14:textId="77777777" w:rsidR="00226C3E" w:rsidRDefault="00226C3E" w:rsidP="00226C3E">
      <w:r w:rsidRPr="00CA75AB">
        <w:t xml:space="preserve">This item </w:t>
      </w:r>
      <w:r>
        <w:t xml:space="preserve">repeals the section and substitutes a new section 20. The section clarifies the matters on which the Minister may base a determination of different amounts (including nil amounts) for concessional resident supplements. </w:t>
      </w:r>
    </w:p>
    <w:p w14:paraId="3A58893E" w14:textId="77777777" w:rsidR="00226C3E" w:rsidRDefault="00226C3E" w:rsidP="00226C3E"/>
    <w:p w14:paraId="7195E949" w14:textId="77777777" w:rsidR="00226C3E" w:rsidRDefault="00226C3E" w:rsidP="00226C3E"/>
    <w:p w14:paraId="1F238697" w14:textId="77777777" w:rsidR="00226C3E" w:rsidRPr="00E60979" w:rsidRDefault="00226C3E" w:rsidP="00226C3E">
      <w:pPr>
        <w:keepNext/>
        <w:rPr>
          <w:b/>
          <w:bCs/>
        </w:rPr>
      </w:pPr>
      <w:r w:rsidRPr="00E60979">
        <w:rPr>
          <w:b/>
          <w:bCs/>
        </w:rPr>
        <w:lastRenderedPageBreak/>
        <w:t xml:space="preserve">Part </w:t>
      </w:r>
      <w:r>
        <w:rPr>
          <w:b/>
          <w:bCs/>
        </w:rPr>
        <w:t>3</w:t>
      </w:r>
      <w:r w:rsidRPr="00E60979">
        <w:rPr>
          <w:b/>
          <w:bCs/>
        </w:rPr>
        <w:t xml:space="preserve"> – </w:t>
      </w:r>
      <w:r>
        <w:rPr>
          <w:b/>
          <w:bCs/>
        </w:rPr>
        <w:t>Technical amendments</w:t>
      </w:r>
    </w:p>
    <w:p w14:paraId="30EF0614" w14:textId="77777777" w:rsidR="00226C3E" w:rsidRDefault="00226C3E" w:rsidP="00226C3E">
      <w:pPr>
        <w:keepNext/>
      </w:pPr>
    </w:p>
    <w:p w14:paraId="5CC90215" w14:textId="77777777" w:rsidR="00226C3E" w:rsidRPr="00E60979" w:rsidRDefault="00226C3E" w:rsidP="00226C3E">
      <w:pPr>
        <w:keepNext/>
        <w:rPr>
          <w:b/>
          <w:bCs/>
          <w:i/>
          <w:iCs/>
        </w:rPr>
      </w:pPr>
      <w:r w:rsidRPr="00E60979">
        <w:rPr>
          <w:b/>
          <w:bCs/>
          <w:i/>
          <w:iCs/>
        </w:rPr>
        <w:t>Aged Care (</w:t>
      </w:r>
      <w:r>
        <w:rPr>
          <w:b/>
          <w:bCs/>
          <w:i/>
          <w:iCs/>
        </w:rPr>
        <w:t>Transitional Provisions</w:t>
      </w:r>
      <w:r w:rsidRPr="00E60979">
        <w:rPr>
          <w:b/>
          <w:bCs/>
          <w:i/>
          <w:iCs/>
        </w:rPr>
        <w:t xml:space="preserve">) </w:t>
      </w:r>
      <w:r>
        <w:rPr>
          <w:b/>
          <w:bCs/>
          <w:i/>
          <w:iCs/>
        </w:rPr>
        <w:t xml:space="preserve">Principles </w:t>
      </w:r>
      <w:r w:rsidRPr="00E60979">
        <w:rPr>
          <w:b/>
          <w:bCs/>
          <w:i/>
          <w:iCs/>
        </w:rPr>
        <w:t>2014</w:t>
      </w:r>
    </w:p>
    <w:p w14:paraId="2661D126" w14:textId="77777777" w:rsidR="00226C3E" w:rsidRDefault="00226C3E" w:rsidP="00226C3E">
      <w:pPr>
        <w:keepNext/>
      </w:pPr>
    </w:p>
    <w:p w14:paraId="11A15967" w14:textId="3579BA4D" w:rsidR="00226C3E" w:rsidRDefault="00226C3E" w:rsidP="00226C3E">
      <w:pPr>
        <w:keepNext/>
        <w:rPr>
          <w:b/>
        </w:rPr>
      </w:pPr>
      <w:r w:rsidRPr="00CA75AB">
        <w:rPr>
          <w:b/>
        </w:rPr>
        <w:t xml:space="preserve">Item </w:t>
      </w:r>
      <w:r w:rsidR="00226F26">
        <w:rPr>
          <w:b/>
        </w:rPr>
        <w:t>15</w:t>
      </w:r>
      <w:r w:rsidR="00226F26" w:rsidRPr="00CA75AB">
        <w:rPr>
          <w:b/>
        </w:rPr>
        <w:t xml:space="preserve"> </w:t>
      </w:r>
      <w:r w:rsidRPr="00CA75AB">
        <w:rPr>
          <w:b/>
        </w:rPr>
        <w:t xml:space="preserve">– </w:t>
      </w:r>
      <w:r>
        <w:rPr>
          <w:b/>
        </w:rPr>
        <w:t>Section 29</w:t>
      </w:r>
    </w:p>
    <w:p w14:paraId="75EF798A" w14:textId="77777777" w:rsidR="00226C3E" w:rsidRDefault="00226C3E" w:rsidP="00226C3E">
      <w:r w:rsidRPr="00CA75AB">
        <w:t xml:space="preserve">This item </w:t>
      </w:r>
      <w:r>
        <w:t>clarifies that the reference is to the TP Act.</w:t>
      </w:r>
    </w:p>
    <w:p w14:paraId="7F169B04" w14:textId="77777777" w:rsidR="00226C3E" w:rsidRDefault="00226C3E" w:rsidP="00226C3E"/>
    <w:p w14:paraId="2145DA45" w14:textId="48E88CCA" w:rsidR="00226C3E" w:rsidRDefault="00226C3E" w:rsidP="00226C3E">
      <w:pPr>
        <w:keepNext/>
        <w:rPr>
          <w:b/>
        </w:rPr>
      </w:pPr>
      <w:r w:rsidRPr="00CA75AB">
        <w:rPr>
          <w:b/>
        </w:rPr>
        <w:t>Item</w:t>
      </w:r>
      <w:r>
        <w:rPr>
          <w:b/>
        </w:rPr>
        <w:t>s</w:t>
      </w:r>
      <w:r w:rsidRPr="00CA75AB">
        <w:rPr>
          <w:b/>
        </w:rPr>
        <w:t xml:space="preserve"> </w:t>
      </w:r>
      <w:r w:rsidR="00226F26">
        <w:rPr>
          <w:b/>
        </w:rPr>
        <w:t xml:space="preserve">16 </w:t>
      </w:r>
      <w:r>
        <w:rPr>
          <w:b/>
        </w:rPr>
        <w:t xml:space="preserve">and </w:t>
      </w:r>
      <w:r w:rsidR="00226F26">
        <w:rPr>
          <w:b/>
        </w:rPr>
        <w:t>17</w:t>
      </w:r>
      <w:r w:rsidR="00226F26" w:rsidRPr="00CA75AB">
        <w:rPr>
          <w:b/>
        </w:rPr>
        <w:t xml:space="preserve"> </w:t>
      </w:r>
      <w:r w:rsidRPr="00CA75AB">
        <w:rPr>
          <w:b/>
        </w:rPr>
        <w:t xml:space="preserve">– </w:t>
      </w:r>
      <w:r>
        <w:rPr>
          <w:b/>
        </w:rPr>
        <w:t>Sections 59 and 62</w:t>
      </w:r>
    </w:p>
    <w:p w14:paraId="0FD35F9D" w14:textId="77777777" w:rsidR="00226C3E" w:rsidRDefault="00226C3E" w:rsidP="00226C3E">
      <w:r w:rsidRPr="00CA75AB">
        <w:t>Th</w:t>
      </w:r>
      <w:r>
        <w:t>e</w:t>
      </w:r>
      <w:r w:rsidRPr="00CA75AB">
        <w:t>s</w:t>
      </w:r>
      <w:r>
        <w:t>e</w:t>
      </w:r>
      <w:r w:rsidRPr="00CA75AB">
        <w:t xml:space="preserve"> item</w:t>
      </w:r>
      <w:r>
        <w:t>s</w:t>
      </w:r>
      <w:r w:rsidRPr="00CA75AB">
        <w:t xml:space="preserve"> </w:t>
      </w:r>
      <w:r>
        <w:t>correct the references from paragraph 44-27(e) to paragraph 44</w:t>
      </w:r>
      <w:r>
        <w:noBreakHyphen/>
      </w:r>
      <w:proofErr w:type="gramStart"/>
      <w:r>
        <w:t>27(</w:t>
      </w:r>
      <w:proofErr w:type="gramEnd"/>
      <w:r>
        <w:t xml:space="preserve">1)(e) of the TP Act required as a result of the </w:t>
      </w:r>
      <w:r w:rsidRPr="006C683E">
        <w:rPr>
          <w:i/>
        </w:rPr>
        <w:t>Aged Care and Other Legislation Amendment Act 2014</w:t>
      </w:r>
      <w:r>
        <w:t>.</w:t>
      </w:r>
    </w:p>
    <w:p w14:paraId="3B07B5A5" w14:textId="77777777" w:rsidR="00226C3E" w:rsidRDefault="00226C3E" w:rsidP="00226C3E"/>
    <w:p w14:paraId="31D049D8" w14:textId="2CAD8244" w:rsidR="00226C3E" w:rsidRDefault="00226C3E" w:rsidP="00226C3E">
      <w:pPr>
        <w:keepNext/>
        <w:rPr>
          <w:b/>
        </w:rPr>
      </w:pPr>
      <w:r w:rsidRPr="00CA75AB">
        <w:rPr>
          <w:b/>
        </w:rPr>
        <w:t>Item</w:t>
      </w:r>
      <w:r>
        <w:rPr>
          <w:b/>
        </w:rPr>
        <w:t>s</w:t>
      </w:r>
      <w:r w:rsidRPr="00CA75AB">
        <w:rPr>
          <w:b/>
        </w:rPr>
        <w:t xml:space="preserve"> </w:t>
      </w:r>
      <w:r w:rsidR="00226F26">
        <w:rPr>
          <w:b/>
        </w:rPr>
        <w:t>17 and 18</w:t>
      </w:r>
      <w:r w:rsidR="00226F26" w:rsidRPr="00CA75AB">
        <w:rPr>
          <w:b/>
        </w:rPr>
        <w:t xml:space="preserve"> </w:t>
      </w:r>
      <w:r w:rsidRPr="00CA75AB">
        <w:rPr>
          <w:b/>
        </w:rPr>
        <w:t xml:space="preserve">– </w:t>
      </w:r>
      <w:r>
        <w:rPr>
          <w:b/>
        </w:rPr>
        <w:t>Section 61 and 64</w:t>
      </w:r>
    </w:p>
    <w:p w14:paraId="1EADA136" w14:textId="77777777" w:rsidR="00226C3E" w:rsidRDefault="00226C3E" w:rsidP="00226C3E">
      <w:r>
        <w:t>These items repeal the sections as they now duplicate the provisions of subsection 44</w:t>
      </w:r>
      <w:r>
        <w:noBreakHyphen/>
      </w:r>
      <w:proofErr w:type="gramStart"/>
      <w:r>
        <w:t>27(</w:t>
      </w:r>
      <w:proofErr w:type="gramEnd"/>
      <w:r>
        <w:t xml:space="preserve">3) of the TP Act.  The duplication arises because of the </w:t>
      </w:r>
      <w:r w:rsidRPr="00AA6B7C">
        <w:rPr>
          <w:i/>
        </w:rPr>
        <w:t>Aged Care and Other Legislation Amendment Act 2014</w:t>
      </w:r>
      <w:r>
        <w:t>.</w:t>
      </w:r>
    </w:p>
    <w:p w14:paraId="060E61DF" w14:textId="77777777" w:rsidR="00226C3E" w:rsidRDefault="00226C3E" w:rsidP="00226C3E">
      <w:pPr>
        <w:widowControl/>
        <w:spacing w:after="200" w:line="276" w:lineRule="auto"/>
      </w:pPr>
      <w:r>
        <w:br w:type="page"/>
      </w:r>
    </w:p>
    <w:p w14:paraId="70CD65E6" w14:textId="77777777" w:rsidR="00226C3E" w:rsidRPr="00CA75AB" w:rsidRDefault="00226C3E" w:rsidP="00226C3E"/>
    <w:p w14:paraId="12CB2A1C" w14:textId="77777777" w:rsidR="00226C3E" w:rsidRPr="00CA75AB" w:rsidRDefault="00226C3E" w:rsidP="00226C3E">
      <w:pPr>
        <w:spacing w:before="120" w:after="120"/>
        <w:jc w:val="center"/>
        <w:rPr>
          <w:b/>
          <w:sz w:val="28"/>
          <w:szCs w:val="28"/>
        </w:rPr>
      </w:pPr>
      <w:r w:rsidRPr="001A2D1F">
        <w:rPr>
          <w:b/>
          <w:sz w:val="28"/>
          <w:szCs w:val="28"/>
        </w:rPr>
        <w:t>Statement of Compatibility with Human Rights</w:t>
      </w:r>
    </w:p>
    <w:p w14:paraId="171B29E6" w14:textId="77777777" w:rsidR="00226C3E" w:rsidRPr="00B927FE" w:rsidRDefault="00226C3E" w:rsidP="00226C3E">
      <w:pPr>
        <w:widowControl/>
        <w:spacing w:before="120" w:after="120"/>
        <w:jc w:val="center"/>
        <w:rPr>
          <w:snapToGrid/>
          <w:szCs w:val="24"/>
          <w:lang w:eastAsia="en-AU"/>
        </w:rPr>
      </w:pPr>
      <w:r w:rsidRPr="00B927FE">
        <w:rPr>
          <w:i/>
          <w:iCs/>
          <w:snapToGrid/>
          <w:szCs w:val="24"/>
          <w:lang w:eastAsia="en-AU"/>
        </w:rPr>
        <w:t>Prepared in accordance with Part 3 of the Human Rights (Parliamentary Scrutiny) Act 2011</w:t>
      </w:r>
    </w:p>
    <w:p w14:paraId="0823191A" w14:textId="77777777" w:rsidR="00226C3E" w:rsidRPr="004B48DD" w:rsidRDefault="00226C3E" w:rsidP="00226C3E">
      <w:pPr>
        <w:widowControl/>
        <w:spacing w:before="100" w:beforeAutospacing="1" w:after="100" w:afterAutospacing="1"/>
        <w:jc w:val="center"/>
        <w:rPr>
          <w:rFonts w:ascii="Helvetica Neue" w:hAnsi="Helvetica Neue"/>
          <w:b/>
          <w:i/>
          <w:iCs/>
          <w:snapToGrid/>
          <w:sz w:val="19"/>
          <w:szCs w:val="19"/>
          <w:lang w:eastAsia="en-AU"/>
        </w:rPr>
      </w:pPr>
      <w:r w:rsidRPr="00A269FC">
        <w:rPr>
          <w:b/>
          <w:bCs/>
          <w:i/>
          <w:iCs/>
          <w:snapToGrid/>
          <w:szCs w:val="24"/>
          <w:lang w:eastAsia="en-AU"/>
        </w:rPr>
        <w:t xml:space="preserve">Aged Care (Transitional Provisions) Amendment (Removal of Certification and Other Measures) Principles 2015 </w:t>
      </w:r>
    </w:p>
    <w:p w14:paraId="4586A4EE" w14:textId="77777777" w:rsidR="00226C3E" w:rsidRPr="00B927FE" w:rsidRDefault="00226C3E" w:rsidP="00226C3E">
      <w:pPr>
        <w:widowControl/>
        <w:spacing w:before="120" w:after="120"/>
        <w:rPr>
          <w:snapToGrid/>
          <w:szCs w:val="24"/>
          <w:lang w:eastAsia="en-AU"/>
        </w:rPr>
      </w:pPr>
      <w:r w:rsidRPr="00B927FE">
        <w:rPr>
          <w:snapToGrid/>
          <w:szCs w:val="24"/>
          <w:lang w:eastAsia="en-AU"/>
        </w:rPr>
        <w:t xml:space="preserve">This </w:t>
      </w:r>
      <w:r w:rsidRPr="00A269FC">
        <w:rPr>
          <w:i/>
          <w:iCs/>
        </w:rPr>
        <w:t>Aged Care (Transitional Provisions) Amendment (Removal of Certification and Other Measures) Principles 2015</w:t>
      </w:r>
      <w:r w:rsidRPr="00A269FC">
        <w:rPr>
          <w:b/>
          <w:bCs/>
          <w:i/>
          <w:iCs/>
        </w:rPr>
        <w:t xml:space="preserve"> </w:t>
      </w:r>
      <w:r w:rsidRPr="00B927FE">
        <w:rPr>
          <w:snapToGrid/>
          <w:szCs w:val="24"/>
          <w:lang w:eastAsia="en-AU"/>
        </w:rPr>
        <w:t xml:space="preserve">is compatible with the human rights and freedoms recognised or declared in the international instruments listed in section 3 of the </w:t>
      </w:r>
      <w:r w:rsidRPr="00B927FE">
        <w:rPr>
          <w:i/>
          <w:iCs/>
          <w:snapToGrid/>
          <w:szCs w:val="24"/>
          <w:lang w:eastAsia="en-AU"/>
        </w:rPr>
        <w:t>Human Rights (Parliamentary Scrutiny) Act 2011</w:t>
      </w:r>
      <w:r w:rsidRPr="00B927FE">
        <w:rPr>
          <w:snapToGrid/>
          <w:szCs w:val="24"/>
          <w:lang w:eastAsia="en-AU"/>
        </w:rPr>
        <w:t>.</w:t>
      </w:r>
    </w:p>
    <w:p w14:paraId="597217ED" w14:textId="77777777" w:rsidR="00226C3E" w:rsidRPr="00B927FE" w:rsidRDefault="00226C3E" w:rsidP="00226C3E">
      <w:pPr>
        <w:widowControl/>
        <w:spacing w:before="120" w:after="120"/>
        <w:jc w:val="both"/>
        <w:rPr>
          <w:snapToGrid/>
          <w:szCs w:val="24"/>
          <w:lang w:eastAsia="en-AU"/>
        </w:rPr>
      </w:pPr>
      <w:r w:rsidRPr="00B927FE">
        <w:rPr>
          <w:b/>
          <w:bCs/>
          <w:snapToGrid/>
          <w:szCs w:val="24"/>
          <w:lang w:eastAsia="en-AU"/>
        </w:rPr>
        <w:t>Overview of Legislative Instrument</w:t>
      </w:r>
    </w:p>
    <w:p w14:paraId="090CB44B" w14:textId="11F3F359" w:rsidR="00226C3E" w:rsidRPr="006C683E" w:rsidRDefault="00226C3E" w:rsidP="00226C3E">
      <w:pPr>
        <w:widowControl/>
        <w:spacing w:before="100" w:beforeAutospacing="1" w:after="100" w:afterAutospacing="1"/>
        <w:rPr>
          <w:i/>
          <w:snapToGrid/>
          <w:szCs w:val="24"/>
          <w:lang w:eastAsia="en-AU"/>
        </w:rPr>
      </w:pPr>
      <w:r>
        <w:rPr>
          <w:snapToGrid/>
          <w:szCs w:val="24"/>
          <w:lang w:eastAsia="en-AU"/>
        </w:rPr>
        <w:t xml:space="preserve">The </w:t>
      </w:r>
      <w:r w:rsidRPr="00A269FC">
        <w:rPr>
          <w:i/>
          <w:iCs/>
        </w:rPr>
        <w:t>Aged Care (Transitional Provisions) Amendment (Removal of Certification and Other Measures) Principles 2015</w:t>
      </w:r>
      <w:r>
        <w:rPr>
          <w:i/>
          <w:iCs/>
        </w:rPr>
        <w:t xml:space="preserve"> </w:t>
      </w:r>
      <w:r>
        <w:rPr>
          <w:snapToGrid/>
          <w:szCs w:val="24"/>
          <w:lang w:eastAsia="en-AU"/>
        </w:rPr>
        <w:t xml:space="preserve">removes certification references in the </w:t>
      </w:r>
      <w:r>
        <w:rPr>
          <w:i/>
          <w:snapToGrid/>
          <w:szCs w:val="24"/>
          <w:lang w:eastAsia="en-AU"/>
        </w:rPr>
        <w:t>Aged Care (Transitional Provisions) Principles 2014</w:t>
      </w:r>
      <w:r>
        <w:rPr>
          <w:snapToGrid/>
          <w:szCs w:val="24"/>
          <w:lang w:eastAsia="en-AU"/>
        </w:rPr>
        <w:t xml:space="preserve">, clarifies the matters on which the Minister may determine the amount, or method to calculate the amount, of accommodation supplement and concessional resident supplement, and makes minor technical amendments to rectify errors </w:t>
      </w:r>
      <w:r w:rsidR="00892C26">
        <w:rPr>
          <w:snapToGrid/>
          <w:szCs w:val="24"/>
          <w:lang w:eastAsia="en-AU"/>
        </w:rPr>
        <w:t xml:space="preserve">in </w:t>
      </w:r>
      <w:r>
        <w:rPr>
          <w:snapToGrid/>
          <w:szCs w:val="24"/>
          <w:lang w:eastAsia="en-AU"/>
        </w:rPr>
        <w:t xml:space="preserve">references in the </w:t>
      </w:r>
      <w:r w:rsidRPr="00637CC7">
        <w:rPr>
          <w:i/>
          <w:iCs/>
          <w:snapToGrid/>
          <w:szCs w:val="24"/>
          <w:lang w:eastAsia="en-AU"/>
        </w:rPr>
        <w:t xml:space="preserve">Aged Care </w:t>
      </w:r>
      <w:r>
        <w:rPr>
          <w:i/>
          <w:iCs/>
          <w:snapToGrid/>
          <w:szCs w:val="24"/>
          <w:lang w:eastAsia="en-AU"/>
        </w:rPr>
        <w:t>(</w:t>
      </w:r>
      <w:r w:rsidRPr="00637CC7">
        <w:rPr>
          <w:i/>
          <w:iCs/>
          <w:snapToGrid/>
          <w:szCs w:val="24"/>
          <w:lang w:eastAsia="en-AU"/>
        </w:rPr>
        <w:t>Transitional Provisions</w:t>
      </w:r>
      <w:r>
        <w:rPr>
          <w:i/>
          <w:iCs/>
          <w:snapToGrid/>
          <w:szCs w:val="24"/>
          <w:lang w:eastAsia="en-AU"/>
        </w:rPr>
        <w:t>)</w:t>
      </w:r>
      <w:r w:rsidRPr="00637CC7">
        <w:rPr>
          <w:i/>
          <w:iCs/>
          <w:snapToGrid/>
          <w:szCs w:val="24"/>
          <w:lang w:eastAsia="en-AU"/>
        </w:rPr>
        <w:t xml:space="preserve"> Principles 2014</w:t>
      </w:r>
      <w:r>
        <w:rPr>
          <w:snapToGrid/>
          <w:szCs w:val="24"/>
          <w:lang w:eastAsia="en-AU"/>
        </w:rPr>
        <w:t xml:space="preserve"> that arise due to the </w:t>
      </w:r>
      <w:r w:rsidRPr="006C683E">
        <w:rPr>
          <w:i/>
          <w:snapToGrid/>
          <w:szCs w:val="24"/>
          <w:lang w:eastAsia="en-AU"/>
        </w:rPr>
        <w:t>Aged Care and Other Legislation Amendment Act 2014</w:t>
      </w:r>
      <w:r w:rsidRPr="007551AB">
        <w:rPr>
          <w:snapToGrid/>
          <w:szCs w:val="24"/>
          <w:lang w:eastAsia="en-AU"/>
        </w:rPr>
        <w:t>.</w:t>
      </w:r>
    </w:p>
    <w:p w14:paraId="476D68E1" w14:textId="77777777" w:rsidR="00226C3E" w:rsidRPr="00B927FE" w:rsidRDefault="00226C3E" w:rsidP="00226C3E">
      <w:pPr>
        <w:widowControl/>
        <w:spacing w:before="120" w:after="120"/>
        <w:rPr>
          <w:snapToGrid/>
          <w:szCs w:val="24"/>
          <w:lang w:eastAsia="en-AU"/>
        </w:rPr>
      </w:pPr>
      <w:r w:rsidRPr="00B927FE">
        <w:rPr>
          <w:b/>
          <w:bCs/>
          <w:snapToGrid/>
          <w:szCs w:val="24"/>
          <w:lang w:eastAsia="en-AU"/>
        </w:rPr>
        <w:t xml:space="preserve">Human </w:t>
      </w:r>
      <w:r>
        <w:rPr>
          <w:b/>
          <w:bCs/>
          <w:snapToGrid/>
          <w:szCs w:val="24"/>
          <w:lang w:eastAsia="en-AU"/>
        </w:rPr>
        <w:t>R</w:t>
      </w:r>
      <w:r w:rsidRPr="00B927FE">
        <w:rPr>
          <w:b/>
          <w:bCs/>
          <w:snapToGrid/>
          <w:szCs w:val="24"/>
          <w:lang w:eastAsia="en-AU"/>
        </w:rPr>
        <w:t xml:space="preserve">ights </w:t>
      </w:r>
      <w:r>
        <w:rPr>
          <w:b/>
          <w:bCs/>
          <w:snapToGrid/>
          <w:szCs w:val="24"/>
          <w:lang w:eastAsia="en-AU"/>
        </w:rPr>
        <w:t>I</w:t>
      </w:r>
      <w:r w:rsidRPr="00B927FE">
        <w:rPr>
          <w:b/>
          <w:bCs/>
          <w:snapToGrid/>
          <w:szCs w:val="24"/>
          <w:lang w:eastAsia="en-AU"/>
        </w:rPr>
        <w:t>mplications</w:t>
      </w:r>
    </w:p>
    <w:p w14:paraId="4B5D4C17" w14:textId="77777777" w:rsidR="00226C3E" w:rsidRPr="00313075" w:rsidRDefault="00226C3E" w:rsidP="00226C3E">
      <w:pPr>
        <w:rPr>
          <w:szCs w:val="24"/>
          <w:lang w:eastAsia="en-AU"/>
        </w:rPr>
      </w:pPr>
      <w:r>
        <w:rPr>
          <w:szCs w:val="24"/>
          <w:lang w:eastAsia="en-AU"/>
        </w:rPr>
        <w:t>The legislative instrument</w:t>
      </w:r>
      <w:r w:rsidRPr="00313075">
        <w:rPr>
          <w:szCs w:val="24"/>
          <w:lang w:eastAsia="en-AU"/>
        </w:rPr>
        <w:t xml:space="preserve"> is compatible with the </w:t>
      </w:r>
      <w:r w:rsidRPr="00FD50BD">
        <w:rPr>
          <w:szCs w:val="24"/>
          <w:lang w:eastAsia="en-AU"/>
        </w:rPr>
        <w:t>right to an adequate standard of living contained in article 11 of the International Covenant on Economic, Social and Cultural Rights</w:t>
      </w:r>
      <w:r w:rsidRPr="00313075">
        <w:rPr>
          <w:szCs w:val="24"/>
          <w:lang w:eastAsia="en-AU"/>
        </w:rPr>
        <w:t xml:space="preserve">. </w:t>
      </w:r>
      <w:r>
        <w:rPr>
          <w:szCs w:val="24"/>
          <w:lang w:eastAsia="en-AU"/>
        </w:rPr>
        <w:t>Aged care facilities must continue to comply with state and territory building requirements.</w:t>
      </w:r>
    </w:p>
    <w:p w14:paraId="553CEBB7" w14:textId="77777777" w:rsidR="00226C3E" w:rsidRPr="00313075" w:rsidRDefault="00226C3E" w:rsidP="00226C3E">
      <w:pPr>
        <w:rPr>
          <w:szCs w:val="24"/>
          <w:lang w:eastAsia="en-AU"/>
        </w:rPr>
      </w:pPr>
    </w:p>
    <w:p w14:paraId="1D2BB1C3" w14:textId="77777777" w:rsidR="00226C3E" w:rsidRPr="00916E12" w:rsidRDefault="00226C3E" w:rsidP="00226C3E">
      <w:pPr>
        <w:rPr>
          <w:szCs w:val="24"/>
          <w:lang w:eastAsia="en-AU"/>
        </w:rPr>
      </w:pPr>
      <w:r>
        <w:rPr>
          <w:color w:val="000000"/>
          <w:szCs w:val="24"/>
          <w:lang w:eastAsia="en-AU"/>
        </w:rPr>
        <w:t>The legislative instrument is also</w:t>
      </w:r>
      <w:r w:rsidRPr="00313075">
        <w:rPr>
          <w:color w:val="000000"/>
          <w:szCs w:val="24"/>
          <w:lang w:eastAsia="en-AU"/>
        </w:rPr>
        <w:t xml:space="preserve"> </w:t>
      </w:r>
      <w:r w:rsidRPr="00916E12">
        <w:rPr>
          <w:color w:val="000000"/>
          <w:szCs w:val="24"/>
          <w:lang w:eastAsia="en-AU"/>
        </w:rPr>
        <w:t xml:space="preserve">compatible with the right to an adequate standard of living and the right to the enjoyment of the highest attainable standard of physical and mental health as contained in article 11(1) and article 12(1) of the International Covenant on Economic, Social and Cultural Rights, and article 25 and article 28 of the </w:t>
      </w:r>
      <w:hyperlink r:id="rId9" w:history="1">
        <w:r w:rsidRPr="00313075">
          <w:rPr>
            <w:color w:val="000000"/>
            <w:szCs w:val="24"/>
            <w:lang w:eastAsia="en-AU"/>
          </w:rPr>
          <w:t>Convention on the Rights of Persons with Disabilities</w:t>
        </w:r>
      </w:hyperlink>
      <w:r w:rsidRPr="00916E12">
        <w:rPr>
          <w:color w:val="000000"/>
          <w:szCs w:val="24"/>
          <w:lang w:eastAsia="en-AU"/>
        </w:rPr>
        <w:t xml:space="preserve">. </w:t>
      </w:r>
      <w:r w:rsidRPr="00313075">
        <w:rPr>
          <w:color w:val="000000"/>
          <w:szCs w:val="24"/>
          <w:lang w:eastAsia="en-AU"/>
        </w:rPr>
        <w:t xml:space="preserve"> </w:t>
      </w:r>
      <w:r>
        <w:rPr>
          <w:color w:val="000000"/>
          <w:szCs w:val="24"/>
          <w:lang w:eastAsia="en-AU"/>
        </w:rPr>
        <w:t>The Amending Principles continue to enable</w:t>
      </w:r>
      <w:r w:rsidRPr="00313075">
        <w:rPr>
          <w:color w:val="000000"/>
          <w:szCs w:val="24"/>
          <w:lang w:eastAsia="en-AU"/>
        </w:rPr>
        <w:t xml:space="preserve"> the payment of supplements</w:t>
      </w:r>
      <w:r w:rsidRPr="00916E12">
        <w:rPr>
          <w:color w:val="000000"/>
          <w:szCs w:val="24"/>
          <w:lang w:eastAsia="en-AU"/>
        </w:rPr>
        <w:t xml:space="preserve"> to approved providers for the provision of care and services to people with a condition of frailty or disability who require assistance to achieve and maintain the highest attainable standard of physical and mental health. </w:t>
      </w:r>
      <w:r w:rsidRPr="00313075">
        <w:rPr>
          <w:color w:val="000000"/>
          <w:szCs w:val="24"/>
          <w:lang w:eastAsia="en-AU"/>
        </w:rPr>
        <w:t xml:space="preserve"> </w:t>
      </w:r>
    </w:p>
    <w:p w14:paraId="304F36FE" w14:textId="77777777" w:rsidR="00226C3E" w:rsidRPr="00313075" w:rsidRDefault="00226C3E" w:rsidP="00226C3E">
      <w:pPr>
        <w:rPr>
          <w:szCs w:val="24"/>
          <w:lang w:eastAsia="en-AU"/>
        </w:rPr>
      </w:pPr>
    </w:p>
    <w:p w14:paraId="69FD8E1B" w14:textId="77777777" w:rsidR="00226C3E" w:rsidRPr="00B927FE" w:rsidRDefault="00226C3E" w:rsidP="00226C3E">
      <w:pPr>
        <w:widowControl/>
        <w:spacing w:before="120" w:after="120"/>
        <w:rPr>
          <w:snapToGrid/>
          <w:szCs w:val="24"/>
          <w:lang w:eastAsia="en-AU"/>
        </w:rPr>
      </w:pPr>
      <w:r w:rsidRPr="00B927FE">
        <w:rPr>
          <w:b/>
          <w:bCs/>
          <w:snapToGrid/>
          <w:szCs w:val="24"/>
          <w:lang w:eastAsia="en-AU"/>
        </w:rPr>
        <w:t>Conclusion</w:t>
      </w:r>
    </w:p>
    <w:p w14:paraId="3F4187DC" w14:textId="77777777" w:rsidR="00226C3E" w:rsidRPr="00916E12" w:rsidRDefault="00226C3E" w:rsidP="00226C3E">
      <w:pPr>
        <w:rPr>
          <w:szCs w:val="24"/>
          <w:lang w:eastAsia="en-AU"/>
        </w:rPr>
      </w:pPr>
      <w:r w:rsidRPr="00916E12">
        <w:rPr>
          <w:szCs w:val="24"/>
          <w:lang w:eastAsia="en-AU"/>
        </w:rPr>
        <w:t>This legislative instrument is compatible with human rights as it promotes the human right to an adequate standard of living and the highest attainable standard of physical and mental health.</w:t>
      </w:r>
    </w:p>
    <w:p w14:paraId="5005EBE5" w14:textId="77777777" w:rsidR="00226C3E" w:rsidRDefault="00226C3E" w:rsidP="00CA5451">
      <w:pPr>
        <w:pStyle w:val="Title"/>
        <w:rPr>
          <w:szCs w:val="24"/>
        </w:rPr>
      </w:pPr>
    </w:p>
    <w:p w14:paraId="79F052C3" w14:textId="77777777" w:rsidR="006A05CA" w:rsidRPr="00E1734E" w:rsidRDefault="006A05CA" w:rsidP="00CA5451">
      <w:pPr>
        <w:pStyle w:val="Title"/>
        <w:rPr>
          <w:szCs w:val="24"/>
        </w:rPr>
      </w:pPr>
    </w:p>
    <w:p w14:paraId="0E379C64" w14:textId="77777777" w:rsidR="00226C3E" w:rsidRPr="00E1734E" w:rsidRDefault="00226C3E" w:rsidP="00CA5451">
      <w:pPr>
        <w:pStyle w:val="Title"/>
        <w:rPr>
          <w:szCs w:val="24"/>
        </w:rPr>
      </w:pPr>
      <w:r w:rsidRPr="00E1734E">
        <w:rPr>
          <w:szCs w:val="24"/>
        </w:rPr>
        <w:t>Senator the Hon Mitch Fifield</w:t>
      </w:r>
    </w:p>
    <w:p w14:paraId="067766E6" w14:textId="77777777" w:rsidR="00226C3E" w:rsidRPr="00CD002F" w:rsidRDefault="00226C3E" w:rsidP="00226C3E">
      <w:pPr>
        <w:pStyle w:val="Title"/>
      </w:pPr>
      <w:r w:rsidRPr="00E1734E">
        <w:rPr>
          <w:szCs w:val="24"/>
        </w:rPr>
        <w:t>Assistant Minister for Social Services</w:t>
      </w:r>
    </w:p>
    <w:p w14:paraId="2DB32C5E" w14:textId="77777777" w:rsidR="00226C3E" w:rsidRPr="00CD002F" w:rsidRDefault="00226C3E" w:rsidP="00226C3E">
      <w:pPr>
        <w:pStyle w:val="Title"/>
      </w:pPr>
    </w:p>
    <w:p w14:paraId="31066FF2" w14:textId="46417408" w:rsidR="007F4E20" w:rsidRPr="00CD002F" w:rsidRDefault="007F4E20" w:rsidP="002F75C6">
      <w:pPr>
        <w:pStyle w:val="Title"/>
      </w:pPr>
    </w:p>
    <w:sectPr w:rsidR="007F4E20" w:rsidRPr="00CD002F" w:rsidSect="005460C1">
      <w:footerReference w:type="default" r:id="rId10"/>
      <w:pgSz w:w="11906" w:h="16838"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C89DD" w14:textId="77777777" w:rsidR="003B08A0" w:rsidRDefault="003B08A0">
      <w:r>
        <w:separator/>
      </w:r>
    </w:p>
  </w:endnote>
  <w:endnote w:type="continuationSeparator" w:id="0">
    <w:p w14:paraId="343E4111" w14:textId="77777777" w:rsidR="003B08A0" w:rsidRDefault="003B0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21341" w14:textId="77777777" w:rsidR="003B08A0" w:rsidRDefault="003B08A0" w:rsidP="007236AF">
    <w:pPr>
      <w:pStyle w:val="Footer"/>
      <w:jc w:val="center"/>
    </w:pPr>
    <w:r>
      <w:rPr>
        <w:rStyle w:val="PageNumber"/>
      </w:rPr>
      <w:fldChar w:fldCharType="begin"/>
    </w:r>
    <w:r>
      <w:rPr>
        <w:rStyle w:val="PageNumber"/>
      </w:rPr>
      <w:instrText xml:space="preserve"> PAGE </w:instrText>
    </w:r>
    <w:r>
      <w:rPr>
        <w:rStyle w:val="PageNumber"/>
      </w:rPr>
      <w:fldChar w:fldCharType="separate"/>
    </w:r>
    <w:r w:rsidR="00184959">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E788D" w14:textId="77777777" w:rsidR="003B08A0" w:rsidRDefault="003B08A0">
      <w:r>
        <w:separator/>
      </w:r>
    </w:p>
  </w:footnote>
  <w:footnote w:type="continuationSeparator" w:id="0">
    <w:p w14:paraId="31291391" w14:textId="77777777" w:rsidR="003B08A0" w:rsidRDefault="003B08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152A"/>
    <w:multiLevelType w:val="hybridMultilevel"/>
    <w:tmpl w:val="9AFC617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50F5301"/>
    <w:multiLevelType w:val="hybridMultilevel"/>
    <w:tmpl w:val="3EF6C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336FA8"/>
    <w:multiLevelType w:val="hybridMultilevel"/>
    <w:tmpl w:val="9AFC617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C5307C9"/>
    <w:multiLevelType w:val="hybridMultilevel"/>
    <w:tmpl w:val="A1F6F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F7A4AE5"/>
    <w:multiLevelType w:val="hybridMultilevel"/>
    <w:tmpl w:val="D13C89F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44208DA"/>
    <w:multiLevelType w:val="hybridMultilevel"/>
    <w:tmpl w:val="77E869A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A23125C"/>
    <w:multiLevelType w:val="hybridMultilevel"/>
    <w:tmpl w:val="174E5780"/>
    <w:lvl w:ilvl="0" w:tplc="A4B88FCC">
      <w:start w:val="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E07EED"/>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44576F2"/>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EA3C78"/>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79B6EF2"/>
    <w:multiLevelType w:val="hybridMultilevel"/>
    <w:tmpl w:val="2522E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792F30"/>
    <w:multiLevelType w:val="hybridMultilevel"/>
    <w:tmpl w:val="D54A08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BF6135D"/>
    <w:multiLevelType w:val="hybridMultilevel"/>
    <w:tmpl w:val="2AA0A38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5D1338D"/>
    <w:multiLevelType w:val="hybridMultilevel"/>
    <w:tmpl w:val="ACDC0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3"/>
  </w:num>
  <w:num w:numId="4">
    <w:abstractNumId w:val="10"/>
  </w:num>
  <w:num w:numId="5">
    <w:abstractNumId w:val="8"/>
  </w:num>
  <w:num w:numId="6">
    <w:abstractNumId w:val="3"/>
  </w:num>
  <w:num w:numId="7">
    <w:abstractNumId w:val="4"/>
  </w:num>
  <w:num w:numId="8">
    <w:abstractNumId w:val="9"/>
  </w:num>
  <w:num w:numId="9">
    <w:abstractNumId w:val="7"/>
  </w:num>
  <w:num w:numId="10">
    <w:abstractNumId w:val="12"/>
  </w:num>
  <w:num w:numId="11">
    <w:abstractNumId w:val="5"/>
  </w:num>
  <w:num w:numId="12">
    <w:abstractNumId w:val="1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46D"/>
    <w:rsid w:val="000075ED"/>
    <w:rsid w:val="00011152"/>
    <w:rsid w:val="0001280B"/>
    <w:rsid w:val="000156C9"/>
    <w:rsid w:val="0001602D"/>
    <w:rsid w:val="00021611"/>
    <w:rsid w:val="00032988"/>
    <w:rsid w:val="00032F32"/>
    <w:rsid w:val="00033868"/>
    <w:rsid w:val="00044942"/>
    <w:rsid w:val="00053FE6"/>
    <w:rsid w:val="00063A6E"/>
    <w:rsid w:val="0006599E"/>
    <w:rsid w:val="000753EE"/>
    <w:rsid w:val="000777AE"/>
    <w:rsid w:val="00077CF9"/>
    <w:rsid w:val="00084704"/>
    <w:rsid w:val="000949F6"/>
    <w:rsid w:val="000A5381"/>
    <w:rsid w:val="000B2697"/>
    <w:rsid w:val="000B593D"/>
    <w:rsid w:val="000C6B7F"/>
    <w:rsid w:val="000E0D01"/>
    <w:rsid w:val="000E0E7F"/>
    <w:rsid w:val="000E4FCD"/>
    <w:rsid w:val="00124D33"/>
    <w:rsid w:val="00142AB4"/>
    <w:rsid w:val="00154054"/>
    <w:rsid w:val="0015605D"/>
    <w:rsid w:val="00184959"/>
    <w:rsid w:val="001A2D1F"/>
    <w:rsid w:val="001B4086"/>
    <w:rsid w:val="001B678D"/>
    <w:rsid w:val="001F2529"/>
    <w:rsid w:val="001F54A5"/>
    <w:rsid w:val="001F5F80"/>
    <w:rsid w:val="002008FA"/>
    <w:rsid w:val="00205E7F"/>
    <w:rsid w:val="0021782D"/>
    <w:rsid w:val="00226C3E"/>
    <w:rsid w:val="00226F26"/>
    <w:rsid w:val="002328BE"/>
    <w:rsid w:val="002473B2"/>
    <w:rsid w:val="00250134"/>
    <w:rsid w:val="002662DF"/>
    <w:rsid w:val="00270DFD"/>
    <w:rsid w:val="00283EEF"/>
    <w:rsid w:val="002932E3"/>
    <w:rsid w:val="00294C56"/>
    <w:rsid w:val="00297C2F"/>
    <w:rsid w:val="002A1905"/>
    <w:rsid w:val="002A79B9"/>
    <w:rsid w:val="002C531F"/>
    <w:rsid w:val="002D4C7D"/>
    <w:rsid w:val="002D71DB"/>
    <w:rsid w:val="002E33BC"/>
    <w:rsid w:val="002F75C6"/>
    <w:rsid w:val="0033113B"/>
    <w:rsid w:val="00332D22"/>
    <w:rsid w:val="003403BA"/>
    <w:rsid w:val="00362272"/>
    <w:rsid w:val="003622D8"/>
    <w:rsid w:val="003679D9"/>
    <w:rsid w:val="00372B29"/>
    <w:rsid w:val="00396434"/>
    <w:rsid w:val="00397F4E"/>
    <w:rsid w:val="003A4185"/>
    <w:rsid w:val="003B08A0"/>
    <w:rsid w:val="003D530C"/>
    <w:rsid w:val="003E4CE3"/>
    <w:rsid w:val="003F6489"/>
    <w:rsid w:val="00405491"/>
    <w:rsid w:val="004074AF"/>
    <w:rsid w:val="00423BC5"/>
    <w:rsid w:val="00441543"/>
    <w:rsid w:val="0046205F"/>
    <w:rsid w:val="00476F3E"/>
    <w:rsid w:val="004A017D"/>
    <w:rsid w:val="004A7919"/>
    <w:rsid w:val="004B0DE2"/>
    <w:rsid w:val="004B48DD"/>
    <w:rsid w:val="004C7716"/>
    <w:rsid w:val="004D46D9"/>
    <w:rsid w:val="004F232A"/>
    <w:rsid w:val="004F6E44"/>
    <w:rsid w:val="005307CD"/>
    <w:rsid w:val="005460C1"/>
    <w:rsid w:val="005504C3"/>
    <w:rsid w:val="00562C9D"/>
    <w:rsid w:val="00583473"/>
    <w:rsid w:val="00591BC1"/>
    <w:rsid w:val="005A0B4B"/>
    <w:rsid w:val="005A2BD0"/>
    <w:rsid w:val="005B1420"/>
    <w:rsid w:val="005D2CF3"/>
    <w:rsid w:val="005E1C1E"/>
    <w:rsid w:val="005E242F"/>
    <w:rsid w:val="005E5C45"/>
    <w:rsid w:val="005F2503"/>
    <w:rsid w:val="00611A0B"/>
    <w:rsid w:val="0061489F"/>
    <w:rsid w:val="0063383F"/>
    <w:rsid w:val="00637CC7"/>
    <w:rsid w:val="00643A3E"/>
    <w:rsid w:val="00680B19"/>
    <w:rsid w:val="0068593C"/>
    <w:rsid w:val="006975A1"/>
    <w:rsid w:val="006A05CA"/>
    <w:rsid w:val="006B3C22"/>
    <w:rsid w:val="006C37FF"/>
    <w:rsid w:val="006C3B01"/>
    <w:rsid w:val="006C683E"/>
    <w:rsid w:val="006C7B6C"/>
    <w:rsid w:val="006D2728"/>
    <w:rsid w:val="006D52BC"/>
    <w:rsid w:val="006D5698"/>
    <w:rsid w:val="006E7D97"/>
    <w:rsid w:val="00722902"/>
    <w:rsid w:val="007236AF"/>
    <w:rsid w:val="007329EF"/>
    <w:rsid w:val="0074799E"/>
    <w:rsid w:val="007551AB"/>
    <w:rsid w:val="00763E11"/>
    <w:rsid w:val="0077208D"/>
    <w:rsid w:val="007725A1"/>
    <w:rsid w:val="007A4D83"/>
    <w:rsid w:val="007C5A44"/>
    <w:rsid w:val="007D5152"/>
    <w:rsid w:val="007F2683"/>
    <w:rsid w:val="007F4E20"/>
    <w:rsid w:val="007F7A4A"/>
    <w:rsid w:val="008240B8"/>
    <w:rsid w:val="00825A8A"/>
    <w:rsid w:val="00825ABC"/>
    <w:rsid w:val="008275B4"/>
    <w:rsid w:val="0083514D"/>
    <w:rsid w:val="008479D4"/>
    <w:rsid w:val="008503C6"/>
    <w:rsid w:val="0085346D"/>
    <w:rsid w:val="008819B2"/>
    <w:rsid w:val="008855C3"/>
    <w:rsid w:val="00892C26"/>
    <w:rsid w:val="008B35FB"/>
    <w:rsid w:val="008D0F35"/>
    <w:rsid w:val="008D2472"/>
    <w:rsid w:val="008D61FD"/>
    <w:rsid w:val="008F506D"/>
    <w:rsid w:val="00905346"/>
    <w:rsid w:val="00962F55"/>
    <w:rsid w:val="00970C8B"/>
    <w:rsid w:val="00982600"/>
    <w:rsid w:val="009B492A"/>
    <w:rsid w:val="009B6228"/>
    <w:rsid w:val="009C2A82"/>
    <w:rsid w:val="009E4A28"/>
    <w:rsid w:val="009E7EC5"/>
    <w:rsid w:val="00A05E6E"/>
    <w:rsid w:val="00A0725A"/>
    <w:rsid w:val="00A269FC"/>
    <w:rsid w:val="00A44F33"/>
    <w:rsid w:val="00A45E30"/>
    <w:rsid w:val="00A6040B"/>
    <w:rsid w:val="00A704D1"/>
    <w:rsid w:val="00A82154"/>
    <w:rsid w:val="00A9096E"/>
    <w:rsid w:val="00A96B30"/>
    <w:rsid w:val="00AB528B"/>
    <w:rsid w:val="00AB7552"/>
    <w:rsid w:val="00AC0932"/>
    <w:rsid w:val="00AC1E82"/>
    <w:rsid w:val="00AC6671"/>
    <w:rsid w:val="00AE0BE8"/>
    <w:rsid w:val="00B3209E"/>
    <w:rsid w:val="00B4375F"/>
    <w:rsid w:val="00B43B0D"/>
    <w:rsid w:val="00B5637C"/>
    <w:rsid w:val="00B74345"/>
    <w:rsid w:val="00B830AF"/>
    <w:rsid w:val="00B86196"/>
    <w:rsid w:val="00B86944"/>
    <w:rsid w:val="00B927FE"/>
    <w:rsid w:val="00BA7710"/>
    <w:rsid w:val="00BB27C2"/>
    <w:rsid w:val="00BB35BF"/>
    <w:rsid w:val="00BC5AD4"/>
    <w:rsid w:val="00BD502D"/>
    <w:rsid w:val="00C11065"/>
    <w:rsid w:val="00C34F60"/>
    <w:rsid w:val="00C46FED"/>
    <w:rsid w:val="00C503A3"/>
    <w:rsid w:val="00C67D05"/>
    <w:rsid w:val="00C748BC"/>
    <w:rsid w:val="00CA1977"/>
    <w:rsid w:val="00CA3271"/>
    <w:rsid w:val="00CA5451"/>
    <w:rsid w:val="00CA75AB"/>
    <w:rsid w:val="00CD002F"/>
    <w:rsid w:val="00CD094C"/>
    <w:rsid w:val="00CF1013"/>
    <w:rsid w:val="00D07B35"/>
    <w:rsid w:val="00D105C3"/>
    <w:rsid w:val="00D106C9"/>
    <w:rsid w:val="00D162C3"/>
    <w:rsid w:val="00D25208"/>
    <w:rsid w:val="00D32DBD"/>
    <w:rsid w:val="00D407D5"/>
    <w:rsid w:val="00D600E4"/>
    <w:rsid w:val="00D6100C"/>
    <w:rsid w:val="00D635D6"/>
    <w:rsid w:val="00D75BB1"/>
    <w:rsid w:val="00D867A9"/>
    <w:rsid w:val="00D97133"/>
    <w:rsid w:val="00DA2C57"/>
    <w:rsid w:val="00DC2258"/>
    <w:rsid w:val="00DC58AB"/>
    <w:rsid w:val="00DC5EEE"/>
    <w:rsid w:val="00DD5F11"/>
    <w:rsid w:val="00DE5F73"/>
    <w:rsid w:val="00DE6F3F"/>
    <w:rsid w:val="00E23369"/>
    <w:rsid w:val="00E24688"/>
    <w:rsid w:val="00E24E66"/>
    <w:rsid w:val="00E3374A"/>
    <w:rsid w:val="00E43BB0"/>
    <w:rsid w:val="00E57245"/>
    <w:rsid w:val="00E60979"/>
    <w:rsid w:val="00E6117B"/>
    <w:rsid w:val="00E648D1"/>
    <w:rsid w:val="00E658D7"/>
    <w:rsid w:val="00E85746"/>
    <w:rsid w:val="00E926B3"/>
    <w:rsid w:val="00EA26C6"/>
    <w:rsid w:val="00EA3FC0"/>
    <w:rsid w:val="00EB327F"/>
    <w:rsid w:val="00EF4B68"/>
    <w:rsid w:val="00F02162"/>
    <w:rsid w:val="00F31E99"/>
    <w:rsid w:val="00F37903"/>
    <w:rsid w:val="00F42CFB"/>
    <w:rsid w:val="00F459D1"/>
    <w:rsid w:val="00F46F94"/>
    <w:rsid w:val="00F77C32"/>
    <w:rsid w:val="00F818F1"/>
    <w:rsid w:val="00F86EC4"/>
    <w:rsid w:val="00F94D5B"/>
    <w:rsid w:val="00FA5D19"/>
    <w:rsid w:val="00FB2021"/>
    <w:rsid w:val="00FD000D"/>
    <w:rsid w:val="00FD7C3E"/>
    <w:rsid w:val="00FE5933"/>
    <w:rsid w:val="00FF27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8785"/>
    <o:shapelayout v:ext="edit">
      <o:idmap v:ext="edit" data="1"/>
    </o:shapelayout>
  </w:shapeDefaults>
  <w:decimalSymbol w:val="."/>
  <w:listSeparator w:val=","/>
  <w14:docId w14:val="0E14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06D"/>
    <w:pPr>
      <w:widowControl w:val="0"/>
      <w:spacing w:after="0" w:line="240" w:lineRule="auto"/>
    </w:pPr>
    <w:rPr>
      <w:rFonts w:eastAsia="Times New Roman"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346D"/>
    <w:pPr>
      <w:tabs>
        <w:tab w:val="left" w:pos="720"/>
      </w:tabs>
      <w:jc w:val="center"/>
    </w:pPr>
    <w:rPr>
      <w:b/>
    </w:rPr>
  </w:style>
  <w:style w:type="character" w:customStyle="1" w:styleId="TitleChar">
    <w:name w:val="Title Char"/>
    <w:basedOn w:val="DefaultParagraphFont"/>
    <w:link w:val="Title"/>
    <w:rsid w:val="0085346D"/>
    <w:rPr>
      <w:rFonts w:eastAsia="Times New Roman" w:cs="Times New Roman"/>
      <w:b/>
      <w:snapToGrid w:val="0"/>
      <w:szCs w:val="20"/>
    </w:rPr>
  </w:style>
  <w:style w:type="paragraph" w:styleId="Header">
    <w:name w:val="header"/>
    <w:basedOn w:val="Normal"/>
    <w:link w:val="HeaderChar"/>
    <w:uiPriority w:val="99"/>
    <w:rsid w:val="0085346D"/>
    <w:pPr>
      <w:tabs>
        <w:tab w:val="center" w:pos="4153"/>
        <w:tab w:val="right" w:pos="8306"/>
      </w:tabs>
    </w:pPr>
  </w:style>
  <w:style w:type="character" w:customStyle="1" w:styleId="HeaderChar">
    <w:name w:val="Header Char"/>
    <w:basedOn w:val="DefaultParagraphFont"/>
    <w:link w:val="Header"/>
    <w:uiPriority w:val="99"/>
    <w:rsid w:val="0085346D"/>
    <w:rPr>
      <w:rFonts w:eastAsia="Times New Roman" w:cs="Times New Roman"/>
      <w:snapToGrid w:val="0"/>
      <w:szCs w:val="20"/>
      <w:lang w:val="en-US"/>
    </w:rPr>
  </w:style>
  <w:style w:type="paragraph" w:styleId="Footer">
    <w:name w:val="footer"/>
    <w:basedOn w:val="Normal"/>
    <w:link w:val="FooterChar"/>
    <w:rsid w:val="0085346D"/>
    <w:pPr>
      <w:tabs>
        <w:tab w:val="center" w:pos="4153"/>
        <w:tab w:val="right" w:pos="8306"/>
      </w:tabs>
    </w:pPr>
  </w:style>
  <w:style w:type="character" w:customStyle="1" w:styleId="FooterChar">
    <w:name w:val="Footer Char"/>
    <w:basedOn w:val="DefaultParagraphFont"/>
    <w:link w:val="Footer"/>
    <w:rsid w:val="0085346D"/>
    <w:rPr>
      <w:rFonts w:eastAsia="Times New Roman" w:cs="Times New Roman"/>
      <w:snapToGrid w:val="0"/>
      <w:szCs w:val="20"/>
      <w:lang w:val="en-US"/>
    </w:rPr>
  </w:style>
  <w:style w:type="character" w:styleId="PageNumber">
    <w:name w:val="page number"/>
    <w:basedOn w:val="DefaultParagraphFont"/>
    <w:rsid w:val="0085346D"/>
  </w:style>
  <w:style w:type="paragraph" w:styleId="BalloonText">
    <w:name w:val="Balloon Text"/>
    <w:basedOn w:val="Normal"/>
    <w:link w:val="BalloonTextChar"/>
    <w:uiPriority w:val="99"/>
    <w:semiHidden/>
    <w:unhideWhenUsed/>
    <w:rsid w:val="0085346D"/>
    <w:rPr>
      <w:rFonts w:ascii="Tahoma" w:hAnsi="Tahoma" w:cs="Tahoma"/>
      <w:sz w:val="16"/>
      <w:szCs w:val="16"/>
    </w:rPr>
  </w:style>
  <w:style w:type="character" w:customStyle="1" w:styleId="BalloonTextChar">
    <w:name w:val="Balloon Text Char"/>
    <w:basedOn w:val="DefaultParagraphFont"/>
    <w:link w:val="BalloonText"/>
    <w:uiPriority w:val="99"/>
    <w:semiHidden/>
    <w:rsid w:val="0085346D"/>
    <w:rPr>
      <w:rFonts w:ascii="Tahoma" w:eastAsia="Times New Roman" w:hAnsi="Tahoma" w:cs="Tahoma"/>
      <w:snapToGrid w:val="0"/>
      <w:sz w:val="16"/>
      <w:szCs w:val="16"/>
      <w:lang w:val="en-US"/>
    </w:rPr>
  </w:style>
  <w:style w:type="paragraph" w:styleId="ListParagraph">
    <w:name w:val="List Paragraph"/>
    <w:basedOn w:val="Normal"/>
    <w:uiPriority w:val="34"/>
    <w:qFormat/>
    <w:rsid w:val="007A4D83"/>
    <w:pPr>
      <w:ind w:left="720"/>
      <w:contextualSpacing/>
    </w:pPr>
  </w:style>
  <w:style w:type="character" w:styleId="CommentReference">
    <w:name w:val="annotation reference"/>
    <w:basedOn w:val="DefaultParagraphFont"/>
    <w:uiPriority w:val="99"/>
    <w:semiHidden/>
    <w:unhideWhenUsed/>
    <w:rsid w:val="000777AE"/>
    <w:rPr>
      <w:sz w:val="16"/>
      <w:szCs w:val="16"/>
    </w:rPr>
  </w:style>
  <w:style w:type="paragraph" w:styleId="CommentText">
    <w:name w:val="annotation text"/>
    <w:basedOn w:val="Normal"/>
    <w:link w:val="CommentTextChar"/>
    <w:uiPriority w:val="99"/>
    <w:semiHidden/>
    <w:unhideWhenUsed/>
    <w:rsid w:val="000777AE"/>
    <w:rPr>
      <w:sz w:val="20"/>
    </w:rPr>
  </w:style>
  <w:style w:type="character" w:customStyle="1" w:styleId="CommentTextChar">
    <w:name w:val="Comment Text Char"/>
    <w:basedOn w:val="DefaultParagraphFont"/>
    <w:link w:val="CommentText"/>
    <w:uiPriority w:val="99"/>
    <w:semiHidden/>
    <w:rsid w:val="000777AE"/>
    <w:rPr>
      <w:rFonts w:eastAsia="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0777AE"/>
    <w:rPr>
      <w:b/>
      <w:bCs/>
    </w:rPr>
  </w:style>
  <w:style w:type="character" w:customStyle="1" w:styleId="CommentSubjectChar">
    <w:name w:val="Comment Subject Char"/>
    <w:basedOn w:val="CommentTextChar"/>
    <w:link w:val="CommentSubject"/>
    <w:uiPriority w:val="99"/>
    <w:semiHidden/>
    <w:rsid w:val="000777AE"/>
    <w:rPr>
      <w:rFonts w:eastAsia="Times New Roman" w:cs="Times New Roman"/>
      <w:b/>
      <w:bCs/>
      <w:snapToGrid w:val="0"/>
      <w:sz w:val="20"/>
      <w:szCs w:val="20"/>
      <w:lang w:val="en-US"/>
    </w:rPr>
  </w:style>
  <w:style w:type="paragraph" w:styleId="Revision">
    <w:name w:val="Revision"/>
    <w:hidden/>
    <w:uiPriority w:val="99"/>
    <w:semiHidden/>
    <w:rsid w:val="000777AE"/>
    <w:pPr>
      <w:spacing w:after="0" w:line="240" w:lineRule="auto"/>
    </w:pPr>
    <w:rPr>
      <w:rFonts w:eastAsia="Times New Roman" w:cs="Times New Roman"/>
      <w:snapToGrid w:val="0"/>
      <w:szCs w:val="20"/>
      <w:lang w:val="en-US"/>
    </w:rPr>
  </w:style>
  <w:style w:type="table" w:styleId="TableGrid">
    <w:name w:val="Table Grid"/>
    <w:basedOn w:val="TableNormal"/>
    <w:uiPriority w:val="59"/>
    <w:rsid w:val="00294C5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06D"/>
    <w:pPr>
      <w:widowControl w:val="0"/>
      <w:spacing w:after="0" w:line="240" w:lineRule="auto"/>
    </w:pPr>
    <w:rPr>
      <w:rFonts w:eastAsia="Times New Roman"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346D"/>
    <w:pPr>
      <w:tabs>
        <w:tab w:val="left" w:pos="720"/>
      </w:tabs>
      <w:jc w:val="center"/>
    </w:pPr>
    <w:rPr>
      <w:b/>
    </w:rPr>
  </w:style>
  <w:style w:type="character" w:customStyle="1" w:styleId="TitleChar">
    <w:name w:val="Title Char"/>
    <w:basedOn w:val="DefaultParagraphFont"/>
    <w:link w:val="Title"/>
    <w:rsid w:val="0085346D"/>
    <w:rPr>
      <w:rFonts w:eastAsia="Times New Roman" w:cs="Times New Roman"/>
      <w:b/>
      <w:snapToGrid w:val="0"/>
      <w:szCs w:val="20"/>
    </w:rPr>
  </w:style>
  <w:style w:type="paragraph" w:styleId="Header">
    <w:name w:val="header"/>
    <w:basedOn w:val="Normal"/>
    <w:link w:val="HeaderChar"/>
    <w:uiPriority w:val="99"/>
    <w:rsid w:val="0085346D"/>
    <w:pPr>
      <w:tabs>
        <w:tab w:val="center" w:pos="4153"/>
        <w:tab w:val="right" w:pos="8306"/>
      </w:tabs>
    </w:pPr>
  </w:style>
  <w:style w:type="character" w:customStyle="1" w:styleId="HeaderChar">
    <w:name w:val="Header Char"/>
    <w:basedOn w:val="DefaultParagraphFont"/>
    <w:link w:val="Header"/>
    <w:uiPriority w:val="99"/>
    <w:rsid w:val="0085346D"/>
    <w:rPr>
      <w:rFonts w:eastAsia="Times New Roman" w:cs="Times New Roman"/>
      <w:snapToGrid w:val="0"/>
      <w:szCs w:val="20"/>
      <w:lang w:val="en-US"/>
    </w:rPr>
  </w:style>
  <w:style w:type="paragraph" w:styleId="Footer">
    <w:name w:val="footer"/>
    <w:basedOn w:val="Normal"/>
    <w:link w:val="FooterChar"/>
    <w:rsid w:val="0085346D"/>
    <w:pPr>
      <w:tabs>
        <w:tab w:val="center" w:pos="4153"/>
        <w:tab w:val="right" w:pos="8306"/>
      </w:tabs>
    </w:pPr>
  </w:style>
  <w:style w:type="character" w:customStyle="1" w:styleId="FooterChar">
    <w:name w:val="Footer Char"/>
    <w:basedOn w:val="DefaultParagraphFont"/>
    <w:link w:val="Footer"/>
    <w:rsid w:val="0085346D"/>
    <w:rPr>
      <w:rFonts w:eastAsia="Times New Roman" w:cs="Times New Roman"/>
      <w:snapToGrid w:val="0"/>
      <w:szCs w:val="20"/>
      <w:lang w:val="en-US"/>
    </w:rPr>
  </w:style>
  <w:style w:type="character" w:styleId="PageNumber">
    <w:name w:val="page number"/>
    <w:basedOn w:val="DefaultParagraphFont"/>
    <w:rsid w:val="0085346D"/>
  </w:style>
  <w:style w:type="paragraph" w:styleId="BalloonText">
    <w:name w:val="Balloon Text"/>
    <w:basedOn w:val="Normal"/>
    <w:link w:val="BalloonTextChar"/>
    <w:uiPriority w:val="99"/>
    <w:semiHidden/>
    <w:unhideWhenUsed/>
    <w:rsid w:val="0085346D"/>
    <w:rPr>
      <w:rFonts w:ascii="Tahoma" w:hAnsi="Tahoma" w:cs="Tahoma"/>
      <w:sz w:val="16"/>
      <w:szCs w:val="16"/>
    </w:rPr>
  </w:style>
  <w:style w:type="character" w:customStyle="1" w:styleId="BalloonTextChar">
    <w:name w:val="Balloon Text Char"/>
    <w:basedOn w:val="DefaultParagraphFont"/>
    <w:link w:val="BalloonText"/>
    <w:uiPriority w:val="99"/>
    <w:semiHidden/>
    <w:rsid w:val="0085346D"/>
    <w:rPr>
      <w:rFonts w:ascii="Tahoma" w:eastAsia="Times New Roman" w:hAnsi="Tahoma" w:cs="Tahoma"/>
      <w:snapToGrid w:val="0"/>
      <w:sz w:val="16"/>
      <w:szCs w:val="16"/>
      <w:lang w:val="en-US"/>
    </w:rPr>
  </w:style>
  <w:style w:type="paragraph" w:styleId="ListParagraph">
    <w:name w:val="List Paragraph"/>
    <w:basedOn w:val="Normal"/>
    <w:uiPriority w:val="34"/>
    <w:qFormat/>
    <w:rsid w:val="007A4D83"/>
    <w:pPr>
      <w:ind w:left="720"/>
      <w:contextualSpacing/>
    </w:pPr>
  </w:style>
  <w:style w:type="character" w:styleId="CommentReference">
    <w:name w:val="annotation reference"/>
    <w:basedOn w:val="DefaultParagraphFont"/>
    <w:uiPriority w:val="99"/>
    <w:semiHidden/>
    <w:unhideWhenUsed/>
    <w:rsid w:val="000777AE"/>
    <w:rPr>
      <w:sz w:val="16"/>
      <w:szCs w:val="16"/>
    </w:rPr>
  </w:style>
  <w:style w:type="paragraph" w:styleId="CommentText">
    <w:name w:val="annotation text"/>
    <w:basedOn w:val="Normal"/>
    <w:link w:val="CommentTextChar"/>
    <w:uiPriority w:val="99"/>
    <w:semiHidden/>
    <w:unhideWhenUsed/>
    <w:rsid w:val="000777AE"/>
    <w:rPr>
      <w:sz w:val="20"/>
    </w:rPr>
  </w:style>
  <w:style w:type="character" w:customStyle="1" w:styleId="CommentTextChar">
    <w:name w:val="Comment Text Char"/>
    <w:basedOn w:val="DefaultParagraphFont"/>
    <w:link w:val="CommentText"/>
    <w:uiPriority w:val="99"/>
    <w:semiHidden/>
    <w:rsid w:val="000777AE"/>
    <w:rPr>
      <w:rFonts w:eastAsia="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0777AE"/>
    <w:rPr>
      <w:b/>
      <w:bCs/>
    </w:rPr>
  </w:style>
  <w:style w:type="character" w:customStyle="1" w:styleId="CommentSubjectChar">
    <w:name w:val="Comment Subject Char"/>
    <w:basedOn w:val="CommentTextChar"/>
    <w:link w:val="CommentSubject"/>
    <w:uiPriority w:val="99"/>
    <w:semiHidden/>
    <w:rsid w:val="000777AE"/>
    <w:rPr>
      <w:rFonts w:eastAsia="Times New Roman" w:cs="Times New Roman"/>
      <w:b/>
      <w:bCs/>
      <w:snapToGrid w:val="0"/>
      <w:sz w:val="20"/>
      <w:szCs w:val="20"/>
      <w:lang w:val="en-US"/>
    </w:rPr>
  </w:style>
  <w:style w:type="paragraph" w:styleId="Revision">
    <w:name w:val="Revision"/>
    <w:hidden/>
    <w:uiPriority w:val="99"/>
    <w:semiHidden/>
    <w:rsid w:val="000777AE"/>
    <w:pPr>
      <w:spacing w:after="0" w:line="240" w:lineRule="auto"/>
    </w:pPr>
    <w:rPr>
      <w:rFonts w:eastAsia="Times New Roman" w:cs="Times New Roman"/>
      <w:snapToGrid w:val="0"/>
      <w:szCs w:val="20"/>
      <w:lang w:val="en-US"/>
    </w:rPr>
  </w:style>
  <w:style w:type="table" w:styleId="TableGrid">
    <w:name w:val="Table Grid"/>
    <w:basedOn w:val="TableNormal"/>
    <w:uiPriority w:val="59"/>
    <w:rsid w:val="00294C5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8308">
      <w:bodyDiv w:val="1"/>
      <w:marLeft w:val="0"/>
      <w:marRight w:val="0"/>
      <w:marTop w:val="0"/>
      <w:marBottom w:val="0"/>
      <w:divBdr>
        <w:top w:val="none" w:sz="0" w:space="0" w:color="auto"/>
        <w:left w:val="none" w:sz="0" w:space="0" w:color="auto"/>
        <w:bottom w:val="none" w:sz="0" w:space="0" w:color="auto"/>
        <w:right w:val="none" w:sz="0" w:space="0" w:color="auto"/>
      </w:divBdr>
    </w:div>
    <w:div w:id="342130348">
      <w:bodyDiv w:val="1"/>
      <w:marLeft w:val="0"/>
      <w:marRight w:val="0"/>
      <w:marTop w:val="0"/>
      <w:marBottom w:val="0"/>
      <w:divBdr>
        <w:top w:val="none" w:sz="0" w:space="0" w:color="auto"/>
        <w:left w:val="none" w:sz="0" w:space="0" w:color="auto"/>
        <w:bottom w:val="none" w:sz="0" w:space="0" w:color="auto"/>
        <w:right w:val="none" w:sz="0" w:space="0" w:color="auto"/>
      </w:divBdr>
    </w:div>
    <w:div w:id="451248080">
      <w:bodyDiv w:val="1"/>
      <w:marLeft w:val="0"/>
      <w:marRight w:val="0"/>
      <w:marTop w:val="0"/>
      <w:marBottom w:val="0"/>
      <w:divBdr>
        <w:top w:val="none" w:sz="0" w:space="0" w:color="auto"/>
        <w:left w:val="none" w:sz="0" w:space="0" w:color="auto"/>
        <w:bottom w:val="none" w:sz="0" w:space="0" w:color="auto"/>
        <w:right w:val="none" w:sz="0" w:space="0" w:color="auto"/>
      </w:divBdr>
    </w:div>
    <w:div w:id="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2104184412">
          <w:marLeft w:val="0"/>
          <w:marRight w:val="0"/>
          <w:marTop w:val="0"/>
          <w:marBottom w:val="0"/>
          <w:divBdr>
            <w:top w:val="none" w:sz="0" w:space="0" w:color="auto"/>
            <w:left w:val="none" w:sz="0" w:space="0" w:color="auto"/>
            <w:bottom w:val="none" w:sz="0" w:space="0" w:color="auto"/>
            <w:right w:val="none" w:sz="0" w:space="0" w:color="auto"/>
          </w:divBdr>
          <w:divsChild>
            <w:div w:id="907691166">
              <w:marLeft w:val="0"/>
              <w:marRight w:val="0"/>
              <w:marTop w:val="0"/>
              <w:marBottom w:val="0"/>
              <w:divBdr>
                <w:top w:val="none" w:sz="0" w:space="0" w:color="auto"/>
                <w:left w:val="none" w:sz="0" w:space="0" w:color="auto"/>
                <w:bottom w:val="none" w:sz="0" w:space="0" w:color="auto"/>
                <w:right w:val="none" w:sz="0" w:space="0" w:color="auto"/>
              </w:divBdr>
              <w:divsChild>
                <w:div w:id="1362900870">
                  <w:marLeft w:val="0"/>
                  <w:marRight w:val="0"/>
                  <w:marTop w:val="0"/>
                  <w:marBottom w:val="0"/>
                  <w:divBdr>
                    <w:top w:val="none" w:sz="0" w:space="0" w:color="auto"/>
                    <w:left w:val="none" w:sz="0" w:space="0" w:color="auto"/>
                    <w:bottom w:val="none" w:sz="0" w:space="0" w:color="auto"/>
                    <w:right w:val="none" w:sz="0" w:space="0" w:color="auto"/>
                  </w:divBdr>
                  <w:divsChild>
                    <w:div w:id="880556255">
                      <w:marLeft w:val="0"/>
                      <w:marRight w:val="0"/>
                      <w:marTop w:val="0"/>
                      <w:marBottom w:val="0"/>
                      <w:divBdr>
                        <w:top w:val="none" w:sz="0" w:space="0" w:color="auto"/>
                        <w:left w:val="none" w:sz="0" w:space="0" w:color="auto"/>
                        <w:bottom w:val="none" w:sz="0" w:space="0" w:color="auto"/>
                        <w:right w:val="none" w:sz="0" w:space="0" w:color="auto"/>
                      </w:divBdr>
                      <w:divsChild>
                        <w:div w:id="460850701">
                          <w:marLeft w:val="0"/>
                          <w:marRight w:val="0"/>
                          <w:marTop w:val="0"/>
                          <w:marBottom w:val="0"/>
                          <w:divBdr>
                            <w:top w:val="single" w:sz="6" w:space="0" w:color="828282"/>
                            <w:left w:val="single" w:sz="6" w:space="0" w:color="828282"/>
                            <w:bottom w:val="single" w:sz="6" w:space="0" w:color="828282"/>
                            <w:right w:val="single" w:sz="6" w:space="0" w:color="828282"/>
                          </w:divBdr>
                          <w:divsChild>
                            <w:div w:id="1053237998">
                              <w:marLeft w:val="0"/>
                              <w:marRight w:val="0"/>
                              <w:marTop w:val="0"/>
                              <w:marBottom w:val="0"/>
                              <w:divBdr>
                                <w:top w:val="none" w:sz="0" w:space="0" w:color="auto"/>
                                <w:left w:val="none" w:sz="0" w:space="0" w:color="auto"/>
                                <w:bottom w:val="none" w:sz="0" w:space="0" w:color="auto"/>
                                <w:right w:val="none" w:sz="0" w:space="0" w:color="auto"/>
                              </w:divBdr>
                              <w:divsChild>
                                <w:div w:id="1406799988">
                                  <w:marLeft w:val="0"/>
                                  <w:marRight w:val="0"/>
                                  <w:marTop w:val="0"/>
                                  <w:marBottom w:val="0"/>
                                  <w:divBdr>
                                    <w:top w:val="none" w:sz="0" w:space="0" w:color="auto"/>
                                    <w:left w:val="none" w:sz="0" w:space="0" w:color="auto"/>
                                    <w:bottom w:val="none" w:sz="0" w:space="0" w:color="auto"/>
                                    <w:right w:val="none" w:sz="0" w:space="0" w:color="auto"/>
                                  </w:divBdr>
                                  <w:divsChild>
                                    <w:div w:id="537201640">
                                      <w:marLeft w:val="0"/>
                                      <w:marRight w:val="0"/>
                                      <w:marTop w:val="0"/>
                                      <w:marBottom w:val="0"/>
                                      <w:divBdr>
                                        <w:top w:val="none" w:sz="0" w:space="0" w:color="auto"/>
                                        <w:left w:val="none" w:sz="0" w:space="0" w:color="auto"/>
                                        <w:bottom w:val="none" w:sz="0" w:space="0" w:color="auto"/>
                                        <w:right w:val="none" w:sz="0" w:space="0" w:color="auto"/>
                                      </w:divBdr>
                                      <w:divsChild>
                                        <w:div w:id="1417704430">
                                          <w:marLeft w:val="0"/>
                                          <w:marRight w:val="0"/>
                                          <w:marTop w:val="0"/>
                                          <w:marBottom w:val="0"/>
                                          <w:divBdr>
                                            <w:top w:val="none" w:sz="0" w:space="0" w:color="auto"/>
                                            <w:left w:val="none" w:sz="0" w:space="0" w:color="auto"/>
                                            <w:bottom w:val="none" w:sz="0" w:space="0" w:color="auto"/>
                                            <w:right w:val="none" w:sz="0" w:space="0" w:color="auto"/>
                                          </w:divBdr>
                                          <w:divsChild>
                                            <w:div w:id="1950744795">
                                              <w:marLeft w:val="0"/>
                                              <w:marRight w:val="0"/>
                                              <w:marTop w:val="0"/>
                                              <w:marBottom w:val="0"/>
                                              <w:divBdr>
                                                <w:top w:val="none" w:sz="0" w:space="0" w:color="auto"/>
                                                <w:left w:val="none" w:sz="0" w:space="0" w:color="auto"/>
                                                <w:bottom w:val="none" w:sz="0" w:space="0" w:color="auto"/>
                                                <w:right w:val="none" w:sz="0" w:space="0" w:color="auto"/>
                                              </w:divBdr>
                                              <w:divsChild>
                                                <w:div w:id="2074624394">
                                                  <w:marLeft w:val="0"/>
                                                  <w:marRight w:val="0"/>
                                                  <w:marTop w:val="0"/>
                                                  <w:marBottom w:val="0"/>
                                                  <w:divBdr>
                                                    <w:top w:val="none" w:sz="0" w:space="0" w:color="auto"/>
                                                    <w:left w:val="none" w:sz="0" w:space="0" w:color="auto"/>
                                                    <w:bottom w:val="none" w:sz="0" w:space="0" w:color="auto"/>
                                                    <w:right w:val="none" w:sz="0" w:space="0" w:color="auto"/>
                                                  </w:divBdr>
                                                  <w:divsChild>
                                                    <w:div w:id="49827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5495390">
      <w:bodyDiv w:val="1"/>
      <w:marLeft w:val="0"/>
      <w:marRight w:val="0"/>
      <w:marTop w:val="0"/>
      <w:marBottom w:val="0"/>
      <w:divBdr>
        <w:top w:val="none" w:sz="0" w:space="0" w:color="auto"/>
        <w:left w:val="none" w:sz="0" w:space="0" w:color="auto"/>
        <w:bottom w:val="none" w:sz="0" w:space="0" w:color="auto"/>
        <w:right w:val="none" w:sz="0" w:space="0" w:color="auto"/>
      </w:divBdr>
      <w:divsChild>
        <w:div w:id="551767480">
          <w:marLeft w:val="0"/>
          <w:marRight w:val="0"/>
          <w:marTop w:val="0"/>
          <w:marBottom w:val="0"/>
          <w:divBdr>
            <w:top w:val="none" w:sz="0" w:space="0" w:color="auto"/>
            <w:left w:val="none" w:sz="0" w:space="0" w:color="auto"/>
            <w:bottom w:val="none" w:sz="0" w:space="0" w:color="auto"/>
            <w:right w:val="none" w:sz="0" w:space="0" w:color="auto"/>
          </w:divBdr>
          <w:divsChild>
            <w:div w:id="341973111">
              <w:marLeft w:val="0"/>
              <w:marRight w:val="0"/>
              <w:marTop w:val="0"/>
              <w:marBottom w:val="0"/>
              <w:divBdr>
                <w:top w:val="none" w:sz="0" w:space="0" w:color="auto"/>
                <w:left w:val="none" w:sz="0" w:space="0" w:color="auto"/>
                <w:bottom w:val="none" w:sz="0" w:space="0" w:color="auto"/>
                <w:right w:val="none" w:sz="0" w:space="0" w:color="auto"/>
              </w:divBdr>
              <w:divsChild>
                <w:div w:id="1038168124">
                  <w:marLeft w:val="0"/>
                  <w:marRight w:val="0"/>
                  <w:marTop w:val="0"/>
                  <w:marBottom w:val="0"/>
                  <w:divBdr>
                    <w:top w:val="none" w:sz="0" w:space="0" w:color="auto"/>
                    <w:left w:val="none" w:sz="0" w:space="0" w:color="auto"/>
                    <w:bottom w:val="none" w:sz="0" w:space="0" w:color="auto"/>
                    <w:right w:val="none" w:sz="0" w:space="0" w:color="auto"/>
                  </w:divBdr>
                  <w:divsChild>
                    <w:div w:id="1687631170">
                      <w:marLeft w:val="0"/>
                      <w:marRight w:val="0"/>
                      <w:marTop w:val="0"/>
                      <w:marBottom w:val="0"/>
                      <w:divBdr>
                        <w:top w:val="none" w:sz="0" w:space="0" w:color="auto"/>
                        <w:left w:val="none" w:sz="0" w:space="0" w:color="auto"/>
                        <w:bottom w:val="none" w:sz="0" w:space="0" w:color="auto"/>
                        <w:right w:val="none" w:sz="0" w:space="0" w:color="auto"/>
                      </w:divBdr>
                      <w:divsChild>
                        <w:div w:id="1284728268">
                          <w:marLeft w:val="0"/>
                          <w:marRight w:val="0"/>
                          <w:marTop w:val="0"/>
                          <w:marBottom w:val="0"/>
                          <w:divBdr>
                            <w:top w:val="single" w:sz="6" w:space="0" w:color="828282"/>
                            <w:left w:val="single" w:sz="6" w:space="0" w:color="828282"/>
                            <w:bottom w:val="single" w:sz="6" w:space="0" w:color="828282"/>
                            <w:right w:val="single" w:sz="6" w:space="0" w:color="828282"/>
                          </w:divBdr>
                          <w:divsChild>
                            <w:div w:id="2115128801">
                              <w:marLeft w:val="0"/>
                              <w:marRight w:val="0"/>
                              <w:marTop w:val="0"/>
                              <w:marBottom w:val="0"/>
                              <w:divBdr>
                                <w:top w:val="none" w:sz="0" w:space="0" w:color="auto"/>
                                <w:left w:val="none" w:sz="0" w:space="0" w:color="auto"/>
                                <w:bottom w:val="none" w:sz="0" w:space="0" w:color="auto"/>
                                <w:right w:val="none" w:sz="0" w:space="0" w:color="auto"/>
                              </w:divBdr>
                              <w:divsChild>
                                <w:div w:id="644353572">
                                  <w:marLeft w:val="0"/>
                                  <w:marRight w:val="0"/>
                                  <w:marTop w:val="0"/>
                                  <w:marBottom w:val="0"/>
                                  <w:divBdr>
                                    <w:top w:val="none" w:sz="0" w:space="0" w:color="auto"/>
                                    <w:left w:val="none" w:sz="0" w:space="0" w:color="auto"/>
                                    <w:bottom w:val="none" w:sz="0" w:space="0" w:color="auto"/>
                                    <w:right w:val="none" w:sz="0" w:space="0" w:color="auto"/>
                                  </w:divBdr>
                                  <w:divsChild>
                                    <w:div w:id="868955878">
                                      <w:marLeft w:val="0"/>
                                      <w:marRight w:val="0"/>
                                      <w:marTop w:val="0"/>
                                      <w:marBottom w:val="0"/>
                                      <w:divBdr>
                                        <w:top w:val="none" w:sz="0" w:space="0" w:color="auto"/>
                                        <w:left w:val="none" w:sz="0" w:space="0" w:color="auto"/>
                                        <w:bottom w:val="none" w:sz="0" w:space="0" w:color="auto"/>
                                        <w:right w:val="none" w:sz="0" w:space="0" w:color="auto"/>
                                      </w:divBdr>
                                      <w:divsChild>
                                        <w:div w:id="1665860239">
                                          <w:marLeft w:val="0"/>
                                          <w:marRight w:val="0"/>
                                          <w:marTop w:val="0"/>
                                          <w:marBottom w:val="0"/>
                                          <w:divBdr>
                                            <w:top w:val="none" w:sz="0" w:space="0" w:color="auto"/>
                                            <w:left w:val="none" w:sz="0" w:space="0" w:color="auto"/>
                                            <w:bottom w:val="none" w:sz="0" w:space="0" w:color="auto"/>
                                            <w:right w:val="none" w:sz="0" w:space="0" w:color="auto"/>
                                          </w:divBdr>
                                          <w:divsChild>
                                            <w:div w:id="1090467149">
                                              <w:marLeft w:val="0"/>
                                              <w:marRight w:val="0"/>
                                              <w:marTop w:val="0"/>
                                              <w:marBottom w:val="0"/>
                                              <w:divBdr>
                                                <w:top w:val="none" w:sz="0" w:space="0" w:color="auto"/>
                                                <w:left w:val="none" w:sz="0" w:space="0" w:color="auto"/>
                                                <w:bottom w:val="none" w:sz="0" w:space="0" w:color="auto"/>
                                                <w:right w:val="none" w:sz="0" w:space="0" w:color="auto"/>
                                              </w:divBdr>
                                              <w:divsChild>
                                                <w:div w:id="294260442">
                                                  <w:marLeft w:val="0"/>
                                                  <w:marRight w:val="0"/>
                                                  <w:marTop w:val="0"/>
                                                  <w:marBottom w:val="0"/>
                                                  <w:divBdr>
                                                    <w:top w:val="none" w:sz="0" w:space="0" w:color="auto"/>
                                                    <w:left w:val="none" w:sz="0" w:space="0" w:color="auto"/>
                                                    <w:bottom w:val="none" w:sz="0" w:space="0" w:color="auto"/>
                                                    <w:right w:val="none" w:sz="0" w:space="0" w:color="auto"/>
                                                  </w:divBdr>
                                                  <w:divsChild>
                                                    <w:div w:id="69720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885239">
      <w:bodyDiv w:val="1"/>
      <w:marLeft w:val="0"/>
      <w:marRight w:val="0"/>
      <w:marTop w:val="0"/>
      <w:marBottom w:val="0"/>
      <w:divBdr>
        <w:top w:val="none" w:sz="0" w:space="0" w:color="auto"/>
        <w:left w:val="none" w:sz="0" w:space="0" w:color="auto"/>
        <w:bottom w:val="none" w:sz="0" w:space="0" w:color="auto"/>
        <w:right w:val="none" w:sz="0" w:space="0" w:color="auto"/>
      </w:divBdr>
      <w:divsChild>
        <w:div w:id="1367096513">
          <w:marLeft w:val="0"/>
          <w:marRight w:val="0"/>
          <w:marTop w:val="0"/>
          <w:marBottom w:val="0"/>
          <w:divBdr>
            <w:top w:val="single" w:sz="6" w:space="8" w:color="B8B8B8"/>
            <w:left w:val="none" w:sz="0" w:space="0" w:color="auto"/>
            <w:bottom w:val="none" w:sz="0" w:space="0" w:color="auto"/>
            <w:right w:val="none" w:sz="0" w:space="0" w:color="auto"/>
          </w:divBdr>
          <w:divsChild>
            <w:div w:id="834304791">
              <w:marLeft w:val="2"/>
              <w:marRight w:val="2"/>
              <w:marTop w:val="0"/>
              <w:marBottom w:val="0"/>
              <w:divBdr>
                <w:top w:val="single" w:sz="6" w:space="8" w:color="CDCCD4"/>
                <w:left w:val="single" w:sz="6" w:space="8" w:color="CDCCD4"/>
                <w:bottom w:val="single" w:sz="6" w:space="8" w:color="CDCCD4"/>
                <w:right w:val="single" w:sz="6" w:space="4" w:color="CDCCD4"/>
              </w:divBdr>
              <w:divsChild>
                <w:div w:id="489371283">
                  <w:marLeft w:val="0"/>
                  <w:marRight w:val="0"/>
                  <w:marTop w:val="75"/>
                  <w:marBottom w:val="75"/>
                  <w:divBdr>
                    <w:top w:val="single" w:sz="6" w:space="8" w:color="CCCCD4"/>
                    <w:left w:val="single" w:sz="6" w:space="8" w:color="CCCCD4"/>
                    <w:bottom w:val="single" w:sz="6" w:space="8" w:color="CCCCD4"/>
                    <w:right w:val="single" w:sz="6" w:space="8" w:color="CCCCD4"/>
                  </w:divBdr>
                  <w:divsChild>
                    <w:div w:id="21460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230032">
      <w:bodyDiv w:val="1"/>
      <w:marLeft w:val="0"/>
      <w:marRight w:val="0"/>
      <w:marTop w:val="0"/>
      <w:marBottom w:val="0"/>
      <w:divBdr>
        <w:top w:val="none" w:sz="0" w:space="0" w:color="auto"/>
        <w:left w:val="none" w:sz="0" w:space="0" w:color="auto"/>
        <w:bottom w:val="none" w:sz="0" w:space="0" w:color="auto"/>
        <w:right w:val="none" w:sz="0" w:space="0" w:color="auto"/>
      </w:divBdr>
      <w:divsChild>
        <w:div w:id="925380474">
          <w:marLeft w:val="0"/>
          <w:marRight w:val="0"/>
          <w:marTop w:val="0"/>
          <w:marBottom w:val="0"/>
          <w:divBdr>
            <w:top w:val="none" w:sz="0" w:space="0" w:color="auto"/>
            <w:left w:val="none" w:sz="0" w:space="0" w:color="auto"/>
            <w:bottom w:val="none" w:sz="0" w:space="0" w:color="auto"/>
            <w:right w:val="none" w:sz="0" w:space="0" w:color="auto"/>
          </w:divBdr>
          <w:divsChild>
            <w:div w:id="750661867">
              <w:marLeft w:val="0"/>
              <w:marRight w:val="0"/>
              <w:marTop w:val="0"/>
              <w:marBottom w:val="0"/>
              <w:divBdr>
                <w:top w:val="none" w:sz="0" w:space="0" w:color="auto"/>
                <w:left w:val="none" w:sz="0" w:space="0" w:color="auto"/>
                <w:bottom w:val="none" w:sz="0" w:space="0" w:color="auto"/>
                <w:right w:val="none" w:sz="0" w:space="0" w:color="auto"/>
              </w:divBdr>
              <w:divsChild>
                <w:div w:id="1184368114">
                  <w:marLeft w:val="0"/>
                  <w:marRight w:val="0"/>
                  <w:marTop w:val="0"/>
                  <w:marBottom w:val="0"/>
                  <w:divBdr>
                    <w:top w:val="none" w:sz="0" w:space="0" w:color="auto"/>
                    <w:left w:val="none" w:sz="0" w:space="0" w:color="auto"/>
                    <w:bottom w:val="none" w:sz="0" w:space="0" w:color="auto"/>
                    <w:right w:val="none" w:sz="0" w:space="0" w:color="auto"/>
                  </w:divBdr>
                  <w:divsChild>
                    <w:div w:id="1495104132">
                      <w:marLeft w:val="0"/>
                      <w:marRight w:val="0"/>
                      <w:marTop w:val="0"/>
                      <w:marBottom w:val="0"/>
                      <w:divBdr>
                        <w:top w:val="none" w:sz="0" w:space="0" w:color="auto"/>
                        <w:left w:val="none" w:sz="0" w:space="0" w:color="auto"/>
                        <w:bottom w:val="none" w:sz="0" w:space="0" w:color="auto"/>
                        <w:right w:val="none" w:sz="0" w:space="0" w:color="auto"/>
                      </w:divBdr>
                      <w:divsChild>
                        <w:div w:id="1247572629">
                          <w:marLeft w:val="0"/>
                          <w:marRight w:val="0"/>
                          <w:marTop w:val="0"/>
                          <w:marBottom w:val="0"/>
                          <w:divBdr>
                            <w:top w:val="single" w:sz="6" w:space="0" w:color="828282"/>
                            <w:left w:val="single" w:sz="6" w:space="0" w:color="828282"/>
                            <w:bottom w:val="single" w:sz="6" w:space="0" w:color="828282"/>
                            <w:right w:val="single" w:sz="6" w:space="0" w:color="828282"/>
                          </w:divBdr>
                          <w:divsChild>
                            <w:div w:id="989795104">
                              <w:marLeft w:val="0"/>
                              <w:marRight w:val="0"/>
                              <w:marTop w:val="0"/>
                              <w:marBottom w:val="0"/>
                              <w:divBdr>
                                <w:top w:val="none" w:sz="0" w:space="0" w:color="auto"/>
                                <w:left w:val="none" w:sz="0" w:space="0" w:color="auto"/>
                                <w:bottom w:val="none" w:sz="0" w:space="0" w:color="auto"/>
                                <w:right w:val="none" w:sz="0" w:space="0" w:color="auto"/>
                              </w:divBdr>
                              <w:divsChild>
                                <w:div w:id="2068139045">
                                  <w:marLeft w:val="0"/>
                                  <w:marRight w:val="0"/>
                                  <w:marTop w:val="0"/>
                                  <w:marBottom w:val="0"/>
                                  <w:divBdr>
                                    <w:top w:val="none" w:sz="0" w:space="0" w:color="auto"/>
                                    <w:left w:val="none" w:sz="0" w:space="0" w:color="auto"/>
                                    <w:bottom w:val="none" w:sz="0" w:space="0" w:color="auto"/>
                                    <w:right w:val="none" w:sz="0" w:space="0" w:color="auto"/>
                                  </w:divBdr>
                                  <w:divsChild>
                                    <w:div w:id="2144736207">
                                      <w:marLeft w:val="0"/>
                                      <w:marRight w:val="0"/>
                                      <w:marTop w:val="0"/>
                                      <w:marBottom w:val="0"/>
                                      <w:divBdr>
                                        <w:top w:val="none" w:sz="0" w:space="0" w:color="auto"/>
                                        <w:left w:val="none" w:sz="0" w:space="0" w:color="auto"/>
                                        <w:bottom w:val="none" w:sz="0" w:space="0" w:color="auto"/>
                                        <w:right w:val="none" w:sz="0" w:space="0" w:color="auto"/>
                                      </w:divBdr>
                                      <w:divsChild>
                                        <w:div w:id="1694570303">
                                          <w:marLeft w:val="0"/>
                                          <w:marRight w:val="0"/>
                                          <w:marTop w:val="0"/>
                                          <w:marBottom w:val="0"/>
                                          <w:divBdr>
                                            <w:top w:val="none" w:sz="0" w:space="0" w:color="auto"/>
                                            <w:left w:val="none" w:sz="0" w:space="0" w:color="auto"/>
                                            <w:bottom w:val="none" w:sz="0" w:space="0" w:color="auto"/>
                                            <w:right w:val="none" w:sz="0" w:space="0" w:color="auto"/>
                                          </w:divBdr>
                                          <w:divsChild>
                                            <w:div w:id="934821441">
                                              <w:marLeft w:val="0"/>
                                              <w:marRight w:val="0"/>
                                              <w:marTop w:val="0"/>
                                              <w:marBottom w:val="0"/>
                                              <w:divBdr>
                                                <w:top w:val="none" w:sz="0" w:space="0" w:color="auto"/>
                                                <w:left w:val="none" w:sz="0" w:space="0" w:color="auto"/>
                                                <w:bottom w:val="none" w:sz="0" w:space="0" w:color="auto"/>
                                                <w:right w:val="none" w:sz="0" w:space="0" w:color="auto"/>
                                              </w:divBdr>
                                              <w:divsChild>
                                                <w:div w:id="1140926602">
                                                  <w:marLeft w:val="0"/>
                                                  <w:marRight w:val="0"/>
                                                  <w:marTop w:val="0"/>
                                                  <w:marBottom w:val="0"/>
                                                  <w:divBdr>
                                                    <w:top w:val="none" w:sz="0" w:space="0" w:color="auto"/>
                                                    <w:left w:val="none" w:sz="0" w:space="0" w:color="auto"/>
                                                    <w:bottom w:val="none" w:sz="0" w:space="0" w:color="auto"/>
                                                    <w:right w:val="none" w:sz="0" w:space="0" w:color="auto"/>
                                                  </w:divBdr>
                                                  <w:divsChild>
                                                    <w:div w:id="210437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3430593">
      <w:bodyDiv w:val="1"/>
      <w:marLeft w:val="0"/>
      <w:marRight w:val="0"/>
      <w:marTop w:val="0"/>
      <w:marBottom w:val="0"/>
      <w:divBdr>
        <w:top w:val="none" w:sz="0" w:space="0" w:color="auto"/>
        <w:left w:val="none" w:sz="0" w:space="0" w:color="auto"/>
        <w:bottom w:val="none" w:sz="0" w:space="0" w:color="auto"/>
        <w:right w:val="none" w:sz="0" w:space="0" w:color="auto"/>
      </w:divBdr>
      <w:divsChild>
        <w:div w:id="1514030761">
          <w:marLeft w:val="0"/>
          <w:marRight w:val="0"/>
          <w:marTop w:val="0"/>
          <w:marBottom w:val="0"/>
          <w:divBdr>
            <w:top w:val="single" w:sz="6" w:space="8" w:color="B8B8B8"/>
            <w:left w:val="none" w:sz="0" w:space="0" w:color="auto"/>
            <w:bottom w:val="none" w:sz="0" w:space="0" w:color="auto"/>
            <w:right w:val="none" w:sz="0" w:space="0" w:color="auto"/>
          </w:divBdr>
          <w:divsChild>
            <w:div w:id="1929263611">
              <w:marLeft w:val="2"/>
              <w:marRight w:val="2"/>
              <w:marTop w:val="0"/>
              <w:marBottom w:val="0"/>
              <w:divBdr>
                <w:top w:val="single" w:sz="6" w:space="8" w:color="CDCCD4"/>
                <w:left w:val="single" w:sz="6" w:space="8" w:color="CDCCD4"/>
                <w:bottom w:val="single" w:sz="6" w:space="8" w:color="CDCCD4"/>
                <w:right w:val="single" w:sz="6" w:space="4" w:color="CDCCD4"/>
              </w:divBdr>
              <w:divsChild>
                <w:div w:id="1313221378">
                  <w:marLeft w:val="0"/>
                  <w:marRight w:val="0"/>
                  <w:marTop w:val="75"/>
                  <w:marBottom w:val="75"/>
                  <w:divBdr>
                    <w:top w:val="single" w:sz="6" w:space="8" w:color="CCCCD4"/>
                    <w:left w:val="single" w:sz="6" w:space="8" w:color="CCCCD4"/>
                    <w:bottom w:val="single" w:sz="6" w:space="8" w:color="CCCCD4"/>
                    <w:right w:val="single" w:sz="6" w:space="8" w:color="CCCCD4"/>
                  </w:divBdr>
                  <w:divsChild>
                    <w:div w:id="141416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9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nfo.dfat.gov.au/Info/Treaties/treaties.nsf/AllDocIDs/636560118784755BCA25726C0007D2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C53FA-EBB5-4509-B284-5382161A2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1668</Words>
  <Characters>9510</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Zeng</dc:creator>
  <cp:lastModifiedBy>Burrowes, Megan</cp:lastModifiedBy>
  <cp:revision>2</cp:revision>
  <cp:lastPrinted>2015-06-24T01:05:00Z</cp:lastPrinted>
  <dcterms:created xsi:type="dcterms:W3CDTF">2015-06-24T01:10:00Z</dcterms:created>
  <dcterms:modified xsi:type="dcterms:W3CDTF">2015-06-24T01:10:00Z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