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EB" w:rsidRDefault="00260540" w:rsidP="00D85E77">
      <w:pPr>
        <w:pStyle w:val="Heading"/>
        <w:tabs>
          <w:tab w:val="left" w:pos="360"/>
        </w:tabs>
        <w:spacing w:after="240"/>
        <w:jc w:val="center"/>
        <w:rPr>
          <w:rFonts w:ascii="Times New Roman" w:hAnsi="Times New Roman"/>
          <w:sz w:val="24"/>
          <w:szCs w:val="24"/>
        </w:rPr>
      </w:pPr>
      <w:bookmarkStart w:id="0" w:name="_GoBack"/>
      <w:bookmarkEnd w:id="0"/>
      <w:r>
        <w:rPr>
          <w:rFonts w:ascii="Times New Roman" w:hAnsi="Times New Roman"/>
          <w:sz w:val="24"/>
          <w:szCs w:val="24"/>
        </w:rPr>
        <w:t>Private Health Insurance Rules</w:t>
      </w:r>
    </w:p>
    <w:p w:rsidR="002436BD" w:rsidRPr="002C6D26" w:rsidRDefault="002436BD" w:rsidP="00D85E77">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436BD" w:rsidRPr="002C6D26" w:rsidRDefault="00A730D3" w:rsidP="00D85E77">
      <w:pPr>
        <w:pStyle w:val="Heading"/>
        <w:tabs>
          <w:tab w:val="left" w:pos="360"/>
        </w:tabs>
        <w:spacing w:after="240"/>
        <w:jc w:val="center"/>
        <w:rPr>
          <w:rFonts w:ascii="Times New Roman" w:hAnsi="Times New Roman"/>
          <w:b w:val="0"/>
          <w:sz w:val="24"/>
          <w:szCs w:val="24"/>
        </w:rPr>
      </w:pPr>
      <w:proofErr w:type="gramStart"/>
      <w:r>
        <w:rPr>
          <w:rFonts w:ascii="Times New Roman" w:hAnsi="Times New Roman"/>
          <w:b w:val="0"/>
          <w:i/>
          <w:sz w:val="24"/>
          <w:szCs w:val="24"/>
        </w:rPr>
        <w:t>Private Health Insurance (Prudential Supervision) Act 2015</w:t>
      </w:r>
      <w:r w:rsidR="002436BD" w:rsidRPr="002C6D26">
        <w:rPr>
          <w:rFonts w:ascii="Times New Roman" w:hAnsi="Times New Roman"/>
          <w:b w:val="0"/>
          <w:sz w:val="24"/>
          <w:szCs w:val="24"/>
        </w:rPr>
        <w:t xml:space="preserve">, </w:t>
      </w:r>
      <w:r w:rsidR="00586EBF">
        <w:rPr>
          <w:rFonts w:ascii="Times New Roman" w:hAnsi="Times New Roman"/>
          <w:b w:val="0"/>
          <w:color w:val="000000"/>
          <w:sz w:val="24"/>
          <w:szCs w:val="24"/>
        </w:rPr>
        <w:t xml:space="preserve">subsection </w:t>
      </w:r>
      <w:r w:rsidR="00B66FE6">
        <w:rPr>
          <w:rFonts w:ascii="Times New Roman" w:hAnsi="Times New Roman"/>
          <w:b w:val="0"/>
          <w:color w:val="000000"/>
          <w:sz w:val="24"/>
          <w:szCs w:val="24"/>
        </w:rPr>
        <w:t>174</w:t>
      </w:r>
      <w:r w:rsidR="00586EBF">
        <w:rPr>
          <w:rFonts w:ascii="Times New Roman" w:hAnsi="Times New Roman"/>
          <w:b w:val="0"/>
          <w:color w:val="000000"/>
          <w:sz w:val="24"/>
          <w:szCs w:val="24"/>
        </w:rPr>
        <w:t>(1).</w:t>
      </w:r>
      <w:proofErr w:type="gramEnd"/>
    </w:p>
    <w:p w:rsidR="00593AB6" w:rsidRPr="002C6D26" w:rsidRDefault="002436BD" w:rsidP="00593AB6">
      <w:pPr>
        <w:widowControl w:val="0"/>
        <w:spacing w:after="240"/>
        <w:jc w:val="both"/>
        <w:rPr>
          <w:rFonts w:ascii="Times New Roman" w:hAnsi="Times New Roman"/>
          <w:sz w:val="24"/>
          <w:szCs w:val="24"/>
        </w:rPr>
      </w:pPr>
      <w:bookmarkStart w:id="1" w:name="bkAct"/>
      <w:bookmarkStart w:id="2" w:name="bkExplanatory"/>
      <w:bookmarkEnd w:id="1"/>
      <w:bookmarkEnd w:id="2"/>
      <w:r w:rsidRPr="0083709B">
        <w:rPr>
          <w:rFonts w:ascii="Times New Roman" w:hAnsi="Times New Roman"/>
          <w:sz w:val="24"/>
          <w:szCs w:val="24"/>
        </w:rPr>
        <w:t xml:space="preserve">Under subsection </w:t>
      </w:r>
      <w:r w:rsidR="006E6670">
        <w:rPr>
          <w:rFonts w:ascii="Times New Roman" w:hAnsi="Times New Roman"/>
          <w:color w:val="000000"/>
          <w:sz w:val="24"/>
          <w:szCs w:val="24"/>
        </w:rPr>
        <w:t>174</w:t>
      </w:r>
      <w:r w:rsidR="00A730D3" w:rsidRPr="0083709B">
        <w:rPr>
          <w:rFonts w:ascii="Times New Roman" w:hAnsi="Times New Roman"/>
          <w:color w:val="000000"/>
          <w:sz w:val="24"/>
          <w:szCs w:val="24"/>
        </w:rPr>
        <w:t xml:space="preserve">(1) </w:t>
      </w:r>
      <w:r w:rsidRPr="0083709B">
        <w:rPr>
          <w:rFonts w:ascii="Times New Roman" w:hAnsi="Times New Roman"/>
          <w:sz w:val="24"/>
          <w:szCs w:val="24"/>
        </w:rPr>
        <w:t xml:space="preserve">of the </w:t>
      </w:r>
      <w:r w:rsidR="0083709B" w:rsidRPr="0083709B">
        <w:rPr>
          <w:rFonts w:ascii="Times New Roman" w:hAnsi="Times New Roman"/>
          <w:i/>
          <w:sz w:val="24"/>
          <w:szCs w:val="24"/>
        </w:rPr>
        <w:t>Private Health Insurance (Prudential Supervision) Act</w:t>
      </w:r>
      <w:r w:rsidR="00645AAC">
        <w:rPr>
          <w:rFonts w:ascii="Times New Roman" w:hAnsi="Times New Roman"/>
          <w:sz w:val="24"/>
          <w:szCs w:val="24"/>
        </w:rPr>
        <w:t xml:space="preserve"> </w:t>
      </w:r>
      <w:r w:rsidR="00987B7C">
        <w:rPr>
          <w:rFonts w:ascii="Times New Roman" w:hAnsi="Times New Roman"/>
          <w:i/>
          <w:sz w:val="24"/>
          <w:szCs w:val="24"/>
        </w:rPr>
        <w:t>2015</w:t>
      </w:r>
      <w:r w:rsidR="00657ACF">
        <w:rPr>
          <w:rFonts w:ascii="Times New Roman" w:hAnsi="Times New Roman"/>
          <w:i/>
          <w:sz w:val="24"/>
          <w:szCs w:val="24"/>
        </w:rPr>
        <w:t xml:space="preserve"> </w:t>
      </w:r>
      <w:r w:rsidR="00657ACF">
        <w:rPr>
          <w:rFonts w:ascii="Times New Roman" w:hAnsi="Times New Roman"/>
          <w:sz w:val="24"/>
          <w:szCs w:val="24"/>
        </w:rPr>
        <w:t>(the Act)</w:t>
      </w:r>
      <w:r w:rsidRPr="007428D4">
        <w:rPr>
          <w:rFonts w:ascii="Times New Roman" w:hAnsi="Times New Roman"/>
          <w:sz w:val="24"/>
          <w:szCs w:val="24"/>
        </w:rPr>
        <w:t>,</w:t>
      </w:r>
      <w:r w:rsidRPr="002C6D26">
        <w:rPr>
          <w:rFonts w:ascii="Times New Roman" w:hAnsi="Times New Roman"/>
          <w:sz w:val="24"/>
          <w:szCs w:val="24"/>
        </w:rPr>
        <w:t xml:space="preserve"> APRA </w:t>
      </w:r>
      <w:r w:rsidR="00D425AE">
        <w:rPr>
          <w:rFonts w:ascii="Times New Roman" w:hAnsi="Times New Roman"/>
          <w:sz w:val="24"/>
          <w:szCs w:val="24"/>
        </w:rPr>
        <w:t>may, by legislative instrument, make</w:t>
      </w:r>
      <w:r w:rsidR="003733ED">
        <w:rPr>
          <w:rFonts w:ascii="Times New Roman" w:hAnsi="Times New Roman"/>
          <w:sz w:val="24"/>
          <w:szCs w:val="24"/>
        </w:rPr>
        <w:t xml:space="preserve"> rules </w:t>
      </w:r>
      <w:r w:rsidR="00657ACF">
        <w:rPr>
          <w:rFonts w:ascii="Times New Roman" w:hAnsi="Times New Roman"/>
          <w:sz w:val="24"/>
          <w:szCs w:val="24"/>
        </w:rPr>
        <w:t xml:space="preserve">prescribing matters required or permitted by the Act, or necessary or convenient in order to carry out or give effect to the Act. </w:t>
      </w:r>
      <w:r w:rsidR="00593AB6" w:rsidRPr="003E0B64">
        <w:rPr>
          <w:rFonts w:ascii="Times New Roman" w:hAnsi="Times New Roman"/>
          <w:sz w:val="24"/>
          <w:szCs w:val="24"/>
        </w:rPr>
        <w:t>The Act</w:t>
      </w:r>
      <w:r w:rsidR="00593AB6">
        <w:rPr>
          <w:rFonts w:ascii="Times New Roman" w:hAnsi="Times New Roman"/>
          <w:sz w:val="24"/>
          <w:szCs w:val="24"/>
        </w:rPr>
        <w:t xml:space="preserve"> commences on 1 July 2015.</w:t>
      </w:r>
    </w:p>
    <w:p w:rsidR="00246723" w:rsidRPr="00246723" w:rsidRDefault="00246723" w:rsidP="00D85E77">
      <w:pPr>
        <w:spacing w:after="240"/>
        <w:jc w:val="both"/>
        <w:rPr>
          <w:rFonts w:ascii="Times New Roman" w:hAnsi="Times New Roman"/>
          <w:sz w:val="24"/>
          <w:szCs w:val="24"/>
        </w:rPr>
      </w:pPr>
      <w:r w:rsidRPr="00416CD0">
        <w:rPr>
          <w:rFonts w:ascii="Times New Roman" w:hAnsi="Times New Roman"/>
          <w:sz w:val="24"/>
          <w:szCs w:val="24"/>
        </w:rPr>
        <w:t xml:space="preserve">On </w:t>
      </w:r>
      <w:r w:rsidR="00416CD0" w:rsidRPr="00416CD0">
        <w:rPr>
          <w:rFonts w:ascii="Times New Roman" w:hAnsi="Times New Roman"/>
          <w:sz w:val="24"/>
          <w:szCs w:val="24"/>
        </w:rPr>
        <w:t>26 June 2015</w:t>
      </w:r>
      <w:r w:rsidRPr="00416CD0">
        <w:rPr>
          <w:rFonts w:ascii="Times New Roman" w:hAnsi="Times New Roman"/>
          <w:sz w:val="24"/>
          <w:szCs w:val="24"/>
        </w:rPr>
        <w:t xml:space="preserve">, APRA made the following </w:t>
      </w:r>
      <w:r w:rsidR="00FC1D87" w:rsidRPr="00416CD0">
        <w:rPr>
          <w:rFonts w:ascii="Times New Roman" w:hAnsi="Times New Roman"/>
          <w:sz w:val="24"/>
          <w:szCs w:val="24"/>
        </w:rPr>
        <w:t>instruments</w:t>
      </w:r>
      <w:r w:rsidR="00471F8A" w:rsidRPr="00416CD0">
        <w:rPr>
          <w:rFonts w:ascii="Times New Roman" w:hAnsi="Times New Roman"/>
          <w:sz w:val="24"/>
          <w:szCs w:val="24"/>
        </w:rPr>
        <w:t xml:space="preserve"> (‘APRA Rules’)</w:t>
      </w:r>
      <w:r w:rsidRPr="00416CD0">
        <w:rPr>
          <w:rFonts w:ascii="Times New Roman" w:hAnsi="Times New Roman"/>
          <w:sz w:val="24"/>
          <w:szCs w:val="24"/>
        </w:rPr>
        <w:t>:</w:t>
      </w:r>
    </w:p>
    <w:p w:rsidR="00AC7A56" w:rsidRDefault="00FC1D87" w:rsidP="00D85E77">
      <w:pPr>
        <w:widowControl w:val="0"/>
        <w:numPr>
          <w:ilvl w:val="0"/>
          <w:numId w:val="5"/>
        </w:numPr>
        <w:spacing w:after="240"/>
        <w:jc w:val="both"/>
        <w:rPr>
          <w:rFonts w:ascii="Times New Roman" w:hAnsi="Times New Roman"/>
          <w:sz w:val="24"/>
          <w:szCs w:val="24"/>
        </w:rPr>
      </w:pPr>
      <w:r>
        <w:rPr>
          <w:rFonts w:ascii="Times New Roman" w:hAnsi="Times New Roman"/>
          <w:i/>
          <w:sz w:val="24"/>
          <w:szCs w:val="24"/>
        </w:rPr>
        <w:t xml:space="preserve">Private Health Insurance (Prudential Supervision) Rules </w:t>
      </w:r>
      <w:r w:rsidRPr="00FC1D87">
        <w:rPr>
          <w:rFonts w:ascii="Times New Roman" w:hAnsi="Times New Roman"/>
          <w:i/>
          <w:sz w:val="24"/>
          <w:szCs w:val="24"/>
        </w:rPr>
        <w:t>2015</w:t>
      </w:r>
      <w:r w:rsidR="00AC7A56">
        <w:rPr>
          <w:rFonts w:ascii="Times New Roman" w:hAnsi="Times New Roman"/>
          <w:sz w:val="24"/>
          <w:szCs w:val="24"/>
        </w:rPr>
        <w:t>;</w:t>
      </w:r>
    </w:p>
    <w:p w:rsidR="00F27C64" w:rsidRPr="00F27C64" w:rsidRDefault="00F27C64" w:rsidP="00F27C64">
      <w:pPr>
        <w:widowControl w:val="0"/>
        <w:numPr>
          <w:ilvl w:val="0"/>
          <w:numId w:val="5"/>
        </w:numPr>
        <w:spacing w:after="240"/>
        <w:jc w:val="both"/>
        <w:rPr>
          <w:rFonts w:ascii="Times New Roman" w:hAnsi="Times New Roman"/>
          <w:i/>
          <w:sz w:val="24"/>
          <w:szCs w:val="24"/>
        </w:rPr>
      </w:pPr>
      <w:r w:rsidRPr="00F27C64">
        <w:rPr>
          <w:rFonts w:ascii="Times New Roman" w:hAnsi="Times New Roman"/>
          <w:i/>
          <w:sz w:val="24"/>
          <w:szCs w:val="24"/>
        </w:rPr>
        <w:t>Private Health Insurance (Registration) Rules 2015</w:t>
      </w:r>
      <w:r w:rsidR="00434049">
        <w:rPr>
          <w:rFonts w:ascii="Times New Roman" w:hAnsi="Times New Roman"/>
          <w:sz w:val="24"/>
          <w:szCs w:val="24"/>
        </w:rPr>
        <w:t>;</w:t>
      </w:r>
      <w:r w:rsidR="00690077">
        <w:rPr>
          <w:rFonts w:ascii="Times New Roman" w:hAnsi="Times New Roman"/>
          <w:sz w:val="24"/>
          <w:szCs w:val="24"/>
        </w:rPr>
        <w:t xml:space="preserve"> and</w:t>
      </w:r>
    </w:p>
    <w:p w:rsidR="00FC1D87" w:rsidRDefault="00F27C64" w:rsidP="00F27C64">
      <w:pPr>
        <w:widowControl w:val="0"/>
        <w:numPr>
          <w:ilvl w:val="0"/>
          <w:numId w:val="5"/>
        </w:numPr>
        <w:spacing w:after="240"/>
        <w:jc w:val="both"/>
        <w:rPr>
          <w:rFonts w:ascii="Times New Roman" w:hAnsi="Times New Roman"/>
          <w:sz w:val="24"/>
          <w:szCs w:val="24"/>
        </w:rPr>
      </w:pPr>
      <w:r w:rsidRPr="00434049">
        <w:rPr>
          <w:rFonts w:ascii="Times New Roman" w:hAnsi="Times New Roman"/>
          <w:i/>
          <w:sz w:val="24"/>
          <w:szCs w:val="24"/>
        </w:rPr>
        <w:t>Private Health Insurance (Health Benefits Fund Enforcement) Rules 2015</w:t>
      </w:r>
      <w:r w:rsidR="00434049">
        <w:rPr>
          <w:rFonts w:ascii="Times New Roman" w:hAnsi="Times New Roman"/>
          <w:sz w:val="24"/>
          <w:szCs w:val="24"/>
        </w:rPr>
        <w:t>;</w:t>
      </w:r>
    </w:p>
    <w:p w:rsidR="006E5912" w:rsidRPr="006E5912" w:rsidRDefault="006E5912" w:rsidP="006E5912">
      <w:pPr>
        <w:widowControl w:val="0"/>
        <w:spacing w:after="240"/>
        <w:jc w:val="both"/>
        <w:rPr>
          <w:rFonts w:ascii="Times New Roman" w:hAnsi="Times New Roman"/>
          <w:sz w:val="24"/>
          <w:szCs w:val="24"/>
        </w:rPr>
      </w:pPr>
      <w:r w:rsidRPr="006E5912">
        <w:rPr>
          <w:rFonts w:ascii="Times New Roman" w:hAnsi="Times New Roman"/>
          <w:sz w:val="24"/>
          <w:szCs w:val="24"/>
        </w:rPr>
        <w:t>APRA Rules must be complied with by private health insurers.</w:t>
      </w:r>
    </w:p>
    <w:p w:rsidR="00246723" w:rsidRDefault="00AC7A56" w:rsidP="00D85E77">
      <w:pPr>
        <w:widowControl w:val="0"/>
        <w:spacing w:after="240"/>
        <w:jc w:val="both"/>
        <w:rPr>
          <w:rFonts w:ascii="Times New Roman" w:hAnsi="Times New Roman"/>
          <w:sz w:val="24"/>
          <w:szCs w:val="24"/>
        </w:rPr>
      </w:pPr>
      <w:r>
        <w:rPr>
          <w:rFonts w:ascii="Times New Roman" w:hAnsi="Times New Roman"/>
          <w:sz w:val="24"/>
          <w:szCs w:val="24"/>
        </w:rPr>
        <w:t xml:space="preserve">The instruments </w:t>
      </w:r>
      <w:r w:rsidR="00730BB2">
        <w:rPr>
          <w:rFonts w:ascii="Times New Roman" w:hAnsi="Times New Roman"/>
          <w:sz w:val="24"/>
          <w:szCs w:val="24"/>
        </w:rPr>
        <w:t>take effect on the day the Act commences</w:t>
      </w:r>
      <w:r w:rsidR="004E4218">
        <w:rPr>
          <w:rFonts w:ascii="Times New Roman" w:hAnsi="Times New Roman"/>
          <w:sz w:val="24"/>
          <w:szCs w:val="24"/>
        </w:rPr>
        <w:t>, namely 1 July 2015</w:t>
      </w:r>
      <w:r w:rsidR="00730BB2">
        <w:rPr>
          <w:rFonts w:ascii="Times New Roman" w:hAnsi="Times New Roman"/>
          <w:sz w:val="24"/>
          <w:szCs w:val="24"/>
        </w:rPr>
        <w:t>.</w:t>
      </w:r>
      <w:r w:rsidR="00730BB2">
        <w:rPr>
          <w:rFonts w:ascii="Times New Roman" w:hAnsi="Times New Roman"/>
          <w:i/>
          <w:sz w:val="24"/>
          <w:szCs w:val="24"/>
        </w:rPr>
        <w:t xml:space="preserve"> </w:t>
      </w:r>
      <w:r w:rsidR="00F5679F">
        <w:rPr>
          <w:rFonts w:ascii="Times New Roman" w:hAnsi="Times New Roman"/>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310CF8" w:rsidRPr="00470375" w:rsidRDefault="007F3C95"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As part of the </w:t>
      </w:r>
      <w:r>
        <w:rPr>
          <w:rFonts w:ascii="Times New Roman" w:hAnsi="Times New Roman"/>
          <w:b w:val="0"/>
          <w:i/>
          <w:sz w:val="24"/>
          <w:szCs w:val="24"/>
        </w:rPr>
        <w:t xml:space="preserve">Smaller Government – additional reductions in the number of Australian Government </w:t>
      </w:r>
      <w:proofErr w:type="gramStart"/>
      <w:r>
        <w:rPr>
          <w:rFonts w:ascii="Times New Roman" w:hAnsi="Times New Roman"/>
          <w:b w:val="0"/>
          <w:i/>
          <w:sz w:val="24"/>
          <w:szCs w:val="24"/>
        </w:rPr>
        <w:t>bodies</w:t>
      </w:r>
      <w:proofErr w:type="gramEnd"/>
      <w:r>
        <w:rPr>
          <w:rFonts w:ascii="Times New Roman" w:hAnsi="Times New Roman"/>
          <w:b w:val="0"/>
          <w:i/>
          <w:sz w:val="24"/>
          <w:szCs w:val="24"/>
        </w:rPr>
        <w:t xml:space="preserve"> </w:t>
      </w:r>
      <w:r>
        <w:rPr>
          <w:rFonts w:ascii="Times New Roman" w:hAnsi="Times New Roman"/>
          <w:b w:val="0"/>
          <w:sz w:val="24"/>
          <w:szCs w:val="24"/>
        </w:rPr>
        <w:t xml:space="preserve">initiative announced </w:t>
      </w:r>
      <w:r w:rsidR="00F664F7">
        <w:rPr>
          <w:rFonts w:ascii="Times New Roman" w:hAnsi="Times New Roman"/>
          <w:b w:val="0"/>
          <w:sz w:val="24"/>
          <w:szCs w:val="24"/>
        </w:rPr>
        <w:t>in</w:t>
      </w:r>
      <w:r>
        <w:rPr>
          <w:rFonts w:ascii="Times New Roman" w:hAnsi="Times New Roman"/>
          <w:b w:val="0"/>
          <w:sz w:val="24"/>
          <w:szCs w:val="24"/>
        </w:rPr>
        <w:t xml:space="preserve"> the 2014-2015 Budget</w:t>
      </w:r>
      <w:r w:rsidR="00681DD3">
        <w:rPr>
          <w:rFonts w:ascii="Times New Roman" w:hAnsi="Times New Roman"/>
          <w:b w:val="0"/>
          <w:sz w:val="24"/>
          <w:szCs w:val="24"/>
        </w:rPr>
        <w:t>,</w:t>
      </w:r>
      <w:r w:rsidR="00FE3D3C" w:rsidRPr="00FE3D3C">
        <w:rPr>
          <w:rFonts w:ascii="Times New Roman" w:hAnsi="Times New Roman"/>
          <w:b w:val="0"/>
          <w:sz w:val="24"/>
          <w:szCs w:val="24"/>
        </w:rPr>
        <w:t xml:space="preserve"> the prudential regulation functions of the Private Health Insurance Administration Council (PHIAC)</w:t>
      </w:r>
      <w:r w:rsidR="00E44416">
        <w:rPr>
          <w:rFonts w:ascii="Times New Roman" w:hAnsi="Times New Roman"/>
          <w:b w:val="0"/>
          <w:sz w:val="24"/>
          <w:szCs w:val="24"/>
        </w:rPr>
        <w:t xml:space="preserve"> will</w:t>
      </w:r>
      <w:r w:rsidR="00FE3D3C" w:rsidRPr="00FE3D3C">
        <w:rPr>
          <w:rFonts w:ascii="Times New Roman" w:hAnsi="Times New Roman"/>
          <w:b w:val="0"/>
          <w:sz w:val="24"/>
          <w:szCs w:val="24"/>
        </w:rPr>
        <w:t xml:space="preserve"> be transferred to APRA</w:t>
      </w:r>
      <w:r w:rsidR="00310CF8" w:rsidRPr="00FE3D3C">
        <w:rPr>
          <w:rFonts w:ascii="Times New Roman" w:hAnsi="Times New Roman"/>
          <w:b w:val="0"/>
          <w:sz w:val="24"/>
          <w:szCs w:val="24"/>
        </w:rPr>
        <w:t>.</w:t>
      </w:r>
      <w:r w:rsidR="00FE3D3C" w:rsidRPr="00FE3D3C">
        <w:t xml:space="preserve"> </w:t>
      </w:r>
      <w:r w:rsidR="004E2D7C">
        <w:rPr>
          <w:rFonts w:ascii="Times New Roman" w:hAnsi="Times New Roman"/>
          <w:b w:val="0"/>
          <w:sz w:val="24"/>
          <w:szCs w:val="24"/>
        </w:rPr>
        <w:t xml:space="preserve">From 1 July 2015, </w:t>
      </w:r>
      <w:r w:rsidR="00FE3D3C" w:rsidRPr="00FE3D3C">
        <w:rPr>
          <w:rFonts w:ascii="Times New Roman" w:hAnsi="Times New Roman"/>
          <w:b w:val="0"/>
          <w:sz w:val="24"/>
          <w:szCs w:val="24"/>
        </w:rPr>
        <w:t xml:space="preserve">APRA will take on all prudential regulation functions </w:t>
      </w:r>
      <w:r w:rsidR="00E44416">
        <w:rPr>
          <w:rFonts w:ascii="Times New Roman" w:hAnsi="Times New Roman"/>
          <w:b w:val="0"/>
          <w:sz w:val="24"/>
          <w:szCs w:val="24"/>
        </w:rPr>
        <w:t>for private health insurers</w:t>
      </w:r>
      <w:r w:rsidR="00FE3D3C" w:rsidRPr="00FE3D3C">
        <w:rPr>
          <w:rFonts w:ascii="Times New Roman" w:hAnsi="Times New Roman"/>
          <w:b w:val="0"/>
          <w:sz w:val="24"/>
          <w:szCs w:val="24"/>
        </w:rPr>
        <w:t>.</w:t>
      </w:r>
      <w:r w:rsidR="004C0C16" w:rsidRPr="004C0C16">
        <w:rPr>
          <w:rFonts w:ascii="Times New Roman" w:hAnsi="Times New Roman"/>
          <w:b w:val="0"/>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B1252">
        <w:rPr>
          <w:rFonts w:ascii="Times New Roman" w:hAnsi="Times New Roman"/>
          <w:sz w:val="24"/>
          <w:szCs w:val="24"/>
        </w:rPr>
        <w:t>s</w:t>
      </w:r>
    </w:p>
    <w:p w:rsidR="008B1252" w:rsidRDefault="00E44416" w:rsidP="00497F57">
      <w:pPr>
        <w:pStyle w:val="Heading"/>
        <w:spacing w:after="240"/>
        <w:outlineLvl w:val="0"/>
        <w:rPr>
          <w:rFonts w:ascii="Times New Roman" w:hAnsi="Times New Roman"/>
          <w:b w:val="0"/>
          <w:sz w:val="24"/>
          <w:szCs w:val="24"/>
        </w:rPr>
      </w:pPr>
      <w:r>
        <w:rPr>
          <w:rFonts w:ascii="Times New Roman" w:hAnsi="Times New Roman"/>
          <w:b w:val="0"/>
          <w:sz w:val="24"/>
          <w:szCs w:val="24"/>
        </w:rPr>
        <w:t>As part of the reforms</w:t>
      </w:r>
      <w:r w:rsidR="008B1252" w:rsidRPr="004C0C16">
        <w:rPr>
          <w:rFonts w:ascii="Times New Roman" w:hAnsi="Times New Roman"/>
          <w:b w:val="0"/>
          <w:sz w:val="24"/>
          <w:szCs w:val="24"/>
        </w:rPr>
        <w:t xml:space="preserve">, </w:t>
      </w:r>
      <w:r w:rsidR="008B1252">
        <w:rPr>
          <w:rFonts w:ascii="Times New Roman" w:hAnsi="Times New Roman"/>
          <w:b w:val="0"/>
          <w:sz w:val="24"/>
          <w:szCs w:val="24"/>
        </w:rPr>
        <w:t>the</w:t>
      </w:r>
      <w:r w:rsidR="00987B7C" w:rsidRPr="00987B7C">
        <w:t xml:space="preserve"> </w:t>
      </w:r>
      <w:r w:rsidR="00987B7C" w:rsidRPr="00987B7C">
        <w:rPr>
          <w:rFonts w:ascii="Times New Roman" w:hAnsi="Times New Roman"/>
          <w:b w:val="0"/>
          <w:sz w:val="24"/>
          <w:szCs w:val="24"/>
        </w:rPr>
        <w:t>Act</w:t>
      </w:r>
      <w:r w:rsidR="008B1252">
        <w:rPr>
          <w:rFonts w:ascii="Times New Roman" w:hAnsi="Times New Roman"/>
          <w:b w:val="0"/>
          <w:sz w:val="24"/>
          <w:szCs w:val="24"/>
        </w:rPr>
        <w:t xml:space="preserve"> </w:t>
      </w:r>
      <w:r w:rsidR="008B1252" w:rsidRPr="004C0C16">
        <w:rPr>
          <w:rFonts w:ascii="Times New Roman" w:hAnsi="Times New Roman"/>
          <w:b w:val="0"/>
          <w:sz w:val="24"/>
          <w:szCs w:val="24"/>
        </w:rPr>
        <w:t>will become the primary piece of legislation for the prudential regulation of private health insurance.</w:t>
      </w:r>
      <w:r w:rsidR="008B1252">
        <w:rPr>
          <w:rFonts w:ascii="Times New Roman" w:hAnsi="Times New Roman"/>
          <w:b w:val="0"/>
          <w:sz w:val="24"/>
          <w:szCs w:val="24"/>
        </w:rPr>
        <w:t xml:space="preserve"> </w:t>
      </w:r>
      <w:r w:rsidR="004F1182">
        <w:rPr>
          <w:rFonts w:ascii="Times New Roman" w:hAnsi="Times New Roman"/>
          <w:b w:val="0"/>
          <w:sz w:val="24"/>
          <w:szCs w:val="24"/>
        </w:rPr>
        <w:t xml:space="preserve">The instruments made under the Act, together with APRA’s prudential standards, </w:t>
      </w:r>
      <w:r w:rsidR="007752A5">
        <w:rPr>
          <w:rFonts w:ascii="Times New Roman" w:hAnsi="Times New Roman"/>
          <w:b w:val="0"/>
          <w:sz w:val="24"/>
          <w:szCs w:val="24"/>
        </w:rPr>
        <w:t>ensure the continued application of the existing prudential framework.</w:t>
      </w:r>
    </w:p>
    <w:p w:rsidR="00A76544" w:rsidRDefault="00987B7C"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objective of </w:t>
      </w:r>
      <w:r w:rsidR="001274CE">
        <w:rPr>
          <w:rFonts w:ascii="Times New Roman" w:hAnsi="Times New Roman"/>
          <w:b w:val="0"/>
          <w:sz w:val="24"/>
          <w:szCs w:val="24"/>
        </w:rPr>
        <w:t xml:space="preserve">APRA’s prudential requirements </w:t>
      </w:r>
      <w:r w:rsidR="00D04328">
        <w:rPr>
          <w:rFonts w:ascii="Times New Roman" w:hAnsi="Times New Roman"/>
          <w:b w:val="0"/>
          <w:sz w:val="24"/>
          <w:szCs w:val="24"/>
        </w:rPr>
        <w:t xml:space="preserve">is </w:t>
      </w:r>
      <w:r>
        <w:rPr>
          <w:rFonts w:ascii="Times New Roman" w:hAnsi="Times New Roman"/>
          <w:b w:val="0"/>
          <w:sz w:val="24"/>
          <w:szCs w:val="24"/>
        </w:rPr>
        <w:t xml:space="preserve">to provide seamless transition of the </w:t>
      </w:r>
      <w:r w:rsidR="00144707">
        <w:rPr>
          <w:rFonts w:ascii="Times New Roman" w:hAnsi="Times New Roman"/>
          <w:b w:val="0"/>
          <w:sz w:val="24"/>
          <w:szCs w:val="24"/>
        </w:rPr>
        <w:t>requirements administered by PHIAC</w:t>
      </w:r>
      <w:r w:rsidR="004E2D7C">
        <w:rPr>
          <w:rFonts w:ascii="Times New Roman" w:hAnsi="Times New Roman"/>
          <w:b w:val="0"/>
          <w:sz w:val="24"/>
          <w:szCs w:val="24"/>
        </w:rPr>
        <w:t xml:space="preserve"> prior to 1 July 2015, under the </w:t>
      </w:r>
      <w:r w:rsidR="004E2D7C">
        <w:rPr>
          <w:rFonts w:ascii="Times New Roman" w:hAnsi="Times New Roman"/>
          <w:b w:val="0"/>
          <w:i/>
          <w:sz w:val="24"/>
          <w:szCs w:val="24"/>
        </w:rPr>
        <w:t>Private Health Insurance Act</w:t>
      </w:r>
      <w:r w:rsidR="004E2D7C">
        <w:rPr>
          <w:rFonts w:ascii="Times New Roman" w:hAnsi="Times New Roman"/>
          <w:b w:val="0"/>
          <w:sz w:val="24"/>
          <w:szCs w:val="24"/>
        </w:rPr>
        <w:t xml:space="preserve"> </w:t>
      </w:r>
      <w:r w:rsidR="00D55D6B" w:rsidRPr="00D55D6B">
        <w:rPr>
          <w:rFonts w:ascii="Times New Roman" w:hAnsi="Times New Roman"/>
          <w:b w:val="0"/>
          <w:i/>
          <w:sz w:val="24"/>
          <w:szCs w:val="24"/>
        </w:rPr>
        <w:t>2007</w:t>
      </w:r>
      <w:r w:rsidR="00D55D6B">
        <w:rPr>
          <w:rFonts w:ascii="Times New Roman" w:hAnsi="Times New Roman"/>
          <w:b w:val="0"/>
          <w:sz w:val="24"/>
          <w:szCs w:val="24"/>
        </w:rPr>
        <w:t xml:space="preserve"> (th</w:t>
      </w:r>
      <w:r w:rsidR="00010ACC">
        <w:rPr>
          <w:rFonts w:ascii="Times New Roman" w:hAnsi="Times New Roman"/>
          <w:b w:val="0"/>
          <w:sz w:val="24"/>
          <w:szCs w:val="24"/>
        </w:rPr>
        <w:t>e Private Health Insurance Act)</w:t>
      </w:r>
      <w:r w:rsidR="00D55D6B">
        <w:rPr>
          <w:rFonts w:ascii="Times New Roman" w:hAnsi="Times New Roman"/>
          <w:b w:val="0"/>
          <w:sz w:val="24"/>
          <w:szCs w:val="24"/>
        </w:rPr>
        <w:t xml:space="preserve"> </w:t>
      </w:r>
      <w:r w:rsidR="004E2D7C">
        <w:rPr>
          <w:rFonts w:ascii="Times New Roman" w:hAnsi="Times New Roman"/>
          <w:b w:val="0"/>
          <w:sz w:val="24"/>
          <w:szCs w:val="24"/>
        </w:rPr>
        <w:t>and Rules made under that Act</w:t>
      </w:r>
      <w:r>
        <w:rPr>
          <w:rFonts w:ascii="Times New Roman" w:hAnsi="Times New Roman"/>
          <w:b w:val="0"/>
          <w:sz w:val="24"/>
          <w:szCs w:val="24"/>
        </w:rPr>
        <w:t xml:space="preserve">, </w:t>
      </w:r>
      <w:r w:rsidR="00144707">
        <w:rPr>
          <w:rFonts w:ascii="Times New Roman" w:hAnsi="Times New Roman"/>
          <w:b w:val="0"/>
          <w:sz w:val="24"/>
          <w:szCs w:val="24"/>
        </w:rPr>
        <w:t>so that the same requirements continue to have effect in substance following the transfer of responsibilities to APRA. This will minimise</w:t>
      </w:r>
      <w:r>
        <w:rPr>
          <w:rFonts w:ascii="Times New Roman" w:hAnsi="Times New Roman"/>
          <w:b w:val="0"/>
          <w:sz w:val="24"/>
          <w:szCs w:val="24"/>
        </w:rPr>
        <w:t xml:space="preserve"> the disturbance to the private health industry. </w:t>
      </w:r>
      <w:r w:rsidR="001274CE">
        <w:rPr>
          <w:rFonts w:ascii="Times New Roman" w:hAnsi="Times New Roman"/>
          <w:b w:val="0"/>
          <w:sz w:val="24"/>
          <w:szCs w:val="24"/>
        </w:rPr>
        <w:t>The</w:t>
      </w:r>
      <w:r w:rsidR="00F72B0C">
        <w:rPr>
          <w:rFonts w:ascii="Times New Roman" w:hAnsi="Times New Roman"/>
          <w:b w:val="0"/>
          <w:sz w:val="24"/>
          <w:szCs w:val="24"/>
        </w:rPr>
        <w:t>se</w:t>
      </w:r>
      <w:r w:rsidR="001274CE">
        <w:rPr>
          <w:rFonts w:ascii="Times New Roman" w:hAnsi="Times New Roman"/>
          <w:b w:val="0"/>
          <w:sz w:val="24"/>
          <w:szCs w:val="24"/>
        </w:rPr>
        <w:t xml:space="preserve"> APRA Rules</w:t>
      </w:r>
      <w:r w:rsidR="007D63E9">
        <w:rPr>
          <w:rFonts w:ascii="Times New Roman" w:hAnsi="Times New Roman"/>
          <w:b w:val="0"/>
          <w:sz w:val="24"/>
          <w:szCs w:val="24"/>
        </w:rPr>
        <w:t xml:space="preserve"> replicate a range of procedural and administrative matters applying to </w:t>
      </w:r>
      <w:r w:rsidR="00AB4916">
        <w:rPr>
          <w:rFonts w:ascii="Times New Roman" w:hAnsi="Times New Roman"/>
          <w:b w:val="0"/>
          <w:sz w:val="24"/>
          <w:szCs w:val="24"/>
        </w:rPr>
        <w:t>private health insurers</w:t>
      </w:r>
      <w:r w:rsidR="00144707">
        <w:rPr>
          <w:rFonts w:ascii="Times New Roman" w:hAnsi="Times New Roman"/>
          <w:b w:val="0"/>
          <w:sz w:val="24"/>
          <w:szCs w:val="24"/>
        </w:rPr>
        <w:t xml:space="preserve"> issued by PHIAC</w:t>
      </w:r>
      <w:r w:rsidR="00D04328">
        <w:rPr>
          <w:rFonts w:ascii="Times New Roman" w:hAnsi="Times New Roman"/>
          <w:b w:val="0"/>
          <w:sz w:val="24"/>
          <w:szCs w:val="24"/>
        </w:rPr>
        <w:t xml:space="preserve"> and the Minister for Health</w:t>
      </w:r>
      <w:r w:rsidR="004E2D7C">
        <w:rPr>
          <w:rFonts w:ascii="Times New Roman" w:hAnsi="Times New Roman"/>
          <w:b w:val="0"/>
          <w:sz w:val="24"/>
          <w:szCs w:val="24"/>
        </w:rPr>
        <w:t xml:space="preserve"> under the Private Health Insurance Act</w:t>
      </w:r>
      <w:r w:rsidR="00144707">
        <w:rPr>
          <w:rFonts w:ascii="Times New Roman" w:hAnsi="Times New Roman"/>
          <w:b w:val="0"/>
          <w:sz w:val="24"/>
          <w:szCs w:val="24"/>
        </w:rPr>
        <w:t xml:space="preserve">. </w:t>
      </w:r>
    </w:p>
    <w:p w:rsidR="00A76544" w:rsidRDefault="00A76544"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Pr>
          <w:rFonts w:ascii="Times New Roman" w:hAnsi="Times New Roman"/>
          <w:b w:val="0"/>
          <w:i/>
          <w:sz w:val="24"/>
          <w:szCs w:val="24"/>
        </w:rPr>
        <w:t xml:space="preserve">Private Health Insurance (Prudential Supervision) Rules 2015 </w:t>
      </w:r>
      <w:r>
        <w:rPr>
          <w:rFonts w:ascii="Times New Roman" w:hAnsi="Times New Roman"/>
          <w:b w:val="0"/>
          <w:sz w:val="24"/>
          <w:szCs w:val="24"/>
        </w:rPr>
        <w:t xml:space="preserve">set </w:t>
      </w:r>
      <w:r w:rsidR="00F72B0C">
        <w:rPr>
          <w:rFonts w:ascii="Times New Roman" w:hAnsi="Times New Roman"/>
          <w:b w:val="0"/>
          <w:sz w:val="24"/>
          <w:szCs w:val="24"/>
        </w:rPr>
        <w:t>r</w:t>
      </w:r>
      <w:r>
        <w:rPr>
          <w:rFonts w:ascii="Times New Roman" w:hAnsi="Times New Roman"/>
          <w:b w:val="0"/>
          <w:sz w:val="24"/>
          <w:szCs w:val="24"/>
        </w:rPr>
        <w:t xml:space="preserve">ules in relation to the expenditure and application of health benefit funds, restructure of health benefit funds, mergers and acquisitions of health benefit funds and reporting </w:t>
      </w:r>
      <w:r>
        <w:rPr>
          <w:rFonts w:ascii="Times New Roman" w:hAnsi="Times New Roman"/>
          <w:b w:val="0"/>
          <w:sz w:val="24"/>
          <w:szCs w:val="24"/>
        </w:rPr>
        <w:lastRenderedPageBreak/>
        <w:t xml:space="preserve">and notification requirements. </w:t>
      </w:r>
      <w:r w:rsidR="00E5381A">
        <w:rPr>
          <w:rFonts w:ascii="Times New Roman" w:hAnsi="Times New Roman"/>
          <w:b w:val="0"/>
          <w:sz w:val="24"/>
          <w:szCs w:val="24"/>
        </w:rPr>
        <w:t xml:space="preserve">They largely replicate existing rules made in the </w:t>
      </w:r>
      <w:r w:rsidR="00E5381A">
        <w:rPr>
          <w:rFonts w:ascii="Times New Roman" w:hAnsi="Times New Roman"/>
          <w:b w:val="0"/>
          <w:i/>
          <w:sz w:val="24"/>
          <w:szCs w:val="24"/>
        </w:rPr>
        <w:t>Private Health Insurance (Health Benefits Fund Administration) Rules 2007</w:t>
      </w:r>
      <w:r w:rsidR="00E5381A">
        <w:rPr>
          <w:rFonts w:ascii="Times New Roman" w:hAnsi="Times New Roman"/>
          <w:b w:val="0"/>
          <w:sz w:val="24"/>
          <w:szCs w:val="24"/>
        </w:rPr>
        <w:t xml:space="preserve"> (including amendments made by the </w:t>
      </w:r>
      <w:r w:rsidR="00E5381A">
        <w:rPr>
          <w:rFonts w:ascii="Times New Roman" w:hAnsi="Times New Roman"/>
          <w:b w:val="0"/>
          <w:i/>
          <w:sz w:val="24"/>
          <w:szCs w:val="24"/>
        </w:rPr>
        <w:t>Private Health Insurance Health Benefits Fund Administration) Amendment Rules 2008 (No. 1</w:t>
      </w:r>
      <w:r w:rsidR="004E2D7C">
        <w:rPr>
          <w:rFonts w:ascii="Times New Roman" w:hAnsi="Times New Roman"/>
          <w:b w:val="0"/>
          <w:i/>
          <w:sz w:val="24"/>
          <w:szCs w:val="24"/>
        </w:rPr>
        <w:t>)</w:t>
      </w:r>
      <w:r w:rsidR="00E5381A">
        <w:rPr>
          <w:rFonts w:ascii="Times New Roman" w:hAnsi="Times New Roman"/>
          <w:b w:val="0"/>
          <w:i/>
          <w:sz w:val="24"/>
          <w:szCs w:val="24"/>
        </w:rPr>
        <w:t>.</w:t>
      </w:r>
      <w:r w:rsidR="00E5381A">
        <w:rPr>
          <w:rFonts w:ascii="Times New Roman" w:hAnsi="Times New Roman"/>
          <w:b w:val="0"/>
          <w:sz w:val="24"/>
          <w:szCs w:val="24"/>
        </w:rPr>
        <w:t xml:space="preserve"> </w:t>
      </w:r>
      <w:r w:rsidR="008E1C97">
        <w:rPr>
          <w:rFonts w:ascii="Times New Roman" w:hAnsi="Times New Roman"/>
          <w:b w:val="0"/>
          <w:sz w:val="24"/>
          <w:szCs w:val="24"/>
        </w:rPr>
        <w:t>The</w:t>
      </w:r>
      <w:r w:rsidR="00F72B0C">
        <w:rPr>
          <w:rFonts w:ascii="Times New Roman" w:hAnsi="Times New Roman"/>
          <w:b w:val="0"/>
          <w:sz w:val="24"/>
          <w:szCs w:val="24"/>
        </w:rPr>
        <w:t>se</w:t>
      </w:r>
      <w:r w:rsidR="008E1C97">
        <w:rPr>
          <w:rFonts w:ascii="Times New Roman" w:hAnsi="Times New Roman"/>
          <w:b w:val="0"/>
          <w:sz w:val="24"/>
          <w:szCs w:val="24"/>
        </w:rPr>
        <w:t xml:space="preserve"> Rules:</w:t>
      </w:r>
    </w:p>
    <w:p w:rsidR="008E1C97" w:rsidRDefault="008E1C97" w:rsidP="008E1C97">
      <w:pPr>
        <w:pStyle w:val="Heading"/>
        <w:numPr>
          <w:ilvl w:val="0"/>
          <w:numId w:val="6"/>
        </w:numPr>
        <w:spacing w:after="240"/>
        <w:outlineLvl w:val="0"/>
        <w:rPr>
          <w:rFonts w:ascii="Times New Roman" w:hAnsi="Times New Roman"/>
          <w:b w:val="0"/>
          <w:sz w:val="24"/>
          <w:szCs w:val="24"/>
        </w:rPr>
      </w:pPr>
      <w:r>
        <w:rPr>
          <w:rFonts w:ascii="Times New Roman" w:hAnsi="Times New Roman"/>
          <w:b w:val="0"/>
          <w:sz w:val="24"/>
          <w:szCs w:val="24"/>
        </w:rPr>
        <w:t>deal with matters relating to borrowings, mortgages and charges which a private health insurer is permitted to enter into for the purposes of its health benefits funds;</w:t>
      </w:r>
    </w:p>
    <w:p w:rsidR="00260A4D" w:rsidRDefault="008E1C97" w:rsidP="00260A4D">
      <w:pPr>
        <w:pStyle w:val="Heading"/>
        <w:numPr>
          <w:ilvl w:val="0"/>
          <w:numId w:val="6"/>
        </w:numPr>
        <w:spacing w:after="240"/>
        <w:outlineLvl w:val="0"/>
        <w:rPr>
          <w:rFonts w:ascii="Times New Roman" w:hAnsi="Times New Roman"/>
          <w:b w:val="0"/>
          <w:sz w:val="24"/>
          <w:szCs w:val="24"/>
        </w:rPr>
      </w:pPr>
      <w:proofErr w:type="gramStart"/>
      <w:r>
        <w:rPr>
          <w:rFonts w:ascii="Times New Roman" w:hAnsi="Times New Roman"/>
          <w:b w:val="0"/>
          <w:sz w:val="24"/>
          <w:szCs w:val="24"/>
        </w:rPr>
        <w:t>specify</w:t>
      </w:r>
      <w:proofErr w:type="gramEnd"/>
      <w:r>
        <w:rPr>
          <w:rFonts w:ascii="Times New Roman" w:hAnsi="Times New Roman"/>
          <w:b w:val="0"/>
          <w:sz w:val="24"/>
          <w:szCs w:val="24"/>
        </w:rPr>
        <w:t xml:space="preserve"> requirements relating to the restructure</w:t>
      </w:r>
      <w:r w:rsidR="00D02643">
        <w:rPr>
          <w:rFonts w:ascii="Times New Roman" w:hAnsi="Times New Roman"/>
          <w:b w:val="0"/>
          <w:sz w:val="24"/>
          <w:szCs w:val="24"/>
        </w:rPr>
        <w:t xml:space="preserve"> or merger and acquisition</w:t>
      </w:r>
      <w:r>
        <w:rPr>
          <w:rFonts w:ascii="Times New Roman" w:hAnsi="Times New Roman"/>
          <w:b w:val="0"/>
          <w:sz w:val="24"/>
          <w:szCs w:val="24"/>
        </w:rPr>
        <w:t xml:space="preserve"> of the healt</w:t>
      </w:r>
      <w:r w:rsidR="003C0B28">
        <w:rPr>
          <w:rFonts w:ascii="Times New Roman" w:hAnsi="Times New Roman"/>
          <w:b w:val="0"/>
          <w:sz w:val="24"/>
          <w:szCs w:val="24"/>
        </w:rPr>
        <w:t>h benefits funds of an insurer. T</w:t>
      </w:r>
      <w:r w:rsidR="00D0140E">
        <w:rPr>
          <w:rFonts w:ascii="Times New Roman" w:hAnsi="Times New Roman"/>
          <w:b w:val="0"/>
          <w:sz w:val="24"/>
          <w:szCs w:val="24"/>
        </w:rPr>
        <w:t>he requirements cover</w:t>
      </w:r>
      <w:r>
        <w:rPr>
          <w:rFonts w:ascii="Times New Roman" w:hAnsi="Times New Roman"/>
          <w:b w:val="0"/>
          <w:sz w:val="24"/>
          <w:szCs w:val="24"/>
        </w:rPr>
        <w:t xml:space="preserve"> what must be included in an application for approval, criteria for APRA approval, the time when a restructure </w:t>
      </w:r>
      <w:r w:rsidR="00D02643">
        <w:rPr>
          <w:rFonts w:ascii="Times New Roman" w:hAnsi="Times New Roman"/>
          <w:b w:val="0"/>
          <w:sz w:val="24"/>
          <w:szCs w:val="24"/>
        </w:rPr>
        <w:t xml:space="preserve">or transfer </w:t>
      </w:r>
      <w:r>
        <w:rPr>
          <w:rFonts w:ascii="Times New Roman" w:hAnsi="Times New Roman"/>
          <w:b w:val="0"/>
          <w:sz w:val="24"/>
          <w:szCs w:val="24"/>
        </w:rPr>
        <w:t>is taken to have effect and policyholder notification requirements;</w:t>
      </w:r>
      <w:r w:rsidR="00D0140E">
        <w:rPr>
          <w:rFonts w:ascii="Times New Roman" w:hAnsi="Times New Roman"/>
          <w:b w:val="0"/>
          <w:sz w:val="24"/>
          <w:szCs w:val="24"/>
        </w:rPr>
        <w:t xml:space="preserve"> and</w:t>
      </w:r>
    </w:p>
    <w:p w:rsidR="007E0108" w:rsidRDefault="007E0108" w:rsidP="008E1C97">
      <w:pPr>
        <w:pStyle w:val="Heading"/>
        <w:numPr>
          <w:ilvl w:val="0"/>
          <w:numId w:val="6"/>
        </w:numPr>
        <w:spacing w:after="240"/>
        <w:outlineLvl w:val="0"/>
        <w:rPr>
          <w:rFonts w:ascii="Times New Roman" w:hAnsi="Times New Roman"/>
          <w:b w:val="0"/>
          <w:sz w:val="24"/>
          <w:szCs w:val="24"/>
        </w:rPr>
      </w:pPr>
      <w:proofErr w:type="gramStart"/>
      <w:r>
        <w:rPr>
          <w:rFonts w:ascii="Times New Roman" w:hAnsi="Times New Roman"/>
          <w:b w:val="0"/>
          <w:sz w:val="24"/>
          <w:szCs w:val="24"/>
        </w:rPr>
        <w:t>specify</w:t>
      </w:r>
      <w:proofErr w:type="gramEnd"/>
      <w:r>
        <w:rPr>
          <w:rFonts w:ascii="Times New Roman" w:hAnsi="Times New Roman"/>
          <w:b w:val="0"/>
          <w:sz w:val="24"/>
          <w:szCs w:val="24"/>
        </w:rPr>
        <w:t xml:space="preserve"> that private health insurers must notify APRA about certain matters, including details of the current chief executive officer, changes in board membership or details of a director.</w:t>
      </w:r>
    </w:p>
    <w:p w:rsidR="009A0152" w:rsidRPr="009A0152" w:rsidRDefault="009A0152" w:rsidP="001C31EC">
      <w:pPr>
        <w:pStyle w:val="Heading"/>
        <w:spacing w:after="240"/>
        <w:outlineLvl w:val="0"/>
        <w:rPr>
          <w:rFonts w:ascii="Times New Roman" w:hAnsi="Times New Roman"/>
          <w:b w:val="0"/>
          <w:sz w:val="24"/>
          <w:szCs w:val="24"/>
        </w:rPr>
      </w:pPr>
      <w:r>
        <w:rPr>
          <w:rFonts w:ascii="Times New Roman" w:hAnsi="Times New Roman"/>
          <w:b w:val="0"/>
          <w:sz w:val="24"/>
          <w:szCs w:val="24"/>
        </w:rPr>
        <w:t>Further information regarding the operation of these Rules can be found in the Explanatory Statement</w:t>
      </w:r>
      <w:r w:rsidR="004E4218">
        <w:rPr>
          <w:rFonts w:ascii="Times New Roman" w:hAnsi="Times New Roman"/>
          <w:b w:val="0"/>
          <w:sz w:val="24"/>
          <w:szCs w:val="24"/>
        </w:rPr>
        <w:t>s</w:t>
      </w:r>
      <w:r>
        <w:rPr>
          <w:rFonts w:ascii="Times New Roman" w:hAnsi="Times New Roman"/>
          <w:b w:val="0"/>
          <w:sz w:val="24"/>
          <w:szCs w:val="24"/>
        </w:rPr>
        <w:t xml:space="preserve"> accompanying the </w:t>
      </w:r>
      <w:r w:rsidRPr="009A0152">
        <w:rPr>
          <w:rFonts w:ascii="Times New Roman" w:hAnsi="Times New Roman"/>
          <w:b w:val="0"/>
          <w:i/>
          <w:sz w:val="24"/>
          <w:szCs w:val="24"/>
        </w:rPr>
        <w:t>Private Health Insurance (Health Benefits Fund Administration) Rules 2007</w:t>
      </w:r>
      <w:r w:rsidR="00DE1F42">
        <w:rPr>
          <w:rFonts w:ascii="Times New Roman" w:hAnsi="Times New Roman"/>
          <w:b w:val="0"/>
          <w:sz w:val="24"/>
          <w:szCs w:val="24"/>
        </w:rPr>
        <w:t xml:space="preserve"> </w:t>
      </w:r>
      <w:r w:rsidR="00DE1F42" w:rsidRPr="00DE1F42">
        <w:rPr>
          <w:rFonts w:ascii="Times New Roman" w:hAnsi="Times New Roman"/>
          <w:b w:val="0"/>
          <w:sz w:val="24"/>
          <w:szCs w:val="24"/>
        </w:rPr>
        <w:t>and</w:t>
      </w:r>
      <w:r w:rsidR="00DE1F42">
        <w:rPr>
          <w:rFonts w:ascii="Times New Roman" w:hAnsi="Times New Roman"/>
          <w:b w:val="0"/>
          <w:i/>
          <w:sz w:val="24"/>
          <w:szCs w:val="24"/>
        </w:rPr>
        <w:t xml:space="preserve"> </w:t>
      </w:r>
      <w:r w:rsidR="00DE1F42">
        <w:rPr>
          <w:rFonts w:ascii="Times New Roman" w:hAnsi="Times New Roman"/>
          <w:b w:val="0"/>
          <w:sz w:val="24"/>
          <w:szCs w:val="24"/>
        </w:rPr>
        <w:t xml:space="preserve">the </w:t>
      </w:r>
      <w:r w:rsidR="00DE1F42">
        <w:rPr>
          <w:rFonts w:ascii="Times New Roman" w:hAnsi="Times New Roman"/>
          <w:b w:val="0"/>
          <w:i/>
          <w:sz w:val="24"/>
          <w:szCs w:val="24"/>
        </w:rPr>
        <w:t xml:space="preserve">Private Health Insurance (Health </w:t>
      </w:r>
      <w:r w:rsidR="00E5381A">
        <w:rPr>
          <w:rFonts w:ascii="Times New Roman" w:hAnsi="Times New Roman"/>
          <w:b w:val="0"/>
          <w:i/>
          <w:sz w:val="24"/>
          <w:szCs w:val="24"/>
        </w:rPr>
        <w:t>Benefits</w:t>
      </w:r>
      <w:r w:rsidR="00DE1F42">
        <w:rPr>
          <w:rFonts w:ascii="Times New Roman" w:hAnsi="Times New Roman"/>
          <w:b w:val="0"/>
          <w:i/>
          <w:sz w:val="24"/>
          <w:szCs w:val="24"/>
        </w:rPr>
        <w:t xml:space="preserve"> Fund Administration) Rules 2008 (No. 1)</w:t>
      </w:r>
      <w:r>
        <w:rPr>
          <w:rFonts w:ascii="Times New Roman" w:hAnsi="Times New Roman"/>
          <w:b w:val="0"/>
          <w:sz w:val="24"/>
          <w:szCs w:val="24"/>
        </w:rPr>
        <w:t>.</w:t>
      </w:r>
      <w:r w:rsidR="00D55D6B">
        <w:rPr>
          <w:rFonts w:ascii="Times New Roman" w:hAnsi="Times New Roman"/>
          <w:b w:val="0"/>
          <w:sz w:val="24"/>
          <w:szCs w:val="24"/>
        </w:rPr>
        <w:t xml:space="preserve">  The</w:t>
      </w:r>
      <w:r w:rsidR="00F72B0C">
        <w:rPr>
          <w:rFonts w:ascii="Times New Roman" w:hAnsi="Times New Roman"/>
          <w:b w:val="0"/>
          <w:sz w:val="24"/>
          <w:szCs w:val="24"/>
        </w:rPr>
        <w:t>se</w:t>
      </w:r>
      <w:r w:rsidR="00D55D6B">
        <w:rPr>
          <w:rFonts w:ascii="Times New Roman" w:hAnsi="Times New Roman"/>
          <w:b w:val="0"/>
          <w:sz w:val="24"/>
          <w:szCs w:val="24"/>
        </w:rPr>
        <w:t xml:space="preserve"> Rules do not include rules defining the risk equalisation jurisdictions; rules on those matters will be made by the Minister for Health under the Private Health Insurance Act effective 1 July 2015.</w:t>
      </w:r>
    </w:p>
    <w:p w:rsidR="00A76544" w:rsidRDefault="00DE1F42" w:rsidP="001C31EC">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A76544">
        <w:rPr>
          <w:rFonts w:ascii="Times New Roman" w:hAnsi="Times New Roman"/>
          <w:b w:val="0"/>
          <w:i/>
          <w:sz w:val="24"/>
          <w:szCs w:val="24"/>
        </w:rPr>
        <w:t>Private Health Insurance (Registration) Rules 2015</w:t>
      </w:r>
      <w:r w:rsidR="00A76544">
        <w:rPr>
          <w:rFonts w:ascii="Times New Roman" w:hAnsi="Times New Roman"/>
          <w:b w:val="0"/>
          <w:sz w:val="24"/>
          <w:szCs w:val="24"/>
        </w:rPr>
        <w:t xml:space="preserve"> set </w:t>
      </w:r>
      <w:r w:rsidR="00F72B0C">
        <w:rPr>
          <w:rFonts w:ascii="Times New Roman" w:hAnsi="Times New Roman"/>
          <w:b w:val="0"/>
          <w:sz w:val="24"/>
          <w:szCs w:val="24"/>
        </w:rPr>
        <w:t>r</w:t>
      </w:r>
      <w:r w:rsidR="00A76544">
        <w:rPr>
          <w:rFonts w:ascii="Times New Roman" w:hAnsi="Times New Roman"/>
          <w:b w:val="0"/>
          <w:sz w:val="24"/>
          <w:szCs w:val="24"/>
        </w:rPr>
        <w:t xml:space="preserve">ules in relation to applications for registration and restricted access insurers. </w:t>
      </w:r>
      <w:r w:rsidR="00870D84">
        <w:rPr>
          <w:rFonts w:ascii="Times New Roman" w:hAnsi="Times New Roman"/>
          <w:b w:val="0"/>
          <w:sz w:val="24"/>
          <w:szCs w:val="24"/>
        </w:rPr>
        <w:t xml:space="preserve">Section 14 of the Act provides that APRA rules may set out criteria for the registration of bodies as private health insurers.  </w:t>
      </w:r>
      <w:r w:rsidR="00D55D6B">
        <w:rPr>
          <w:rFonts w:ascii="Times New Roman" w:hAnsi="Times New Roman"/>
          <w:b w:val="0"/>
          <w:sz w:val="24"/>
          <w:szCs w:val="24"/>
        </w:rPr>
        <w:t xml:space="preserve">  </w:t>
      </w:r>
      <w:r w:rsidR="00080F47">
        <w:rPr>
          <w:rFonts w:ascii="Times New Roman" w:hAnsi="Times New Roman"/>
          <w:b w:val="0"/>
          <w:sz w:val="24"/>
          <w:szCs w:val="24"/>
        </w:rPr>
        <w:t xml:space="preserve"> </w:t>
      </w:r>
      <w:r w:rsidR="00D55D6B">
        <w:rPr>
          <w:rFonts w:ascii="Times New Roman" w:hAnsi="Times New Roman"/>
          <w:b w:val="0"/>
          <w:sz w:val="24"/>
          <w:szCs w:val="24"/>
        </w:rPr>
        <w:t>Rule 4 sets out the cri</w:t>
      </w:r>
      <w:r w:rsidR="007C10CD">
        <w:rPr>
          <w:rFonts w:ascii="Times New Roman" w:hAnsi="Times New Roman"/>
          <w:b w:val="0"/>
          <w:sz w:val="24"/>
          <w:szCs w:val="24"/>
        </w:rPr>
        <w:t xml:space="preserve">teria for registration, which reflect the substance of the </w:t>
      </w:r>
      <w:r w:rsidR="007C10CD" w:rsidRPr="009A0152">
        <w:rPr>
          <w:rFonts w:ascii="Times New Roman" w:hAnsi="Times New Roman"/>
          <w:b w:val="0"/>
          <w:i/>
          <w:sz w:val="24"/>
          <w:szCs w:val="24"/>
        </w:rPr>
        <w:t>Private Health Insurance (Registration) Rules 2009</w:t>
      </w:r>
      <w:r w:rsidR="007C10CD">
        <w:rPr>
          <w:rFonts w:ascii="Times New Roman" w:hAnsi="Times New Roman"/>
          <w:b w:val="0"/>
          <w:i/>
          <w:sz w:val="24"/>
          <w:szCs w:val="24"/>
        </w:rPr>
        <w:t xml:space="preserve"> (No. 2)</w:t>
      </w:r>
      <w:r w:rsidR="007C10CD">
        <w:rPr>
          <w:rFonts w:ascii="Times New Roman" w:hAnsi="Times New Roman"/>
          <w:b w:val="0"/>
          <w:sz w:val="24"/>
          <w:szCs w:val="24"/>
        </w:rPr>
        <w:t xml:space="preserve"> and certain provisions previously included in Division 126 of the Private Health Insurance Act. </w:t>
      </w:r>
      <w:r w:rsidR="00080F47">
        <w:rPr>
          <w:rFonts w:ascii="Times New Roman" w:hAnsi="Times New Roman"/>
          <w:b w:val="0"/>
          <w:sz w:val="24"/>
          <w:szCs w:val="24"/>
        </w:rPr>
        <w:t>The</w:t>
      </w:r>
      <w:r w:rsidR="00F72B0C">
        <w:rPr>
          <w:rFonts w:ascii="Times New Roman" w:hAnsi="Times New Roman"/>
          <w:b w:val="0"/>
          <w:sz w:val="24"/>
          <w:szCs w:val="24"/>
        </w:rPr>
        <w:t>se</w:t>
      </w:r>
      <w:r w:rsidR="00080F47">
        <w:rPr>
          <w:rFonts w:ascii="Times New Roman" w:hAnsi="Times New Roman"/>
          <w:b w:val="0"/>
          <w:sz w:val="24"/>
          <w:szCs w:val="24"/>
        </w:rPr>
        <w:t xml:space="preserve"> Rules also contain the description of groups for restricted access insurers and confirms limits on insurance provided by restricted access insurers</w:t>
      </w:r>
      <w:r w:rsidR="00870D84">
        <w:rPr>
          <w:rFonts w:ascii="Times New Roman" w:hAnsi="Times New Roman"/>
          <w:b w:val="0"/>
          <w:sz w:val="24"/>
          <w:szCs w:val="24"/>
        </w:rPr>
        <w:t xml:space="preserve"> (in </w:t>
      </w:r>
      <w:r w:rsidR="004E2D7C">
        <w:rPr>
          <w:rFonts w:ascii="Times New Roman" w:hAnsi="Times New Roman"/>
          <w:b w:val="0"/>
          <w:sz w:val="24"/>
          <w:szCs w:val="24"/>
        </w:rPr>
        <w:t>these respects</w:t>
      </w:r>
      <w:r w:rsidR="00870D84">
        <w:rPr>
          <w:rFonts w:ascii="Times New Roman" w:hAnsi="Times New Roman"/>
          <w:b w:val="0"/>
          <w:sz w:val="24"/>
          <w:szCs w:val="24"/>
        </w:rPr>
        <w:t xml:space="preserve"> they replicate the </w:t>
      </w:r>
      <w:r w:rsidR="00870D84" w:rsidRPr="009A0152">
        <w:rPr>
          <w:rFonts w:ascii="Times New Roman" w:hAnsi="Times New Roman"/>
          <w:b w:val="0"/>
          <w:i/>
          <w:sz w:val="24"/>
          <w:szCs w:val="24"/>
        </w:rPr>
        <w:t>Private Health Insurance (Registration) Rules 2009</w:t>
      </w:r>
      <w:r w:rsidR="00870D84">
        <w:rPr>
          <w:rFonts w:ascii="Times New Roman" w:hAnsi="Times New Roman"/>
          <w:b w:val="0"/>
          <w:i/>
          <w:sz w:val="24"/>
          <w:szCs w:val="24"/>
        </w:rPr>
        <w:t xml:space="preserve"> (No. 2)</w:t>
      </w:r>
      <w:r w:rsidR="00870D84">
        <w:rPr>
          <w:rFonts w:ascii="Times New Roman" w:hAnsi="Times New Roman"/>
          <w:b w:val="0"/>
          <w:sz w:val="24"/>
          <w:szCs w:val="24"/>
        </w:rPr>
        <w:t xml:space="preserve">, as amended, made under the </w:t>
      </w:r>
      <w:r w:rsidR="00870D84" w:rsidRPr="007C10CD">
        <w:rPr>
          <w:rFonts w:ascii="Times New Roman" w:hAnsi="Times New Roman"/>
          <w:b w:val="0"/>
          <w:sz w:val="24"/>
          <w:szCs w:val="24"/>
        </w:rPr>
        <w:t>Private Health Insurance Act</w:t>
      </w:r>
      <w:r w:rsidR="00870D84">
        <w:rPr>
          <w:rFonts w:ascii="Times New Roman" w:hAnsi="Times New Roman"/>
          <w:b w:val="0"/>
          <w:sz w:val="24"/>
          <w:szCs w:val="24"/>
        </w:rPr>
        <w:t>).</w:t>
      </w:r>
      <w:r w:rsidR="009A0152">
        <w:rPr>
          <w:rFonts w:ascii="Times New Roman" w:hAnsi="Times New Roman"/>
          <w:b w:val="0"/>
          <w:sz w:val="24"/>
          <w:szCs w:val="24"/>
        </w:rPr>
        <w:t xml:space="preserve"> </w:t>
      </w:r>
      <w:r w:rsidR="009A0152" w:rsidRPr="009A0152">
        <w:rPr>
          <w:rFonts w:ascii="Times New Roman" w:hAnsi="Times New Roman"/>
          <w:b w:val="0"/>
          <w:sz w:val="24"/>
          <w:szCs w:val="24"/>
        </w:rPr>
        <w:t>Further information regarding the operation of these Rules can be found in the Explanatory Statement accompanying the</w:t>
      </w:r>
      <w:r w:rsidR="009A0152">
        <w:rPr>
          <w:rFonts w:ascii="Times New Roman" w:hAnsi="Times New Roman"/>
          <w:b w:val="0"/>
          <w:sz w:val="24"/>
          <w:szCs w:val="24"/>
        </w:rPr>
        <w:t xml:space="preserve"> </w:t>
      </w:r>
      <w:r w:rsidR="009A0152" w:rsidRPr="009A0152">
        <w:rPr>
          <w:rFonts w:ascii="Times New Roman" w:hAnsi="Times New Roman"/>
          <w:b w:val="0"/>
          <w:i/>
          <w:sz w:val="24"/>
          <w:szCs w:val="24"/>
        </w:rPr>
        <w:t>Private Health Insurance (Registration) Rules 2009</w:t>
      </w:r>
      <w:r w:rsidR="006732F6">
        <w:rPr>
          <w:rFonts w:ascii="Times New Roman" w:hAnsi="Times New Roman"/>
          <w:b w:val="0"/>
          <w:i/>
          <w:sz w:val="24"/>
          <w:szCs w:val="24"/>
        </w:rPr>
        <w:t xml:space="preserve"> (No. 2)</w:t>
      </w:r>
      <w:r w:rsidR="009A0152">
        <w:rPr>
          <w:rFonts w:ascii="Times New Roman" w:hAnsi="Times New Roman"/>
          <w:b w:val="0"/>
          <w:sz w:val="24"/>
          <w:szCs w:val="24"/>
        </w:rPr>
        <w:t>.</w:t>
      </w:r>
    </w:p>
    <w:p w:rsidR="00A76544" w:rsidRPr="003C0B28" w:rsidRDefault="00A76544" w:rsidP="00497F57">
      <w:pPr>
        <w:pStyle w:val="Heading"/>
        <w:spacing w:after="240"/>
        <w:outlineLvl w:val="0"/>
      </w:pPr>
      <w:r>
        <w:rPr>
          <w:rFonts w:ascii="Times New Roman" w:hAnsi="Times New Roman"/>
          <w:b w:val="0"/>
          <w:i/>
          <w:sz w:val="24"/>
          <w:szCs w:val="24"/>
        </w:rPr>
        <w:t>Private Health Insurance (Health Benefits Fund Enforcement) Rules 2015</w:t>
      </w:r>
      <w:r>
        <w:rPr>
          <w:rFonts w:ascii="Times New Roman" w:hAnsi="Times New Roman"/>
          <w:b w:val="0"/>
          <w:sz w:val="24"/>
          <w:szCs w:val="24"/>
        </w:rPr>
        <w:t xml:space="preserve"> set </w:t>
      </w:r>
      <w:r w:rsidR="00F72B0C">
        <w:rPr>
          <w:rFonts w:ascii="Times New Roman" w:hAnsi="Times New Roman"/>
          <w:b w:val="0"/>
          <w:sz w:val="24"/>
          <w:szCs w:val="24"/>
        </w:rPr>
        <w:t>r</w:t>
      </w:r>
      <w:r>
        <w:rPr>
          <w:rFonts w:ascii="Times New Roman" w:hAnsi="Times New Roman"/>
          <w:b w:val="0"/>
          <w:sz w:val="24"/>
          <w:szCs w:val="24"/>
        </w:rPr>
        <w:t>ules in relation to various enforcement matters.</w:t>
      </w:r>
      <w:r w:rsidR="001808F5">
        <w:rPr>
          <w:rFonts w:ascii="Times New Roman" w:hAnsi="Times New Roman"/>
          <w:b w:val="0"/>
          <w:sz w:val="24"/>
          <w:szCs w:val="24"/>
        </w:rPr>
        <w:t xml:space="preserve"> </w:t>
      </w:r>
      <w:r w:rsidR="00870D84">
        <w:rPr>
          <w:rFonts w:ascii="Times New Roman" w:hAnsi="Times New Roman"/>
          <w:b w:val="0"/>
          <w:sz w:val="24"/>
          <w:szCs w:val="24"/>
        </w:rPr>
        <w:t xml:space="preserve">They largely replicate the </w:t>
      </w:r>
      <w:r w:rsidR="00870D84" w:rsidRPr="00DE679F">
        <w:rPr>
          <w:rFonts w:ascii="Times New Roman" w:hAnsi="Times New Roman"/>
          <w:b w:val="0"/>
          <w:i/>
          <w:sz w:val="24"/>
          <w:szCs w:val="24"/>
        </w:rPr>
        <w:t xml:space="preserve">Private Health Insurance (Health Benefits Fund Enforcement) Rules </w:t>
      </w:r>
      <w:r w:rsidR="00870D84" w:rsidRPr="00F0162C">
        <w:rPr>
          <w:rFonts w:ascii="Times New Roman" w:hAnsi="Times New Roman"/>
          <w:b w:val="0"/>
          <w:i/>
          <w:sz w:val="24"/>
          <w:szCs w:val="24"/>
        </w:rPr>
        <w:t>2007</w:t>
      </w:r>
      <w:r w:rsidR="00F0162C">
        <w:rPr>
          <w:rFonts w:ascii="Times New Roman" w:hAnsi="Times New Roman"/>
          <w:b w:val="0"/>
          <w:sz w:val="24"/>
          <w:szCs w:val="24"/>
        </w:rPr>
        <w:t>, made under the Private Health Insurance Act</w:t>
      </w:r>
      <w:r w:rsidR="004E2D7C">
        <w:rPr>
          <w:rFonts w:ascii="Times New Roman" w:hAnsi="Times New Roman"/>
          <w:b w:val="0"/>
          <w:sz w:val="24"/>
          <w:szCs w:val="24"/>
        </w:rPr>
        <w:t>, with some minor updating to address amendments to Part 5.3A of the Corporations Act made after the 2007 Rules were made</w:t>
      </w:r>
      <w:r w:rsidR="00F0162C">
        <w:rPr>
          <w:rFonts w:ascii="Times New Roman" w:hAnsi="Times New Roman"/>
          <w:b w:val="0"/>
          <w:sz w:val="24"/>
          <w:szCs w:val="24"/>
        </w:rPr>
        <w:t xml:space="preserve">. </w:t>
      </w:r>
      <w:r w:rsidR="001808F5" w:rsidRPr="00F0162C">
        <w:rPr>
          <w:rFonts w:ascii="Times New Roman" w:hAnsi="Times New Roman"/>
          <w:b w:val="0"/>
          <w:sz w:val="24"/>
          <w:szCs w:val="24"/>
        </w:rPr>
        <w:t>The</w:t>
      </w:r>
      <w:r w:rsidR="00F72B0C">
        <w:rPr>
          <w:rFonts w:ascii="Times New Roman" w:hAnsi="Times New Roman"/>
          <w:b w:val="0"/>
          <w:sz w:val="24"/>
          <w:szCs w:val="24"/>
        </w:rPr>
        <w:t>se</w:t>
      </w:r>
      <w:r w:rsidR="001808F5">
        <w:rPr>
          <w:rFonts w:ascii="Times New Roman" w:hAnsi="Times New Roman"/>
          <w:b w:val="0"/>
          <w:sz w:val="24"/>
          <w:szCs w:val="24"/>
        </w:rPr>
        <w:t xml:space="preserve"> Rules provide for procedural matters relating to voluntary deeds of arrangement, </w:t>
      </w:r>
      <w:r w:rsidR="003C0B28">
        <w:rPr>
          <w:rFonts w:ascii="Times New Roman" w:hAnsi="Times New Roman"/>
          <w:b w:val="0"/>
          <w:sz w:val="24"/>
          <w:szCs w:val="24"/>
        </w:rPr>
        <w:t>external manager recommendations that can be made in reports to APRA, and the actions that APRA may take in response. The</w:t>
      </w:r>
      <w:r w:rsidR="00F72B0C">
        <w:rPr>
          <w:rFonts w:ascii="Times New Roman" w:hAnsi="Times New Roman"/>
          <w:b w:val="0"/>
          <w:sz w:val="24"/>
          <w:szCs w:val="24"/>
        </w:rPr>
        <w:t>se</w:t>
      </w:r>
      <w:r w:rsidR="003C0B28">
        <w:rPr>
          <w:rFonts w:ascii="Times New Roman" w:hAnsi="Times New Roman"/>
          <w:b w:val="0"/>
          <w:sz w:val="24"/>
          <w:szCs w:val="24"/>
        </w:rPr>
        <w:t xml:space="preserve"> Rules also apply certain provisions </w:t>
      </w:r>
      <w:r w:rsidR="00F0162C">
        <w:rPr>
          <w:rFonts w:ascii="Times New Roman" w:hAnsi="Times New Roman"/>
          <w:b w:val="0"/>
          <w:sz w:val="24"/>
          <w:szCs w:val="24"/>
        </w:rPr>
        <w:t xml:space="preserve">of Part 5.3A </w:t>
      </w:r>
      <w:r w:rsidR="003C0B28">
        <w:rPr>
          <w:rFonts w:ascii="Times New Roman" w:hAnsi="Times New Roman"/>
          <w:b w:val="0"/>
          <w:sz w:val="24"/>
          <w:szCs w:val="24"/>
        </w:rPr>
        <w:t xml:space="preserve">of the </w:t>
      </w:r>
      <w:r w:rsidR="003C0B28">
        <w:rPr>
          <w:rFonts w:ascii="Times New Roman" w:hAnsi="Times New Roman"/>
          <w:b w:val="0"/>
          <w:i/>
          <w:sz w:val="24"/>
          <w:szCs w:val="24"/>
        </w:rPr>
        <w:t xml:space="preserve">Corporations Act 2001 </w:t>
      </w:r>
      <w:r w:rsidR="003C0B28">
        <w:rPr>
          <w:rFonts w:ascii="Times New Roman" w:hAnsi="Times New Roman"/>
          <w:b w:val="0"/>
          <w:sz w:val="24"/>
          <w:szCs w:val="24"/>
        </w:rPr>
        <w:t>to health benefit funds</w:t>
      </w:r>
      <w:r w:rsidR="00F0162C">
        <w:rPr>
          <w:rFonts w:ascii="Times New Roman" w:hAnsi="Times New Roman"/>
          <w:b w:val="0"/>
          <w:sz w:val="24"/>
          <w:szCs w:val="24"/>
        </w:rPr>
        <w:t xml:space="preserve"> that are under external management</w:t>
      </w:r>
      <w:r w:rsidR="003C0B28">
        <w:rPr>
          <w:rFonts w:ascii="Times New Roman" w:hAnsi="Times New Roman"/>
          <w:b w:val="0"/>
          <w:sz w:val="24"/>
          <w:szCs w:val="24"/>
        </w:rPr>
        <w:t xml:space="preserve">, subject to </w:t>
      </w:r>
      <w:r w:rsidR="00DD3099">
        <w:rPr>
          <w:rFonts w:ascii="Times New Roman" w:hAnsi="Times New Roman"/>
          <w:b w:val="0"/>
          <w:sz w:val="24"/>
          <w:szCs w:val="24"/>
        </w:rPr>
        <w:t xml:space="preserve">certain </w:t>
      </w:r>
      <w:r w:rsidR="003C0B28">
        <w:rPr>
          <w:rFonts w:ascii="Times New Roman" w:hAnsi="Times New Roman"/>
          <w:b w:val="0"/>
          <w:sz w:val="24"/>
          <w:szCs w:val="24"/>
        </w:rPr>
        <w:t>modifications set out in the</w:t>
      </w:r>
      <w:r w:rsidR="00F72B0C">
        <w:rPr>
          <w:rFonts w:ascii="Times New Roman" w:hAnsi="Times New Roman"/>
          <w:b w:val="0"/>
          <w:sz w:val="24"/>
          <w:szCs w:val="24"/>
        </w:rPr>
        <w:t>se</w:t>
      </w:r>
      <w:r w:rsidR="003C0B28">
        <w:rPr>
          <w:rFonts w:ascii="Times New Roman" w:hAnsi="Times New Roman"/>
          <w:b w:val="0"/>
          <w:sz w:val="24"/>
          <w:szCs w:val="24"/>
        </w:rPr>
        <w:t xml:space="preserve"> Rules.</w:t>
      </w:r>
      <w:r w:rsidR="00DE679F" w:rsidRPr="00DE679F">
        <w:rPr>
          <w:rFonts w:ascii="Times New Roman" w:hAnsi="Times New Roman"/>
          <w:b w:val="0"/>
          <w:sz w:val="24"/>
          <w:szCs w:val="24"/>
        </w:rPr>
        <w:t xml:space="preserve"> </w:t>
      </w:r>
      <w:r w:rsidR="00DE679F" w:rsidRPr="009A0152">
        <w:rPr>
          <w:rFonts w:ascii="Times New Roman" w:hAnsi="Times New Roman"/>
          <w:b w:val="0"/>
          <w:sz w:val="24"/>
          <w:szCs w:val="24"/>
        </w:rPr>
        <w:t>Further information regarding the operation of these Rules can be found in the Explanatory Statement accompanying the</w:t>
      </w:r>
      <w:r w:rsidR="00DE679F">
        <w:rPr>
          <w:rFonts w:ascii="Times New Roman" w:hAnsi="Times New Roman"/>
          <w:b w:val="0"/>
          <w:sz w:val="24"/>
          <w:szCs w:val="24"/>
        </w:rPr>
        <w:t xml:space="preserve"> </w:t>
      </w:r>
      <w:r w:rsidR="00DE679F" w:rsidRPr="00DE679F">
        <w:rPr>
          <w:rFonts w:ascii="Times New Roman" w:hAnsi="Times New Roman"/>
          <w:b w:val="0"/>
          <w:i/>
          <w:sz w:val="24"/>
          <w:szCs w:val="24"/>
        </w:rPr>
        <w:t>Private Health Insurance (Health Benefits Fund Enforcement) Rules 2007</w:t>
      </w:r>
      <w:r w:rsidR="00DE679F">
        <w:rPr>
          <w:rFonts w:ascii="Times New Roman" w:hAnsi="Times New Roman"/>
          <w:b w:val="0"/>
          <w:sz w:val="24"/>
          <w:szCs w:val="24"/>
        </w:rPr>
        <w:t>.</w:t>
      </w:r>
      <w:r w:rsidR="008F179B">
        <w:rPr>
          <w:rFonts w:ascii="Times New Roman" w:hAnsi="Times New Roman"/>
          <w:b w:val="0"/>
          <w:sz w:val="24"/>
          <w:szCs w:val="24"/>
        </w:rPr>
        <w:t xml:space="preserve">  </w:t>
      </w:r>
      <w:r w:rsidR="008F179B">
        <w:rPr>
          <w:rFonts w:ascii="Times New Roman" w:hAnsi="Times New Roman"/>
          <w:b w:val="0"/>
          <w:sz w:val="24"/>
          <w:szCs w:val="24"/>
        </w:rPr>
        <w:lastRenderedPageBreak/>
        <w:t>Divisions 6, 7 and 8 of Part 3 of the new Act contain provisions relating to external and terminating managers of health benefits funds that cannot meet their obligations or otherwise require management.</w:t>
      </w:r>
    </w:p>
    <w:p w:rsidR="001C01EB" w:rsidRPr="00387365" w:rsidRDefault="00DD3099" w:rsidP="00A76544">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1274CE">
        <w:rPr>
          <w:rFonts w:ascii="Times New Roman" w:hAnsi="Times New Roman"/>
          <w:b w:val="0"/>
          <w:sz w:val="24"/>
          <w:szCs w:val="24"/>
        </w:rPr>
        <w:t>APRA</w:t>
      </w:r>
      <w:r>
        <w:rPr>
          <w:rFonts w:ascii="Times New Roman" w:hAnsi="Times New Roman"/>
          <w:b w:val="0"/>
          <w:sz w:val="24"/>
          <w:szCs w:val="24"/>
        </w:rPr>
        <w:t xml:space="preserve"> Rules</w:t>
      </w:r>
      <w:r w:rsidR="00AB4916">
        <w:rPr>
          <w:rFonts w:ascii="Times New Roman" w:hAnsi="Times New Roman"/>
          <w:b w:val="0"/>
          <w:sz w:val="24"/>
          <w:szCs w:val="24"/>
        </w:rPr>
        <w:t xml:space="preserve"> apply to all private health insurers and</w:t>
      </w:r>
      <w:r w:rsidR="00987B7C">
        <w:rPr>
          <w:rFonts w:ascii="Times New Roman" w:hAnsi="Times New Roman"/>
          <w:b w:val="0"/>
          <w:sz w:val="24"/>
          <w:szCs w:val="24"/>
        </w:rPr>
        <w:t xml:space="preserve"> </w:t>
      </w:r>
      <w:r w:rsidR="00D04328">
        <w:rPr>
          <w:rFonts w:ascii="Times New Roman" w:hAnsi="Times New Roman"/>
          <w:b w:val="0"/>
          <w:sz w:val="24"/>
          <w:szCs w:val="24"/>
        </w:rPr>
        <w:t xml:space="preserve">include </w:t>
      </w:r>
      <w:r w:rsidR="00987B7C">
        <w:rPr>
          <w:rFonts w:ascii="Times New Roman" w:hAnsi="Times New Roman"/>
          <w:b w:val="0"/>
          <w:sz w:val="24"/>
          <w:szCs w:val="24"/>
        </w:rPr>
        <w:t>substantially the same content</w:t>
      </w:r>
      <w:r w:rsidR="00F72B0C">
        <w:rPr>
          <w:rFonts w:ascii="Times New Roman" w:hAnsi="Times New Roman"/>
          <w:b w:val="0"/>
          <w:sz w:val="24"/>
          <w:szCs w:val="24"/>
        </w:rPr>
        <w:t xml:space="preserve"> as the PHIAC rules</w:t>
      </w:r>
      <w:r w:rsidR="00987B7C">
        <w:rPr>
          <w:rFonts w:ascii="Times New Roman" w:hAnsi="Times New Roman"/>
          <w:b w:val="0"/>
          <w:sz w:val="24"/>
          <w:szCs w:val="24"/>
        </w:rPr>
        <w:t>, with some minor and technical changes to align with the new Act.</w:t>
      </w:r>
      <w:r w:rsidR="00E129FD">
        <w:rPr>
          <w:rFonts w:ascii="Times New Roman" w:hAnsi="Times New Roman"/>
          <w:b w:val="0"/>
          <w:sz w:val="24"/>
          <w:szCs w:val="24"/>
        </w:rPr>
        <w:t xml:space="preserve"> </w:t>
      </w:r>
      <w:r w:rsidR="00AB4916">
        <w:rPr>
          <w:rFonts w:ascii="Times New Roman" w:hAnsi="Times New Roman"/>
          <w:b w:val="0"/>
          <w:sz w:val="24"/>
          <w:szCs w:val="24"/>
        </w:rPr>
        <w:t xml:space="preserve">The net result is that the obligations of private health insurers under APRA’s prudential </w:t>
      </w:r>
      <w:r w:rsidR="008A1DDC">
        <w:rPr>
          <w:rFonts w:ascii="Times New Roman" w:hAnsi="Times New Roman"/>
          <w:b w:val="0"/>
          <w:sz w:val="24"/>
          <w:szCs w:val="24"/>
        </w:rPr>
        <w:t xml:space="preserve">requirements </w:t>
      </w:r>
      <w:r w:rsidR="009C3639">
        <w:rPr>
          <w:rFonts w:ascii="Times New Roman" w:hAnsi="Times New Roman"/>
          <w:b w:val="0"/>
          <w:sz w:val="24"/>
          <w:szCs w:val="24"/>
        </w:rPr>
        <w:t>are substantively unchanged from the requirements administered by PHIAC.</w:t>
      </w:r>
      <w:r w:rsidR="00387365">
        <w:rPr>
          <w:rFonts w:ascii="Times New Roman" w:hAnsi="Times New Roman"/>
          <w:b w:val="0"/>
          <w:sz w:val="24"/>
          <w:szCs w:val="24"/>
        </w:rPr>
        <w:t xml:space="preserve"> </w:t>
      </w:r>
      <w:r w:rsidR="00F72B0C">
        <w:rPr>
          <w:rFonts w:ascii="Times New Roman" w:hAnsi="Times New Roman"/>
          <w:b w:val="0"/>
          <w:sz w:val="24"/>
          <w:szCs w:val="24"/>
        </w:rPr>
        <w:t xml:space="preserve">As </w:t>
      </w:r>
      <w:r w:rsidR="00F44B66">
        <w:rPr>
          <w:rFonts w:ascii="Times New Roman" w:hAnsi="Times New Roman"/>
          <w:b w:val="0"/>
          <w:sz w:val="24"/>
          <w:szCs w:val="24"/>
        </w:rPr>
        <w:t xml:space="preserve">the </w:t>
      </w:r>
      <w:r w:rsidR="00F72B0C">
        <w:rPr>
          <w:rFonts w:ascii="Times New Roman" w:hAnsi="Times New Roman"/>
          <w:b w:val="0"/>
          <w:sz w:val="24"/>
          <w:szCs w:val="24"/>
        </w:rPr>
        <w:t xml:space="preserve">APRA </w:t>
      </w:r>
      <w:r w:rsidR="00AB4916">
        <w:rPr>
          <w:rFonts w:ascii="Times New Roman" w:hAnsi="Times New Roman"/>
          <w:b w:val="0"/>
          <w:sz w:val="24"/>
          <w:szCs w:val="24"/>
        </w:rPr>
        <w:t>prudential standards</w:t>
      </w:r>
      <w:r w:rsidR="00F44B66">
        <w:rPr>
          <w:rFonts w:ascii="Times New Roman" w:hAnsi="Times New Roman"/>
          <w:b w:val="0"/>
          <w:sz w:val="24"/>
          <w:szCs w:val="24"/>
        </w:rPr>
        <w:t xml:space="preserve"> </w:t>
      </w:r>
      <w:r w:rsidR="001274CE">
        <w:rPr>
          <w:rFonts w:ascii="Times New Roman" w:hAnsi="Times New Roman"/>
          <w:b w:val="0"/>
          <w:sz w:val="24"/>
          <w:szCs w:val="24"/>
        </w:rPr>
        <w:t xml:space="preserve">and Rules </w:t>
      </w:r>
      <w:r w:rsidR="00F72B0C">
        <w:rPr>
          <w:rFonts w:ascii="Times New Roman" w:hAnsi="Times New Roman"/>
          <w:b w:val="0"/>
          <w:sz w:val="24"/>
          <w:szCs w:val="24"/>
        </w:rPr>
        <w:t xml:space="preserve">effectively </w:t>
      </w:r>
      <w:r w:rsidR="00F44B66">
        <w:rPr>
          <w:rFonts w:ascii="Times New Roman" w:hAnsi="Times New Roman"/>
          <w:b w:val="0"/>
          <w:sz w:val="24"/>
          <w:szCs w:val="24"/>
        </w:rPr>
        <w:t xml:space="preserve">maintain the status quo for the regulation of the private health industry, there </w:t>
      </w:r>
      <w:r w:rsidR="00952383">
        <w:rPr>
          <w:rFonts w:ascii="Times New Roman" w:hAnsi="Times New Roman"/>
          <w:b w:val="0"/>
          <w:sz w:val="24"/>
          <w:szCs w:val="24"/>
        </w:rPr>
        <w:t>are</w:t>
      </w:r>
      <w:r w:rsidR="00AC4AE2">
        <w:rPr>
          <w:rFonts w:ascii="Times New Roman" w:hAnsi="Times New Roman"/>
          <w:b w:val="0"/>
          <w:sz w:val="24"/>
          <w:szCs w:val="24"/>
        </w:rPr>
        <w:t xml:space="preserve"> </w:t>
      </w:r>
      <w:r w:rsidR="00F44B66">
        <w:rPr>
          <w:rFonts w:ascii="Times New Roman" w:hAnsi="Times New Roman"/>
          <w:b w:val="0"/>
          <w:sz w:val="24"/>
          <w:szCs w:val="24"/>
        </w:rPr>
        <w:t>no regulatory impacts or costs incurred through the transition to APRA. Private health insurers are able to continue their practices with minimal disruption.</w:t>
      </w:r>
    </w:p>
    <w:p w:rsidR="002436BD" w:rsidRDefault="002436BD" w:rsidP="00573772">
      <w:pPr>
        <w:pStyle w:val="Heading"/>
        <w:keepNext/>
        <w:numPr>
          <w:ilvl w:val="0"/>
          <w:numId w:val="2"/>
        </w:numPr>
        <w:spacing w:after="240"/>
        <w:ind w:left="357" w:hanging="357"/>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rsidR="002436BD" w:rsidRDefault="002436BD"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129FD">
        <w:rPr>
          <w:rFonts w:ascii="Times New Roman" w:hAnsi="Times New Roman"/>
          <w:b w:val="0"/>
          <w:sz w:val="24"/>
          <w:szCs w:val="24"/>
        </w:rPr>
        <w:t>the proposed prudential and reporting framework for APRA’s supervision of private health insurers. The consultation was undertaken</w:t>
      </w:r>
      <w:r>
        <w:rPr>
          <w:rFonts w:ascii="Times New Roman" w:hAnsi="Times New Roman"/>
          <w:b w:val="0"/>
          <w:sz w:val="24"/>
          <w:szCs w:val="24"/>
        </w:rPr>
        <w:t xml:space="preserve"> </w:t>
      </w:r>
      <w:r w:rsidR="008A1DDC">
        <w:rPr>
          <w:rFonts w:ascii="Times New Roman" w:hAnsi="Times New Roman"/>
          <w:b w:val="0"/>
          <w:sz w:val="24"/>
          <w:szCs w:val="24"/>
        </w:rPr>
        <w:t>from</w:t>
      </w:r>
      <w:r>
        <w:rPr>
          <w:rFonts w:ascii="Times New Roman" w:hAnsi="Times New Roman"/>
          <w:b w:val="0"/>
          <w:sz w:val="24"/>
          <w:szCs w:val="24"/>
        </w:rPr>
        <w:t xml:space="preserve"> </w:t>
      </w:r>
      <w:r w:rsidR="002C7E35">
        <w:rPr>
          <w:rFonts w:ascii="Times New Roman" w:hAnsi="Times New Roman"/>
          <w:b w:val="0"/>
          <w:sz w:val="24"/>
          <w:szCs w:val="24"/>
        </w:rPr>
        <w:t xml:space="preserve">March </w:t>
      </w:r>
      <w:r>
        <w:rPr>
          <w:rFonts w:ascii="Times New Roman" w:hAnsi="Times New Roman"/>
          <w:b w:val="0"/>
          <w:sz w:val="24"/>
          <w:szCs w:val="24"/>
        </w:rPr>
        <w:t xml:space="preserve">to </w:t>
      </w:r>
      <w:r w:rsidR="002C7E35">
        <w:rPr>
          <w:rFonts w:ascii="Times New Roman" w:hAnsi="Times New Roman"/>
          <w:b w:val="0"/>
          <w:sz w:val="24"/>
          <w:szCs w:val="24"/>
        </w:rPr>
        <w:t>May 2015</w:t>
      </w:r>
      <w:r w:rsidR="008A1DDC">
        <w:rPr>
          <w:rFonts w:ascii="Times New Roman" w:hAnsi="Times New Roman"/>
          <w:b w:val="0"/>
          <w:sz w:val="24"/>
          <w:szCs w:val="24"/>
        </w:rPr>
        <w:t xml:space="preserve">. APRA received input from </w:t>
      </w:r>
      <w:r w:rsidR="008F3205">
        <w:rPr>
          <w:rFonts w:ascii="Times New Roman" w:hAnsi="Times New Roman"/>
          <w:b w:val="0"/>
          <w:sz w:val="24"/>
          <w:szCs w:val="24"/>
        </w:rPr>
        <w:t>p</w:t>
      </w:r>
      <w:r w:rsidR="002C7E35">
        <w:rPr>
          <w:rFonts w:ascii="Times New Roman" w:hAnsi="Times New Roman"/>
          <w:b w:val="0"/>
          <w:sz w:val="24"/>
          <w:szCs w:val="24"/>
        </w:rPr>
        <w:t>rivate health insurers</w:t>
      </w:r>
      <w:r w:rsidR="00F65630">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2436BD" w:rsidRDefault="000E4D81"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following </w:t>
      </w:r>
      <w:r w:rsidR="008F3205">
        <w:rPr>
          <w:rFonts w:ascii="Times New Roman" w:hAnsi="Times New Roman"/>
          <w:b w:val="0"/>
          <w:sz w:val="24"/>
          <w:szCs w:val="24"/>
        </w:rPr>
        <w:t xml:space="preserve">consultation </w:t>
      </w:r>
      <w:r>
        <w:rPr>
          <w:rFonts w:ascii="Times New Roman" w:hAnsi="Times New Roman"/>
          <w:b w:val="0"/>
          <w:sz w:val="24"/>
          <w:szCs w:val="24"/>
        </w:rPr>
        <w:t>papers</w:t>
      </w:r>
      <w:r w:rsidR="002436BD">
        <w:rPr>
          <w:rFonts w:ascii="Times New Roman" w:hAnsi="Times New Roman"/>
          <w:b w:val="0"/>
          <w:sz w:val="24"/>
          <w:szCs w:val="24"/>
        </w:rPr>
        <w:t xml:space="preserve"> were released:</w:t>
      </w:r>
    </w:p>
    <w:p w:rsidR="002436BD" w:rsidRPr="00D85E77"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March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Discussion paper on the proposed prudential and reporting framework for APRA’s supervision of private health insurers in Australia, together with draft prudential standards, Rules and reporting standards;</w:t>
      </w:r>
      <w:r w:rsidR="002436BD" w:rsidRPr="00D85E77">
        <w:rPr>
          <w:rFonts w:ascii="Times New Roman" w:hAnsi="Times New Roman"/>
          <w:b w:val="0"/>
          <w:sz w:val="24"/>
          <w:szCs w:val="24"/>
        </w:rPr>
        <w:t xml:space="preserve"> </w:t>
      </w:r>
      <w:r w:rsidR="00815849">
        <w:rPr>
          <w:rFonts w:ascii="Times New Roman" w:hAnsi="Times New Roman"/>
          <w:b w:val="0"/>
          <w:sz w:val="24"/>
          <w:szCs w:val="24"/>
        </w:rPr>
        <w:t>and</w:t>
      </w:r>
    </w:p>
    <w:p w:rsidR="002436BD"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June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 xml:space="preserve">Response to submissions on the proposed prudential and reporting framework for APRA’s supervision of private health insurers in Australia, together with </w:t>
      </w:r>
      <w:r w:rsidR="00815849">
        <w:rPr>
          <w:rFonts w:ascii="Times New Roman" w:hAnsi="Times New Roman"/>
          <w:b w:val="0"/>
          <w:sz w:val="24"/>
          <w:szCs w:val="24"/>
        </w:rPr>
        <w:t>final</w:t>
      </w:r>
      <w:r w:rsidR="006C6760">
        <w:rPr>
          <w:rFonts w:ascii="Times New Roman" w:hAnsi="Times New Roman"/>
          <w:b w:val="0"/>
          <w:sz w:val="24"/>
          <w:szCs w:val="24"/>
        </w:rPr>
        <w:t xml:space="preserve"> prudential standards, Rules and reporting standards</w:t>
      </w:r>
      <w:r w:rsidR="00815849">
        <w:rPr>
          <w:rFonts w:ascii="Times New Roman" w:hAnsi="Times New Roman"/>
          <w:b w:val="0"/>
          <w:sz w:val="24"/>
          <w:szCs w:val="24"/>
        </w:rPr>
        <w:t>.</w:t>
      </w:r>
    </w:p>
    <w:p w:rsidR="00F67ABE" w:rsidRPr="00F67ABE"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APRA has considered both formal and informal feedback from stakeholders throughout the consultation process. </w:t>
      </w:r>
      <w:r w:rsidR="004A7E13">
        <w:rPr>
          <w:rFonts w:ascii="Times New Roman" w:hAnsi="Times New Roman"/>
          <w:b w:val="0"/>
          <w:sz w:val="24"/>
          <w:szCs w:val="24"/>
        </w:rPr>
        <w:t xml:space="preserve">12 </w:t>
      </w:r>
      <w:r w:rsidR="00785A18">
        <w:rPr>
          <w:rFonts w:ascii="Times New Roman" w:hAnsi="Times New Roman"/>
          <w:b w:val="0"/>
          <w:sz w:val="24"/>
          <w:szCs w:val="24"/>
        </w:rPr>
        <w:t xml:space="preserve">submissions were received in response to the discussion paper. </w:t>
      </w:r>
      <w:r w:rsidRPr="00F67ABE">
        <w:rPr>
          <w:rFonts w:ascii="Times New Roman" w:hAnsi="Times New Roman"/>
          <w:b w:val="0"/>
          <w:sz w:val="24"/>
          <w:szCs w:val="24"/>
        </w:rPr>
        <w:t xml:space="preserve">In addition to the formal consultation, APRA held a number of consultation sessions and meetings with industry stakeholders. </w:t>
      </w:r>
    </w:p>
    <w:p w:rsidR="002F0613" w:rsidRPr="004D1EE4"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Industry feedback </w:t>
      </w:r>
      <w:r w:rsidR="00D04328">
        <w:rPr>
          <w:rFonts w:ascii="Times New Roman" w:hAnsi="Times New Roman"/>
          <w:b w:val="0"/>
          <w:sz w:val="24"/>
          <w:szCs w:val="24"/>
        </w:rPr>
        <w:t xml:space="preserve">did not raise any significant concerns with APRA’s proposals on the APRA Rules.  Submissions </w:t>
      </w:r>
      <w:r w:rsidRPr="00F67ABE">
        <w:rPr>
          <w:rFonts w:ascii="Times New Roman" w:hAnsi="Times New Roman"/>
          <w:b w:val="0"/>
          <w:sz w:val="24"/>
          <w:szCs w:val="24"/>
        </w:rPr>
        <w:t xml:space="preserve">focused on the technical changes that were necessary to align with the new legislation. As a result, APRA made a number of </w:t>
      </w:r>
      <w:r w:rsidR="00CA2BFC">
        <w:rPr>
          <w:rFonts w:ascii="Times New Roman" w:hAnsi="Times New Roman"/>
          <w:b w:val="0"/>
          <w:sz w:val="24"/>
          <w:szCs w:val="24"/>
        </w:rPr>
        <w:t xml:space="preserve">minor </w:t>
      </w:r>
      <w:r w:rsidRPr="00F67ABE">
        <w:rPr>
          <w:rFonts w:ascii="Times New Roman" w:hAnsi="Times New Roman"/>
          <w:b w:val="0"/>
          <w:sz w:val="24"/>
          <w:szCs w:val="24"/>
        </w:rPr>
        <w:t>amendments to the consultation documents. These amendments sought to address some minor errors and omissions, and maintain the current requirements applying to private health insurers.</w:t>
      </w:r>
    </w:p>
    <w:p w:rsidR="002436BD" w:rsidRDefault="00DF524E" w:rsidP="006C3AA6">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sidR="00290946">
        <w:rPr>
          <w:rFonts w:ascii="Times New Roman" w:hAnsi="Times New Roman"/>
          <w:b w:val="0"/>
          <w:sz w:val="24"/>
          <w:szCs w:val="24"/>
        </w:rPr>
        <w:t>is not required</w:t>
      </w:r>
      <w:r w:rsidR="007F3C95">
        <w:rPr>
          <w:rFonts w:ascii="Times New Roman" w:hAnsi="Times New Roman"/>
          <w:b w:val="0"/>
          <w:sz w:val="24"/>
          <w:szCs w:val="24"/>
        </w:rPr>
        <w:t xml:space="preserve"> for the instruments</w:t>
      </w:r>
      <w:r w:rsidRPr="00D3484E">
        <w:rPr>
          <w:rFonts w:ascii="Times New Roman" w:hAnsi="Times New Roman"/>
          <w:b w:val="0"/>
          <w:sz w:val="24"/>
          <w:szCs w:val="24"/>
        </w:rPr>
        <w:t>.</w:t>
      </w:r>
    </w:p>
    <w:p w:rsidR="002436BD" w:rsidRPr="00B3165F" w:rsidRDefault="00DF524E" w:rsidP="00010ACC">
      <w:pPr>
        <w:pStyle w:val="Heading"/>
        <w:keepNext/>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FB2570" w:rsidRDefault="00FB2570">
      <w:r>
        <w:br w:type="page"/>
      </w:r>
    </w:p>
    <w:p w:rsidR="00B04B20" w:rsidRPr="006C3AA6" w:rsidRDefault="00FB2570" w:rsidP="00D85E77">
      <w:pPr>
        <w:spacing w:after="240"/>
        <w:jc w:val="both"/>
        <w:rPr>
          <w:rFonts w:ascii="Times New Roman" w:hAnsi="Times New Roman"/>
          <w:b/>
          <w:sz w:val="24"/>
          <w:szCs w:val="24"/>
        </w:rPr>
      </w:pPr>
      <w:r w:rsidRPr="006C3AA6">
        <w:rPr>
          <w:rFonts w:ascii="Times New Roman" w:hAnsi="Times New Roman"/>
          <w:b/>
          <w:sz w:val="24"/>
          <w:szCs w:val="24"/>
        </w:rPr>
        <w:lastRenderedPageBreak/>
        <w:t>Attachment A</w:t>
      </w:r>
    </w:p>
    <w:p w:rsidR="006C3AA6" w:rsidRPr="006C3AA6" w:rsidRDefault="006C3AA6" w:rsidP="006C3AA6">
      <w:pPr>
        <w:spacing w:before="100" w:beforeAutospacing="1" w:after="240"/>
        <w:jc w:val="center"/>
        <w:rPr>
          <w:rFonts w:ascii="Helvetica Neue" w:hAnsi="Helvetica Neue"/>
          <w:b/>
          <w:sz w:val="19"/>
          <w:szCs w:val="19"/>
        </w:rPr>
      </w:pPr>
      <w:r w:rsidRPr="006C3AA6">
        <w:rPr>
          <w:rFonts w:ascii="Times New Roman" w:hAnsi="Times New Roman"/>
          <w:b/>
          <w:sz w:val="24"/>
          <w:szCs w:val="24"/>
        </w:rPr>
        <w:t>Statement of Compatibility with Human Rights</w:t>
      </w:r>
    </w:p>
    <w:p w:rsidR="006C3AA6" w:rsidRPr="006C3AA6" w:rsidRDefault="006C3AA6" w:rsidP="006C3AA6">
      <w:pPr>
        <w:spacing w:before="100" w:beforeAutospacing="1" w:after="240"/>
        <w:rPr>
          <w:rFonts w:ascii="Helvetica Neue" w:hAnsi="Helvetica Neue"/>
          <w:sz w:val="19"/>
          <w:szCs w:val="19"/>
        </w:rPr>
      </w:pPr>
      <w:r w:rsidRPr="006C3AA6">
        <w:rPr>
          <w:rFonts w:ascii="Times New Roman" w:hAnsi="Times New Roman"/>
          <w:i/>
          <w:iCs/>
          <w:sz w:val="24"/>
          <w:szCs w:val="24"/>
        </w:rPr>
        <w:t>Prepared in accordance with Part 3 of the Human Rights (Parliamentary Scrutiny) Act 2011</w:t>
      </w:r>
    </w:p>
    <w:p w:rsidR="00DC5ACC" w:rsidRDefault="00DC5ACC" w:rsidP="00DC5ACC">
      <w:pPr>
        <w:pStyle w:val="Heading"/>
        <w:tabs>
          <w:tab w:val="left" w:pos="360"/>
        </w:tabs>
        <w:spacing w:after="240"/>
        <w:jc w:val="center"/>
        <w:rPr>
          <w:rFonts w:ascii="Times New Roman" w:hAnsi="Times New Roman"/>
          <w:sz w:val="24"/>
          <w:szCs w:val="24"/>
        </w:rPr>
      </w:pPr>
      <w:r>
        <w:rPr>
          <w:rFonts w:ascii="Times New Roman" w:hAnsi="Times New Roman"/>
          <w:sz w:val="24"/>
          <w:szCs w:val="24"/>
        </w:rPr>
        <w:t>Private Health Insurance Rules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6C3AA6">
        <w:rPr>
          <w:rFonts w:ascii="Times New Roman" w:hAnsi="Times New Roman"/>
          <w:i/>
          <w:iCs/>
          <w:sz w:val="24"/>
          <w:szCs w:val="24"/>
        </w:rPr>
        <w:t>Human Rights (Parliamentary Scrutiny) Act 2011</w:t>
      </w:r>
      <w:r w:rsidRPr="006C3AA6">
        <w:rPr>
          <w:rFonts w:ascii="Times New Roman" w:hAnsi="Times New Roman"/>
          <w:sz w:val="24"/>
          <w:szCs w:val="24"/>
        </w:rPr>
        <w:t xml:space="preserve"> (HRPS Act).</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 xml:space="preserve">Overview of the Legislative Instrument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w:t>
      </w:r>
      <w:r w:rsidR="002A344D">
        <w:rPr>
          <w:rFonts w:ascii="Times New Roman" w:hAnsi="Times New Roman"/>
          <w:sz w:val="24"/>
          <w:szCs w:val="24"/>
        </w:rPr>
        <w:t>prescribe requirements</w:t>
      </w:r>
      <w:r w:rsidR="00094E9D">
        <w:rPr>
          <w:rFonts w:ascii="Times New Roman" w:hAnsi="Times New Roman"/>
          <w:sz w:val="24"/>
          <w:szCs w:val="24"/>
        </w:rPr>
        <w:t xml:space="preserve"> applicable to private health insurers</w:t>
      </w:r>
      <w:r w:rsidR="0088602C">
        <w:rPr>
          <w:rFonts w:ascii="Times New Roman" w:hAnsi="Times New Roman"/>
          <w:sz w:val="24"/>
          <w:szCs w:val="24"/>
        </w:rPr>
        <w:t xml:space="preserve">, </w:t>
      </w:r>
      <w:r w:rsidR="00D17CF9">
        <w:rPr>
          <w:rFonts w:ascii="Times New Roman" w:hAnsi="Times New Roman"/>
          <w:sz w:val="24"/>
          <w:szCs w:val="24"/>
        </w:rPr>
        <w:t xml:space="preserve">to </w:t>
      </w:r>
      <w:r w:rsidR="0088602C" w:rsidRPr="0088602C">
        <w:rPr>
          <w:rFonts w:ascii="Times New Roman" w:hAnsi="Times New Roman"/>
          <w:sz w:val="24"/>
          <w:szCs w:val="24"/>
        </w:rPr>
        <w:t>give effect to the transfer of relevant PHIAC functions to APRA</w:t>
      </w:r>
      <w:r w:rsidR="0088602C">
        <w:rPr>
          <w:rFonts w:ascii="Times New Roman" w:hAnsi="Times New Roman"/>
          <w:sz w:val="24"/>
          <w:szCs w:val="24"/>
        </w:rPr>
        <w:t xml:space="preserve">. The </w:t>
      </w:r>
      <w:r w:rsidR="002A344D">
        <w:rPr>
          <w:rFonts w:ascii="Times New Roman" w:hAnsi="Times New Roman"/>
          <w:sz w:val="24"/>
          <w:szCs w:val="24"/>
        </w:rPr>
        <w:t>instruments</w:t>
      </w:r>
      <w:r w:rsidR="0088602C">
        <w:rPr>
          <w:rFonts w:ascii="Times New Roman" w:hAnsi="Times New Roman"/>
          <w:sz w:val="24"/>
          <w:szCs w:val="24"/>
        </w:rPr>
        <w:t xml:space="preserve"> continue the current prudential requirements applying to private health insurers administered by PHIAC</w:t>
      </w:r>
      <w:r w:rsidRPr="006C3AA6">
        <w:rPr>
          <w:rFonts w:ascii="Times New Roman" w:hAnsi="Times New Roman"/>
          <w:sz w:val="24"/>
          <w:szCs w:val="24"/>
        </w:rPr>
        <w:t xml:space="preserve">.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Human rights implications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Conclusion</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These Legislative Instruments are compatible with human rights because they do not raise any human rights issues.</w:t>
      </w:r>
    </w:p>
    <w:p w:rsidR="00D50C6F" w:rsidRPr="00D50C6F" w:rsidRDefault="00D50C6F" w:rsidP="00D85E77">
      <w:pPr>
        <w:spacing w:after="240"/>
        <w:jc w:val="both"/>
        <w:rPr>
          <w:rFonts w:ascii="Times New Roman" w:hAnsi="Times New Roman"/>
          <w:sz w:val="24"/>
          <w:szCs w:val="24"/>
        </w:rPr>
      </w:pPr>
    </w:p>
    <w:sectPr w:rsidR="00D50C6F" w:rsidRPr="00D50C6F"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72" w:rsidRDefault="00403372" w:rsidP="00D85E77">
      <w:r>
        <w:separator/>
      </w:r>
    </w:p>
  </w:endnote>
  <w:endnote w:type="continuationSeparator" w:id="0">
    <w:p w:rsidR="00403372" w:rsidRDefault="00403372"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094A4E">
          <w:rPr>
            <w:rFonts w:ascii="Times New Roman" w:hAnsi="Times New Roman"/>
            <w:bCs/>
            <w:noProof/>
            <w:sz w:val="24"/>
            <w:szCs w:val="24"/>
          </w:rPr>
          <w:t>2</w:t>
        </w:r>
        <w:r w:rsidRPr="00D85E77">
          <w:rPr>
            <w:rFonts w:ascii="Times New Roman" w:hAnsi="Times New Roman"/>
            <w:bCs/>
            <w:sz w:val="24"/>
            <w:szCs w:val="24"/>
          </w:rPr>
          <w:fldChar w:fldCharType="end"/>
        </w:r>
      </w:p>
    </w:sdtContent>
  </w:sdt>
  <w:p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72" w:rsidRDefault="00403372" w:rsidP="00D85E77">
      <w:r>
        <w:separator/>
      </w:r>
    </w:p>
  </w:footnote>
  <w:footnote w:type="continuationSeparator" w:id="0">
    <w:p w:rsidR="00403372" w:rsidRDefault="00403372"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BEC345C"/>
    <w:multiLevelType w:val="hybridMultilevel"/>
    <w:tmpl w:val="205E29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C44575"/>
    <w:multiLevelType w:val="hybridMultilevel"/>
    <w:tmpl w:val="14A212C6"/>
    <w:lvl w:ilvl="0" w:tplc="988A605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2"/>
    <w:rsid w:val="00010ACC"/>
    <w:rsid w:val="00015CD2"/>
    <w:rsid w:val="0002778F"/>
    <w:rsid w:val="0004019A"/>
    <w:rsid w:val="000401FC"/>
    <w:rsid w:val="000469B8"/>
    <w:rsid w:val="00080F47"/>
    <w:rsid w:val="00094A4E"/>
    <w:rsid w:val="00094E9D"/>
    <w:rsid w:val="000B43FB"/>
    <w:rsid w:val="000B60B3"/>
    <w:rsid w:val="000D5A02"/>
    <w:rsid w:val="000E369C"/>
    <w:rsid w:val="000E4D81"/>
    <w:rsid w:val="00111B26"/>
    <w:rsid w:val="001128E4"/>
    <w:rsid w:val="001274CE"/>
    <w:rsid w:val="00144707"/>
    <w:rsid w:val="00170383"/>
    <w:rsid w:val="001808F5"/>
    <w:rsid w:val="00182FA1"/>
    <w:rsid w:val="001B126E"/>
    <w:rsid w:val="001C01EB"/>
    <w:rsid w:val="001C31EC"/>
    <w:rsid w:val="002268DA"/>
    <w:rsid w:val="002436BD"/>
    <w:rsid w:val="00246723"/>
    <w:rsid w:val="00260540"/>
    <w:rsid w:val="00260A4D"/>
    <w:rsid w:val="00270A59"/>
    <w:rsid w:val="00290946"/>
    <w:rsid w:val="002A1111"/>
    <w:rsid w:val="002A344D"/>
    <w:rsid w:val="002A73BD"/>
    <w:rsid w:val="002B6568"/>
    <w:rsid w:val="002C7E35"/>
    <w:rsid w:val="002F0613"/>
    <w:rsid w:val="0030506B"/>
    <w:rsid w:val="00310CF8"/>
    <w:rsid w:val="00311B0A"/>
    <w:rsid w:val="003432C7"/>
    <w:rsid w:val="00354CB8"/>
    <w:rsid w:val="003733ED"/>
    <w:rsid w:val="003866AD"/>
    <w:rsid w:val="00387365"/>
    <w:rsid w:val="003A52A5"/>
    <w:rsid w:val="003C0B28"/>
    <w:rsid w:val="003D1D79"/>
    <w:rsid w:val="003D5032"/>
    <w:rsid w:val="0040175E"/>
    <w:rsid w:val="00403372"/>
    <w:rsid w:val="00416CD0"/>
    <w:rsid w:val="0042100C"/>
    <w:rsid w:val="00422164"/>
    <w:rsid w:val="00434049"/>
    <w:rsid w:val="00443A02"/>
    <w:rsid w:val="00444768"/>
    <w:rsid w:val="00471F8A"/>
    <w:rsid w:val="004919BC"/>
    <w:rsid w:val="00497F57"/>
    <w:rsid w:val="004A7E13"/>
    <w:rsid w:val="004C0C16"/>
    <w:rsid w:val="004C3D07"/>
    <w:rsid w:val="004D1EE4"/>
    <w:rsid w:val="004E2008"/>
    <w:rsid w:val="004E2D7C"/>
    <w:rsid w:val="004E4218"/>
    <w:rsid w:val="004F1182"/>
    <w:rsid w:val="004F5F67"/>
    <w:rsid w:val="00513BD9"/>
    <w:rsid w:val="005264CC"/>
    <w:rsid w:val="0054565F"/>
    <w:rsid w:val="0056141D"/>
    <w:rsid w:val="00573772"/>
    <w:rsid w:val="00586EBF"/>
    <w:rsid w:val="005916AA"/>
    <w:rsid w:val="0059234A"/>
    <w:rsid w:val="00593AB6"/>
    <w:rsid w:val="0059706A"/>
    <w:rsid w:val="005D7B97"/>
    <w:rsid w:val="005E5910"/>
    <w:rsid w:val="00622480"/>
    <w:rsid w:val="00645AAC"/>
    <w:rsid w:val="00647D58"/>
    <w:rsid w:val="00657678"/>
    <w:rsid w:val="00657ACF"/>
    <w:rsid w:val="00662DC0"/>
    <w:rsid w:val="00664AEB"/>
    <w:rsid w:val="00664E7B"/>
    <w:rsid w:val="006732F6"/>
    <w:rsid w:val="0067335E"/>
    <w:rsid w:val="00681DD3"/>
    <w:rsid w:val="00682865"/>
    <w:rsid w:val="00684F73"/>
    <w:rsid w:val="00690077"/>
    <w:rsid w:val="006961E8"/>
    <w:rsid w:val="006B093F"/>
    <w:rsid w:val="006C3AA6"/>
    <w:rsid w:val="006C4398"/>
    <w:rsid w:val="006C6760"/>
    <w:rsid w:val="006E1D1D"/>
    <w:rsid w:val="006E5912"/>
    <w:rsid w:val="006E6670"/>
    <w:rsid w:val="006F297F"/>
    <w:rsid w:val="007031F4"/>
    <w:rsid w:val="007049CF"/>
    <w:rsid w:val="0070538B"/>
    <w:rsid w:val="00712E1A"/>
    <w:rsid w:val="007279E5"/>
    <w:rsid w:val="00730BB2"/>
    <w:rsid w:val="007368AD"/>
    <w:rsid w:val="007379A4"/>
    <w:rsid w:val="007428D4"/>
    <w:rsid w:val="00747AFF"/>
    <w:rsid w:val="00761B22"/>
    <w:rsid w:val="007671E5"/>
    <w:rsid w:val="007752A5"/>
    <w:rsid w:val="00785A18"/>
    <w:rsid w:val="00785CDC"/>
    <w:rsid w:val="007B1DC5"/>
    <w:rsid w:val="007C10CD"/>
    <w:rsid w:val="007C2298"/>
    <w:rsid w:val="007D63E9"/>
    <w:rsid w:val="007E0108"/>
    <w:rsid w:val="007E3328"/>
    <w:rsid w:val="007E472C"/>
    <w:rsid w:val="007E4B2A"/>
    <w:rsid w:val="007F3C95"/>
    <w:rsid w:val="00804568"/>
    <w:rsid w:val="00815849"/>
    <w:rsid w:val="00816415"/>
    <w:rsid w:val="00830417"/>
    <w:rsid w:val="00830F66"/>
    <w:rsid w:val="0083709B"/>
    <w:rsid w:val="00867541"/>
    <w:rsid w:val="00870D84"/>
    <w:rsid w:val="0088602C"/>
    <w:rsid w:val="00892FF8"/>
    <w:rsid w:val="008A1DDC"/>
    <w:rsid w:val="008B1252"/>
    <w:rsid w:val="008E1C97"/>
    <w:rsid w:val="008F179B"/>
    <w:rsid w:val="008F3205"/>
    <w:rsid w:val="0090438A"/>
    <w:rsid w:val="009324FD"/>
    <w:rsid w:val="00932EFA"/>
    <w:rsid w:val="00952383"/>
    <w:rsid w:val="00967D16"/>
    <w:rsid w:val="00987B7C"/>
    <w:rsid w:val="009A0152"/>
    <w:rsid w:val="009C3639"/>
    <w:rsid w:val="009C5368"/>
    <w:rsid w:val="009E1E90"/>
    <w:rsid w:val="00A227EA"/>
    <w:rsid w:val="00A279AF"/>
    <w:rsid w:val="00A40841"/>
    <w:rsid w:val="00A4133B"/>
    <w:rsid w:val="00A63A2B"/>
    <w:rsid w:val="00A730D3"/>
    <w:rsid w:val="00A76544"/>
    <w:rsid w:val="00AA3E4A"/>
    <w:rsid w:val="00AB4916"/>
    <w:rsid w:val="00AC2517"/>
    <w:rsid w:val="00AC4AE2"/>
    <w:rsid w:val="00AC7A56"/>
    <w:rsid w:val="00AD09D7"/>
    <w:rsid w:val="00B04B20"/>
    <w:rsid w:val="00B53BA2"/>
    <w:rsid w:val="00B64B2E"/>
    <w:rsid w:val="00B66FE6"/>
    <w:rsid w:val="00B73868"/>
    <w:rsid w:val="00B85B6E"/>
    <w:rsid w:val="00BB1678"/>
    <w:rsid w:val="00BE36B6"/>
    <w:rsid w:val="00BF2953"/>
    <w:rsid w:val="00C302FA"/>
    <w:rsid w:val="00C71977"/>
    <w:rsid w:val="00C948AA"/>
    <w:rsid w:val="00CA2BFC"/>
    <w:rsid w:val="00CA6CB3"/>
    <w:rsid w:val="00CB384A"/>
    <w:rsid w:val="00CC13F4"/>
    <w:rsid w:val="00CD1947"/>
    <w:rsid w:val="00CE3EF2"/>
    <w:rsid w:val="00D0140E"/>
    <w:rsid w:val="00D02643"/>
    <w:rsid w:val="00D04328"/>
    <w:rsid w:val="00D119F5"/>
    <w:rsid w:val="00D17CF9"/>
    <w:rsid w:val="00D3484E"/>
    <w:rsid w:val="00D425AE"/>
    <w:rsid w:val="00D50C6F"/>
    <w:rsid w:val="00D53B59"/>
    <w:rsid w:val="00D55D6B"/>
    <w:rsid w:val="00D64906"/>
    <w:rsid w:val="00D83531"/>
    <w:rsid w:val="00D85E77"/>
    <w:rsid w:val="00D87E36"/>
    <w:rsid w:val="00DB04B4"/>
    <w:rsid w:val="00DC5ACC"/>
    <w:rsid w:val="00DD3099"/>
    <w:rsid w:val="00DE1F42"/>
    <w:rsid w:val="00DE679F"/>
    <w:rsid w:val="00DF4B09"/>
    <w:rsid w:val="00DF524E"/>
    <w:rsid w:val="00E129FD"/>
    <w:rsid w:val="00E15497"/>
    <w:rsid w:val="00E154A3"/>
    <w:rsid w:val="00E16789"/>
    <w:rsid w:val="00E201A8"/>
    <w:rsid w:val="00E37E76"/>
    <w:rsid w:val="00E44416"/>
    <w:rsid w:val="00E52DFE"/>
    <w:rsid w:val="00E5381A"/>
    <w:rsid w:val="00E575CC"/>
    <w:rsid w:val="00E61B19"/>
    <w:rsid w:val="00E90C89"/>
    <w:rsid w:val="00EA48D8"/>
    <w:rsid w:val="00EC5653"/>
    <w:rsid w:val="00EF08CC"/>
    <w:rsid w:val="00F0162C"/>
    <w:rsid w:val="00F27C64"/>
    <w:rsid w:val="00F43181"/>
    <w:rsid w:val="00F436BC"/>
    <w:rsid w:val="00F44B66"/>
    <w:rsid w:val="00F5679F"/>
    <w:rsid w:val="00F65630"/>
    <w:rsid w:val="00F664F7"/>
    <w:rsid w:val="00F67ABE"/>
    <w:rsid w:val="00F72B0C"/>
    <w:rsid w:val="00F7706D"/>
    <w:rsid w:val="00FA5345"/>
    <w:rsid w:val="00FB2570"/>
    <w:rsid w:val="00FC1D87"/>
    <w:rsid w:val="00FE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251">
      <w:bodyDiv w:val="1"/>
      <w:marLeft w:val="0"/>
      <w:marRight w:val="0"/>
      <w:marTop w:val="0"/>
      <w:marBottom w:val="0"/>
      <w:divBdr>
        <w:top w:val="none" w:sz="0" w:space="0" w:color="auto"/>
        <w:left w:val="none" w:sz="0" w:space="0" w:color="auto"/>
        <w:bottom w:val="none" w:sz="0" w:space="0" w:color="auto"/>
        <w:right w:val="none" w:sz="0" w:space="0" w:color="auto"/>
      </w:divBdr>
      <w:divsChild>
        <w:div w:id="1300837347">
          <w:marLeft w:val="0"/>
          <w:marRight w:val="0"/>
          <w:marTop w:val="0"/>
          <w:marBottom w:val="0"/>
          <w:divBdr>
            <w:top w:val="none" w:sz="0" w:space="0" w:color="auto"/>
            <w:left w:val="none" w:sz="0" w:space="0" w:color="auto"/>
            <w:bottom w:val="none" w:sz="0" w:space="0" w:color="auto"/>
            <w:right w:val="none" w:sz="0" w:space="0" w:color="auto"/>
          </w:divBdr>
          <w:divsChild>
            <w:div w:id="671103556">
              <w:marLeft w:val="0"/>
              <w:marRight w:val="0"/>
              <w:marTop w:val="0"/>
              <w:marBottom w:val="0"/>
              <w:divBdr>
                <w:top w:val="none" w:sz="0" w:space="0" w:color="auto"/>
                <w:left w:val="none" w:sz="0" w:space="0" w:color="auto"/>
                <w:bottom w:val="none" w:sz="0" w:space="0" w:color="auto"/>
                <w:right w:val="none" w:sz="0" w:space="0" w:color="auto"/>
              </w:divBdr>
              <w:divsChild>
                <w:div w:id="132528583">
                  <w:marLeft w:val="0"/>
                  <w:marRight w:val="0"/>
                  <w:marTop w:val="0"/>
                  <w:marBottom w:val="0"/>
                  <w:divBdr>
                    <w:top w:val="none" w:sz="0" w:space="0" w:color="auto"/>
                    <w:left w:val="none" w:sz="0" w:space="0" w:color="auto"/>
                    <w:bottom w:val="none" w:sz="0" w:space="0" w:color="auto"/>
                    <w:right w:val="none" w:sz="0" w:space="0" w:color="auto"/>
                  </w:divBdr>
                  <w:divsChild>
                    <w:div w:id="2094541694">
                      <w:marLeft w:val="0"/>
                      <w:marRight w:val="0"/>
                      <w:marTop w:val="0"/>
                      <w:marBottom w:val="0"/>
                      <w:divBdr>
                        <w:top w:val="none" w:sz="0" w:space="0" w:color="auto"/>
                        <w:left w:val="none" w:sz="0" w:space="0" w:color="auto"/>
                        <w:bottom w:val="none" w:sz="0" w:space="0" w:color="auto"/>
                        <w:right w:val="none" w:sz="0" w:space="0" w:color="auto"/>
                      </w:divBdr>
                      <w:divsChild>
                        <w:div w:id="1991206379">
                          <w:marLeft w:val="0"/>
                          <w:marRight w:val="0"/>
                          <w:marTop w:val="0"/>
                          <w:marBottom w:val="0"/>
                          <w:divBdr>
                            <w:top w:val="single" w:sz="6" w:space="0" w:color="828282"/>
                            <w:left w:val="single" w:sz="6" w:space="0" w:color="828282"/>
                            <w:bottom w:val="single" w:sz="6" w:space="0" w:color="828282"/>
                            <w:right w:val="single" w:sz="6" w:space="0" w:color="828282"/>
                          </w:divBdr>
                          <w:divsChild>
                            <w:div w:id="376661953">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0"/>
                                  <w:divBdr>
                                    <w:top w:val="none" w:sz="0" w:space="0" w:color="auto"/>
                                    <w:left w:val="none" w:sz="0" w:space="0" w:color="auto"/>
                                    <w:bottom w:val="none" w:sz="0" w:space="0" w:color="auto"/>
                                    <w:right w:val="none" w:sz="0" w:space="0" w:color="auto"/>
                                  </w:divBdr>
                                  <w:divsChild>
                                    <w:div w:id="971397605">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sChild>
                                                <w:div w:id="1581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128F-EDA4-4CF4-BD53-9D4EFD13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2</cp:revision>
  <cp:lastPrinted>2015-06-26T02:14:00Z</cp:lastPrinted>
  <dcterms:created xsi:type="dcterms:W3CDTF">2015-06-26T06:13:00Z</dcterms:created>
  <dcterms:modified xsi:type="dcterms:W3CDTF">2015-06-26T06:13:00Z</dcterms:modified>
</cp:coreProperties>
</file>