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EB" w:rsidRPr="00687A83" w:rsidRDefault="003D6E65" w:rsidP="00D85E77">
      <w:pPr>
        <w:pStyle w:val="Heading"/>
        <w:tabs>
          <w:tab w:val="left" w:pos="360"/>
        </w:tabs>
        <w:spacing w:after="240"/>
        <w:jc w:val="center"/>
        <w:rPr>
          <w:rFonts w:ascii="Times New Roman" w:hAnsi="Times New Roman"/>
          <w:sz w:val="24"/>
          <w:szCs w:val="24"/>
        </w:rPr>
      </w:pPr>
      <w:bookmarkStart w:id="0" w:name="_GoBack"/>
      <w:bookmarkEnd w:id="0"/>
      <w:r w:rsidRPr="00687A83">
        <w:rPr>
          <w:rFonts w:ascii="Times New Roman" w:hAnsi="Times New Roman"/>
          <w:sz w:val="24"/>
          <w:szCs w:val="24"/>
        </w:rPr>
        <w:t>Private Health Insurance (Risk Equalisation Administration) Rules 2015</w:t>
      </w:r>
    </w:p>
    <w:p w:rsidR="002436BD" w:rsidRPr="002C6D26" w:rsidRDefault="002436BD" w:rsidP="00D85E77">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436BD" w:rsidRPr="002C6D26" w:rsidRDefault="00A730D3" w:rsidP="00D85E77">
      <w:pPr>
        <w:pStyle w:val="Heading"/>
        <w:tabs>
          <w:tab w:val="left" w:pos="360"/>
        </w:tabs>
        <w:spacing w:after="240"/>
        <w:jc w:val="center"/>
        <w:rPr>
          <w:rFonts w:ascii="Times New Roman" w:hAnsi="Times New Roman"/>
          <w:b w:val="0"/>
          <w:sz w:val="24"/>
          <w:szCs w:val="24"/>
        </w:rPr>
      </w:pPr>
      <w:r>
        <w:rPr>
          <w:rFonts w:ascii="Times New Roman" w:hAnsi="Times New Roman"/>
          <w:b w:val="0"/>
          <w:i/>
          <w:sz w:val="24"/>
          <w:szCs w:val="24"/>
        </w:rPr>
        <w:t xml:space="preserve">Private Health Insurance </w:t>
      </w:r>
      <w:r w:rsidR="003D6E65">
        <w:rPr>
          <w:rFonts w:ascii="Times New Roman" w:hAnsi="Times New Roman"/>
          <w:b w:val="0"/>
          <w:i/>
          <w:sz w:val="24"/>
          <w:szCs w:val="24"/>
        </w:rPr>
        <w:t>Act 2007</w:t>
      </w:r>
      <w:r w:rsidR="002436BD" w:rsidRPr="002C6D26">
        <w:rPr>
          <w:rFonts w:ascii="Times New Roman" w:hAnsi="Times New Roman"/>
          <w:b w:val="0"/>
          <w:sz w:val="24"/>
          <w:szCs w:val="24"/>
        </w:rPr>
        <w:t xml:space="preserve">, </w:t>
      </w:r>
      <w:r w:rsidR="00586EBF">
        <w:rPr>
          <w:rFonts w:ascii="Times New Roman" w:hAnsi="Times New Roman"/>
          <w:b w:val="0"/>
          <w:color w:val="000000"/>
          <w:sz w:val="24"/>
          <w:szCs w:val="24"/>
        </w:rPr>
        <w:t xml:space="preserve">subsection </w:t>
      </w:r>
      <w:r w:rsidR="003D6E65" w:rsidRPr="003D6E65">
        <w:rPr>
          <w:rFonts w:ascii="Times New Roman" w:hAnsi="Times New Roman"/>
          <w:b w:val="0"/>
          <w:color w:val="000000"/>
          <w:sz w:val="24"/>
          <w:szCs w:val="24"/>
        </w:rPr>
        <w:t>333-25</w:t>
      </w:r>
      <w:r w:rsidR="00586EBF">
        <w:rPr>
          <w:rFonts w:ascii="Times New Roman" w:hAnsi="Times New Roman"/>
          <w:b w:val="0"/>
          <w:color w:val="000000"/>
          <w:sz w:val="24"/>
          <w:szCs w:val="24"/>
        </w:rPr>
        <w:t>.</w:t>
      </w:r>
    </w:p>
    <w:p w:rsidR="00246723" w:rsidRDefault="00246723" w:rsidP="00206A94">
      <w:pPr>
        <w:spacing w:after="240"/>
        <w:jc w:val="both"/>
        <w:rPr>
          <w:rFonts w:ascii="Times New Roman" w:hAnsi="Times New Roman"/>
          <w:sz w:val="24"/>
          <w:szCs w:val="24"/>
        </w:rPr>
      </w:pPr>
      <w:bookmarkStart w:id="1" w:name="bkAct"/>
      <w:bookmarkStart w:id="2" w:name="bkExplanatory"/>
      <w:bookmarkEnd w:id="1"/>
      <w:bookmarkEnd w:id="2"/>
      <w:r w:rsidRPr="006B1520">
        <w:rPr>
          <w:rFonts w:ascii="Times New Roman" w:hAnsi="Times New Roman"/>
          <w:sz w:val="24"/>
          <w:szCs w:val="24"/>
        </w:rPr>
        <w:t xml:space="preserve">On </w:t>
      </w:r>
      <w:r w:rsidR="006B1520" w:rsidRPr="006B1520">
        <w:rPr>
          <w:rFonts w:ascii="Times New Roman" w:hAnsi="Times New Roman"/>
          <w:sz w:val="24"/>
          <w:szCs w:val="24"/>
        </w:rPr>
        <w:t>26 June 2015</w:t>
      </w:r>
      <w:r w:rsidRPr="006B1520">
        <w:rPr>
          <w:rFonts w:ascii="Times New Roman" w:hAnsi="Times New Roman"/>
          <w:sz w:val="24"/>
          <w:szCs w:val="24"/>
        </w:rPr>
        <w:t>,</w:t>
      </w:r>
      <w:r w:rsidRPr="00246723">
        <w:rPr>
          <w:rFonts w:ascii="Times New Roman" w:hAnsi="Times New Roman"/>
          <w:sz w:val="24"/>
          <w:szCs w:val="24"/>
        </w:rPr>
        <w:t xml:space="preserve"> APRA made the </w:t>
      </w:r>
      <w:r w:rsidR="00F27C64" w:rsidRPr="00434049">
        <w:rPr>
          <w:rFonts w:ascii="Times New Roman" w:hAnsi="Times New Roman"/>
          <w:i/>
          <w:sz w:val="24"/>
          <w:szCs w:val="24"/>
        </w:rPr>
        <w:t>Private Health Insurance (Risk Equalisa</w:t>
      </w:r>
      <w:r w:rsidR="00434049" w:rsidRPr="00434049">
        <w:rPr>
          <w:rFonts w:ascii="Times New Roman" w:hAnsi="Times New Roman"/>
          <w:i/>
          <w:sz w:val="24"/>
          <w:szCs w:val="24"/>
        </w:rPr>
        <w:t>tion Administration) Rules 2015</w:t>
      </w:r>
      <w:r w:rsidR="00206A94">
        <w:rPr>
          <w:rFonts w:ascii="Times New Roman" w:hAnsi="Times New Roman"/>
          <w:sz w:val="24"/>
          <w:szCs w:val="24"/>
        </w:rPr>
        <w:t xml:space="preserve"> (the Rules). </w:t>
      </w:r>
      <w:r w:rsidR="00CD2044">
        <w:rPr>
          <w:rFonts w:ascii="Times New Roman" w:hAnsi="Times New Roman"/>
          <w:sz w:val="24"/>
          <w:szCs w:val="24"/>
        </w:rPr>
        <w:t>The Rules</w:t>
      </w:r>
      <w:r w:rsidR="00DD6E62">
        <w:rPr>
          <w:rFonts w:ascii="Times New Roman" w:hAnsi="Times New Roman"/>
          <w:sz w:val="24"/>
          <w:szCs w:val="24"/>
        </w:rPr>
        <w:t xml:space="preserve"> are made u</w:t>
      </w:r>
      <w:r w:rsidR="00DD6E62" w:rsidRPr="0083709B">
        <w:rPr>
          <w:rFonts w:ascii="Times New Roman" w:hAnsi="Times New Roman"/>
          <w:sz w:val="24"/>
          <w:szCs w:val="24"/>
        </w:rPr>
        <w:t xml:space="preserve">nder subsection </w:t>
      </w:r>
      <w:r w:rsidR="00DD6E62">
        <w:rPr>
          <w:rFonts w:ascii="Times New Roman" w:hAnsi="Times New Roman"/>
          <w:color w:val="000000"/>
          <w:sz w:val="24"/>
          <w:szCs w:val="24"/>
        </w:rPr>
        <w:t xml:space="preserve">333-25 of the </w:t>
      </w:r>
      <w:r w:rsidR="00DD6E62">
        <w:rPr>
          <w:rFonts w:ascii="Times New Roman" w:hAnsi="Times New Roman"/>
          <w:i/>
          <w:color w:val="000000"/>
          <w:sz w:val="24"/>
          <w:szCs w:val="24"/>
        </w:rPr>
        <w:t>Private Health Insurance Act 2007</w:t>
      </w:r>
      <w:r w:rsidR="00DD6E62">
        <w:rPr>
          <w:rFonts w:ascii="Times New Roman" w:hAnsi="Times New Roman"/>
          <w:color w:val="000000"/>
          <w:sz w:val="24"/>
          <w:szCs w:val="24"/>
        </w:rPr>
        <w:t xml:space="preserve"> (the Act) </w:t>
      </w:r>
      <w:r w:rsidR="00DD6E62">
        <w:rPr>
          <w:rFonts w:ascii="Times New Roman" w:hAnsi="Times New Roman"/>
          <w:sz w:val="24"/>
          <w:szCs w:val="24"/>
        </w:rPr>
        <w:t xml:space="preserve">for the purposes of section 318-15 and must </w:t>
      </w:r>
      <w:r w:rsidR="00DD6E62" w:rsidRPr="002C6D26">
        <w:rPr>
          <w:rFonts w:ascii="Times New Roman" w:hAnsi="Times New Roman"/>
          <w:sz w:val="24"/>
          <w:szCs w:val="24"/>
        </w:rPr>
        <w:t xml:space="preserve">be complied with by </w:t>
      </w:r>
      <w:r w:rsidR="00DD6E62">
        <w:rPr>
          <w:rFonts w:ascii="Times New Roman" w:hAnsi="Times New Roman"/>
          <w:sz w:val="24"/>
          <w:szCs w:val="24"/>
        </w:rPr>
        <w:t>private health insurers</w:t>
      </w:r>
      <w:r w:rsidR="00DD6E62" w:rsidRPr="007428D4">
        <w:rPr>
          <w:rFonts w:ascii="Times New Roman" w:hAnsi="Times New Roman"/>
          <w:sz w:val="24"/>
          <w:szCs w:val="24"/>
        </w:rPr>
        <w:t>.</w:t>
      </w:r>
      <w:r w:rsidR="00DD6E62">
        <w:rPr>
          <w:rFonts w:ascii="Times New Roman" w:hAnsi="Times New Roman"/>
          <w:sz w:val="24"/>
          <w:szCs w:val="24"/>
        </w:rPr>
        <w:t xml:space="preserve"> </w:t>
      </w:r>
      <w:r w:rsidR="00AC7A56">
        <w:rPr>
          <w:rFonts w:ascii="Times New Roman" w:hAnsi="Times New Roman"/>
          <w:sz w:val="24"/>
          <w:szCs w:val="24"/>
        </w:rPr>
        <w:t xml:space="preserve">The </w:t>
      </w:r>
      <w:r w:rsidR="00206A94">
        <w:rPr>
          <w:rFonts w:ascii="Times New Roman" w:hAnsi="Times New Roman"/>
          <w:sz w:val="24"/>
          <w:szCs w:val="24"/>
        </w:rPr>
        <w:t>Rules</w:t>
      </w:r>
      <w:r w:rsidR="00AC7A56">
        <w:rPr>
          <w:rFonts w:ascii="Times New Roman" w:hAnsi="Times New Roman"/>
          <w:sz w:val="24"/>
          <w:szCs w:val="24"/>
        </w:rPr>
        <w:t xml:space="preserve"> commence on</w:t>
      </w:r>
      <w:r w:rsidR="00AC7A56" w:rsidRPr="002C6D26">
        <w:rPr>
          <w:rFonts w:ascii="Times New Roman" w:hAnsi="Times New Roman"/>
          <w:sz w:val="24"/>
          <w:szCs w:val="24"/>
        </w:rPr>
        <w:t xml:space="preserve"> </w:t>
      </w:r>
      <w:r w:rsidR="00206A94" w:rsidRPr="00206A94">
        <w:rPr>
          <w:rFonts w:ascii="Times New Roman" w:hAnsi="Times New Roman"/>
          <w:sz w:val="24"/>
          <w:szCs w:val="24"/>
        </w:rPr>
        <w:t xml:space="preserve">the day item 166 of Schedule 1 to the </w:t>
      </w:r>
      <w:r w:rsidR="00206A94" w:rsidRPr="00206A94">
        <w:rPr>
          <w:rFonts w:ascii="Times New Roman" w:hAnsi="Times New Roman"/>
          <w:i/>
          <w:sz w:val="24"/>
          <w:szCs w:val="24"/>
        </w:rPr>
        <w:t>Private Health Insurance (Prudential Supervision) (Consequential Amendments and Transitional Provisions) Act 2015</w:t>
      </w:r>
      <w:r w:rsidR="00206A94">
        <w:rPr>
          <w:rFonts w:ascii="Times New Roman" w:hAnsi="Times New Roman"/>
          <w:sz w:val="24"/>
          <w:szCs w:val="24"/>
        </w:rPr>
        <w:t xml:space="preserve"> </w:t>
      </w:r>
      <w:r w:rsidR="001D6417">
        <w:rPr>
          <w:rFonts w:ascii="Times New Roman" w:hAnsi="Times New Roman"/>
          <w:sz w:val="24"/>
          <w:szCs w:val="24"/>
        </w:rPr>
        <w:t xml:space="preserve">(the PHIPS Consequential Amendments Act) </w:t>
      </w:r>
      <w:r w:rsidR="00206A94">
        <w:rPr>
          <w:rFonts w:ascii="Times New Roman" w:hAnsi="Times New Roman"/>
          <w:sz w:val="24"/>
          <w:szCs w:val="24"/>
        </w:rPr>
        <w:t>commences</w:t>
      </w:r>
      <w:r w:rsidR="00DD6E62">
        <w:rPr>
          <w:rFonts w:ascii="Times New Roman" w:hAnsi="Times New Roman"/>
          <w:sz w:val="24"/>
          <w:szCs w:val="24"/>
        </w:rPr>
        <w:t xml:space="preserve">, </w:t>
      </w:r>
      <w:r w:rsidR="00CD2044">
        <w:rPr>
          <w:rFonts w:ascii="Times New Roman" w:hAnsi="Times New Roman"/>
          <w:sz w:val="24"/>
          <w:szCs w:val="24"/>
        </w:rPr>
        <w:t>namely</w:t>
      </w:r>
      <w:r w:rsidR="00DD6E62">
        <w:rPr>
          <w:rFonts w:ascii="Times New Roman" w:hAnsi="Times New Roman"/>
          <w:sz w:val="24"/>
          <w:szCs w:val="24"/>
        </w:rPr>
        <w:t xml:space="preserve"> 1 July 2015</w:t>
      </w:r>
      <w:r w:rsidR="00AC7A56" w:rsidRPr="002C6D26">
        <w:rPr>
          <w:rFonts w:ascii="Times New Roman" w:hAnsi="Times New Roman"/>
          <w:sz w:val="24"/>
          <w:szCs w:val="24"/>
        </w:rPr>
        <w:t>.</w:t>
      </w:r>
      <w:r w:rsidR="00AC7A56">
        <w:rPr>
          <w:rFonts w:ascii="Times New Roman" w:hAnsi="Times New Roman"/>
          <w:sz w:val="24"/>
          <w:szCs w:val="24"/>
        </w:rPr>
        <w:tab/>
      </w:r>
      <w:r w:rsidR="00F5679F">
        <w:rPr>
          <w:rFonts w:ascii="Times New Roman" w:hAnsi="Times New Roman"/>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310CF8" w:rsidRPr="00470375" w:rsidRDefault="007F3C95"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As part of the </w:t>
      </w:r>
      <w:r>
        <w:rPr>
          <w:rFonts w:ascii="Times New Roman" w:hAnsi="Times New Roman"/>
          <w:b w:val="0"/>
          <w:i/>
          <w:sz w:val="24"/>
          <w:szCs w:val="24"/>
        </w:rPr>
        <w:t xml:space="preserve">Smaller Government – additional reductions in the number of Australian Government bodies </w:t>
      </w:r>
      <w:r>
        <w:rPr>
          <w:rFonts w:ascii="Times New Roman" w:hAnsi="Times New Roman"/>
          <w:b w:val="0"/>
          <w:sz w:val="24"/>
          <w:szCs w:val="24"/>
        </w:rPr>
        <w:t xml:space="preserve">initiative announced </w:t>
      </w:r>
      <w:r w:rsidR="00F664F7">
        <w:rPr>
          <w:rFonts w:ascii="Times New Roman" w:hAnsi="Times New Roman"/>
          <w:b w:val="0"/>
          <w:sz w:val="24"/>
          <w:szCs w:val="24"/>
        </w:rPr>
        <w:t>in</w:t>
      </w:r>
      <w:r>
        <w:rPr>
          <w:rFonts w:ascii="Times New Roman" w:hAnsi="Times New Roman"/>
          <w:b w:val="0"/>
          <w:sz w:val="24"/>
          <w:szCs w:val="24"/>
        </w:rPr>
        <w:t xml:space="preserve"> the 2014-2015 Budget</w:t>
      </w:r>
      <w:r w:rsidR="00681DD3">
        <w:rPr>
          <w:rFonts w:ascii="Times New Roman" w:hAnsi="Times New Roman"/>
          <w:b w:val="0"/>
          <w:sz w:val="24"/>
          <w:szCs w:val="24"/>
        </w:rPr>
        <w:t>,</w:t>
      </w:r>
      <w:r w:rsidR="00FE3D3C" w:rsidRPr="00FE3D3C">
        <w:rPr>
          <w:rFonts w:ascii="Times New Roman" w:hAnsi="Times New Roman"/>
          <w:b w:val="0"/>
          <w:sz w:val="24"/>
          <w:szCs w:val="24"/>
        </w:rPr>
        <w:t xml:space="preserve"> the prudential regulation functions of the Private Health Insurance Administration Council (PHIAC)</w:t>
      </w:r>
      <w:r w:rsidR="00E44416">
        <w:rPr>
          <w:rFonts w:ascii="Times New Roman" w:hAnsi="Times New Roman"/>
          <w:b w:val="0"/>
          <w:sz w:val="24"/>
          <w:szCs w:val="24"/>
        </w:rPr>
        <w:t xml:space="preserve"> will</w:t>
      </w:r>
      <w:r w:rsidR="00FE3D3C" w:rsidRPr="00FE3D3C">
        <w:rPr>
          <w:rFonts w:ascii="Times New Roman" w:hAnsi="Times New Roman"/>
          <w:b w:val="0"/>
          <w:sz w:val="24"/>
          <w:szCs w:val="24"/>
        </w:rPr>
        <w:t xml:space="preserve"> be transferred to APRA</w:t>
      </w:r>
      <w:r w:rsidR="00310CF8" w:rsidRPr="00FE3D3C">
        <w:rPr>
          <w:rFonts w:ascii="Times New Roman" w:hAnsi="Times New Roman"/>
          <w:b w:val="0"/>
          <w:sz w:val="24"/>
          <w:szCs w:val="24"/>
        </w:rPr>
        <w:t>.</w:t>
      </w:r>
      <w:r w:rsidR="00FE3D3C" w:rsidRPr="00FE3D3C">
        <w:t xml:space="preserve"> </w:t>
      </w:r>
      <w:r w:rsidR="00987B7C">
        <w:rPr>
          <w:rFonts w:ascii="Times New Roman" w:hAnsi="Times New Roman"/>
          <w:b w:val="0"/>
          <w:sz w:val="24"/>
          <w:szCs w:val="24"/>
        </w:rPr>
        <w:t>F</w:t>
      </w:r>
      <w:r w:rsidR="00987B7C" w:rsidRPr="00FE3D3C">
        <w:rPr>
          <w:rFonts w:ascii="Times New Roman" w:hAnsi="Times New Roman"/>
          <w:b w:val="0"/>
          <w:sz w:val="24"/>
          <w:szCs w:val="24"/>
        </w:rPr>
        <w:t>rom 1 July 2015</w:t>
      </w:r>
      <w:r w:rsidR="00987B7C">
        <w:rPr>
          <w:rFonts w:ascii="Times New Roman" w:hAnsi="Times New Roman"/>
          <w:b w:val="0"/>
          <w:sz w:val="24"/>
          <w:szCs w:val="24"/>
        </w:rPr>
        <w:t xml:space="preserve">, </w:t>
      </w:r>
      <w:r w:rsidR="00FE3D3C" w:rsidRPr="00FE3D3C">
        <w:rPr>
          <w:rFonts w:ascii="Times New Roman" w:hAnsi="Times New Roman"/>
          <w:b w:val="0"/>
          <w:sz w:val="24"/>
          <w:szCs w:val="24"/>
        </w:rPr>
        <w:t xml:space="preserve">APRA will take on all prudential regulation functions </w:t>
      </w:r>
      <w:r w:rsidR="00E44416">
        <w:rPr>
          <w:rFonts w:ascii="Times New Roman" w:hAnsi="Times New Roman"/>
          <w:b w:val="0"/>
          <w:sz w:val="24"/>
          <w:szCs w:val="24"/>
        </w:rPr>
        <w:t>for private health insurers</w:t>
      </w:r>
      <w:r w:rsidR="00FE3D3C" w:rsidRPr="00FE3D3C">
        <w:rPr>
          <w:rFonts w:ascii="Times New Roman" w:hAnsi="Times New Roman"/>
          <w:b w:val="0"/>
          <w:sz w:val="24"/>
          <w:szCs w:val="24"/>
        </w:rPr>
        <w:t>.</w:t>
      </w:r>
      <w:r w:rsidR="004C0C16" w:rsidRPr="004C0C16">
        <w:rPr>
          <w:rFonts w:ascii="Times New Roman" w:hAnsi="Times New Roman"/>
          <w:b w:val="0"/>
          <w:sz w:val="24"/>
          <w:szCs w:val="24"/>
        </w:rPr>
        <w:t xml:space="preserve"> </w:t>
      </w:r>
      <w:r w:rsidR="00DD6E62">
        <w:rPr>
          <w:rFonts w:ascii="Times New Roman" w:hAnsi="Times New Roman"/>
          <w:b w:val="0"/>
          <w:sz w:val="24"/>
          <w:szCs w:val="24"/>
        </w:rPr>
        <w:t xml:space="preserve">APRA will also take over responsibility for </w:t>
      </w:r>
      <w:r w:rsidR="00C61240">
        <w:rPr>
          <w:rFonts w:ascii="Times New Roman" w:hAnsi="Times New Roman"/>
          <w:b w:val="0"/>
          <w:sz w:val="24"/>
          <w:szCs w:val="24"/>
        </w:rPr>
        <w:t xml:space="preserve">administration of </w:t>
      </w:r>
      <w:r w:rsidR="00DD6E62">
        <w:rPr>
          <w:rFonts w:ascii="Times New Roman" w:hAnsi="Times New Roman"/>
          <w:b w:val="0"/>
          <w:sz w:val="24"/>
          <w:szCs w:val="24"/>
        </w:rPr>
        <w:t>the risk equalisation</w:t>
      </w:r>
      <w:r w:rsidR="00C61240">
        <w:rPr>
          <w:rFonts w:ascii="Times New Roman" w:hAnsi="Times New Roman"/>
          <w:b w:val="0"/>
          <w:sz w:val="24"/>
          <w:szCs w:val="24"/>
        </w:rPr>
        <w:t xml:space="preserve"> trust</w:t>
      </w:r>
      <w:r w:rsidR="00DD6E62">
        <w:rPr>
          <w:rFonts w:ascii="Times New Roman" w:hAnsi="Times New Roman"/>
          <w:b w:val="0"/>
          <w:sz w:val="24"/>
          <w:szCs w:val="24"/>
        </w:rPr>
        <w:t xml:space="preserve"> fund at this time, which will become the risk equalisation special account.</w:t>
      </w:r>
      <w:r w:rsidR="004C0C16" w:rsidRPr="004C0C16">
        <w:rPr>
          <w:rFonts w:ascii="Times New Roman" w:hAnsi="Times New Roman"/>
          <w:b w:val="0"/>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B1252">
        <w:rPr>
          <w:rFonts w:ascii="Times New Roman" w:hAnsi="Times New Roman"/>
          <w:sz w:val="24"/>
          <w:szCs w:val="24"/>
        </w:rPr>
        <w:t>s</w:t>
      </w:r>
    </w:p>
    <w:p w:rsidR="009033D7" w:rsidRDefault="00DF02B2" w:rsidP="00497F57">
      <w:pPr>
        <w:pStyle w:val="Heading"/>
        <w:spacing w:after="240"/>
        <w:outlineLvl w:val="0"/>
        <w:rPr>
          <w:rFonts w:ascii="Times New Roman" w:hAnsi="Times New Roman"/>
          <w:b w:val="0"/>
          <w:sz w:val="24"/>
          <w:szCs w:val="24"/>
        </w:rPr>
      </w:pPr>
      <w:r>
        <w:rPr>
          <w:rFonts w:ascii="Times New Roman" w:hAnsi="Times New Roman"/>
          <w:b w:val="0"/>
          <w:sz w:val="24"/>
          <w:szCs w:val="24"/>
        </w:rPr>
        <w:t>As part of the reforms</w:t>
      </w:r>
      <w:r w:rsidRPr="004C0C16">
        <w:rPr>
          <w:rFonts w:ascii="Times New Roman" w:hAnsi="Times New Roman"/>
          <w:b w:val="0"/>
          <w:sz w:val="24"/>
          <w:szCs w:val="24"/>
        </w:rPr>
        <w:t xml:space="preserve">, </w:t>
      </w:r>
      <w:r>
        <w:rPr>
          <w:rFonts w:ascii="Times New Roman" w:hAnsi="Times New Roman"/>
          <w:b w:val="0"/>
          <w:sz w:val="24"/>
          <w:szCs w:val="24"/>
        </w:rPr>
        <w:t>the</w:t>
      </w:r>
      <w:r w:rsidRPr="00987B7C">
        <w:t xml:space="preserve"> </w:t>
      </w:r>
      <w:r w:rsidR="00DD6E62">
        <w:rPr>
          <w:rFonts w:ascii="Times New Roman" w:hAnsi="Times New Roman"/>
          <w:b w:val="0"/>
          <w:sz w:val="24"/>
          <w:szCs w:val="24"/>
        </w:rPr>
        <w:t>Act has been amended</w:t>
      </w:r>
      <w:r w:rsidR="00160D64" w:rsidRPr="0063796A">
        <w:rPr>
          <w:rFonts w:ascii="Times New Roman" w:hAnsi="Times New Roman"/>
          <w:b w:val="0"/>
          <w:sz w:val="24"/>
          <w:szCs w:val="24"/>
        </w:rPr>
        <w:t xml:space="preserve"> </w:t>
      </w:r>
      <w:r w:rsidR="00DD6E62">
        <w:rPr>
          <w:rFonts w:ascii="Times New Roman" w:hAnsi="Times New Roman"/>
          <w:b w:val="0"/>
          <w:sz w:val="24"/>
          <w:szCs w:val="24"/>
        </w:rPr>
        <w:t>so</w:t>
      </w:r>
      <w:r w:rsidR="00DD6E62" w:rsidRPr="0063796A">
        <w:rPr>
          <w:rFonts w:ascii="Times New Roman" w:hAnsi="Times New Roman"/>
          <w:b w:val="0"/>
          <w:sz w:val="24"/>
          <w:szCs w:val="24"/>
        </w:rPr>
        <w:t xml:space="preserve"> </w:t>
      </w:r>
      <w:r w:rsidRPr="0063796A">
        <w:rPr>
          <w:rFonts w:ascii="Times New Roman" w:hAnsi="Times New Roman"/>
          <w:b w:val="0"/>
          <w:sz w:val="24"/>
          <w:szCs w:val="24"/>
        </w:rPr>
        <w:t>that</w:t>
      </w:r>
      <w:r w:rsidR="009033D7" w:rsidRPr="0063796A">
        <w:rPr>
          <w:rFonts w:ascii="Times New Roman" w:hAnsi="Times New Roman"/>
          <w:b w:val="0"/>
          <w:sz w:val="24"/>
          <w:szCs w:val="24"/>
        </w:rPr>
        <w:t xml:space="preserve"> APRA may make Private Health Insurance (Risk Equalisation Administration) Rules</w:t>
      </w:r>
      <w:r w:rsidR="00DD6E62">
        <w:rPr>
          <w:rFonts w:ascii="Times New Roman" w:hAnsi="Times New Roman"/>
          <w:b w:val="0"/>
          <w:sz w:val="24"/>
          <w:szCs w:val="24"/>
        </w:rPr>
        <w:t xml:space="preserve">, </w:t>
      </w:r>
      <w:r w:rsidR="00C61240">
        <w:rPr>
          <w:rFonts w:ascii="Times New Roman" w:hAnsi="Times New Roman"/>
          <w:b w:val="0"/>
          <w:sz w:val="24"/>
          <w:szCs w:val="24"/>
        </w:rPr>
        <w:t xml:space="preserve">similar to those </w:t>
      </w:r>
      <w:r w:rsidR="00DD6E62">
        <w:rPr>
          <w:rFonts w:ascii="Times New Roman" w:hAnsi="Times New Roman"/>
          <w:b w:val="0"/>
          <w:sz w:val="24"/>
          <w:szCs w:val="24"/>
        </w:rPr>
        <w:t>form</w:t>
      </w:r>
      <w:r w:rsidR="00AE1811">
        <w:rPr>
          <w:rFonts w:ascii="Times New Roman" w:hAnsi="Times New Roman"/>
          <w:b w:val="0"/>
          <w:sz w:val="24"/>
          <w:szCs w:val="24"/>
        </w:rPr>
        <w:t>er</w:t>
      </w:r>
      <w:r w:rsidR="00DD6E62">
        <w:rPr>
          <w:rFonts w:ascii="Times New Roman" w:hAnsi="Times New Roman"/>
          <w:b w:val="0"/>
          <w:sz w:val="24"/>
          <w:szCs w:val="24"/>
        </w:rPr>
        <w:t xml:space="preserve">ly made by </w:t>
      </w:r>
      <w:r w:rsidR="00CD2044">
        <w:rPr>
          <w:rFonts w:ascii="Times New Roman" w:hAnsi="Times New Roman"/>
          <w:b w:val="0"/>
          <w:sz w:val="24"/>
          <w:szCs w:val="24"/>
        </w:rPr>
        <w:t xml:space="preserve">PHIAC, </w:t>
      </w:r>
      <w:r w:rsidR="009033D7" w:rsidRPr="009033D7">
        <w:rPr>
          <w:rFonts w:ascii="Times New Roman" w:hAnsi="Times New Roman"/>
          <w:b w:val="0"/>
          <w:sz w:val="24"/>
          <w:szCs w:val="24"/>
        </w:rPr>
        <w:t xml:space="preserve">providing for matters </w:t>
      </w:r>
      <w:r w:rsidR="0063796A">
        <w:rPr>
          <w:rFonts w:ascii="Times New Roman" w:hAnsi="Times New Roman"/>
          <w:b w:val="0"/>
          <w:sz w:val="24"/>
          <w:szCs w:val="24"/>
        </w:rPr>
        <w:t xml:space="preserve">such as </w:t>
      </w:r>
      <w:r w:rsidR="009033D7" w:rsidRPr="009033D7">
        <w:rPr>
          <w:rFonts w:ascii="Times New Roman" w:hAnsi="Times New Roman"/>
          <w:b w:val="0"/>
          <w:sz w:val="24"/>
          <w:szCs w:val="24"/>
        </w:rPr>
        <w:t>record-keeping for insurers liable</w:t>
      </w:r>
      <w:r w:rsidR="0063796A">
        <w:rPr>
          <w:rFonts w:ascii="Times New Roman" w:hAnsi="Times New Roman"/>
          <w:b w:val="0"/>
          <w:sz w:val="24"/>
          <w:szCs w:val="24"/>
        </w:rPr>
        <w:t xml:space="preserve"> for the Risk Equalisation Levy</w:t>
      </w:r>
      <w:r w:rsidR="00DD6E62">
        <w:rPr>
          <w:rFonts w:ascii="Times New Roman" w:hAnsi="Times New Roman"/>
          <w:b w:val="0"/>
          <w:sz w:val="24"/>
          <w:szCs w:val="24"/>
        </w:rPr>
        <w:t xml:space="preserve"> or entitled to risk equalisation payments</w:t>
      </w:r>
      <w:r w:rsidR="009033D7" w:rsidRPr="009033D7">
        <w:rPr>
          <w:rFonts w:ascii="Times New Roman" w:hAnsi="Times New Roman"/>
          <w:b w:val="0"/>
          <w:sz w:val="24"/>
          <w:szCs w:val="24"/>
        </w:rPr>
        <w:t xml:space="preserve">. </w:t>
      </w:r>
    </w:p>
    <w:p w:rsidR="00DF02B2" w:rsidRDefault="00DF02B2" w:rsidP="00497F57">
      <w:pPr>
        <w:pStyle w:val="Heading"/>
        <w:spacing w:after="240"/>
        <w:outlineLvl w:val="0"/>
        <w:rPr>
          <w:rFonts w:ascii="Times New Roman" w:hAnsi="Times New Roman"/>
          <w:b w:val="0"/>
          <w:sz w:val="24"/>
          <w:szCs w:val="24"/>
        </w:rPr>
      </w:pPr>
      <w:r>
        <w:rPr>
          <w:rFonts w:ascii="Times New Roman" w:hAnsi="Times New Roman"/>
          <w:b w:val="0"/>
          <w:sz w:val="24"/>
          <w:szCs w:val="24"/>
        </w:rPr>
        <w:t>The objective of the</w:t>
      </w:r>
      <w:r w:rsidR="00C61240">
        <w:rPr>
          <w:rFonts w:ascii="Times New Roman" w:hAnsi="Times New Roman"/>
          <w:b w:val="0"/>
          <w:sz w:val="24"/>
          <w:szCs w:val="24"/>
        </w:rPr>
        <w:t>se</w:t>
      </w:r>
      <w:r>
        <w:rPr>
          <w:rFonts w:ascii="Times New Roman" w:hAnsi="Times New Roman"/>
          <w:b w:val="0"/>
          <w:sz w:val="24"/>
          <w:szCs w:val="24"/>
        </w:rPr>
        <w:t xml:space="preserve"> Rules is to provide seamless transition of the current requirements administered by PHIAC, so that the same requirements continue to have effect in substance following the transfer of responsibilities to APRA. This will minimise the disturbance to the private health industry. The</w:t>
      </w:r>
      <w:r w:rsidR="00C61240">
        <w:rPr>
          <w:rFonts w:ascii="Times New Roman" w:hAnsi="Times New Roman"/>
          <w:b w:val="0"/>
          <w:sz w:val="24"/>
          <w:szCs w:val="24"/>
        </w:rPr>
        <w:t>se</w:t>
      </w:r>
      <w:r>
        <w:rPr>
          <w:rFonts w:ascii="Times New Roman" w:hAnsi="Times New Roman"/>
          <w:b w:val="0"/>
          <w:sz w:val="24"/>
          <w:szCs w:val="24"/>
        </w:rPr>
        <w:t xml:space="preserve"> Rules replicate </w:t>
      </w:r>
      <w:r w:rsidR="00DD6E62">
        <w:rPr>
          <w:rFonts w:ascii="Times New Roman" w:hAnsi="Times New Roman"/>
          <w:b w:val="0"/>
          <w:sz w:val="24"/>
          <w:szCs w:val="24"/>
        </w:rPr>
        <w:t xml:space="preserve">record keeping </w:t>
      </w:r>
      <w:r w:rsidR="00CE64DE">
        <w:rPr>
          <w:rFonts w:ascii="Times New Roman" w:hAnsi="Times New Roman"/>
          <w:b w:val="0"/>
          <w:sz w:val="24"/>
          <w:szCs w:val="24"/>
        </w:rPr>
        <w:t>requirements</w:t>
      </w:r>
      <w:r>
        <w:rPr>
          <w:rFonts w:ascii="Times New Roman" w:hAnsi="Times New Roman"/>
          <w:b w:val="0"/>
          <w:sz w:val="24"/>
          <w:szCs w:val="24"/>
        </w:rPr>
        <w:t xml:space="preserve"> applying to private health insurers </w:t>
      </w:r>
      <w:r w:rsidR="00CE64DE">
        <w:rPr>
          <w:rFonts w:ascii="Times New Roman" w:hAnsi="Times New Roman"/>
          <w:b w:val="0"/>
          <w:sz w:val="24"/>
          <w:szCs w:val="24"/>
        </w:rPr>
        <w:t xml:space="preserve">under the </w:t>
      </w:r>
      <w:r w:rsidR="00CE64DE" w:rsidRPr="00CE64DE">
        <w:rPr>
          <w:rFonts w:ascii="Times New Roman" w:hAnsi="Times New Roman"/>
          <w:b w:val="0"/>
          <w:i/>
          <w:sz w:val="24"/>
          <w:szCs w:val="24"/>
        </w:rPr>
        <w:t>Private Health Insurance (Risk Equalisation Administration) Rules 2007</w:t>
      </w:r>
      <w:r w:rsidR="00CE64DE">
        <w:rPr>
          <w:rFonts w:ascii="Times New Roman" w:hAnsi="Times New Roman"/>
          <w:b w:val="0"/>
          <w:sz w:val="24"/>
          <w:szCs w:val="24"/>
        </w:rPr>
        <w:t xml:space="preserve"> (the 2007 Rules).</w:t>
      </w:r>
    </w:p>
    <w:p w:rsidR="009033D7" w:rsidRDefault="009033D7" w:rsidP="00497F57">
      <w:pPr>
        <w:pStyle w:val="Heading"/>
        <w:spacing w:after="240"/>
        <w:outlineLvl w:val="0"/>
        <w:rPr>
          <w:rFonts w:ascii="Times New Roman" w:hAnsi="Times New Roman"/>
          <w:b w:val="0"/>
          <w:sz w:val="24"/>
          <w:szCs w:val="24"/>
        </w:rPr>
      </w:pPr>
      <w:r w:rsidRPr="009033D7">
        <w:rPr>
          <w:rFonts w:ascii="Times New Roman" w:hAnsi="Times New Roman"/>
          <w:b w:val="0"/>
          <w:sz w:val="24"/>
          <w:szCs w:val="24"/>
        </w:rPr>
        <w:t>The</w:t>
      </w:r>
      <w:r w:rsidR="00C61240">
        <w:rPr>
          <w:rFonts w:ascii="Times New Roman" w:hAnsi="Times New Roman"/>
          <w:b w:val="0"/>
          <w:sz w:val="24"/>
          <w:szCs w:val="24"/>
        </w:rPr>
        <w:t>se</w:t>
      </w:r>
      <w:r w:rsidRPr="009033D7">
        <w:rPr>
          <w:rFonts w:ascii="Times New Roman" w:hAnsi="Times New Roman"/>
          <w:b w:val="0"/>
          <w:sz w:val="24"/>
          <w:szCs w:val="24"/>
        </w:rPr>
        <w:t xml:space="preserve"> Rules set requirements for </w:t>
      </w:r>
      <w:r>
        <w:rPr>
          <w:rFonts w:ascii="Times New Roman" w:hAnsi="Times New Roman"/>
          <w:b w:val="0"/>
          <w:sz w:val="24"/>
          <w:szCs w:val="24"/>
        </w:rPr>
        <w:t>insurers that are liable to the Risk Equalisation Levy to keep particular kinds of records.</w:t>
      </w:r>
      <w:r w:rsidR="00A76544">
        <w:rPr>
          <w:rFonts w:ascii="Times New Roman" w:hAnsi="Times New Roman"/>
          <w:b w:val="0"/>
          <w:sz w:val="24"/>
          <w:szCs w:val="24"/>
        </w:rPr>
        <w:t xml:space="preserve"> </w:t>
      </w:r>
      <w:r w:rsidR="00EA48D8">
        <w:rPr>
          <w:rFonts w:ascii="Times New Roman" w:hAnsi="Times New Roman"/>
          <w:b w:val="0"/>
          <w:sz w:val="24"/>
          <w:szCs w:val="24"/>
        </w:rPr>
        <w:t>The</w:t>
      </w:r>
      <w:r w:rsidR="00C61240">
        <w:rPr>
          <w:rFonts w:ascii="Times New Roman" w:hAnsi="Times New Roman"/>
          <w:b w:val="0"/>
          <w:sz w:val="24"/>
          <w:szCs w:val="24"/>
        </w:rPr>
        <w:t>se</w:t>
      </w:r>
      <w:r w:rsidR="00EA48D8">
        <w:rPr>
          <w:rFonts w:ascii="Times New Roman" w:hAnsi="Times New Roman"/>
          <w:b w:val="0"/>
          <w:sz w:val="24"/>
          <w:szCs w:val="24"/>
        </w:rPr>
        <w:t xml:space="preserve"> Rules specify general requirements for </w:t>
      </w:r>
      <w:r w:rsidR="001808F5">
        <w:rPr>
          <w:rFonts w:ascii="Times New Roman" w:hAnsi="Times New Roman"/>
          <w:b w:val="0"/>
          <w:sz w:val="24"/>
          <w:szCs w:val="24"/>
        </w:rPr>
        <w:t>records to be kept for each fund and</w:t>
      </w:r>
      <w:r w:rsidR="00EA48D8">
        <w:rPr>
          <w:rFonts w:ascii="Times New Roman" w:hAnsi="Times New Roman"/>
          <w:b w:val="0"/>
          <w:sz w:val="24"/>
          <w:szCs w:val="24"/>
        </w:rPr>
        <w:t xml:space="preserve"> </w:t>
      </w:r>
      <w:r w:rsidR="001808F5">
        <w:rPr>
          <w:rFonts w:ascii="Times New Roman" w:hAnsi="Times New Roman"/>
          <w:b w:val="0"/>
          <w:sz w:val="24"/>
          <w:szCs w:val="24"/>
        </w:rPr>
        <w:t xml:space="preserve">specify further records to be kept for the purposes of the high cost claimants pool. </w:t>
      </w:r>
      <w:r w:rsidR="00CE64DE" w:rsidRPr="00CE64DE">
        <w:rPr>
          <w:rFonts w:ascii="Times New Roman" w:hAnsi="Times New Roman"/>
          <w:b w:val="0"/>
          <w:sz w:val="24"/>
          <w:szCs w:val="24"/>
        </w:rPr>
        <w:t xml:space="preserve">Further information regarding the operation of </w:t>
      </w:r>
      <w:r w:rsidR="00CE64DE">
        <w:rPr>
          <w:rFonts w:ascii="Times New Roman" w:hAnsi="Times New Roman"/>
          <w:b w:val="0"/>
          <w:sz w:val="24"/>
          <w:szCs w:val="24"/>
        </w:rPr>
        <w:t>the</w:t>
      </w:r>
      <w:r w:rsidR="00C61240">
        <w:rPr>
          <w:rFonts w:ascii="Times New Roman" w:hAnsi="Times New Roman"/>
          <w:b w:val="0"/>
          <w:sz w:val="24"/>
          <w:szCs w:val="24"/>
        </w:rPr>
        <w:t>se</w:t>
      </w:r>
      <w:r w:rsidR="00CE64DE">
        <w:rPr>
          <w:rFonts w:ascii="Times New Roman" w:hAnsi="Times New Roman"/>
          <w:b w:val="0"/>
          <w:sz w:val="24"/>
          <w:szCs w:val="24"/>
        </w:rPr>
        <w:t xml:space="preserve"> Rules </w:t>
      </w:r>
      <w:r w:rsidR="00CE64DE" w:rsidRPr="00CE64DE">
        <w:rPr>
          <w:rFonts w:ascii="Times New Roman" w:hAnsi="Times New Roman"/>
          <w:b w:val="0"/>
          <w:sz w:val="24"/>
          <w:szCs w:val="24"/>
        </w:rPr>
        <w:t>can be found in the Explanatory Statement accompanying the</w:t>
      </w:r>
      <w:r w:rsidR="00CE64DE">
        <w:rPr>
          <w:rFonts w:ascii="Times New Roman" w:hAnsi="Times New Roman"/>
          <w:b w:val="0"/>
          <w:sz w:val="24"/>
          <w:szCs w:val="24"/>
        </w:rPr>
        <w:t xml:space="preserve"> 2007 Rules.</w:t>
      </w:r>
      <w:r w:rsidR="006C70A6">
        <w:rPr>
          <w:rFonts w:ascii="Times New Roman" w:hAnsi="Times New Roman"/>
          <w:b w:val="0"/>
          <w:sz w:val="24"/>
          <w:szCs w:val="24"/>
        </w:rPr>
        <w:t xml:space="preserve">  Requirements relating to the provision of quarterly risk equalisation returns and the audit of those returns that were included in the 2007 Rules have not been included in the</w:t>
      </w:r>
      <w:r w:rsidR="00C61240">
        <w:rPr>
          <w:rFonts w:ascii="Times New Roman" w:hAnsi="Times New Roman"/>
          <w:b w:val="0"/>
          <w:sz w:val="24"/>
          <w:szCs w:val="24"/>
        </w:rPr>
        <w:t>se</w:t>
      </w:r>
      <w:r w:rsidR="006C70A6">
        <w:rPr>
          <w:rFonts w:ascii="Times New Roman" w:hAnsi="Times New Roman"/>
          <w:b w:val="0"/>
          <w:sz w:val="24"/>
          <w:szCs w:val="24"/>
        </w:rPr>
        <w:t xml:space="preserve"> Rules.  Those requirements have been superseded by a new reporting standard made by APRA under the </w:t>
      </w:r>
      <w:r w:rsidR="006C70A6" w:rsidRPr="006C70A6">
        <w:rPr>
          <w:rFonts w:ascii="Times New Roman" w:hAnsi="Times New Roman"/>
          <w:b w:val="0"/>
          <w:i/>
          <w:sz w:val="24"/>
          <w:szCs w:val="24"/>
        </w:rPr>
        <w:t>Financial Sector (Collection of Data) Act 2001</w:t>
      </w:r>
      <w:r w:rsidR="006C70A6">
        <w:rPr>
          <w:rFonts w:ascii="Times New Roman" w:hAnsi="Times New Roman"/>
          <w:b w:val="0"/>
          <w:sz w:val="24"/>
          <w:szCs w:val="24"/>
        </w:rPr>
        <w:t>.</w:t>
      </w:r>
    </w:p>
    <w:p w:rsidR="001C01EB" w:rsidRPr="00387365" w:rsidRDefault="00DD3099" w:rsidP="00A76544">
      <w:pPr>
        <w:pStyle w:val="Heading"/>
        <w:spacing w:after="240"/>
        <w:outlineLvl w:val="0"/>
        <w:rPr>
          <w:rFonts w:ascii="Times New Roman" w:hAnsi="Times New Roman"/>
          <w:b w:val="0"/>
          <w:sz w:val="24"/>
          <w:szCs w:val="24"/>
        </w:rPr>
      </w:pPr>
      <w:r>
        <w:rPr>
          <w:rFonts w:ascii="Times New Roman" w:hAnsi="Times New Roman"/>
          <w:b w:val="0"/>
          <w:sz w:val="24"/>
          <w:szCs w:val="24"/>
        </w:rPr>
        <w:t>The</w:t>
      </w:r>
      <w:r w:rsidR="00C61240">
        <w:rPr>
          <w:rFonts w:ascii="Times New Roman" w:hAnsi="Times New Roman"/>
          <w:b w:val="0"/>
          <w:sz w:val="24"/>
          <w:szCs w:val="24"/>
        </w:rPr>
        <w:t>se</w:t>
      </w:r>
      <w:r>
        <w:rPr>
          <w:rFonts w:ascii="Times New Roman" w:hAnsi="Times New Roman"/>
          <w:b w:val="0"/>
          <w:sz w:val="24"/>
          <w:szCs w:val="24"/>
        </w:rPr>
        <w:t xml:space="preserve"> Rules</w:t>
      </w:r>
      <w:r w:rsidR="00AB4916">
        <w:rPr>
          <w:rFonts w:ascii="Times New Roman" w:hAnsi="Times New Roman"/>
          <w:b w:val="0"/>
          <w:sz w:val="24"/>
          <w:szCs w:val="24"/>
        </w:rPr>
        <w:t xml:space="preserve"> apply to all private health insurers and</w:t>
      </w:r>
      <w:r w:rsidR="00987B7C">
        <w:rPr>
          <w:rFonts w:ascii="Times New Roman" w:hAnsi="Times New Roman"/>
          <w:b w:val="0"/>
          <w:sz w:val="24"/>
          <w:szCs w:val="24"/>
        </w:rPr>
        <w:t xml:space="preserve"> </w:t>
      </w:r>
      <w:r w:rsidR="00D04328">
        <w:rPr>
          <w:rFonts w:ascii="Times New Roman" w:hAnsi="Times New Roman"/>
          <w:b w:val="0"/>
          <w:sz w:val="24"/>
          <w:szCs w:val="24"/>
        </w:rPr>
        <w:t xml:space="preserve">include </w:t>
      </w:r>
      <w:r w:rsidR="00987B7C">
        <w:rPr>
          <w:rFonts w:ascii="Times New Roman" w:hAnsi="Times New Roman"/>
          <w:b w:val="0"/>
          <w:sz w:val="24"/>
          <w:szCs w:val="24"/>
        </w:rPr>
        <w:t xml:space="preserve">substantially the same content, with some minor and technical changes to align with </w:t>
      </w:r>
      <w:r w:rsidR="00DF02B2">
        <w:rPr>
          <w:rFonts w:ascii="Times New Roman" w:hAnsi="Times New Roman"/>
          <w:b w:val="0"/>
          <w:sz w:val="24"/>
          <w:szCs w:val="24"/>
        </w:rPr>
        <w:t>changes to the Act</w:t>
      </w:r>
      <w:r w:rsidR="00CD2044">
        <w:rPr>
          <w:rFonts w:ascii="Times New Roman" w:hAnsi="Times New Roman"/>
          <w:b w:val="0"/>
          <w:sz w:val="24"/>
          <w:szCs w:val="24"/>
        </w:rPr>
        <w:t xml:space="preserve"> as </w:t>
      </w:r>
      <w:r w:rsidR="00CD2044">
        <w:rPr>
          <w:rFonts w:ascii="Times New Roman" w:hAnsi="Times New Roman"/>
          <w:b w:val="0"/>
          <w:sz w:val="24"/>
          <w:szCs w:val="24"/>
        </w:rPr>
        <w:lastRenderedPageBreak/>
        <w:t>amended by the PHIPS Consequential Amendments Act</w:t>
      </w:r>
      <w:r w:rsidR="00AE2BC8">
        <w:rPr>
          <w:rFonts w:ascii="Times New Roman" w:hAnsi="Times New Roman"/>
          <w:b w:val="0"/>
          <w:sz w:val="24"/>
          <w:szCs w:val="24"/>
        </w:rPr>
        <w:t>.</w:t>
      </w:r>
      <w:r w:rsidR="00E129FD">
        <w:rPr>
          <w:rFonts w:ascii="Times New Roman" w:hAnsi="Times New Roman"/>
          <w:b w:val="0"/>
          <w:sz w:val="24"/>
          <w:szCs w:val="24"/>
        </w:rPr>
        <w:t xml:space="preserve"> </w:t>
      </w:r>
      <w:r w:rsidR="00AB4916">
        <w:rPr>
          <w:rFonts w:ascii="Times New Roman" w:hAnsi="Times New Roman"/>
          <w:b w:val="0"/>
          <w:sz w:val="24"/>
          <w:szCs w:val="24"/>
        </w:rPr>
        <w:t xml:space="preserve">The net result is that the obligations of private health insurers under APRA’s prudential </w:t>
      </w:r>
      <w:r w:rsidR="008A1DDC">
        <w:rPr>
          <w:rFonts w:ascii="Times New Roman" w:hAnsi="Times New Roman"/>
          <w:b w:val="0"/>
          <w:sz w:val="24"/>
          <w:szCs w:val="24"/>
        </w:rPr>
        <w:t xml:space="preserve">requirements </w:t>
      </w:r>
      <w:r w:rsidR="009C3639">
        <w:rPr>
          <w:rFonts w:ascii="Times New Roman" w:hAnsi="Times New Roman"/>
          <w:b w:val="0"/>
          <w:sz w:val="24"/>
          <w:szCs w:val="24"/>
        </w:rPr>
        <w:t>are substantively unchanged from the requirements administered by PHIAC.</w:t>
      </w:r>
      <w:r w:rsidR="00387365">
        <w:rPr>
          <w:rFonts w:ascii="Times New Roman" w:hAnsi="Times New Roman"/>
          <w:b w:val="0"/>
          <w:sz w:val="24"/>
          <w:szCs w:val="24"/>
        </w:rPr>
        <w:t xml:space="preserve"> </w:t>
      </w:r>
      <w:r w:rsidR="00F44B66">
        <w:rPr>
          <w:rFonts w:ascii="Times New Roman" w:hAnsi="Times New Roman"/>
          <w:b w:val="0"/>
          <w:sz w:val="24"/>
          <w:szCs w:val="24"/>
        </w:rPr>
        <w:t xml:space="preserve">As </w:t>
      </w:r>
      <w:r w:rsidR="00DF02B2">
        <w:rPr>
          <w:rFonts w:ascii="Times New Roman" w:hAnsi="Times New Roman"/>
          <w:b w:val="0"/>
          <w:sz w:val="24"/>
          <w:szCs w:val="24"/>
        </w:rPr>
        <w:t>APRA’s</w:t>
      </w:r>
      <w:r w:rsidR="00F44B66">
        <w:rPr>
          <w:rFonts w:ascii="Times New Roman" w:hAnsi="Times New Roman"/>
          <w:b w:val="0"/>
          <w:sz w:val="24"/>
          <w:szCs w:val="24"/>
        </w:rPr>
        <w:t xml:space="preserve"> </w:t>
      </w:r>
      <w:r w:rsidR="00AB4916">
        <w:rPr>
          <w:rFonts w:ascii="Times New Roman" w:hAnsi="Times New Roman"/>
          <w:b w:val="0"/>
          <w:sz w:val="24"/>
          <w:szCs w:val="24"/>
        </w:rPr>
        <w:t>prudential standards</w:t>
      </w:r>
      <w:r w:rsidR="00F44B66">
        <w:rPr>
          <w:rFonts w:ascii="Times New Roman" w:hAnsi="Times New Roman"/>
          <w:b w:val="0"/>
          <w:sz w:val="24"/>
          <w:szCs w:val="24"/>
        </w:rPr>
        <w:t xml:space="preserve"> </w:t>
      </w:r>
      <w:r w:rsidR="001274CE">
        <w:rPr>
          <w:rFonts w:ascii="Times New Roman" w:hAnsi="Times New Roman"/>
          <w:b w:val="0"/>
          <w:sz w:val="24"/>
          <w:szCs w:val="24"/>
        </w:rPr>
        <w:t xml:space="preserve">and Rules </w:t>
      </w:r>
      <w:r w:rsidR="00F44B66">
        <w:rPr>
          <w:rFonts w:ascii="Times New Roman" w:hAnsi="Times New Roman"/>
          <w:b w:val="0"/>
          <w:sz w:val="24"/>
          <w:szCs w:val="24"/>
        </w:rPr>
        <w:t xml:space="preserve">maintain the status quo for the regulation of the private health industry, there </w:t>
      </w:r>
      <w:r w:rsidR="00952383">
        <w:rPr>
          <w:rFonts w:ascii="Times New Roman" w:hAnsi="Times New Roman"/>
          <w:b w:val="0"/>
          <w:sz w:val="24"/>
          <w:szCs w:val="24"/>
        </w:rPr>
        <w:t>are</w:t>
      </w:r>
      <w:r w:rsidR="00AC4AE2">
        <w:rPr>
          <w:rFonts w:ascii="Times New Roman" w:hAnsi="Times New Roman"/>
          <w:b w:val="0"/>
          <w:sz w:val="24"/>
          <w:szCs w:val="24"/>
        </w:rPr>
        <w:t xml:space="preserve"> </w:t>
      </w:r>
      <w:r w:rsidR="00F44B66">
        <w:rPr>
          <w:rFonts w:ascii="Times New Roman" w:hAnsi="Times New Roman"/>
          <w:b w:val="0"/>
          <w:sz w:val="24"/>
          <w:szCs w:val="24"/>
        </w:rPr>
        <w:t>no regulatory impacts or costs incurred through the transition to APRA. Private health insurers are able to continue their practices with minimal disruption.</w:t>
      </w:r>
    </w:p>
    <w:p w:rsidR="002436BD" w:rsidRDefault="002436BD" w:rsidP="00D85E77">
      <w:pPr>
        <w:pStyle w:val="Heading"/>
        <w:numPr>
          <w:ilvl w:val="0"/>
          <w:numId w:val="2"/>
        </w:numPr>
        <w:spacing w:after="240"/>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rsidR="002436BD" w:rsidRDefault="002436BD"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129FD">
        <w:rPr>
          <w:rFonts w:ascii="Times New Roman" w:hAnsi="Times New Roman"/>
          <w:b w:val="0"/>
          <w:sz w:val="24"/>
          <w:szCs w:val="24"/>
        </w:rPr>
        <w:t>the proposed prudential and reporting framework for APRA’s supervision of private health insurers. The consultation was undertaken</w:t>
      </w:r>
      <w:r>
        <w:rPr>
          <w:rFonts w:ascii="Times New Roman" w:hAnsi="Times New Roman"/>
          <w:b w:val="0"/>
          <w:sz w:val="24"/>
          <w:szCs w:val="24"/>
        </w:rPr>
        <w:t xml:space="preserve"> </w:t>
      </w:r>
      <w:r w:rsidR="008A1DDC">
        <w:rPr>
          <w:rFonts w:ascii="Times New Roman" w:hAnsi="Times New Roman"/>
          <w:b w:val="0"/>
          <w:sz w:val="24"/>
          <w:szCs w:val="24"/>
        </w:rPr>
        <w:t>from</w:t>
      </w:r>
      <w:r>
        <w:rPr>
          <w:rFonts w:ascii="Times New Roman" w:hAnsi="Times New Roman"/>
          <w:b w:val="0"/>
          <w:sz w:val="24"/>
          <w:szCs w:val="24"/>
        </w:rPr>
        <w:t xml:space="preserve"> </w:t>
      </w:r>
      <w:r w:rsidR="002C7E35">
        <w:rPr>
          <w:rFonts w:ascii="Times New Roman" w:hAnsi="Times New Roman"/>
          <w:b w:val="0"/>
          <w:sz w:val="24"/>
          <w:szCs w:val="24"/>
        </w:rPr>
        <w:t xml:space="preserve">March </w:t>
      </w:r>
      <w:r>
        <w:rPr>
          <w:rFonts w:ascii="Times New Roman" w:hAnsi="Times New Roman"/>
          <w:b w:val="0"/>
          <w:sz w:val="24"/>
          <w:szCs w:val="24"/>
        </w:rPr>
        <w:t xml:space="preserve">to </w:t>
      </w:r>
      <w:r w:rsidR="002C7E35">
        <w:rPr>
          <w:rFonts w:ascii="Times New Roman" w:hAnsi="Times New Roman"/>
          <w:b w:val="0"/>
          <w:sz w:val="24"/>
          <w:szCs w:val="24"/>
        </w:rPr>
        <w:t>May 2015</w:t>
      </w:r>
      <w:r w:rsidR="008A1DDC">
        <w:rPr>
          <w:rFonts w:ascii="Times New Roman" w:hAnsi="Times New Roman"/>
          <w:b w:val="0"/>
          <w:sz w:val="24"/>
          <w:szCs w:val="24"/>
        </w:rPr>
        <w:t xml:space="preserve">. APRA received input from </w:t>
      </w:r>
      <w:r w:rsidR="008F3205">
        <w:rPr>
          <w:rFonts w:ascii="Times New Roman" w:hAnsi="Times New Roman"/>
          <w:b w:val="0"/>
          <w:sz w:val="24"/>
          <w:szCs w:val="24"/>
        </w:rPr>
        <w:t>p</w:t>
      </w:r>
      <w:r w:rsidR="002C7E35">
        <w:rPr>
          <w:rFonts w:ascii="Times New Roman" w:hAnsi="Times New Roman"/>
          <w:b w:val="0"/>
          <w:sz w:val="24"/>
          <w:szCs w:val="24"/>
        </w:rPr>
        <w:t>rivate health insurers</w:t>
      </w:r>
      <w:r w:rsidR="00F65630">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2436BD" w:rsidRDefault="000E4D81"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following </w:t>
      </w:r>
      <w:r w:rsidR="008F3205">
        <w:rPr>
          <w:rFonts w:ascii="Times New Roman" w:hAnsi="Times New Roman"/>
          <w:b w:val="0"/>
          <w:sz w:val="24"/>
          <w:szCs w:val="24"/>
        </w:rPr>
        <w:t xml:space="preserve">consultation </w:t>
      </w:r>
      <w:r>
        <w:rPr>
          <w:rFonts w:ascii="Times New Roman" w:hAnsi="Times New Roman"/>
          <w:b w:val="0"/>
          <w:sz w:val="24"/>
          <w:szCs w:val="24"/>
        </w:rPr>
        <w:t>papers</w:t>
      </w:r>
      <w:r w:rsidR="002436BD">
        <w:rPr>
          <w:rFonts w:ascii="Times New Roman" w:hAnsi="Times New Roman"/>
          <w:b w:val="0"/>
          <w:sz w:val="24"/>
          <w:szCs w:val="24"/>
        </w:rPr>
        <w:t xml:space="preserve"> were released:</w:t>
      </w:r>
    </w:p>
    <w:p w:rsidR="002436BD" w:rsidRPr="00D85E77"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March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Discussion paper on the proposed prudential and reporting framework for APRA’s supervision of private health insurers in Australia, together with draft prudential standards, Rules and reporting standards;</w:t>
      </w:r>
      <w:r w:rsidR="002436BD" w:rsidRPr="00D85E77">
        <w:rPr>
          <w:rFonts w:ascii="Times New Roman" w:hAnsi="Times New Roman"/>
          <w:b w:val="0"/>
          <w:sz w:val="24"/>
          <w:szCs w:val="24"/>
        </w:rPr>
        <w:t xml:space="preserve"> </w:t>
      </w:r>
      <w:r w:rsidR="00815849">
        <w:rPr>
          <w:rFonts w:ascii="Times New Roman" w:hAnsi="Times New Roman"/>
          <w:b w:val="0"/>
          <w:sz w:val="24"/>
          <w:szCs w:val="24"/>
        </w:rPr>
        <w:t>and</w:t>
      </w:r>
    </w:p>
    <w:p w:rsidR="002436BD"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June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 xml:space="preserve">Response to submissions on the proposed prudential and reporting framework for APRA’s supervision of private health insurers in Australia, together with </w:t>
      </w:r>
      <w:r w:rsidR="00815849">
        <w:rPr>
          <w:rFonts w:ascii="Times New Roman" w:hAnsi="Times New Roman"/>
          <w:b w:val="0"/>
          <w:sz w:val="24"/>
          <w:szCs w:val="24"/>
        </w:rPr>
        <w:t>final</w:t>
      </w:r>
      <w:r w:rsidR="006C6760">
        <w:rPr>
          <w:rFonts w:ascii="Times New Roman" w:hAnsi="Times New Roman"/>
          <w:b w:val="0"/>
          <w:sz w:val="24"/>
          <w:szCs w:val="24"/>
        </w:rPr>
        <w:t xml:space="preserve"> prudential standards, Rules and reporting standards</w:t>
      </w:r>
      <w:r w:rsidR="00815849">
        <w:rPr>
          <w:rFonts w:ascii="Times New Roman" w:hAnsi="Times New Roman"/>
          <w:b w:val="0"/>
          <w:sz w:val="24"/>
          <w:szCs w:val="24"/>
        </w:rPr>
        <w:t>.</w:t>
      </w:r>
    </w:p>
    <w:p w:rsidR="00F67ABE" w:rsidRPr="00F67ABE"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APRA has considered both formal and informal feedback from stakeholders throughout the consultation process. </w:t>
      </w:r>
      <w:r w:rsidR="004A7E13">
        <w:rPr>
          <w:rFonts w:ascii="Times New Roman" w:hAnsi="Times New Roman"/>
          <w:b w:val="0"/>
          <w:sz w:val="24"/>
          <w:szCs w:val="24"/>
        </w:rPr>
        <w:t xml:space="preserve">12 </w:t>
      </w:r>
      <w:r w:rsidR="00785A18">
        <w:rPr>
          <w:rFonts w:ascii="Times New Roman" w:hAnsi="Times New Roman"/>
          <w:b w:val="0"/>
          <w:sz w:val="24"/>
          <w:szCs w:val="24"/>
        </w:rPr>
        <w:t xml:space="preserve">submissions were received in response to the discussion paper. </w:t>
      </w:r>
      <w:r w:rsidRPr="00F67ABE">
        <w:rPr>
          <w:rFonts w:ascii="Times New Roman" w:hAnsi="Times New Roman"/>
          <w:b w:val="0"/>
          <w:sz w:val="24"/>
          <w:szCs w:val="24"/>
        </w:rPr>
        <w:t xml:space="preserve">In addition to the formal consultation, APRA held a number of consultation sessions and meetings with industry stakeholders. </w:t>
      </w:r>
    </w:p>
    <w:p w:rsidR="002F0613" w:rsidRPr="004D1EE4"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Industry feedback </w:t>
      </w:r>
      <w:r w:rsidR="00D04328">
        <w:rPr>
          <w:rFonts w:ascii="Times New Roman" w:hAnsi="Times New Roman"/>
          <w:b w:val="0"/>
          <w:sz w:val="24"/>
          <w:szCs w:val="24"/>
        </w:rPr>
        <w:t xml:space="preserve">did not raise any significant concerns with APRA’s proposals on the APRA Rules.  Submissions </w:t>
      </w:r>
      <w:r w:rsidRPr="00F67ABE">
        <w:rPr>
          <w:rFonts w:ascii="Times New Roman" w:hAnsi="Times New Roman"/>
          <w:b w:val="0"/>
          <w:sz w:val="24"/>
          <w:szCs w:val="24"/>
        </w:rPr>
        <w:t xml:space="preserve">focused on the technical changes that were necessary to align with the new legislation. As a result, APRA made a number of </w:t>
      </w:r>
      <w:r w:rsidR="00CA2BFC">
        <w:rPr>
          <w:rFonts w:ascii="Times New Roman" w:hAnsi="Times New Roman"/>
          <w:b w:val="0"/>
          <w:sz w:val="24"/>
          <w:szCs w:val="24"/>
        </w:rPr>
        <w:t xml:space="preserve">minor </w:t>
      </w:r>
      <w:r w:rsidRPr="00F67ABE">
        <w:rPr>
          <w:rFonts w:ascii="Times New Roman" w:hAnsi="Times New Roman"/>
          <w:b w:val="0"/>
          <w:sz w:val="24"/>
          <w:szCs w:val="24"/>
        </w:rPr>
        <w:t>amendments to the consultation documents. These amendments sought to address some minor errors and omissions, and maintain the current requirements applying to private health insurers.</w:t>
      </w:r>
    </w:p>
    <w:p w:rsidR="002436BD" w:rsidRDefault="00DF524E" w:rsidP="006C3AA6">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sidR="00290946">
        <w:rPr>
          <w:rFonts w:ascii="Times New Roman" w:hAnsi="Times New Roman"/>
          <w:b w:val="0"/>
          <w:sz w:val="24"/>
          <w:szCs w:val="24"/>
        </w:rPr>
        <w:t>is not required</w:t>
      </w:r>
      <w:r w:rsidR="007F3C95">
        <w:rPr>
          <w:rFonts w:ascii="Times New Roman" w:hAnsi="Times New Roman"/>
          <w:b w:val="0"/>
          <w:sz w:val="24"/>
          <w:szCs w:val="24"/>
        </w:rPr>
        <w:t xml:space="preserve"> for the instruments</w:t>
      </w:r>
      <w:r w:rsidRPr="00D3484E">
        <w:rPr>
          <w:rFonts w:ascii="Times New Roman" w:hAnsi="Times New Roman"/>
          <w:b w:val="0"/>
          <w:sz w:val="24"/>
          <w:szCs w:val="24"/>
        </w:rPr>
        <w:t>.</w:t>
      </w:r>
    </w:p>
    <w:p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FB2570" w:rsidRDefault="00FB2570">
      <w:r>
        <w:br w:type="page"/>
      </w:r>
    </w:p>
    <w:p w:rsidR="00B04B20" w:rsidRPr="006C3AA6" w:rsidRDefault="00FB2570" w:rsidP="00D85E77">
      <w:pPr>
        <w:spacing w:after="240"/>
        <w:jc w:val="both"/>
        <w:rPr>
          <w:rFonts w:ascii="Times New Roman" w:hAnsi="Times New Roman"/>
          <w:b/>
          <w:sz w:val="24"/>
          <w:szCs w:val="24"/>
        </w:rPr>
      </w:pPr>
      <w:r w:rsidRPr="006C3AA6">
        <w:rPr>
          <w:rFonts w:ascii="Times New Roman" w:hAnsi="Times New Roman"/>
          <w:b/>
          <w:sz w:val="24"/>
          <w:szCs w:val="24"/>
        </w:rPr>
        <w:lastRenderedPageBreak/>
        <w:t>Attachment A</w:t>
      </w:r>
    </w:p>
    <w:p w:rsidR="006C3AA6" w:rsidRPr="006C3AA6" w:rsidRDefault="006C3AA6" w:rsidP="006C3AA6">
      <w:pPr>
        <w:spacing w:before="100" w:beforeAutospacing="1" w:after="240"/>
        <w:jc w:val="center"/>
        <w:rPr>
          <w:rFonts w:ascii="Helvetica Neue" w:hAnsi="Helvetica Neue"/>
          <w:b/>
          <w:sz w:val="19"/>
          <w:szCs w:val="19"/>
        </w:rPr>
      </w:pPr>
      <w:r w:rsidRPr="006C3AA6">
        <w:rPr>
          <w:rFonts w:ascii="Times New Roman" w:hAnsi="Times New Roman"/>
          <w:b/>
          <w:sz w:val="24"/>
          <w:szCs w:val="24"/>
        </w:rPr>
        <w:t>Statement of Compatibility with Human Rights</w:t>
      </w:r>
    </w:p>
    <w:p w:rsidR="006C3AA6" w:rsidRPr="006C3AA6" w:rsidRDefault="006C3AA6" w:rsidP="006C3AA6">
      <w:pPr>
        <w:spacing w:before="100" w:beforeAutospacing="1" w:after="240"/>
        <w:rPr>
          <w:rFonts w:ascii="Helvetica Neue" w:hAnsi="Helvetica Neue"/>
          <w:sz w:val="19"/>
          <w:szCs w:val="19"/>
        </w:rPr>
      </w:pPr>
      <w:r w:rsidRPr="006C3AA6">
        <w:rPr>
          <w:rFonts w:ascii="Times New Roman" w:hAnsi="Times New Roman"/>
          <w:i/>
          <w:iCs/>
          <w:sz w:val="24"/>
          <w:szCs w:val="24"/>
        </w:rPr>
        <w:t>Prepared in accordance with Part 3 of the Human Rights (Parliamentary Scrutiny) Act 2011</w:t>
      </w:r>
    </w:p>
    <w:p w:rsidR="00AE1811" w:rsidRPr="00687A83" w:rsidRDefault="00AE1811" w:rsidP="00AE1811">
      <w:pPr>
        <w:pStyle w:val="Heading"/>
        <w:tabs>
          <w:tab w:val="left" w:pos="360"/>
        </w:tabs>
        <w:spacing w:after="240"/>
        <w:jc w:val="center"/>
        <w:rPr>
          <w:rFonts w:ascii="Times New Roman" w:hAnsi="Times New Roman"/>
          <w:sz w:val="24"/>
          <w:szCs w:val="24"/>
        </w:rPr>
      </w:pPr>
      <w:r w:rsidRPr="00687A83">
        <w:rPr>
          <w:rFonts w:ascii="Times New Roman" w:hAnsi="Times New Roman"/>
          <w:sz w:val="24"/>
          <w:szCs w:val="24"/>
        </w:rPr>
        <w:t>Private Health Insurance (Risk Equalisation Administration) Rules 2015</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6C3AA6">
        <w:rPr>
          <w:rFonts w:ascii="Times New Roman" w:hAnsi="Times New Roman"/>
          <w:i/>
          <w:iCs/>
          <w:sz w:val="24"/>
          <w:szCs w:val="24"/>
        </w:rPr>
        <w:t>Human Rights (Parliamentary Scrutiny) Act 2011</w:t>
      </w:r>
      <w:r w:rsidRPr="006C3AA6">
        <w:rPr>
          <w:rFonts w:ascii="Times New Roman" w:hAnsi="Times New Roman"/>
          <w:sz w:val="24"/>
          <w:szCs w:val="24"/>
        </w:rPr>
        <w:t xml:space="preserve"> (HRPS Act).</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 xml:space="preserve">Overview of the Legislative Instrument </w:t>
      </w:r>
    </w:p>
    <w:p w:rsidR="006C3AA6" w:rsidRPr="006C3AA6" w:rsidRDefault="009D5960" w:rsidP="006C3AA6">
      <w:pPr>
        <w:spacing w:before="100" w:beforeAutospacing="1" w:after="240"/>
        <w:jc w:val="both"/>
        <w:rPr>
          <w:rFonts w:ascii="Times New Roman" w:hAnsi="Times New Roman"/>
          <w:sz w:val="24"/>
          <w:szCs w:val="24"/>
        </w:rPr>
      </w:pPr>
      <w:r>
        <w:rPr>
          <w:rFonts w:ascii="Times New Roman" w:hAnsi="Times New Roman"/>
          <w:sz w:val="24"/>
          <w:szCs w:val="24"/>
        </w:rPr>
        <w:t>The Legislative Instrument</w:t>
      </w:r>
      <w:r w:rsidR="006C3AA6" w:rsidRPr="006C3AA6">
        <w:rPr>
          <w:rFonts w:ascii="Times New Roman" w:hAnsi="Times New Roman"/>
          <w:sz w:val="24"/>
          <w:szCs w:val="24"/>
        </w:rPr>
        <w:t xml:space="preserve"> </w:t>
      </w:r>
      <w:r w:rsidR="002A344D">
        <w:rPr>
          <w:rFonts w:ascii="Times New Roman" w:hAnsi="Times New Roman"/>
          <w:sz w:val="24"/>
          <w:szCs w:val="24"/>
        </w:rPr>
        <w:t>prescribe</w:t>
      </w:r>
      <w:r>
        <w:rPr>
          <w:rFonts w:ascii="Times New Roman" w:hAnsi="Times New Roman"/>
          <w:sz w:val="24"/>
          <w:szCs w:val="24"/>
        </w:rPr>
        <w:t>s</w:t>
      </w:r>
      <w:r w:rsidR="002A344D">
        <w:rPr>
          <w:rFonts w:ascii="Times New Roman" w:hAnsi="Times New Roman"/>
          <w:sz w:val="24"/>
          <w:szCs w:val="24"/>
        </w:rPr>
        <w:t xml:space="preserve"> requirements</w:t>
      </w:r>
      <w:r w:rsidR="00094E9D">
        <w:rPr>
          <w:rFonts w:ascii="Times New Roman" w:hAnsi="Times New Roman"/>
          <w:sz w:val="24"/>
          <w:szCs w:val="24"/>
        </w:rPr>
        <w:t xml:space="preserve"> applicable to private health insurers</w:t>
      </w:r>
      <w:r w:rsidR="0088602C">
        <w:rPr>
          <w:rFonts w:ascii="Times New Roman" w:hAnsi="Times New Roman"/>
          <w:sz w:val="24"/>
          <w:szCs w:val="24"/>
        </w:rPr>
        <w:t xml:space="preserve">, </w:t>
      </w:r>
      <w:r w:rsidR="00D17CF9">
        <w:rPr>
          <w:rFonts w:ascii="Times New Roman" w:hAnsi="Times New Roman"/>
          <w:sz w:val="24"/>
          <w:szCs w:val="24"/>
        </w:rPr>
        <w:t xml:space="preserve">to </w:t>
      </w:r>
      <w:r w:rsidR="0088602C" w:rsidRPr="0088602C">
        <w:rPr>
          <w:rFonts w:ascii="Times New Roman" w:hAnsi="Times New Roman"/>
          <w:sz w:val="24"/>
          <w:szCs w:val="24"/>
        </w:rPr>
        <w:t>give effect to the transfer of relevant PHIAC functions to APRA</w:t>
      </w:r>
      <w:r w:rsidR="0088602C">
        <w:rPr>
          <w:rFonts w:ascii="Times New Roman" w:hAnsi="Times New Roman"/>
          <w:sz w:val="24"/>
          <w:szCs w:val="24"/>
        </w:rPr>
        <w:t xml:space="preserve">. The </w:t>
      </w:r>
      <w:r>
        <w:rPr>
          <w:rFonts w:ascii="Times New Roman" w:hAnsi="Times New Roman"/>
          <w:sz w:val="24"/>
          <w:szCs w:val="24"/>
        </w:rPr>
        <w:t>instrument</w:t>
      </w:r>
      <w:r w:rsidR="0088602C">
        <w:rPr>
          <w:rFonts w:ascii="Times New Roman" w:hAnsi="Times New Roman"/>
          <w:sz w:val="24"/>
          <w:szCs w:val="24"/>
        </w:rPr>
        <w:t xml:space="preserve"> continue</w:t>
      </w:r>
      <w:r>
        <w:rPr>
          <w:rFonts w:ascii="Times New Roman" w:hAnsi="Times New Roman"/>
          <w:sz w:val="24"/>
          <w:szCs w:val="24"/>
        </w:rPr>
        <w:t>s</w:t>
      </w:r>
      <w:r w:rsidR="0088602C">
        <w:rPr>
          <w:rFonts w:ascii="Times New Roman" w:hAnsi="Times New Roman"/>
          <w:sz w:val="24"/>
          <w:szCs w:val="24"/>
        </w:rPr>
        <w:t xml:space="preserve"> the current prudential requirements applying to private health insurers administered by PHIAC</w:t>
      </w:r>
      <w:r w:rsidR="006C3AA6" w:rsidRPr="006C3AA6">
        <w:rPr>
          <w:rFonts w:ascii="Times New Roman" w:hAnsi="Times New Roman"/>
          <w:sz w:val="24"/>
          <w:szCs w:val="24"/>
        </w:rPr>
        <w:t xml:space="preserve">.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Human rights implications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Conclusion</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These Legislative Instruments are compatible with human rights because they do not raise any human rights issues.</w:t>
      </w:r>
    </w:p>
    <w:p w:rsidR="006C3AA6" w:rsidRPr="00FA5345" w:rsidRDefault="006C3AA6" w:rsidP="00D85E77">
      <w:pPr>
        <w:spacing w:after="240"/>
        <w:jc w:val="both"/>
      </w:pPr>
    </w:p>
    <w:sectPr w:rsidR="006C3AA6"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72" w:rsidRDefault="00403372" w:rsidP="00D85E77">
      <w:r>
        <w:separator/>
      </w:r>
    </w:p>
  </w:endnote>
  <w:endnote w:type="continuationSeparator" w:id="0">
    <w:p w:rsidR="00403372" w:rsidRDefault="00403372"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014936">
          <w:rPr>
            <w:rFonts w:ascii="Times New Roman" w:hAnsi="Times New Roman"/>
            <w:bCs/>
            <w:noProof/>
            <w:sz w:val="24"/>
            <w:szCs w:val="24"/>
          </w:rPr>
          <w:t>2</w:t>
        </w:r>
        <w:r w:rsidRPr="00D85E77">
          <w:rPr>
            <w:rFonts w:ascii="Times New Roman" w:hAnsi="Times New Roman"/>
            <w:bCs/>
            <w:sz w:val="24"/>
            <w:szCs w:val="24"/>
          </w:rPr>
          <w:fldChar w:fldCharType="end"/>
        </w:r>
      </w:p>
    </w:sdtContent>
  </w:sdt>
  <w:p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72" w:rsidRDefault="00403372" w:rsidP="00D85E77">
      <w:r>
        <w:separator/>
      </w:r>
    </w:p>
  </w:footnote>
  <w:footnote w:type="continuationSeparator" w:id="0">
    <w:p w:rsidR="00403372" w:rsidRDefault="00403372"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BEC345C"/>
    <w:multiLevelType w:val="hybridMultilevel"/>
    <w:tmpl w:val="205E29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C44575"/>
    <w:multiLevelType w:val="hybridMultilevel"/>
    <w:tmpl w:val="14A212C6"/>
    <w:lvl w:ilvl="0" w:tplc="988A605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2"/>
    <w:rsid w:val="00014936"/>
    <w:rsid w:val="00015CD2"/>
    <w:rsid w:val="000401FC"/>
    <w:rsid w:val="00080F47"/>
    <w:rsid w:val="000910FC"/>
    <w:rsid w:val="00094E9D"/>
    <w:rsid w:val="000B43FB"/>
    <w:rsid w:val="000B60B3"/>
    <w:rsid w:val="000D5A02"/>
    <w:rsid w:val="000E369C"/>
    <w:rsid w:val="000E4D81"/>
    <w:rsid w:val="00111B26"/>
    <w:rsid w:val="001274CE"/>
    <w:rsid w:val="00144707"/>
    <w:rsid w:val="00160D64"/>
    <w:rsid w:val="00170383"/>
    <w:rsid w:val="001808F5"/>
    <w:rsid w:val="00182FA1"/>
    <w:rsid w:val="001B126E"/>
    <w:rsid w:val="001C01EB"/>
    <w:rsid w:val="001D6417"/>
    <w:rsid w:val="00206A94"/>
    <w:rsid w:val="002436BD"/>
    <w:rsid w:val="00246723"/>
    <w:rsid w:val="00260540"/>
    <w:rsid w:val="00270A59"/>
    <w:rsid w:val="00290946"/>
    <w:rsid w:val="002A1111"/>
    <w:rsid w:val="002A344D"/>
    <w:rsid w:val="002A73BD"/>
    <w:rsid w:val="002B6568"/>
    <w:rsid w:val="002C7E35"/>
    <w:rsid w:val="002F0613"/>
    <w:rsid w:val="0030506B"/>
    <w:rsid w:val="00310CF8"/>
    <w:rsid w:val="003432C7"/>
    <w:rsid w:val="00354CB8"/>
    <w:rsid w:val="00372267"/>
    <w:rsid w:val="003733ED"/>
    <w:rsid w:val="003866AD"/>
    <w:rsid w:val="00387365"/>
    <w:rsid w:val="003A52A5"/>
    <w:rsid w:val="003C0B28"/>
    <w:rsid w:val="003D1D79"/>
    <w:rsid w:val="003D5032"/>
    <w:rsid w:val="003D6E65"/>
    <w:rsid w:val="0040175E"/>
    <w:rsid w:val="00403372"/>
    <w:rsid w:val="0042100C"/>
    <w:rsid w:val="00422164"/>
    <w:rsid w:val="00434049"/>
    <w:rsid w:val="00443A02"/>
    <w:rsid w:val="00444768"/>
    <w:rsid w:val="00471F8A"/>
    <w:rsid w:val="004817C8"/>
    <w:rsid w:val="004919BC"/>
    <w:rsid w:val="00497F57"/>
    <w:rsid w:val="004A7E13"/>
    <w:rsid w:val="004C0C16"/>
    <w:rsid w:val="004C3D07"/>
    <w:rsid w:val="004D1EE4"/>
    <w:rsid w:val="004E2008"/>
    <w:rsid w:val="004F1182"/>
    <w:rsid w:val="004F5F67"/>
    <w:rsid w:val="005113D5"/>
    <w:rsid w:val="00513BD9"/>
    <w:rsid w:val="0054565F"/>
    <w:rsid w:val="0056141D"/>
    <w:rsid w:val="00586EBF"/>
    <w:rsid w:val="005916AA"/>
    <w:rsid w:val="0059234A"/>
    <w:rsid w:val="00593AB6"/>
    <w:rsid w:val="0059706A"/>
    <w:rsid w:val="005E5910"/>
    <w:rsid w:val="00622480"/>
    <w:rsid w:val="0063796A"/>
    <w:rsid w:val="00645AAC"/>
    <w:rsid w:val="00647D58"/>
    <w:rsid w:val="00657678"/>
    <w:rsid w:val="00657ACF"/>
    <w:rsid w:val="00660BA4"/>
    <w:rsid w:val="00664AEB"/>
    <w:rsid w:val="00664E7B"/>
    <w:rsid w:val="0067335E"/>
    <w:rsid w:val="00681DD3"/>
    <w:rsid w:val="00682865"/>
    <w:rsid w:val="00684F73"/>
    <w:rsid w:val="00687A83"/>
    <w:rsid w:val="00690077"/>
    <w:rsid w:val="006961E8"/>
    <w:rsid w:val="00696C8E"/>
    <w:rsid w:val="006B093F"/>
    <w:rsid w:val="006B1520"/>
    <w:rsid w:val="006C3AA6"/>
    <w:rsid w:val="006C4398"/>
    <w:rsid w:val="006C6760"/>
    <w:rsid w:val="006C70A6"/>
    <w:rsid w:val="006E1D1D"/>
    <w:rsid w:val="006E6670"/>
    <w:rsid w:val="007031F4"/>
    <w:rsid w:val="007049CF"/>
    <w:rsid w:val="0070538B"/>
    <w:rsid w:val="00712E1A"/>
    <w:rsid w:val="007279E5"/>
    <w:rsid w:val="007368AD"/>
    <w:rsid w:val="007379A4"/>
    <w:rsid w:val="007428D4"/>
    <w:rsid w:val="00747AFF"/>
    <w:rsid w:val="00761B22"/>
    <w:rsid w:val="007752A5"/>
    <w:rsid w:val="00785A18"/>
    <w:rsid w:val="00785CDC"/>
    <w:rsid w:val="007B1DC5"/>
    <w:rsid w:val="007C2298"/>
    <w:rsid w:val="007D63E9"/>
    <w:rsid w:val="007E0108"/>
    <w:rsid w:val="007E3328"/>
    <w:rsid w:val="007E472C"/>
    <w:rsid w:val="007E4B2A"/>
    <w:rsid w:val="007F3C95"/>
    <w:rsid w:val="00804568"/>
    <w:rsid w:val="00815849"/>
    <w:rsid w:val="00816415"/>
    <w:rsid w:val="00830417"/>
    <w:rsid w:val="00830F66"/>
    <w:rsid w:val="0083709B"/>
    <w:rsid w:val="00867541"/>
    <w:rsid w:val="0088602C"/>
    <w:rsid w:val="00892FF8"/>
    <w:rsid w:val="008A1DDC"/>
    <w:rsid w:val="008B1252"/>
    <w:rsid w:val="008E1C97"/>
    <w:rsid w:val="008F3205"/>
    <w:rsid w:val="009033D7"/>
    <w:rsid w:val="0090438A"/>
    <w:rsid w:val="009324FD"/>
    <w:rsid w:val="00932EFA"/>
    <w:rsid w:val="00952383"/>
    <w:rsid w:val="00967D16"/>
    <w:rsid w:val="00987B7C"/>
    <w:rsid w:val="009C3639"/>
    <w:rsid w:val="009C5368"/>
    <w:rsid w:val="009D5960"/>
    <w:rsid w:val="009E1E90"/>
    <w:rsid w:val="00A227EA"/>
    <w:rsid w:val="00A279AF"/>
    <w:rsid w:val="00A4133B"/>
    <w:rsid w:val="00A63A2B"/>
    <w:rsid w:val="00A730D3"/>
    <w:rsid w:val="00A76544"/>
    <w:rsid w:val="00AA3E4A"/>
    <w:rsid w:val="00AB4916"/>
    <w:rsid w:val="00AC2517"/>
    <w:rsid w:val="00AC4AE2"/>
    <w:rsid w:val="00AC7A56"/>
    <w:rsid w:val="00AD09D7"/>
    <w:rsid w:val="00AE1811"/>
    <w:rsid w:val="00AE2BC8"/>
    <w:rsid w:val="00B04B20"/>
    <w:rsid w:val="00B53BA2"/>
    <w:rsid w:val="00B64B2E"/>
    <w:rsid w:val="00B73868"/>
    <w:rsid w:val="00B85B6E"/>
    <w:rsid w:val="00BB1678"/>
    <w:rsid w:val="00BE36B6"/>
    <w:rsid w:val="00BF2953"/>
    <w:rsid w:val="00C302FA"/>
    <w:rsid w:val="00C61240"/>
    <w:rsid w:val="00C71977"/>
    <w:rsid w:val="00C948AA"/>
    <w:rsid w:val="00CA2BFC"/>
    <w:rsid w:val="00CA6CB3"/>
    <w:rsid w:val="00CB384A"/>
    <w:rsid w:val="00CC13F4"/>
    <w:rsid w:val="00CD1947"/>
    <w:rsid w:val="00CD2044"/>
    <w:rsid w:val="00CE3EF2"/>
    <w:rsid w:val="00CE64DE"/>
    <w:rsid w:val="00D0140E"/>
    <w:rsid w:val="00D02643"/>
    <w:rsid w:val="00D04328"/>
    <w:rsid w:val="00D119F5"/>
    <w:rsid w:val="00D17CF9"/>
    <w:rsid w:val="00D3484E"/>
    <w:rsid w:val="00D425AE"/>
    <w:rsid w:val="00D53B59"/>
    <w:rsid w:val="00D64906"/>
    <w:rsid w:val="00D83531"/>
    <w:rsid w:val="00D85E77"/>
    <w:rsid w:val="00D87E36"/>
    <w:rsid w:val="00DB04B4"/>
    <w:rsid w:val="00DC6E72"/>
    <w:rsid w:val="00DD3099"/>
    <w:rsid w:val="00DD6E62"/>
    <w:rsid w:val="00DF02B2"/>
    <w:rsid w:val="00DF4B09"/>
    <w:rsid w:val="00DF524E"/>
    <w:rsid w:val="00E129FD"/>
    <w:rsid w:val="00E15497"/>
    <w:rsid w:val="00E154A3"/>
    <w:rsid w:val="00E16789"/>
    <w:rsid w:val="00E201A8"/>
    <w:rsid w:val="00E37E76"/>
    <w:rsid w:val="00E44416"/>
    <w:rsid w:val="00E52DFE"/>
    <w:rsid w:val="00E575CC"/>
    <w:rsid w:val="00E61B19"/>
    <w:rsid w:val="00E90C89"/>
    <w:rsid w:val="00EA48D8"/>
    <w:rsid w:val="00EA6FAB"/>
    <w:rsid w:val="00EC5653"/>
    <w:rsid w:val="00EF08CC"/>
    <w:rsid w:val="00F27C64"/>
    <w:rsid w:val="00F43181"/>
    <w:rsid w:val="00F436BC"/>
    <w:rsid w:val="00F44B66"/>
    <w:rsid w:val="00F5679F"/>
    <w:rsid w:val="00F65630"/>
    <w:rsid w:val="00F664F7"/>
    <w:rsid w:val="00F67ABE"/>
    <w:rsid w:val="00F7706D"/>
    <w:rsid w:val="00FA5345"/>
    <w:rsid w:val="00FB2570"/>
    <w:rsid w:val="00FC1D87"/>
    <w:rsid w:val="00FE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251">
      <w:bodyDiv w:val="1"/>
      <w:marLeft w:val="0"/>
      <w:marRight w:val="0"/>
      <w:marTop w:val="0"/>
      <w:marBottom w:val="0"/>
      <w:divBdr>
        <w:top w:val="none" w:sz="0" w:space="0" w:color="auto"/>
        <w:left w:val="none" w:sz="0" w:space="0" w:color="auto"/>
        <w:bottom w:val="none" w:sz="0" w:space="0" w:color="auto"/>
        <w:right w:val="none" w:sz="0" w:space="0" w:color="auto"/>
      </w:divBdr>
      <w:divsChild>
        <w:div w:id="1300837347">
          <w:marLeft w:val="0"/>
          <w:marRight w:val="0"/>
          <w:marTop w:val="0"/>
          <w:marBottom w:val="0"/>
          <w:divBdr>
            <w:top w:val="none" w:sz="0" w:space="0" w:color="auto"/>
            <w:left w:val="none" w:sz="0" w:space="0" w:color="auto"/>
            <w:bottom w:val="none" w:sz="0" w:space="0" w:color="auto"/>
            <w:right w:val="none" w:sz="0" w:space="0" w:color="auto"/>
          </w:divBdr>
          <w:divsChild>
            <w:div w:id="671103556">
              <w:marLeft w:val="0"/>
              <w:marRight w:val="0"/>
              <w:marTop w:val="0"/>
              <w:marBottom w:val="0"/>
              <w:divBdr>
                <w:top w:val="none" w:sz="0" w:space="0" w:color="auto"/>
                <w:left w:val="none" w:sz="0" w:space="0" w:color="auto"/>
                <w:bottom w:val="none" w:sz="0" w:space="0" w:color="auto"/>
                <w:right w:val="none" w:sz="0" w:space="0" w:color="auto"/>
              </w:divBdr>
              <w:divsChild>
                <w:div w:id="132528583">
                  <w:marLeft w:val="0"/>
                  <w:marRight w:val="0"/>
                  <w:marTop w:val="0"/>
                  <w:marBottom w:val="0"/>
                  <w:divBdr>
                    <w:top w:val="none" w:sz="0" w:space="0" w:color="auto"/>
                    <w:left w:val="none" w:sz="0" w:space="0" w:color="auto"/>
                    <w:bottom w:val="none" w:sz="0" w:space="0" w:color="auto"/>
                    <w:right w:val="none" w:sz="0" w:space="0" w:color="auto"/>
                  </w:divBdr>
                  <w:divsChild>
                    <w:div w:id="2094541694">
                      <w:marLeft w:val="0"/>
                      <w:marRight w:val="0"/>
                      <w:marTop w:val="0"/>
                      <w:marBottom w:val="0"/>
                      <w:divBdr>
                        <w:top w:val="none" w:sz="0" w:space="0" w:color="auto"/>
                        <w:left w:val="none" w:sz="0" w:space="0" w:color="auto"/>
                        <w:bottom w:val="none" w:sz="0" w:space="0" w:color="auto"/>
                        <w:right w:val="none" w:sz="0" w:space="0" w:color="auto"/>
                      </w:divBdr>
                      <w:divsChild>
                        <w:div w:id="1991206379">
                          <w:marLeft w:val="0"/>
                          <w:marRight w:val="0"/>
                          <w:marTop w:val="0"/>
                          <w:marBottom w:val="0"/>
                          <w:divBdr>
                            <w:top w:val="single" w:sz="6" w:space="0" w:color="828282"/>
                            <w:left w:val="single" w:sz="6" w:space="0" w:color="828282"/>
                            <w:bottom w:val="single" w:sz="6" w:space="0" w:color="828282"/>
                            <w:right w:val="single" w:sz="6" w:space="0" w:color="828282"/>
                          </w:divBdr>
                          <w:divsChild>
                            <w:div w:id="376661953">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0"/>
                                  <w:divBdr>
                                    <w:top w:val="none" w:sz="0" w:space="0" w:color="auto"/>
                                    <w:left w:val="none" w:sz="0" w:space="0" w:color="auto"/>
                                    <w:bottom w:val="none" w:sz="0" w:space="0" w:color="auto"/>
                                    <w:right w:val="none" w:sz="0" w:space="0" w:color="auto"/>
                                  </w:divBdr>
                                  <w:divsChild>
                                    <w:div w:id="971397605">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sChild>
                                                <w:div w:id="1581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3A6D-48DE-417B-A836-6A29D188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2</cp:revision>
  <cp:lastPrinted>2015-06-26T02:15:00Z</cp:lastPrinted>
  <dcterms:created xsi:type="dcterms:W3CDTF">2015-06-26T06:15:00Z</dcterms:created>
  <dcterms:modified xsi:type="dcterms:W3CDTF">2015-06-26T06:15:00Z</dcterms:modified>
</cp:coreProperties>
</file>