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BD" w:rsidRPr="002C6D26" w:rsidRDefault="00A730D3" w:rsidP="00D85E77">
      <w:pPr>
        <w:pStyle w:val="Heading"/>
        <w:spacing w:after="240"/>
        <w:jc w:val="center"/>
        <w:rPr>
          <w:rFonts w:ascii="Times New Roman" w:hAnsi="Times New Roman"/>
          <w:sz w:val="24"/>
          <w:szCs w:val="24"/>
        </w:rPr>
      </w:pPr>
      <w:bookmarkStart w:id="0" w:name="_GoBack"/>
      <w:bookmarkEnd w:id="0"/>
      <w:r>
        <w:rPr>
          <w:rFonts w:ascii="Times New Roman" w:hAnsi="Times New Roman"/>
          <w:sz w:val="24"/>
          <w:szCs w:val="24"/>
        </w:rPr>
        <w:t>Health insurance</w:t>
      </w:r>
      <w:r w:rsidR="002436BD" w:rsidRPr="002C6D26">
        <w:rPr>
          <w:rFonts w:ascii="Times New Roman" w:hAnsi="Times New Roman"/>
          <w:sz w:val="24"/>
          <w:szCs w:val="24"/>
        </w:rPr>
        <w:t xml:space="preserve"> (prudential stand</w:t>
      </w:r>
      <w:r w:rsidR="0067335E">
        <w:rPr>
          <w:rFonts w:ascii="Times New Roman" w:hAnsi="Times New Roman"/>
          <w:sz w:val="24"/>
          <w:szCs w:val="24"/>
        </w:rPr>
        <w:t>ard) determination</w:t>
      </w:r>
      <w:r w:rsidR="006C3AA6">
        <w:rPr>
          <w:rFonts w:ascii="Times New Roman" w:hAnsi="Times New Roman"/>
          <w:sz w:val="24"/>
          <w:szCs w:val="24"/>
        </w:rPr>
        <w:t>s</w:t>
      </w:r>
      <w:r w:rsidR="0067335E">
        <w:rPr>
          <w:rFonts w:ascii="Times New Roman" w:hAnsi="Times New Roman"/>
          <w:sz w:val="24"/>
          <w:szCs w:val="24"/>
        </w:rPr>
        <w:t xml:space="preserve"> No</w:t>
      </w:r>
      <w:r w:rsidR="006C3AA6">
        <w:rPr>
          <w:rFonts w:ascii="Times New Roman" w:hAnsi="Times New Roman"/>
          <w:sz w:val="24"/>
          <w:szCs w:val="24"/>
        </w:rPr>
        <w:t>s</w:t>
      </w:r>
      <w:r w:rsidR="0067335E">
        <w:rPr>
          <w:rFonts w:ascii="Times New Roman" w:hAnsi="Times New Roman"/>
          <w:sz w:val="24"/>
          <w:szCs w:val="24"/>
        </w:rPr>
        <w:t xml:space="preserve">. </w:t>
      </w:r>
      <w:r w:rsidR="00B53BA2">
        <w:rPr>
          <w:rFonts w:ascii="Times New Roman" w:hAnsi="Times New Roman"/>
          <w:sz w:val="24"/>
          <w:szCs w:val="24"/>
        </w:rPr>
        <w:t>1 to 7</w:t>
      </w:r>
      <w:r w:rsidR="0067335E">
        <w:rPr>
          <w:rFonts w:ascii="Times New Roman" w:hAnsi="Times New Roman"/>
          <w:sz w:val="24"/>
          <w:szCs w:val="24"/>
        </w:rPr>
        <w:t xml:space="preserve"> of 2015</w:t>
      </w:r>
    </w:p>
    <w:p w:rsidR="002436BD" w:rsidRPr="002C6D26" w:rsidRDefault="002436BD" w:rsidP="00D85E77">
      <w:pPr>
        <w:pStyle w:val="Heading"/>
        <w:tabs>
          <w:tab w:val="left" w:pos="360"/>
        </w:tabs>
        <w:spacing w:after="240"/>
        <w:jc w:val="center"/>
        <w:rPr>
          <w:rFonts w:ascii="Times New Roman" w:hAnsi="Times New Roman"/>
          <w:sz w:val="24"/>
          <w:szCs w:val="24"/>
          <w:u w:val="single"/>
        </w:rPr>
      </w:pPr>
      <w:bookmarkStart w:id="1" w:name="bkInstrumentSubTitle"/>
      <w:bookmarkEnd w:id="1"/>
      <w:r w:rsidRPr="002C6D26">
        <w:rPr>
          <w:rFonts w:ascii="Times New Roman" w:hAnsi="Times New Roman"/>
          <w:sz w:val="24"/>
          <w:szCs w:val="24"/>
          <w:u w:val="single"/>
        </w:rPr>
        <w:t>EXPLANATORY STATEMENT</w:t>
      </w:r>
    </w:p>
    <w:p w:rsidR="002436BD" w:rsidRPr="002C6D26" w:rsidRDefault="002436BD" w:rsidP="00D85E77">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rsidR="002436BD" w:rsidRPr="002C6D26" w:rsidRDefault="00A730D3" w:rsidP="00D85E77">
      <w:pPr>
        <w:pStyle w:val="Heading"/>
        <w:tabs>
          <w:tab w:val="left" w:pos="360"/>
        </w:tabs>
        <w:spacing w:after="240"/>
        <w:jc w:val="center"/>
        <w:rPr>
          <w:rFonts w:ascii="Times New Roman" w:hAnsi="Times New Roman"/>
          <w:b w:val="0"/>
          <w:sz w:val="24"/>
          <w:szCs w:val="24"/>
        </w:rPr>
      </w:pPr>
      <w:r>
        <w:rPr>
          <w:rFonts w:ascii="Times New Roman" w:hAnsi="Times New Roman"/>
          <w:b w:val="0"/>
          <w:i/>
          <w:sz w:val="24"/>
          <w:szCs w:val="24"/>
        </w:rPr>
        <w:t>Private Health Insurance (Prudential Supervision) Act 2015</w:t>
      </w:r>
      <w:r w:rsidR="002436BD" w:rsidRPr="002C6D26">
        <w:rPr>
          <w:rFonts w:ascii="Times New Roman" w:hAnsi="Times New Roman"/>
          <w:b w:val="0"/>
          <w:sz w:val="24"/>
          <w:szCs w:val="24"/>
        </w:rPr>
        <w:t xml:space="preserve">, </w:t>
      </w:r>
      <w:r w:rsidR="00061CBF">
        <w:rPr>
          <w:rFonts w:ascii="Times New Roman" w:hAnsi="Times New Roman"/>
          <w:b w:val="0"/>
          <w:sz w:val="24"/>
          <w:szCs w:val="24"/>
        </w:rPr>
        <w:t>sub</w:t>
      </w:r>
      <w:r w:rsidR="002436BD" w:rsidRPr="002C6D26">
        <w:rPr>
          <w:rFonts w:ascii="Times New Roman" w:hAnsi="Times New Roman"/>
          <w:b w:val="0"/>
          <w:color w:val="000000"/>
          <w:sz w:val="24"/>
          <w:szCs w:val="24"/>
        </w:rPr>
        <w:t xml:space="preserve">section </w:t>
      </w:r>
      <w:r w:rsidR="00061CBF">
        <w:rPr>
          <w:rFonts w:ascii="Times New Roman" w:hAnsi="Times New Roman"/>
          <w:b w:val="0"/>
          <w:color w:val="000000"/>
          <w:sz w:val="24"/>
          <w:szCs w:val="24"/>
        </w:rPr>
        <w:t>92</w:t>
      </w:r>
      <w:r>
        <w:rPr>
          <w:rFonts w:ascii="Times New Roman" w:hAnsi="Times New Roman"/>
          <w:b w:val="0"/>
          <w:color w:val="000000"/>
          <w:sz w:val="24"/>
          <w:szCs w:val="24"/>
        </w:rPr>
        <w:t>(1)</w:t>
      </w:r>
    </w:p>
    <w:p w:rsidR="002436BD" w:rsidRPr="002C6D26" w:rsidRDefault="002436BD" w:rsidP="00D85E77">
      <w:pPr>
        <w:widowControl w:val="0"/>
        <w:spacing w:after="240"/>
        <w:jc w:val="both"/>
        <w:rPr>
          <w:rFonts w:ascii="Times New Roman" w:hAnsi="Times New Roman"/>
          <w:sz w:val="24"/>
          <w:szCs w:val="24"/>
        </w:rPr>
      </w:pPr>
      <w:bookmarkStart w:id="2" w:name="bkAct"/>
      <w:bookmarkStart w:id="3" w:name="bkExplanatory"/>
      <w:bookmarkEnd w:id="2"/>
      <w:bookmarkEnd w:id="3"/>
      <w:r w:rsidRPr="0083709B">
        <w:rPr>
          <w:rFonts w:ascii="Times New Roman" w:hAnsi="Times New Roman"/>
          <w:sz w:val="24"/>
          <w:szCs w:val="24"/>
        </w:rPr>
        <w:t xml:space="preserve">Under subsection </w:t>
      </w:r>
      <w:r w:rsidR="001474AD" w:rsidRPr="0083709B">
        <w:rPr>
          <w:rFonts w:ascii="Times New Roman" w:hAnsi="Times New Roman"/>
          <w:color w:val="000000"/>
          <w:sz w:val="24"/>
          <w:szCs w:val="24"/>
        </w:rPr>
        <w:t>9</w:t>
      </w:r>
      <w:r w:rsidR="001474AD">
        <w:rPr>
          <w:rFonts w:ascii="Times New Roman" w:hAnsi="Times New Roman"/>
          <w:color w:val="000000"/>
          <w:sz w:val="24"/>
          <w:szCs w:val="24"/>
        </w:rPr>
        <w:t>2</w:t>
      </w:r>
      <w:r w:rsidR="00A730D3" w:rsidRPr="0083709B">
        <w:rPr>
          <w:rFonts w:ascii="Times New Roman" w:hAnsi="Times New Roman"/>
          <w:color w:val="000000"/>
          <w:sz w:val="24"/>
          <w:szCs w:val="24"/>
        </w:rPr>
        <w:t xml:space="preserve">(1) </w:t>
      </w:r>
      <w:r w:rsidRPr="0083709B">
        <w:rPr>
          <w:rFonts w:ascii="Times New Roman" w:hAnsi="Times New Roman"/>
          <w:sz w:val="24"/>
          <w:szCs w:val="24"/>
        </w:rPr>
        <w:t xml:space="preserve">of the </w:t>
      </w:r>
      <w:r w:rsidR="0083709B" w:rsidRPr="003E0B64">
        <w:rPr>
          <w:rFonts w:ascii="Times New Roman" w:hAnsi="Times New Roman"/>
          <w:i/>
          <w:sz w:val="24"/>
          <w:szCs w:val="24"/>
        </w:rPr>
        <w:t>Private Health Insuran</w:t>
      </w:r>
      <w:r w:rsidR="006F3CEF">
        <w:rPr>
          <w:rFonts w:ascii="Times New Roman" w:hAnsi="Times New Roman"/>
          <w:i/>
          <w:sz w:val="24"/>
          <w:szCs w:val="24"/>
        </w:rPr>
        <w:t>ce (Prudential Supervision) Act</w:t>
      </w:r>
      <w:r w:rsidR="0083709B" w:rsidRPr="003E0B64">
        <w:rPr>
          <w:rFonts w:ascii="Times New Roman" w:hAnsi="Times New Roman"/>
          <w:i/>
          <w:sz w:val="24"/>
          <w:szCs w:val="24"/>
        </w:rPr>
        <w:t xml:space="preserve"> </w:t>
      </w:r>
      <w:r w:rsidR="00987B7C" w:rsidRPr="003E0B64">
        <w:rPr>
          <w:rFonts w:ascii="Times New Roman" w:hAnsi="Times New Roman"/>
          <w:i/>
          <w:sz w:val="24"/>
          <w:szCs w:val="24"/>
        </w:rPr>
        <w:t>2015</w:t>
      </w:r>
      <w:r w:rsidR="003E0B64">
        <w:rPr>
          <w:rFonts w:ascii="Times New Roman" w:hAnsi="Times New Roman"/>
          <w:i/>
          <w:sz w:val="24"/>
          <w:szCs w:val="24"/>
        </w:rPr>
        <w:t xml:space="preserve"> </w:t>
      </w:r>
      <w:r w:rsidR="003E0B64">
        <w:rPr>
          <w:rFonts w:ascii="Times New Roman" w:hAnsi="Times New Roman"/>
          <w:sz w:val="24"/>
          <w:szCs w:val="24"/>
        </w:rPr>
        <w:t xml:space="preserve">(the </w:t>
      </w:r>
      <w:r w:rsidR="00C52E54">
        <w:rPr>
          <w:rFonts w:ascii="Times New Roman" w:hAnsi="Times New Roman"/>
          <w:sz w:val="24"/>
          <w:szCs w:val="24"/>
        </w:rPr>
        <w:t xml:space="preserve">new </w:t>
      </w:r>
      <w:r w:rsidR="003E0B64">
        <w:rPr>
          <w:rFonts w:ascii="Times New Roman" w:hAnsi="Times New Roman"/>
          <w:sz w:val="24"/>
          <w:szCs w:val="24"/>
        </w:rPr>
        <w:t>Act)</w:t>
      </w:r>
      <w:r w:rsidRPr="007428D4">
        <w:rPr>
          <w:rFonts w:ascii="Times New Roman" w:hAnsi="Times New Roman"/>
          <w:sz w:val="24"/>
          <w:szCs w:val="24"/>
        </w:rPr>
        <w:t>,</w:t>
      </w:r>
      <w:r w:rsidRPr="002C6D26">
        <w:rPr>
          <w:rFonts w:ascii="Times New Roman" w:hAnsi="Times New Roman"/>
          <w:sz w:val="24"/>
          <w:szCs w:val="24"/>
        </w:rPr>
        <w:t xml:space="preserve"> APRA has the power to determine standards </w:t>
      </w:r>
      <w:r w:rsidRPr="007428D4">
        <w:rPr>
          <w:rFonts w:ascii="Times New Roman" w:hAnsi="Times New Roman"/>
          <w:sz w:val="24"/>
          <w:szCs w:val="24"/>
        </w:rPr>
        <w:t>(prudential standards),</w:t>
      </w:r>
      <w:r w:rsidRPr="002C6D26">
        <w:rPr>
          <w:rFonts w:ascii="Times New Roman" w:hAnsi="Times New Roman"/>
          <w:sz w:val="24"/>
          <w:szCs w:val="24"/>
        </w:rPr>
        <w:t xml:space="preserve"> in writing, in relation to prudential matters to be complied with by </w:t>
      </w:r>
      <w:r w:rsidR="00FE3D3C">
        <w:rPr>
          <w:rFonts w:ascii="Times New Roman" w:hAnsi="Times New Roman"/>
          <w:sz w:val="24"/>
          <w:szCs w:val="24"/>
        </w:rPr>
        <w:t>private health insurers</w:t>
      </w:r>
      <w:r w:rsidRPr="007428D4">
        <w:rPr>
          <w:rFonts w:ascii="Times New Roman" w:hAnsi="Times New Roman"/>
          <w:sz w:val="24"/>
          <w:szCs w:val="24"/>
        </w:rPr>
        <w:t>.</w:t>
      </w:r>
      <w:r w:rsidR="003E0B64" w:rsidRPr="003E0B64">
        <w:rPr>
          <w:rFonts w:ascii="Times New Roman" w:hAnsi="Times New Roman"/>
          <w:sz w:val="24"/>
          <w:szCs w:val="24"/>
        </w:rPr>
        <w:t xml:space="preserve"> The Act</w:t>
      </w:r>
      <w:r w:rsidR="003E0B64">
        <w:rPr>
          <w:rFonts w:ascii="Times New Roman" w:hAnsi="Times New Roman"/>
          <w:sz w:val="24"/>
          <w:szCs w:val="24"/>
        </w:rPr>
        <w:t xml:space="preserve"> commences on 1 July 2015.</w:t>
      </w:r>
    </w:p>
    <w:p w:rsidR="00246723" w:rsidRPr="00246723" w:rsidRDefault="00246723" w:rsidP="00D85E77">
      <w:pPr>
        <w:spacing w:after="240"/>
        <w:jc w:val="both"/>
        <w:rPr>
          <w:rFonts w:ascii="Times New Roman" w:hAnsi="Times New Roman"/>
          <w:sz w:val="24"/>
          <w:szCs w:val="24"/>
        </w:rPr>
      </w:pPr>
      <w:r w:rsidRPr="00F3274A">
        <w:rPr>
          <w:rFonts w:ascii="Times New Roman" w:hAnsi="Times New Roman"/>
          <w:sz w:val="24"/>
          <w:szCs w:val="24"/>
        </w:rPr>
        <w:t xml:space="preserve">On </w:t>
      </w:r>
      <w:r w:rsidR="00F3274A" w:rsidRPr="00F3274A">
        <w:rPr>
          <w:rFonts w:ascii="Times New Roman" w:hAnsi="Times New Roman"/>
          <w:sz w:val="24"/>
          <w:szCs w:val="24"/>
        </w:rPr>
        <w:t>26 June 2015</w:t>
      </w:r>
      <w:r w:rsidRPr="00F3274A">
        <w:rPr>
          <w:rFonts w:ascii="Times New Roman" w:hAnsi="Times New Roman"/>
          <w:sz w:val="24"/>
          <w:szCs w:val="24"/>
        </w:rPr>
        <w:t>, APRA made the following determinations (the instruments):</w:t>
      </w:r>
    </w:p>
    <w:p w:rsidR="00AC7A56" w:rsidRDefault="00A730D3" w:rsidP="00D85E77">
      <w:pPr>
        <w:widowControl w:val="0"/>
        <w:numPr>
          <w:ilvl w:val="0"/>
          <w:numId w:val="5"/>
        </w:numPr>
        <w:spacing w:after="240"/>
        <w:jc w:val="both"/>
        <w:rPr>
          <w:rFonts w:ascii="Times New Roman" w:hAnsi="Times New Roman"/>
          <w:sz w:val="24"/>
          <w:szCs w:val="24"/>
        </w:rPr>
      </w:pPr>
      <w:r>
        <w:rPr>
          <w:rFonts w:ascii="Times New Roman" w:hAnsi="Times New Roman"/>
          <w:sz w:val="24"/>
          <w:szCs w:val="24"/>
        </w:rPr>
        <w:t>Health Insurance</w:t>
      </w:r>
      <w:r w:rsidR="00AC7A56" w:rsidRPr="002C6D26">
        <w:rPr>
          <w:rFonts w:ascii="Times New Roman" w:hAnsi="Times New Roman"/>
          <w:sz w:val="24"/>
          <w:szCs w:val="24"/>
        </w:rPr>
        <w:t xml:space="preserve"> (prudential standard) determination No. </w:t>
      </w:r>
      <w:r>
        <w:rPr>
          <w:rFonts w:ascii="Times New Roman" w:hAnsi="Times New Roman"/>
          <w:sz w:val="24"/>
          <w:szCs w:val="24"/>
        </w:rPr>
        <w:t>1 of 2015</w:t>
      </w:r>
      <w:r w:rsidR="00AC7A56" w:rsidRPr="002C6D26">
        <w:rPr>
          <w:rFonts w:ascii="Times New Roman" w:hAnsi="Times New Roman"/>
          <w:sz w:val="24"/>
          <w:szCs w:val="24"/>
        </w:rPr>
        <w:t xml:space="preserve"> </w:t>
      </w:r>
      <w:r w:rsidR="00AC7A56">
        <w:rPr>
          <w:rFonts w:ascii="Times New Roman" w:hAnsi="Times New Roman"/>
          <w:sz w:val="24"/>
          <w:szCs w:val="24"/>
        </w:rPr>
        <w:t xml:space="preserve">(the instrument) which </w:t>
      </w:r>
      <w:r w:rsidR="00AC7A56" w:rsidRPr="002C6D26">
        <w:rPr>
          <w:rFonts w:ascii="Times New Roman" w:hAnsi="Times New Roman"/>
          <w:sz w:val="24"/>
          <w:szCs w:val="24"/>
        </w:rPr>
        <w:t xml:space="preserve">determines </w:t>
      </w:r>
      <w:r w:rsidR="00AC7A56">
        <w:rPr>
          <w:rFonts w:ascii="Times New Roman" w:hAnsi="Times New Roman"/>
          <w:i/>
          <w:sz w:val="24"/>
          <w:szCs w:val="24"/>
        </w:rPr>
        <w:t>Prudential Standard</w:t>
      </w:r>
      <w:r w:rsidR="00AC7A56" w:rsidRPr="00246723">
        <w:rPr>
          <w:rFonts w:ascii="Times New Roman" w:hAnsi="Times New Roman"/>
          <w:sz w:val="24"/>
          <w:szCs w:val="24"/>
        </w:rPr>
        <w:t xml:space="preserve"> </w:t>
      </w:r>
      <w:r>
        <w:rPr>
          <w:rFonts w:ascii="Times New Roman" w:hAnsi="Times New Roman"/>
          <w:i/>
          <w:sz w:val="24"/>
          <w:szCs w:val="24"/>
        </w:rPr>
        <w:t>HPS 001 Definitions</w:t>
      </w:r>
      <w:r>
        <w:rPr>
          <w:rFonts w:ascii="Times New Roman" w:hAnsi="Times New Roman"/>
          <w:sz w:val="24"/>
          <w:szCs w:val="24"/>
        </w:rPr>
        <w:t xml:space="preserve"> (HPS 001)</w:t>
      </w:r>
      <w:r w:rsidR="00AC7A56">
        <w:rPr>
          <w:rFonts w:ascii="Times New Roman" w:hAnsi="Times New Roman"/>
          <w:sz w:val="24"/>
          <w:szCs w:val="24"/>
        </w:rPr>
        <w:t>;</w:t>
      </w:r>
    </w:p>
    <w:p w:rsidR="00AC7A56" w:rsidRDefault="00A730D3" w:rsidP="00D85E77">
      <w:pPr>
        <w:widowControl w:val="0"/>
        <w:numPr>
          <w:ilvl w:val="0"/>
          <w:numId w:val="5"/>
        </w:numPr>
        <w:spacing w:after="240"/>
        <w:jc w:val="both"/>
        <w:rPr>
          <w:rFonts w:ascii="Times New Roman" w:hAnsi="Times New Roman"/>
          <w:sz w:val="24"/>
          <w:szCs w:val="24"/>
        </w:rPr>
      </w:pPr>
      <w:r>
        <w:rPr>
          <w:rFonts w:ascii="Times New Roman" w:hAnsi="Times New Roman"/>
          <w:sz w:val="24"/>
          <w:szCs w:val="24"/>
        </w:rPr>
        <w:t>Health Insurance</w:t>
      </w:r>
      <w:r w:rsidRPr="002C6D26">
        <w:rPr>
          <w:rFonts w:ascii="Times New Roman" w:hAnsi="Times New Roman"/>
          <w:sz w:val="24"/>
          <w:szCs w:val="24"/>
        </w:rPr>
        <w:t xml:space="preserve"> (prudential standard) determination No. </w:t>
      </w:r>
      <w:r>
        <w:rPr>
          <w:rFonts w:ascii="Times New Roman" w:hAnsi="Times New Roman"/>
          <w:sz w:val="24"/>
          <w:szCs w:val="24"/>
        </w:rPr>
        <w:t>2 of 2015</w:t>
      </w:r>
      <w:r w:rsidRPr="002C6D26">
        <w:rPr>
          <w:rFonts w:ascii="Times New Roman" w:hAnsi="Times New Roman"/>
          <w:sz w:val="24"/>
          <w:szCs w:val="24"/>
        </w:rPr>
        <w:t xml:space="preserve"> </w:t>
      </w:r>
      <w:r>
        <w:rPr>
          <w:rFonts w:ascii="Times New Roman" w:hAnsi="Times New Roman"/>
          <w:sz w:val="24"/>
          <w:szCs w:val="24"/>
        </w:rPr>
        <w:t xml:space="preserve">(the instrument) which </w:t>
      </w:r>
      <w:r w:rsidRPr="002C6D26">
        <w:rPr>
          <w:rFonts w:ascii="Times New Roman" w:hAnsi="Times New Roman"/>
          <w:sz w:val="24"/>
          <w:szCs w:val="24"/>
        </w:rPr>
        <w:t xml:space="preserve">determines </w:t>
      </w:r>
      <w:r>
        <w:rPr>
          <w:rFonts w:ascii="Times New Roman" w:hAnsi="Times New Roman"/>
          <w:i/>
          <w:sz w:val="24"/>
          <w:szCs w:val="24"/>
        </w:rPr>
        <w:t>Prudential Standard</w:t>
      </w:r>
      <w:r w:rsidRPr="00246723">
        <w:rPr>
          <w:rFonts w:ascii="Times New Roman" w:hAnsi="Times New Roman"/>
          <w:sz w:val="24"/>
          <w:szCs w:val="24"/>
        </w:rPr>
        <w:t xml:space="preserve"> </w:t>
      </w:r>
      <w:r>
        <w:rPr>
          <w:rFonts w:ascii="Times New Roman" w:hAnsi="Times New Roman"/>
          <w:i/>
          <w:sz w:val="24"/>
          <w:szCs w:val="24"/>
        </w:rPr>
        <w:t xml:space="preserve">HPS 100 Solvency Standard </w:t>
      </w:r>
      <w:r>
        <w:rPr>
          <w:rFonts w:ascii="Times New Roman" w:hAnsi="Times New Roman"/>
          <w:sz w:val="24"/>
          <w:szCs w:val="24"/>
        </w:rPr>
        <w:t xml:space="preserve">(HPS 100); </w:t>
      </w:r>
    </w:p>
    <w:p w:rsidR="00A730D3" w:rsidRDefault="00A730D3" w:rsidP="00D85E77">
      <w:pPr>
        <w:widowControl w:val="0"/>
        <w:numPr>
          <w:ilvl w:val="0"/>
          <w:numId w:val="5"/>
        </w:numPr>
        <w:spacing w:after="240"/>
        <w:jc w:val="both"/>
        <w:rPr>
          <w:rFonts w:ascii="Times New Roman" w:hAnsi="Times New Roman"/>
          <w:sz w:val="24"/>
          <w:szCs w:val="24"/>
        </w:rPr>
      </w:pPr>
      <w:r>
        <w:rPr>
          <w:rFonts w:ascii="Times New Roman" w:hAnsi="Times New Roman"/>
          <w:sz w:val="24"/>
          <w:szCs w:val="24"/>
        </w:rPr>
        <w:t>Health Insurance</w:t>
      </w:r>
      <w:r w:rsidRPr="002C6D26">
        <w:rPr>
          <w:rFonts w:ascii="Times New Roman" w:hAnsi="Times New Roman"/>
          <w:sz w:val="24"/>
          <w:szCs w:val="24"/>
        </w:rPr>
        <w:t xml:space="preserve"> (prudential standard) determination No. </w:t>
      </w:r>
      <w:r w:rsidR="0090438A">
        <w:rPr>
          <w:rFonts w:ascii="Times New Roman" w:hAnsi="Times New Roman"/>
          <w:sz w:val="24"/>
          <w:szCs w:val="24"/>
        </w:rPr>
        <w:t>3</w:t>
      </w:r>
      <w:r>
        <w:rPr>
          <w:rFonts w:ascii="Times New Roman" w:hAnsi="Times New Roman"/>
          <w:sz w:val="24"/>
          <w:szCs w:val="24"/>
        </w:rPr>
        <w:t xml:space="preserve"> of 2015</w:t>
      </w:r>
      <w:r w:rsidRPr="002C6D26">
        <w:rPr>
          <w:rFonts w:ascii="Times New Roman" w:hAnsi="Times New Roman"/>
          <w:sz w:val="24"/>
          <w:szCs w:val="24"/>
        </w:rPr>
        <w:t xml:space="preserve"> </w:t>
      </w:r>
      <w:r>
        <w:rPr>
          <w:rFonts w:ascii="Times New Roman" w:hAnsi="Times New Roman"/>
          <w:sz w:val="24"/>
          <w:szCs w:val="24"/>
        </w:rPr>
        <w:t xml:space="preserve">(the instrument) which </w:t>
      </w:r>
      <w:r w:rsidRPr="002C6D26">
        <w:rPr>
          <w:rFonts w:ascii="Times New Roman" w:hAnsi="Times New Roman"/>
          <w:sz w:val="24"/>
          <w:szCs w:val="24"/>
        </w:rPr>
        <w:t xml:space="preserve">determines </w:t>
      </w:r>
      <w:r>
        <w:rPr>
          <w:rFonts w:ascii="Times New Roman" w:hAnsi="Times New Roman"/>
          <w:i/>
          <w:sz w:val="24"/>
          <w:szCs w:val="24"/>
        </w:rPr>
        <w:t>Prudential Standard</w:t>
      </w:r>
      <w:r w:rsidRPr="00246723">
        <w:rPr>
          <w:rFonts w:ascii="Times New Roman" w:hAnsi="Times New Roman"/>
          <w:sz w:val="24"/>
          <w:szCs w:val="24"/>
        </w:rPr>
        <w:t xml:space="preserve"> </w:t>
      </w:r>
      <w:r>
        <w:rPr>
          <w:rFonts w:ascii="Times New Roman" w:hAnsi="Times New Roman"/>
          <w:i/>
          <w:sz w:val="24"/>
          <w:szCs w:val="24"/>
        </w:rPr>
        <w:t xml:space="preserve">HPS </w:t>
      </w:r>
      <w:r w:rsidR="0090438A">
        <w:rPr>
          <w:rFonts w:ascii="Times New Roman" w:hAnsi="Times New Roman"/>
          <w:i/>
          <w:sz w:val="24"/>
          <w:szCs w:val="24"/>
        </w:rPr>
        <w:t>110 Capital Adequacy</w:t>
      </w:r>
      <w:r>
        <w:rPr>
          <w:rFonts w:ascii="Times New Roman" w:hAnsi="Times New Roman"/>
          <w:sz w:val="24"/>
          <w:szCs w:val="24"/>
        </w:rPr>
        <w:t xml:space="preserve"> (HPS </w:t>
      </w:r>
      <w:r w:rsidR="0090438A">
        <w:rPr>
          <w:rFonts w:ascii="Times New Roman" w:hAnsi="Times New Roman"/>
          <w:sz w:val="24"/>
          <w:szCs w:val="24"/>
        </w:rPr>
        <w:t>110</w:t>
      </w:r>
      <w:r>
        <w:rPr>
          <w:rFonts w:ascii="Times New Roman" w:hAnsi="Times New Roman"/>
          <w:sz w:val="24"/>
          <w:szCs w:val="24"/>
        </w:rPr>
        <w:t>)</w:t>
      </w:r>
    </w:p>
    <w:p w:rsidR="002B6568" w:rsidRDefault="002B6568" w:rsidP="002B6568">
      <w:pPr>
        <w:widowControl w:val="0"/>
        <w:numPr>
          <w:ilvl w:val="0"/>
          <w:numId w:val="5"/>
        </w:numPr>
        <w:spacing w:after="240"/>
        <w:jc w:val="both"/>
        <w:rPr>
          <w:rFonts w:ascii="Times New Roman" w:hAnsi="Times New Roman"/>
          <w:sz w:val="24"/>
          <w:szCs w:val="24"/>
        </w:rPr>
      </w:pPr>
      <w:r>
        <w:rPr>
          <w:rFonts w:ascii="Times New Roman" w:hAnsi="Times New Roman"/>
          <w:sz w:val="24"/>
          <w:szCs w:val="24"/>
        </w:rPr>
        <w:t>Health Insurance</w:t>
      </w:r>
      <w:r w:rsidRPr="002C6D26">
        <w:rPr>
          <w:rFonts w:ascii="Times New Roman" w:hAnsi="Times New Roman"/>
          <w:sz w:val="24"/>
          <w:szCs w:val="24"/>
        </w:rPr>
        <w:t xml:space="preserve"> (prudential standard) determination No. </w:t>
      </w:r>
      <w:r>
        <w:rPr>
          <w:rFonts w:ascii="Times New Roman" w:hAnsi="Times New Roman"/>
          <w:sz w:val="24"/>
          <w:szCs w:val="24"/>
        </w:rPr>
        <w:t>4 of 2015</w:t>
      </w:r>
      <w:r w:rsidRPr="002C6D26">
        <w:rPr>
          <w:rFonts w:ascii="Times New Roman" w:hAnsi="Times New Roman"/>
          <w:sz w:val="24"/>
          <w:szCs w:val="24"/>
        </w:rPr>
        <w:t xml:space="preserve"> </w:t>
      </w:r>
      <w:r>
        <w:rPr>
          <w:rFonts w:ascii="Times New Roman" w:hAnsi="Times New Roman"/>
          <w:sz w:val="24"/>
          <w:szCs w:val="24"/>
        </w:rPr>
        <w:t xml:space="preserve">(the instrument) which </w:t>
      </w:r>
      <w:r w:rsidRPr="002C6D26">
        <w:rPr>
          <w:rFonts w:ascii="Times New Roman" w:hAnsi="Times New Roman"/>
          <w:sz w:val="24"/>
          <w:szCs w:val="24"/>
        </w:rPr>
        <w:t xml:space="preserve">determines </w:t>
      </w:r>
      <w:r>
        <w:rPr>
          <w:rFonts w:ascii="Times New Roman" w:hAnsi="Times New Roman"/>
          <w:i/>
          <w:sz w:val="24"/>
          <w:szCs w:val="24"/>
        </w:rPr>
        <w:t>Prudential Standard</w:t>
      </w:r>
      <w:r w:rsidRPr="00246723">
        <w:rPr>
          <w:rFonts w:ascii="Times New Roman" w:hAnsi="Times New Roman"/>
          <w:sz w:val="24"/>
          <w:szCs w:val="24"/>
        </w:rPr>
        <w:t xml:space="preserve"> </w:t>
      </w:r>
      <w:r>
        <w:rPr>
          <w:rFonts w:ascii="Times New Roman" w:hAnsi="Times New Roman"/>
          <w:i/>
          <w:sz w:val="24"/>
          <w:szCs w:val="24"/>
        </w:rPr>
        <w:t xml:space="preserve">HPS </w:t>
      </w:r>
      <w:r w:rsidR="00F5679F">
        <w:rPr>
          <w:rFonts w:ascii="Times New Roman" w:hAnsi="Times New Roman"/>
          <w:i/>
          <w:sz w:val="24"/>
          <w:szCs w:val="24"/>
        </w:rPr>
        <w:t xml:space="preserve">231 Outsourcing </w:t>
      </w:r>
      <w:r w:rsidR="00F5679F" w:rsidRPr="00F5679F">
        <w:rPr>
          <w:rFonts w:ascii="Times New Roman" w:hAnsi="Times New Roman"/>
          <w:sz w:val="24"/>
          <w:szCs w:val="24"/>
        </w:rPr>
        <w:t>(HPS 231)</w:t>
      </w:r>
    </w:p>
    <w:p w:rsidR="002B6568" w:rsidRPr="00F5679F" w:rsidRDefault="00F5679F" w:rsidP="00D85E77">
      <w:pPr>
        <w:widowControl w:val="0"/>
        <w:numPr>
          <w:ilvl w:val="0"/>
          <w:numId w:val="5"/>
        </w:numPr>
        <w:spacing w:after="240"/>
        <w:jc w:val="both"/>
        <w:rPr>
          <w:rFonts w:ascii="Times New Roman" w:hAnsi="Times New Roman"/>
          <w:sz w:val="24"/>
          <w:szCs w:val="24"/>
        </w:rPr>
      </w:pPr>
      <w:r>
        <w:rPr>
          <w:rFonts w:ascii="Times New Roman" w:hAnsi="Times New Roman"/>
          <w:sz w:val="24"/>
          <w:szCs w:val="24"/>
        </w:rPr>
        <w:t>Health Insurance</w:t>
      </w:r>
      <w:r w:rsidRPr="002C6D26">
        <w:rPr>
          <w:rFonts w:ascii="Times New Roman" w:hAnsi="Times New Roman"/>
          <w:sz w:val="24"/>
          <w:szCs w:val="24"/>
        </w:rPr>
        <w:t xml:space="preserve"> (prudential standard) determination No. </w:t>
      </w:r>
      <w:r>
        <w:rPr>
          <w:rFonts w:ascii="Times New Roman" w:hAnsi="Times New Roman"/>
          <w:sz w:val="24"/>
          <w:szCs w:val="24"/>
        </w:rPr>
        <w:t>5 of 2015</w:t>
      </w:r>
      <w:r w:rsidRPr="002C6D26">
        <w:rPr>
          <w:rFonts w:ascii="Times New Roman" w:hAnsi="Times New Roman"/>
          <w:sz w:val="24"/>
          <w:szCs w:val="24"/>
        </w:rPr>
        <w:t xml:space="preserve"> </w:t>
      </w:r>
      <w:r>
        <w:rPr>
          <w:rFonts w:ascii="Times New Roman" w:hAnsi="Times New Roman"/>
          <w:sz w:val="24"/>
          <w:szCs w:val="24"/>
        </w:rPr>
        <w:t xml:space="preserve">(the instrument) which </w:t>
      </w:r>
      <w:r w:rsidRPr="002C6D26">
        <w:rPr>
          <w:rFonts w:ascii="Times New Roman" w:hAnsi="Times New Roman"/>
          <w:sz w:val="24"/>
          <w:szCs w:val="24"/>
        </w:rPr>
        <w:t xml:space="preserve">determines </w:t>
      </w:r>
      <w:r>
        <w:rPr>
          <w:rFonts w:ascii="Times New Roman" w:hAnsi="Times New Roman"/>
          <w:i/>
          <w:sz w:val="24"/>
          <w:szCs w:val="24"/>
        </w:rPr>
        <w:t>Prudential Standard</w:t>
      </w:r>
      <w:r w:rsidRPr="00246723">
        <w:rPr>
          <w:rFonts w:ascii="Times New Roman" w:hAnsi="Times New Roman"/>
          <w:sz w:val="24"/>
          <w:szCs w:val="24"/>
        </w:rPr>
        <w:t xml:space="preserve"> </w:t>
      </w:r>
      <w:r>
        <w:rPr>
          <w:rFonts w:ascii="Times New Roman" w:hAnsi="Times New Roman"/>
          <w:i/>
          <w:sz w:val="24"/>
          <w:szCs w:val="24"/>
        </w:rPr>
        <w:t xml:space="preserve">HPS 320 Actuarial and Related Matters </w:t>
      </w:r>
      <w:r>
        <w:rPr>
          <w:rFonts w:ascii="Times New Roman" w:hAnsi="Times New Roman"/>
          <w:sz w:val="24"/>
          <w:szCs w:val="24"/>
        </w:rPr>
        <w:t>(HPS 320)</w:t>
      </w:r>
    </w:p>
    <w:p w:rsidR="00F5679F" w:rsidRPr="00F5679F" w:rsidRDefault="00F5679F" w:rsidP="00D85E77">
      <w:pPr>
        <w:widowControl w:val="0"/>
        <w:numPr>
          <w:ilvl w:val="0"/>
          <w:numId w:val="5"/>
        </w:numPr>
        <w:spacing w:after="240"/>
        <w:jc w:val="both"/>
        <w:rPr>
          <w:rFonts w:ascii="Times New Roman" w:hAnsi="Times New Roman"/>
          <w:sz w:val="24"/>
          <w:szCs w:val="24"/>
        </w:rPr>
      </w:pPr>
      <w:r>
        <w:rPr>
          <w:rFonts w:ascii="Times New Roman" w:hAnsi="Times New Roman"/>
          <w:sz w:val="24"/>
          <w:szCs w:val="24"/>
        </w:rPr>
        <w:t>Health Insurance</w:t>
      </w:r>
      <w:r w:rsidRPr="002C6D26">
        <w:rPr>
          <w:rFonts w:ascii="Times New Roman" w:hAnsi="Times New Roman"/>
          <w:sz w:val="24"/>
          <w:szCs w:val="24"/>
        </w:rPr>
        <w:t xml:space="preserve"> (prudential standard) determination No. </w:t>
      </w:r>
      <w:r>
        <w:rPr>
          <w:rFonts w:ascii="Times New Roman" w:hAnsi="Times New Roman"/>
          <w:sz w:val="24"/>
          <w:szCs w:val="24"/>
        </w:rPr>
        <w:t>6 of 2015</w:t>
      </w:r>
      <w:r w:rsidRPr="002C6D26">
        <w:rPr>
          <w:rFonts w:ascii="Times New Roman" w:hAnsi="Times New Roman"/>
          <w:sz w:val="24"/>
          <w:szCs w:val="24"/>
        </w:rPr>
        <w:t xml:space="preserve"> </w:t>
      </w:r>
      <w:r>
        <w:rPr>
          <w:rFonts w:ascii="Times New Roman" w:hAnsi="Times New Roman"/>
          <w:sz w:val="24"/>
          <w:szCs w:val="24"/>
        </w:rPr>
        <w:t xml:space="preserve">(the instrument) which </w:t>
      </w:r>
      <w:r w:rsidRPr="002C6D26">
        <w:rPr>
          <w:rFonts w:ascii="Times New Roman" w:hAnsi="Times New Roman"/>
          <w:sz w:val="24"/>
          <w:szCs w:val="24"/>
        </w:rPr>
        <w:t xml:space="preserve">determines </w:t>
      </w:r>
      <w:r>
        <w:rPr>
          <w:rFonts w:ascii="Times New Roman" w:hAnsi="Times New Roman"/>
          <w:i/>
          <w:sz w:val="24"/>
          <w:szCs w:val="24"/>
        </w:rPr>
        <w:t>Prudential Standard</w:t>
      </w:r>
      <w:r w:rsidRPr="00246723">
        <w:rPr>
          <w:rFonts w:ascii="Times New Roman" w:hAnsi="Times New Roman"/>
          <w:sz w:val="24"/>
          <w:szCs w:val="24"/>
        </w:rPr>
        <w:t xml:space="preserve"> </w:t>
      </w:r>
      <w:r>
        <w:rPr>
          <w:rFonts w:ascii="Times New Roman" w:hAnsi="Times New Roman"/>
          <w:i/>
          <w:sz w:val="24"/>
          <w:szCs w:val="24"/>
        </w:rPr>
        <w:t>HPS 350 Disclosure to APRA</w:t>
      </w:r>
      <w:r>
        <w:rPr>
          <w:rFonts w:ascii="Times New Roman" w:hAnsi="Times New Roman"/>
          <w:sz w:val="24"/>
          <w:szCs w:val="24"/>
        </w:rPr>
        <w:t xml:space="preserve"> (HPS 350)</w:t>
      </w:r>
    </w:p>
    <w:p w:rsidR="00F5679F" w:rsidRDefault="00F5679F" w:rsidP="00D85E77">
      <w:pPr>
        <w:widowControl w:val="0"/>
        <w:numPr>
          <w:ilvl w:val="0"/>
          <w:numId w:val="5"/>
        </w:numPr>
        <w:spacing w:after="240"/>
        <w:jc w:val="both"/>
        <w:rPr>
          <w:rFonts w:ascii="Times New Roman" w:hAnsi="Times New Roman"/>
          <w:sz w:val="24"/>
          <w:szCs w:val="24"/>
        </w:rPr>
      </w:pPr>
      <w:r>
        <w:rPr>
          <w:rFonts w:ascii="Times New Roman" w:hAnsi="Times New Roman"/>
          <w:sz w:val="24"/>
          <w:szCs w:val="24"/>
        </w:rPr>
        <w:t>Health Insurance</w:t>
      </w:r>
      <w:r w:rsidRPr="002C6D26">
        <w:rPr>
          <w:rFonts w:ascii="Times New Roman" w:hAnsi="Times New Roman"/>
          <w:sz w:val="24"/>
          <w:szCs w:val="24"/>
        </w:rPr>
        <w:t xml:space="preserve"> (prudential standard) determination No. </w:t>
      </w:r>
      <w:r>
        <w:rPr>
          <w:rFonts w:ascii="Times New Roman" w:hAnsi="Times New Roman"/>
          <w:sz w:val="24"/>
          <w:szCs w:val="24"/>
        </w:rPr>
        <w:t>7 of 2015</w:t>
      </w:r>
      <w:r w:rsidRPr="002C6D26">
        <w:rPr>
          <w:rFonts w:ascii="Times New Roman" w:hAnsi="Times New Roman"/>
          <w:sz w:val="24"/>
          <w:szCs w:val="24"/>
        </w:rPr>
        <w:t xml:space="preserve"> </w:t>
      </w:r>
      <w:r>
        <w:rPr>
          <w:rFonts w:ascii="Times New Roman" w:hAnsi="Times New Roman"/>
          <w:sz w:val="24"/>
          <w:szCs w:val="24"/>
        </w:rPr>
        <w:t xml:space="preserve">(the instrument) which </w:t>
      </w:r>
      <w:r w:rsidRPr="002C6D26">
        <w:rPr>
          <w:rFonts w:ascii="Times New Roman" w:hAnsi="Times New Roman"/>
          <w:sz w:val="24"/>
          <w:szCs w:val="24"/>
        </w:rPr>
        <w:t xml:space="preserve">determines </w:t>
      </w:r>
      <w:r>
        <w:rPr>
          <w:rFonts w:ascii="Times New Roman" w:hAnsi="Times New Roman"/>
          <w:i/>
          <w:sz w:val="24"/>
          <w:szCs w:val="24"/>
        </w:rPr>
        <w:t>Prudential Standard</w:t>
      </w:r>
      <w:r w:rsidRPr="00246723">
        <w:rPr>
          <w:rFonts w:ascii="Times New Roman" w:hAnsi="Times New Roman"/>
          <w:sz w:val="24"/>
          <w:szCs w:val="24"/>
        </w:rPr>
        <w:t xml:space="preserve"> </w:t>
      </w:r>
      <w:r>
        <w:rPr>
          <w:rFonts w:ascii="Times New Roman" w:hAnsi="Times New Roman"/>
          <w:i/>
          <w:sz w:val="24"/>
          <w:szCs w:val="24"/>
        </w:rPr>
        <w:t xml:space="preserve">HPS 520 Governance </w:t>
      </w:r>
      <w:r>
        <w:rPr>
          <w:rFonts w:ascii="Times New Roman" w:hAnsi="Times New Roman"/>
          <w:sz w:val="24"/>
          <w:szCs w:val="24"/>
        </w:rPr>
        <w:t>(HPS 510)</w:t>
      </w:r>
    </w:p>
    <w:p w:rsidR="00246723" w:rsidRDefault="00AC7A56" w:rsidP="00D85E77">
      <w:pPr>
        <w:widowControl w:val="0"/>
        <w:spacing w:after="240"/>
        <w:jc w:val="both"/>
        <w:rPr>
          <w:rFonts w:ascii="Times New Roman" w:hAnsi="Times New Roman"/>
          <w:sz w:val="24"/>
          <w:szCs w:val="24"/>
        </w:rPr>
      </w:pPr>
      <w:r>
        <w:rPr>
          <w:rFonts w:ascii="Times New Roman" w:hAnsi="Times New Roman"/>
          <w:sz w:val="24"/>
          <w:szCs w:val="24"/>
        </w:rPr>
        <w:t xml:space="preserve">The instruments </w:t>
      </w:r>
      <w:r w:rsidR="00BB34BC">
        <w:rPr>
          <w:rFonts w:ascii="Times New Roman" w:hAnsi="Times New Roman"/>
          <w:sz w:val="24"/>
          <w:szCs w:val="24"/>
        </w:rPr>
        <w:t xml:space="preserve">take effect </w:t>
      </w:r>
      <w:r w:rsidR="00BB34BC" w:rsidRPr="00BB34BC">
        <w:rPr>
          <w:rFonts w:ascii="Times New Roman" w:hAnsi="Times New Roman"/>
          <w:sz w:val="24"/>
          <w:szCs w:val="24"/>
        </w:rPr>
        <w:t xml:space="preserve">on the day the </w:t>
      </w:r>
      <w:r w:rsidR="00BB34BC" w:rsidRPr="001474AD">
        <w:rPr>
          <w:rFonts w:ascii="Times New Roman" w:hAnsi="Times New Roman"/>
          <w:i/>
          <w:sz w:val="24"/>
          <w:szCs w:val="24"/>
        </w:rPr>
        <w:t>Private Health Insurance (Prudential Supervision) Act 2015</w:t>
      </w:r>
      <w:r w:rsidR="00BB34BC" w:rsidRPr="00BB34BC">
        <w:rPr>
          <w:rFonts w:ascii="Times New Roman" w:hAnsi="Times New Roman"/>
          <w:sz w:val="24"/>
          <w:szCs w:val="24"/>
        </w:rPr>
        <w:t xml:space="preserve"> commences</w:t>
      </w:r>
      <w:r w:rsidR="00611EAB">
        <w:rPr>
          <w:rFonts w:ascii="Times New Roman" w:hAnsi="Times New Roman"/>
          <w:sz w:val="24"/>
          <w:szCs w:val="24"/>
        </w:rPr>
        <w:t xml:space="preserve">, </w:t>
      </w:r>
      <w:r w:rsidR="00C041B0">
        <w:rPr>
          <w:rFonts w:ascii="Times New Roman" w:hAnsi="Times New Roman"/>
          <w:sz w:val="24"/>
          <w:szCs w:val="24"/>
        </w:rPr>
        <w:t>namely</w:t>
      </w:r>
      <w:r w:rsidR="00611EAB">
        <w:rPr>
          <w:rFonts w:ascii="Times New Roman" w:hAnsi="Times New Roman"/>
          <w:sz w:val="24"/>
          <w:szCs w:val="24"/>
        </w:rPr>
        <w:t xml:space="preserve"> 1 July 2015</w:t>
      </w:r>
      <w:r w:rsidRPr="002C6D26">
        <w:rPr>
          <w:rFonts w:ascii="Times New Roman" w:hAnsi="Times New Roman"/>
          <w:sz w:val="24"/>
          <w:szCs w:val="24"/>
        </w:rPr>
        <w:t>.</w:t>
      </w:r>
      <w:r>
        <w:rPr>
          <w:rFonts w:ascii="Times New Roman" w:hAnsi="Times New Roman"/>
          <w:sz w:val="24"/>
          <w:szCs w:val="24"/>
        </w:rPr>
        <w:tab/>
      </w:r>
      <w:r w:rsidR="00F5679F">
        <w:rPr>
          <w:rFonts w:ascii="Times New Roman" w:hAnsi="Times New Roman"/>
          <w:sz w:val="24"/>
          <w:szCs w:val="24"/>
        </w:rPr>
        <w:t xml:space="preserve"> </w:t>
      </w:r>
    </w:p>
    <w:p w:rsidR="002436BD" w:rsidRDefault="002436BD" w:rsidP="00D85E77">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rsidR="00310CF8" w:rsidRPr="00470375" w:rsidRDefault="007F3C95" w:rsidP="00D85E77">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As part of the </w:t>
      </w:r>
      <w:r>
        <w:rPr>
          <w:rFonts w:ascii="Times New Roman" w:hAnsi="Times New Roman"/>
          <w:b w:val="0"/>
          <w:i/>
          <w:sz w:val="24"/>
          <w:szCs w:val="24"/>
        </w:rPr>
        <w:t xml:space="preserve">Smaller Government – additional reductions in the number of Australian Government </w:t>
      </w:r>
      <w:proofErr w:type="gramStart"/>
      <w:r>
        <w:rPr>
          <w:rFonts w:ascii="Times New Roman" w:hAnsi="Times New Roman"/>
          <w:b w:val="0"/>
          <w:i/>
          <w:sz w:val="24"/>
          <w:szCs w:val="24"/>
        </w:rPr>
        <w:t>bodies</w:t>
      </w:r>
      <w:proofErr w:type="gramEnd"/>
      <w:r>
        <w:rPr>
          <w:rFonts w:ascii="Times New Roman" w:hAnsi="Times New Roman"/>
          <w:b w:val="0"/>
          <w:i/>
          <w:sz w:val="24"/>
          <w:szCs w:val="24"/>
        </w:rPr>
        <w:t xml:space="preserve"> </w:t>
      </w:r>
      <w:r>
        <w:rPr>
          <w:rFonts w:ascii="Times New Roman" w:hAnsi="Times New Roman"/>
          <w:b w:val="0"/>
          <w:sz w:val="24"/>
          <w:szCs w:val="24"/>
        </w:rPr>
        <w:t xml:space="preserve">initiative announced </w:t>
      </w:r>
      <w:r w:rsidR="00F664F7">
        <w:rPr>
          <w:rFonts w:ascii="Times New Roman" w:hAnsi="Times New Roman"/>
          <w:b w:val="0"/>
          <w:sz w:val="24"/>
          <w:szCs w:val="24"/>
        </w:rPr>
        <w:t>in</w:t>
      </w:r>
      <w:r>
        <w:rPr>
          <w:rFonts w:ascii="Times New Roman" w:hAnsi="Times New Roman"/>
          <w:b w:val="0"/>
          <w:sz w:val="24"/>
          <w:szCs w:val="24"/>
        </w:rPr>
        <w:t xml:space="preserve"> the 2014-2015 Budget</w:t>
      </w:r>
      <w:r w:rsidR="00681DD3">
        <w:rPr>
          <w:rFonts w:ascii="Times New Roman" w:hAnsi="Times New Roman"/>
          <w:b w:val="0"/>
          <w:sz w:val="24"/>
          <w:szCs w:val="24"/>
        </w:rPr>
        <w:t>,</w:t>
      </w:r>
      <w:r w:rsidR="00FE3D3C" w:rsidRPr="00FE3D3C">
        <w:rPr>
          <w:rFonts w:ascii="Times New Roman" w:hAnsi="Times New Roman"/>
          <w:b w:val="0"/>
          <w:sz w:val="24"/>
          <w:szCs w:val="24"/>
        </w:rPr>
        <w:t xml:space="preserve"> the prudential regulation functions of the Private Health Insurance Administration </w:t>
      </w:r>
      <w:r w:rsidR="00FE3D3C" w:rsidRPr="00FE3D3C">
        <w:rPr>
          <w:rFonts w:ascii="Times New Roman" w:hAnsi="Times New Roman"/>
          <w:b w:val="0"/>
          <w:sz w:val="24"/>
          <w:szCs w:val="24"/>
        </w:rPr>
        <w:lastRenderedPageBreak/>
        <w:t>Council (PHIAC)</w:t>
      </w:r>
      <w:r w:rsidR="00E44416">
        <w:rPr>
          <w:rFonts w:ascii="Times New Roman" w:hAnsi="Times New Roman"/>
          <w:b w:val="0"/>
          <w:sz w:val="24"/>
          <w:szCs w:val="24"/>
        </w:rPr>
        <w:t xml:space="preserve"> will</w:t>
      </w:r>
      <w:r w:rsidR="00FE3D3C" w:rsidRPr="00FE3D3C">
        <w:rPr>
          <w:rFonts w:ascii="Times New Roman" w:hAnsi="Times New Roman"/>
          <w:b w:val="0"/>
          <w:sz w:val="24"/>
          <w:szCs w:val="24"/>
        </w:rPr>
        <w:t xml:space="preserve"> be transferred to APRA</w:t>
      </w:r>
      <w:r w:rsidR="00310CF8" w:rsidRPr="00FE3D3C">
        <w:rPr>
          <w:rFonts w:ascii="Times New Roman" w:hAnsi="Times New Roman"/>
          <w:b w:val="0"/>
          <w:sz w:val="24"/>
          <w:szCs w:val="24"/>
        </w:rPr>
        <w:t>.</w:t>
      </w:r>
      <w:r w:rsidR="00FE3D3C" w:rsidRPr="00FE3D3C">
        <w:t xml:space="preserve"> </w:t>
      </w:r>
      <w:r w:rsidR="00987B7C">
        <w:rPr>
          <w:rFonts w:ascii="Times New Roman" w:hAnsi="Times New Roman"/>
          <w:b w:val="0"/>
          <w:sz w:val="24"/>
          <w:szCs w:val="24"/>
        </w:rPr>
        <w:t>F</w:t>
      </w:r>
      <w:r w:rsidR="00987B7C" w:rsidRPr="00FE3D3C">
        <w:rPr>
          <w:rFonts w:ascii="Times New Roman" w:hAnsi="Times New Roman"/>
          <w:b w:val="0"/>
          <w:sz w:val="24"/>
          <w:szCs w:val="24"/>
        </w:rPr>
        <w:t>rom 1 July 2015</w:t>
      </w:r>
      <w:r w:rsidR="00987B7C">
        <w:rPr>
          <w:rFonts w:ascii="Times New Roman" w:hAnsi="Times New Roman"/>
          <w:b w:val="0"/>
          <w:sz w:val="24"/>
          <w:szCs w:val="24"/>
        </w:rPr>
        <w:t xml:space="preserve">, </w:t>
      </w:r>
      <w:r w:rsidR="00FE3D3C" w:rsidRPr="00FE3D3C">
        <w:rPr>
          <w:rFonts w:ascii="Times New Roman" w:hAnsi="Times New Roman"/>
          <w:b w:val="0"/>
          <w:sz w:val="24"/>
          <w:szCs w:val="24"/>
        </w:rPr>
        <w:t xml:space="preserve">APRA will take on all prudential regulation functions </w:t>
      </w:r>
      <w:r w:rsidR="00E44416">
        <w:rPr>
          <w:rFonts w:ascii="Times New Roman" w:hAnsi="Times New Roman"/>
          <w:b w:val="0"/>
          <w:sz w:val="24"/>
          <w:szCs w:val="24"/>
        </w:rPr>
        <w:t>for private health insurers</w:t>
      </w:r>
      <w:r w:rsidR="00FE3D3C" w:rsidRPr="00FE3D3C">
        <w:rPr>
          <w:rFonts w:ascii="Times New Roman" w:hAnsi="Times New Roman"/>
          <w:b w:val="0"/>
          <w:sz w:val="24"/>
          <w:szCs w:val="24"/>
        </w:rPr>
        <w:t>.</w:t>
      </w:r>
      <w:r w:rsidR="004C0C16" w:rsidRPr="004C0C16">
        <w:rPr>
          <w:rFonts w:ascii="Times New Roman" w:hAnsi="Times New Roman"/>
          <w:b w:val="0"/>
          <w:sz w:val="24"/>
          <w:szCs w:val="24"/>
        </w:rPr>
        <w:t xml:space="preserve">  </w:t>
      </w:r>
    </w:p>
    <w:p w:rsidR="002436BD" w:rsidRDefault="002436BD" w:rsidP="00D85E77">
      <w:pPr>
        <w:pStyle w:val="Heading"/>
        <w:keepNext/>
        <w:numPr>
          <w:ilvl w:val="0"/>
          <w:numId w:val="2"/>
        </w:numPr>
        <w:spacing w:after="240"/>
        <w:ind w:left="0" w:firstLine="0"/>
        <w:outlineLvl w:val="0"/>
        <w:rPr>
          <w:rFonts w:ascii="Times New Roman" w:hAnsi="Times New Roman"/>
          <w:sz w:val="24"/>
          <w:szCs w:val="24"/>
        </w:rPr>
      </w:pPr>
      <w:bookmarkStart w:id="4" w:name="bkBackground"/>
      <w:bookmarkEnd w:id="4"/>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r w:rsidR="008B1252">
        <w:rPr>
          <w:rFonts w:ascii="Times New Roman" w:hAnsi="Times New Roman"/>
          <w:sz w:val="24"/>
          <w:szCs w:val="24"/>
        </w:rPr>
        <w:t>s</w:t>
      </w:r>
    </w:p>
    <w:p w:rsidR="008B1252" w:rsidRDefault="00E44416" w:rsidP="008B1252">
      <w:pPr>
        <w:pStyle w:val="Heading"/>
        <w:keepNext/>
        <w:spacing w:after="240"/>
        <w:outlineLvl w:val="0"/>
        <w:rPr>
          <w:rFonts w:ascii="Times New Roman" w:hAnsi="Times New Roman"/>
          <w:b w:val="0"/>
          <w:sz w:val="24"/>
          <w:szCs w:val="24"/>
        </w:rPr>
      </w:pPr>
      <w:r>
        <w:rPr>
          <w:rFonts w:ascii="Times New Roman" w:hAnsi="Times New Roman"/>
          <w:b w:val="0"/>
          <w:sz w:val="24"/>
          <w:szCs w:val="24"/>
        </w:rPr>
        <w:t>As part of the reforms</w:t>
      </w:r>
      <w:r w:rsidR="008B1252" w:rsidRPr="004C0C16">
        <w:rPr>
          <w:rFonts w:ascii="Times New Roman" w:hAnsi="Times New Roman"/>
          <w:b w:val="0"/>
          <w:sz w:val="24"/>
          <w:szCs w:val="24"/>
        </w:rPr>
        <w:t xml:space="preserve">, </w:t>
      </w:r>
      <w:r w:rsidR="00987B7C" w:rsidRPr="00987B7C">
        <w:rPr>
          <w:rFonts w:ascii="Times New Roman" w:hAnsi="Times New Roman"/>
          <w:b w:val="0"/>
          <w:sz w:val="24"/>
          <w:szCs w:val="24"/>
        </w:rPr>
        <w:t>the</w:t>
      </w:r>
      <w:r w:rsidR="00987B7C">
        <w:rPr>
          <w:rFonts w:ascii="Times New Roman" w:hAnsi="Times New Roman"/>
          <w:b w:val="0"/>
          <w:sz w:val="24"/>
          <w:szCs w:val="24"/>
        </w:rPr>
        <w:t xml:space="preserve"> new</w:t>
      </w:r>
      <w:r w:rsidR="00987B7C" w:rsidRPr="00987B7C">
        <w:rPr>
          <w:rFonts w:ascii="Times New Roman" w:hAnsi="Times New Roman"/>
          <w:b w:val="0"/>
          <w:sz w:val="24"/>
          <w:szCs w:val="24"/>
        </w:rPr>
        <w:t xml:space="preserve"> Act</w:t>
      </w:r>
      <w:r w:rsidR="00C52E54">
        <w:rPr>
          <w:rFonts w:ascii="Times New Roman" w:hAnsi="Times New Roman"/>
          <w:b w:val="0"/>
          <w:sz w:val="24"/>
          <w:szCs w:val="24"/>
        </w:rPr>
        <w:t xml:space="preserve"> </w:t>
      </w:r>
      <w:r w:rsidR="008B1252" w:rsidRPr="004C0C16">
        <w:rPr>
          <w:rFonts w:ascii="Times New Roman" w:hAnsi="Times New Roman"/>
          <w:b w:val="0"/>
          <w:sz w:val="24"/>
          <w:szCs w:val="24"/>
        </w:rPr>
        <w:t>will become the primary piece of legislation for the prudential regulation of private health insurance.</w:t>
      </w:r>
      <w:r w:rsidR="008B1252">
        <w:rPr>
          <w:rFonts w:ascii="Times New Roman" w:hAnsi="Times New Roman"/>
          <w:b w:val="0"/>
          <w:sz w:val="24"/>
          <w:szCs w:val="24"/>
        </w:rPr>
        <w:t xml:space="preserve"> </w:t>
      </w:r>
      <w:r w:rsidR="00AB456D">
        <w:rPr>
          <w:rFonts w:ascii="Times New Roman" w:hAnsi="Times New Roman"/>
          <w:b w:val="0"/>
          <w:sz w:val="24"/>
          <w:szCs w:val="24"/>
        </w:rPr>
        <w:t>The instruments</w:t>
      </w:r>
      <w:r w:rsidR="00387365">
        <w:rPr>
          <w:rFonts w:ascii="Times New Roman" w:hAnsi="Times New Roman"/>
          <w:b w:val="0"/>
          <w:sz w:val="24"/>
          <w:szCs w:val="24"/>
        </w:rPr>
        <w:t xml:space="preserve"> made under the </w:t>
      </w:r>
      <w:r w:rsidR="00987B7C">
        <w:rPr>
          <w:rFonts w:ascii="Times New Roman" w:hAnsi="Times New Roman"/>
          <w:b w:val="0"/>
          <w:sz w:val="24"/>
          <w:szCs w:val="24"/>
        </w:rPr>
        <w:t xml:space="preserve">new </w:t>
      </w:r>
      <w:r w:rsidR="00AB456D">
        <w:rPr>
          <w:rFonts w:ascii="Times New Roman" w:hAnsi="Times New Roman"/>
          <w:b w:val="0"/>
          <w:sz w:val="24"/>
          <w:szCs w:val="24"/>
        </w:rPr>
        <w:t>Act</w:t>
      </w:r>
      <w:r w:rsidR="00387365">
        <w:rPr>
          <w:rFonts w:ascii="Times New Roman" w:hAnsi="Times New Roman"/>
          <w:b w:val="0"/>
          <w:sz w:val="24"/>
          <w:szCs w:val="24"/>
        </w:rPr>
        <w:t xml:space="preserve"> </w:t>
      </w:r>
      <w:r w:rsidR="008A1DDC">
        <w:rPr>
          <w:rFonts w:ascii="Times New Roman" w:hAnsi="Times New Roman"/>
          <w:b w:val="0"/>
          <w:sz w:val="24"/>
          <w:szCs w:val="24"/>
        </w:rPr>
        <w:t>determine prudential standards that</w:t>
      </w:r>
      <w:r w:rsidR="00AB456D">
        <w:rPr>
          <w:rFonts w:ascii="Times New Roman" w:hAnsi="Times New Roman"/>
          <w:b w:val="0"/>
          <w:sz w:val="24"/>
          <w:szCs w:val="24"/>
        </w:rPr>
        <w:t>, together with APRA Rules,</w:t>
      </w:r>
      <w:r w:rsidR="008A1DDC">
        <w:rPr>
          <w:rFonts w:ascii="Times New Roman" w:hAnsi="Times New Roman"/>
          <w:b w:val="0"/>
          <w:sz w:val="24"/>
          <w:szCs w:val="24"/>
        </w:rPr>
        <w:t xml:space="preserve"> </w:t>
      </w:r>
      <w:r w:rsidR="00B81F72">
        <w:rPr>
          <w:rFonts w:ascii="Times New Roman" w:hAnsi="Times New Roman"/>
          <w:b w:val="0"/>
          <w:sz w:val="24"/>
          <w:szCs w:val="24"/>
        </w:rPr>
        <w:t>ensure the continued application of the existing prudential framework.</w:t>
      </w:r>
      <w:r w:rsidR="00387365">
        <w:rPr>
          <w:rFonts w:ascii="Times New Roman" w:hAnsi="Times New Roman"/>
          <w:b w:val="0"/>
          <w:sz w:val="24"/>
          <w:szCs w:val="24"/>
        </w:rPr>
        <w:t xml:space="preserve"> </w:t>
      </w:r>
    </w:p>
    <w:p w:rsidR="00D146A4" w:rsidRDefault="00AB456D" w:rsidP="00AB456D">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The objective of APRA’s prudential requirements </w:t>
      </w:r>
      <w:r w:rsidR="00C434A0">
        <w:rPr>
          <w:rFonts w:ascii="Times New Roman" w:hAnsi="Times New Roman"/>
          <w:b w:val="0"/>
          <w:sz w:val="24"/>
          <w:szCs w:val="24"/>
        </w:rPr>
        <w:t xml:space="preserve">is </w:t>
      </w:r>
      <w:r>
        <w:rPr>
          <w:rFonts w:ascii="Times New Roman" w:hAnsi="Times New Roman"/>
          <w:b w:val="0"/>
          <w:sz w:val="24"/>
          <w:szCs w:val="24"/>
        </w:rPr>
        <w:t xml:space="preserve">to provide seamless transition of the current requirements administered by PHIAC, so that the same requirements continue to have effect in substance following the transfer of responsibilities to APRA. This will minimise the disturbance to the private health industry. </w:t>
      </w:r>
    </w:p>
    <w:p w:rsidR="005F56B0" w:rsidRDefault="00AB456D" w:rsidP="00AB456D">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The prudential standards </w:t>
      </w:r>
      <w:r w:rsidR="009659E4">
        <w:rPr>
          <w:rFonts w:ascii="Times New Roman" w:hAnsi="Times New Roman"/>
          <w:b w:val="0"/>
          <w:sz w:val="24"/>
          <w:szCs w:val="24"/>
        </w:rPr>
        <w:t xml:space="preserve">largely </w:t>
      </w:r>
      <w:r>
        <w:rPr>
          <w:rFonts w:ascii="Times New Roman" w:hAnsi="Times New Roman"/>
          <w:b w:val="0"/>
          <w:sz w:val="24"/>
          <w:szCs w:val="24"/>
        </w:rPr>
        <w:t xml:space="preserve">replicate existing </w:t>
      </w:r>
      <w:r w:rsidR="004B0BC1">
        <w:rPr>
          <w:rFonts w:ascii="Times New Roman" w:hAnsi="Times New Roman"/>
          <w:b w:val="0"/>
          <w:sz w:val="24"/>
          <w:szCs w:val="24"/>
        </w:rPr>
        <w:t>Rules</w:t>
      </w:r>
      <w:r w:rsidR="005B5513">
        <w:rPr>
          <w:rFonts w:ascii="Times New Roman" w:hAnsi="Times New Roman"/>
          <w:b w:val="0"/>
          <w:sz w:val="24"/>
          <w:szCs w:val="24"/>
        </w:rPr>
        <w:t xml:space="preserve"> </w:t>
      </w:r>
      <w:r w:rsidR="00A66984">
        <w:rPr>
          <w:rFonts w:ascii="Times New Roman" w:hAnsi="Times New Roman"/>
          <w:b w:val="0"/>
          <w:sz w:val="24"/>
          <w:szCs w:val="24"/>
        </w:rPr>
        <w:t>which apply</w:t>
      </w:r>
      <w:r w:rsidR="00A6579B">
        <w:rPr>
          <w:rFonts w:ascii="Times New Roman" w:hAnsi="Times New Roman"/>
          <w:b w:val="0"/>
          <w:sz w:val="24"/>
          <w:szCs w:val="24"/>
        </w:rPr>
        <w:t xml:space="preserve"> to </w:t>
      </w:r>
      <w:r>
        <w:rPr>
          <w:rFonts w:ascii="Times New Roman" w:hAnsi="Times New Roman"/>
          <w:b w:val="0"/>
          <w:sz w:val="24"/>
          <w:szCs w:val="24"/>
        </w:rPr>
        <w:t>private health insurers issued by PHIAC</w:t>
      </w:r>
      <w:r w:rsidR="004B0BC1">
        <w:rPr>
          <w:rFonts w:ascii="Times New Roman" w:hAnsi="Times New Roman"/>
          <w:b w:val="0"/>
          <w:sz w:val="24"/>
          <w:szCs w:val="24"/>
        </w:rPr>
        <w:t xml:space="preserve"> (‘PHI Rules’)</w:t>
      </w:r>
      <w:r w:rsidR="009659E4">
        <w:rPr>
          <w:rFonts w:ascii="Times New Roman" w:hAnsi="Times New Roman"/>
          <w:b w:val="0"/>
          <w:sz w:val="24"/>
          <w:szCs w:val="24"/>
        </w:rPr>
        <w:t xml:space="preserve">, although some minor and technical changes </w:t>
      </w:r>
      <w:r w:rsidR="003E0B64">
        <w:rPr>
          <w:rFonts w:ascii="Times New Roman" w:hAnsi="Times New Roman"/>
          <w:b w:val="0"/>
          <w:sz w:val="24"/>
          <w:szCs w:val="24"/>
        </w:rPr>
        <w:t>are</w:t>
      </w:r>
      <w:r w:rsidR="009659E4">
        <w:rPr>
          <w:rFonts w:ascii="Times New Roman" w:hAnsi="Times New Roman"/>
          <w:b w:val="0"/>
          <w:sz w:val="24"/>
          <w:szCs w:val="24"/>
        </w:rPr>
        <w:t xml:space="preserve"> necessary to align with the new Act</w:t>
      </w:r>
      <w:r>
        <w:rPr>
          <w:rFonts w:ascii="Times New Roman" w:hAnsi="Times New Roman"/>
          <w:b w:val="0"/>
          <w:sz w:val="24"/>
          <w:szCs w:val="24"/>
        </w:rPr>
        <w:t>.</w:t>
      </w:r>
    </w:p>
    <w:p w:rsidR="004D4918" w:rsidRDefault="004D4918" w:rsidP="004D4918">
      <w:pPr>
        <w:pStyle w:val="Heading"/>
        <w:keepNext/>
        <w:spacing w:after="240"/>
        <w:outlineLvl w:val="0"/>
        <w:rPr>
          <w:rFonts w:ascii="Times New Roman" w:hAnsi="Times New Roman"/>
          <w:b w:val="0"/>
          <w:sz w:val="24"/>
          <w:szCs w:val="24"/>
        </w:rPr>
      </w:pPr>
      <w:r>
        <w:rPr>
          <w:rFonts w:ascii="Times New Roman" w:hAnsi="Times New Roman"/>
          <w:b w:val="0"/>
          <w:sz w:val="24"/>
          <w:szCs w:val="24"/>
        </w:rPr>
        <w:t>HPS 001 is a new standard setting out key definitions used in other prudential standards (discussed further below).</w:t>
      </w:r>
      <w:r w:rsidR="009659E4">
        <w:rPr>
          <w:rFonts w:ascii="Times New Roman" w:hAnsi="Times New Roman"/>
          <w:b w:val="0"/>
          <w:sz w:val="24"/>
          <w:szCs w:val="24"/>
        </w:rPr>
        <w:t xml:space="preserve"> The wording in these definitions largely replicate definitions contained in the PHI Rules.</w:t>
      </w:r>
    </w:p>
    <w:p w:rsidR="005F56B0" w:rsidRDefault="004D4918" w:rsidP="004D4918">
      <w:pPr>
        <w:pStyle w:val="Heading"/>
        <w:keepNext/>
        <w:spacing w:after="240"/>
        <w:outlineLvl w:val="0"/>
        <w:rPr>
          <w:rFonts w:ascii="Times New Roman" w:hAnsi="Times New Roman"/>
          <w:b w:val="0"/>
          <w:sz w:val="24"/>
          <w:szCs w:val="24"/>
        </w:rPr>
      </w:pPr>
      <w:r>
        <w:rPr>
          <w:rFonts w:ascii="Times New Roman" w:hAnsi="Times New Roman"/>
          <w:b w:val="0"/>
          <w:sz w:val="24"/>
          <w:szCs w:val="24"/>
        </w:rPr>
        <w:t>HPS 100 replicates the existing solvency and liquidity management requirements in the PHI Rules</w:t>
      </w:r>
      <w:r w:rsidR="00C736B3">
        <w:rPr>
          <w:rStyle w:val="FootnoteReference"/>
          <w:rFonts w:ascii="Times New Roman" w:hAnsi="Times New Roman"/>
          <w:b w:val="0"/>
          <w:sz w:val="24"/>
          <w:szCs w:val="24"/>
        </w:rPr>
        <w:footnoteReference w:id="1"/>
      </w:r>
      <w:r>
        <w:rPr>
          <w:rFonts w:ascii="Times New Roman" w:hAnsi="Times New Roman"/>
          <w:b w:val="0"/>
          <w:sz w:val="24"/>
          <w:szCs w:val="24"/>
        </w:rPr>
        <w:t>, created to</w:t>
      </w:r>
      <w:r w:rsidR="00A6579B">
        <w:rPr>
          <w:rFonts w:ascii="Times New Roman" w:hAnsi="Times New Roman"/>
          <w:b w:val="0"/>
          <w:sz w:val="24"/>
          <w:szCs w:val="24"/>
        </w:rPr>
        <w:t xml:space="preserve"> ensure as far as practicable, </w:t>
      </w:r>
      <w:r>
        <w:rPr>
          <w:rFonts w:ascii="Times New Roman" w:hAnsi="Times New Roman"/>
          <w:b w:val="0"/>
          <w:sz w:val="24"/>
          <w:szCs w:val="24"/>
        </w:rPr>
        <w:t xml:space="preserve">that at any time the financial position of a health benefits fund conducted by a private health insurer is such that the private health insurer will be able to meet, out of the fund’s assets, all liabilities that are referrable to the fund, as those liabilities become due. </w:t>
      </w:r>
    </w:p>
    <w:p w:rsidR="007D7EE6" w:rsidRDefault="004D4918" w:rsidP="004D4918">
      <w:pPr>
        <w:pStyle w:val="Heading"/>
        <w:keepNext/>
        <w:spacing w:after="240"/>
        <w:outlineLvl w:val="0"/>
        <w:rPr>
          <w:rFonts w:ascii="Times New Roman" w:hAnsi="Times New Roman"/>
          <w:b w:val="0"/>
          <w:sz w:val="24"/>
          <w:szCs w:val="24"/>
        </w:rPr>
      </w:pPr>
      <w:r>
        <w:rPr>
          <w:rFonts w:ascii="Times New Roman" w:hAnsi="Times New Roman"/>
          <w:b w:val="0"/>
          <w:sz w:val="24"/>
          <w:szCs w:val="24"/>
        </w:rPr>
        <w:t>HPS 110 replicates the existing</w:t>
      </w:r>
      <w:r w:rsidR="0090066C">
        <w:rPr>
          <w:rFonts w:ascii="Times New Roman" w:hAnsi="Times New Roman"/>
          <w:b w:val="0"/>
          <w:sz w:val="24"/>
          <w:szCs w:val="24"/>
        </w:rPr>
        <w:t xml:space="preserve"> capital adequacy </w:t>
      </w:r>
      <w:r>
        <w:rPr>
          <w:rFonts w:ascii="Times New Roman" w:hAnsi="Times New Roman"/>
          <w:b w:val="0"/>
          <w:sz w:val="24"/>
          <w:szCs w:val="24"/>
        </w:rPr>
        <w:t xml:space="preserve">and capital management requirements of the PHI Rules, created to ensure, as far as practicable, that there are sufficient assets in a health benefits fund conducted by a private health insurer to provide adequate capital for the conduct of the health benefits fund. </w:t>
      </w:r>
    </w:p>
    <w:p w:rsidR="00F33B3C" w:rsidRPr="00F33B3C" w:rsidRDefault="00F33B3C" w:rsidP="00BB1175">
      <w:pPr>
        <w:spacing w:after="240"/>
        <w:rPr>
          <w:rFonts w:ascii="Times New Roman" w:hAnsi="Times New Roman"/>
          <w:sz w:val="24"/>
          <w:szCs w:val="24"/>
        </w:rPr>
      </w:pPr>
      <w:r w:rsidRPr="00F33B3C">
        <w:rPr>
          <w:rFonts w:ascii="Times New Roman" w:hAnsi="Times New Roman"/>
          <w:sz w:val="24"/>
          <w:szCs w:val="24"/>
        </w:rPr>
        <w:t xml:space="preserve">Further information regarding the operation of </w:t>
      </w:r>
      <w:r w:rsidRPr="003E6AB8">
        <w:rPr>
          <w:rFonts w:ascii="Times New Roman" w:hAnsi="Times New Roman"/>
          <w:sz w:val="24"/>
          <w:szCs w:val="24"/>
        </w:rPr>
        <w:t>HPS 100 and 110</w:t>
      </w:r>
      <w:r w:rsidRPr="00F33B3C">
        <w:rPr>
          <w:rFonts w:ascii="Times New Roman" w:hAnsi="Times New Roman"/>
          <w:sz w:val="24"/>
          <w:szCs w:val="24"/>
        </w:rPr>
        <w:t xml:space="preserve"> can be found in the Explanatory Statement accompanying the</w:t>
      </w:r>
      <w:r w:rsidRPr="00F33B3C">
        <w:t xml:space="preserve"> </w:t>
      </w:r>
      <w:r w:rsidRPr="00F33B3C">
        <w:rPr>
          <w:rFonts w:ascii="Times New Roman" w:hAnsi="Times New Roman"/>
          <w:i/>
          <w:sz w:val="24"/>
          <w:szCs w:val="24"/>
        </w:rPr>
        <w:t>Private Health Insurance (Health Benefits Fund Administration) Rules 2007</w:t>
      </w:r>
      <w:r w:rsidR="001322F4">
        <w:rPr>
          <w:rFonts w:ascii="Times New Roman" w:hAnsi="Times New Roman"/>
          <w:sz w:val="24"/>
          <w:szCs w:val="24"/>
        </w:rPr>
        <w:t xml:space="preserve"> </w:t>
      </w:r>
      <w:r w:rsidR="001322F4" w:rsidRPr="00F77E3F">
        <w:rPr>
          <w:rFonts w:ascii="Times New Roman" w:hAnsi="Times New Roman"/>
          <w:sz w:val="24"/>
          <w:szCs w:val="24"/>
        </w:rPr>
        <w:t>and the</w:t>
      </w:r>
      <w:r w:rsidR="001322F4" w:rsidRPr="00F77E3F">
        <w:rPr>
          <w:rFonts w:ascii="Times New Roman" w:hAnsi="Times New Roman"/>
          <w:i/>
          <w:sz w:val="24"/>
          <w:szCs w:val="24"/>
        </w:rPr>
        <w:t xml:space="preserve"> Private Health Insurance (Health Benefits Fund Administration) Amendment Rule 2013 (No.1)</w:t>
      </w:r>
      <w:r w:rsidRPr="00F77E3F">
        <w:rPr>
          <w:rFonts w:ascii="Times New Roman" w:hAnsi="Times New Roman"/>
          <w:sz w:val="24"/>
          <w:szCs w:val="24"/>
        </w:rPr>
        <w:t>.</w:t>
      </w:r>
    </w:p>
    <w:p w:rsidR="005B5513" w:rsidRDefault="004D4918" w:rsidP="00B32F05">
      <w:pPr>
        <w:pStyle w:val="Heading"/>
        <w:spacing w:after="240"/>
        <w:outlineLvl w:val="0"/>
        <w:rPr>
          <w:rFonts w:ascii="Times New Roman" w:hAnsi="Times New Roman"/>
          <w:b w:val="0"/>
          <w:sz w:val="24"/>
          <w:szCs w:val="24"/>
        </w:rPr>
      </w:pPr>
      <w:r>
        <w:rPr>
          <w:rFonts w:ascii="Times New Roman" w:hAnsi="Times New Roman"/>
          <w:b w:val="0"/>
          <w:sz w:val="24"/>
          <w:szCs w:val="24"/>
        </w:rPr>
        <w:t xml:space="preserve">HPS 231 </w:t>
      </w:r>
      <w:r w:rsidR="005C510E">
        <w:rPr>
          <w:rFonts w:ascii="Times New Roman" w:hAnsi="Times New Roman"/>
          <w:b w:val="0"/>
          <w:sz w:val="24"/>
          <w:szCs w:val="24"/>
        </w:rPr>
        <w:t xml:space="preserve">largely </w:t>
      </w:r>
      <w:r w:rsidR="004B0BC1">
        <w:rPr>
          <w:rFonts w:ascii="Times New Roman" w:hAnsi="Times New Roman"/>
          <w:b w:val="0"/>
          <w:sz w:val="24"/>
          <w:szCs w:val="24"/>
        </w:rPr>
        <w:t>replicate</w:t>
      </w:r>
      <w:r w:rsidR="00E32CD2">
        <w:rPr>
          <w:rFonts w:ascii="Times New Roman" w:hAnsi="Times New Roman"/>
          <w:b w:val="0"/>
          <w:sz w:val="24"/>
          <w:szCs w:val="24"/>
        </w:rPr>
        <w:t>s</w:t>
      </w:r>
      <w:r w:rsidR="004B0BC1">
        <w:rPr>
          <w:rFonts w:ascii="Times New Roman" w:hAnsi="Times New Roman"/>
          <w:b w:val="0"/>
          <w:sz w:val="24"/>
          <w:szCs w:val="24"/>
        </w:rPr>
        <w:t xml:space="preserve"> the existing requirement in the PHI Rules</w:t>
      </w:r>
      <w:r w:rsidR="001322F4">
        <w:rPr>
          <w:rStyle w:val="FootnoteReference"/>
          <w:rFonts w:ascii="Times New Roman" w:hAnsi="Times New Roman"/>
          <w:b w:val="0"/>
          <w:sz w:val="24"/>
          <w:szCs w:val="24"/>
        </w:rPr>
        <w:footnoteReference w:id="2"/>
      </w:r>
      <w:r w:rsidR="004B0BC1">
        <w:rPr>
          <w:rFonts w:ascii="Times New Roman" w:hAnsi="Times New Roman"/>
          <w:b w:val="0"/>
          <w:sz w:val="24"/>
          <w:szCs w:val="24"/>
        </w:rPr>
        <w:t>, created to ensure reasonable, risk-based business judgements and monitoring with respect to outsourcing arrangements.</w:t>
      </w:r>
    </w:p>
    <w:p w:rsidR="004D4918" w:rsidRDefault="006448EB" w:rsidP="00B32F05">
      <w:pPr>
        <w:pStyle w:val="Heading"/>
        <w:spacing w:after="240"/>
        <w:outlineLvl w:val="0"/>
        <w:rPr>
          <w:rFonts w:ascii="Times New Roman" w:hAnsi="Times New Roman"/>
          <w:b w:val="0"/>
          <w:sz w:val="24"/>
          <w:szCs w:val="24"/>
        </w:rPr>
      </w:pPr>
      <w:r>
        <w:rPr>
          <w:rFonts w:ascii="Times New Roman" w:hAnsi="Times New Roman"/>
          <w:b w:val="0"/>
          <w:sz w:val="24"/>
          <w:szCs w:val="24"/>
        </w:rPr>
        <w:lastRenderedPageBreak/>
        <w:t xml:space="preserve">HPS 320 </w:t>
      </w:r>
      <w:r w:rsidR="005C510E">
        <w:rPr>
          <w:rFonts w:ascii="Times New Roman" w:hAnsi="Times New Roman"/>
          <w:b w:val="0"/>
          <w:sz w:val="24"/>
          <w:szCs w:val="24"/>
        </w:rPr>
        <w:t xml:space="preserve">largely </w:t>
      </w:r>
      <w:r>
        <w:rPr>
          <w:rFonts w:ascii="Times New Roman" w:hAnsi="Times New Roman"/>
          <w:b w:val="0"/>
          <w:sz w:val="24"/>
          <w:szCs w:val="24"/>
        </w:rPr>
        <w:t>replicate</w:t>
      </w:r>
      <w:r w:rsidR="00E32CD2">
        <w:rPr>
          <w:rFonts w:ascii="Times New Roman" w:hAnsi="Times New Roman"/>
          <w:b w:val="0"/>
          <w:sz w:val="24"/>
          <w:szCs w:val="24"/>
        </w:rPr>
        <w:t>s</w:t>
      </w:r>
      <w:r>
        <w:rPr>
          <w:rFonts w:ascii="Times New Roman" w:hAnsi="Times New Roman"/>
          <w:b w:val="0"/>
          <w:sz w:val="24"/>
          <w:szCs w:val="24"/>
        </w:rPr>
        <w:t xml:space="preserve"> the existing requirements in the PHI Rules</w:t>
      </w:r>
      <w:r w:rsidR="001322F4">
        <w:rPr>
          <w:rStyle w:val="FootnoteReference"/>
          <w:rFonts w:ascii="Times New Roman" w:hAnsi="Times New Roman"/>
          <w:b w:val="0"/>
          <w:sz w:val="24"/>
          <w:szCs w:val="24"/>
        </w:rPr>
        <w:footnoteReference w:id="3"/>
      </w:r>
      <w:r>
        <w:rPr>
          <w:rFonts w:ascii="Times New Roman" w:hAnsi="Times New Roman"/>
          <w:b w:val="0"/>
          <w:sz w:val="24"/>
          <w:szCs w:val="24"/>
        </w:rPr>
        <w:t>, created to specify certain eligibility criteria for the appointment of a private health insurer’s Appointed Actuary and other requirements of the Appointed Actuary.</w:t>
      </w:r>
    </w:p>
    <w:p w:rsidR="006448EB" w:rsidRDefault="006448EB" w:rsidP="00B32F05">
      <w:pPr>
        <w:pStyle w:val="Heading"/>
        <w:spacing w:after="240"/>
        <w:outlineLvl w:val="0"/>
        <w:rPr>
          <w:rFonts w:ascii="Times New Roman" w:hAnsi="Times New Roman"/>
          <w:b w:val="0"/>
          <w:sz w:val="24"/>
          <w:szCs w:val="24"/>
        </w:rPr>
      </w:pPr>
      <w:r>
        <w:rPr>
          <w:rFonts w:ascii="Times New Roman" w:hAnsi="Times New Roman"/>
          <w:b w:val="0"/>
          <w:sz w:val="24"/>
          <w:szCs w:val="24"/>
        </w:rPr>
        <w:t>HPS 350</w:t>
      </w:r>
      <w:r w:rsidR="005C510E">
        <w:rPr>
          <w:rFonts w:ascii="Times New Roman" w:hAnsi="Times New Roman"/>
          <w:b w:val="0"/>
          <w:sz w:val="24"/>
          <w:szCs w:val="24"/>
        </w:rPr>
        <w:t xml:space="preserve"> largely</w:t>
      </w:r>
      <w:r w:rsidR="009659E4">
        <w:rPr>
          <w:rFonts w:ascii="Times New Roman" w:hAnsi="Times New Roman"/>
          <w:b w:val="0"/>
          <w:sz w:val="24"/>
          <w:szCs w:val="24"/>
        </w:rPr>
        <w:t xml:space="preserve"> </w:t>
      </w:r>
      <w:r>
        <w:rPr>
          <w:rFonts w:ascii="Times New Roman" w:hAnsi="Times New Roman"/>
          <w:b w:val="0"/>
          <w:sz w:val="24"/>
          <w:szCs w:val="24"/>
        </w:rPr>
        <w:t>replicate</w:t>
      </w:r>
      <w:r w:rsidR="00E32CD2">
        <w:rPr>
          <w:rFonts w:ascii="Times New Roman" w:hAnsi="Times New Roman"/>
          <w:b w:val="0"/>
          <w:sz w:val="24"/>
          <w:szCs w:val="24"/>
        </w:rPr>
        <w:t>s</w:t>
      </w:r>
      <w:r>
        <w:rPr>
          <w:rFonts w:ascii="Times New Roman" w:hAnsi="Times New Roman"/>
          <w:b w:val="0"/>
          <w:sz w:val="24"/>
          <w:szCs w:val="24"/>
        </w:rPr>
        <w:t xml:space="preserve"> the existing requirements in the PHI Rules</w:t>
      </w:r>
      <w:r w:rsidR="000F09B6">
        <w:rPr>
          <w:rStyle w:val="FootnoteReference"/>
          <w:rFonts w:ascii="Times New Roman" w:hAnsi="Times New Roman"/>
          <w:b w:val="0"/>
          <w:sz w:val="24"/>
          <w:szCs w:val="24"/>
        </w:rPr>
        <w:footnoteReference w:id="4"/>
      </w:r>
      <w:r>
        <w:rPr>
          <w:rFonts w:ascii="Times New Roman" w:hAnsi="Times New Roman"/>
          <w:b w:val="0"/>
          <w:sz w:val="24"/>
          <w:szCs w:val="24"/>
        </w:rPr>
        <w:t xml:space="preserve"> created to specify copies of certain documents that must be provided to APRA and specific issues APRA must be notified of.</w:t>
      </w:r>
    </w:p>
    <w:p w:rsidR="006448EB" w:rsidRDefault="006448EB" w:rsidP="00B32F05">
      <w:pPr>
        <w:pStyle w:val="Heading"/>
        <w:spacing w:after="240"/>
        <w:outlineLvl w:val="0"/>
        <w:rPr>
          <w:rFonts w:ascii="Times New Roman" w:hAnsi="Times New Roman"/>
          <w:b w:val="0"/>
          <w:sz w:val="24"/>
          <w:szCs w:val="24"/>
        </w:rPr>
      </w:pPr>
      <w:r>
        <w:rPr>
          <w:rFonts w:ascii="Times New Roman" w:hAnsi="Times New Roman"/>
          <w:b w:val="0"/>
          <w:sz w:val="24"/>
          <w:szCs w:val="24"/>
        </w:rPr>
        <w:t xml:space="preserve">HPS 510 </w:t>
      </w:r>
      <w:r w:rsidR="005C510E">
        <w:rPr>
          <w:rFonts w:ascii="Times New Roman" w:hAnsi="Times New Roman"/>
          <w:b w:val="0"/>
          <w:sz w:val="24"/>
          <w:szCs w:val="24"/>
        </w:rPr>
        <w:t xml:space="preserve">largely </w:t>
      </w:r>
      <w:r>
        <w:rPr>
          <w:rFonts w:ascii="Times New Roman" w:hAnsi="Times New Roman"/>
          <w:b w:val="0"/>
          <w:sz w:val="24"/>
          <w:szCs w:val="24"/>
        </w:rPr>
        <w:t>replicate</w:t>
      </w:r>
      <w:r w:rsidR="00E32CD2">
        <w:rPr>
          <w:rFonts w:ascii="Times New Roman" w:hAnsi="Times New Roman"/>
          <w:b w:val="0"/>
          <w:sz w:val="24"/>
          <w:szCs w:val="24"/>
        </w:rPr>
        <w:t>s</w:t>
      </w:r>
      <w:r>
        <w:rPr>
          <w:rFonts w:ascii="Times New Roman" w:hAnsi="Times New Roman"/>
          <w:b w:val="0"/>
          <w:sz w:val="24"/>
          <w:szCs w:val="24"/>
        </w:rPr>
        <w:t xml:space="preserve"> the existing requirements in the PHI Rules</w:t>
      </w:r>
      <w:r w:rsidR="003E07B2">
        <w:rPr>
          <w:rStyle w:val="FootnoteReference"/>
          <w:rFonts w:ascii="Times New Roman" w:hAnsi="Times New Roman"/>
          <w:b w:val="0"/>
          <w:sz w:val="24"/>
          <w:szCs w:val="24"/>
        </w:rPr>
        <w:footnoteReference w:id="5"/>
      </w:r>
      <w:r>
        <w:rPr>
          <w:rFonts w:ascii="Times New Roman" w:hAnsi="Times New Roman"/>
          <w:b w:val="0"/>
          <w:sz w:val="24"/>
          <w:szCs w:val="24"/>
        </w:rPr>
        <w:t xml:space="preserve"> created to specify requirements with respect to board size and composition, board renewal and procedures for assessing board performance, and the establishment of a board audit committee.</w:t>
      </w:r>
    </w:p>
    <w:p w:rsidR="003E6AB8" w:rsidRPr="00BB34BC" w:rsidRDefault="003E6AB8" w:rsidP="006448EB">
      <w:pPr>
        <w:pStyle w:val="Heading"/>
        <w:keepNext/>
        <w:spacing w:after="240"/>
        <w:outlineLvl w:val="0"/>
        <w:rPr>
          <w:rFonts w:ascii="Times New Roman" w:hAnsi="Times New Roman"/>
          <w:b w:val="0"/>
          <w:sz w:val="24"/>
          <w:szCs w:val="24"/>
        </w:rPr>
      </w:pPr>
      <w:r w:rsidRPr="00F33B3C">
        <w:rPr>
          <w:rFonts w:ascii="Times New Roman" w:hAnsi="Times New Roman"/>
          <w:b w:val="0"/>
          <w:sz w:val="24"/>
          <w:szCs w:val="24"/>
        </w:rPr>
        <w:t xml:space="preserve">Further information regarding the operation of </w:t>
      </w:r>
      <w:r>
        <w:rPr>
          <w:rFonts w:ascii="Times New Roman" w:hAnsi="Times New Roman"/>
          <w:b w:val="0"/>
          <w:sz w:val="24"/>
          <w:szCs w:val="24"/>
        </w:rPr>
        <w:t>HPS 231, 320, 350 and 510</w:t>
      </w:r>
      <w:r w:rsidRPr="003E6AB8">
        <w:rPr>
          <w:rFonts w:ascii="Times New Roman" w:hAnsi="Times New Roman"/>
          <w:b w:val="0"/>
          <w:sz w:val="24"/>
          <w:szCs w:val="24"/>
        </w:rPr>
        <w:t xml:space="preserve"> can be found in the Explanatory Statement</w:t>
      </w:r>
      <w:r w:rsidR="00611EAB">
        <w:rPr>
          <w:rFonts w:ascii="Times New Roman" w:hAnsi="Times New Roman"/>
          <w:b w:val="0"/>
          <w:sz w:val="24"/>
          <w:szCs w:val="24"/>
        </w:rPr>
        <w:t>s</w:t>
      </w:r>
      <w:r w:rsidRPr="003E6AB8">
        <w:rPr>
          <w:rFonts w:ascii="Times New Roman" w:hAnsi="Times New Roman"/>
          <w:b w:val="0"/>
          <w:sz w:val="24"/>
          <w:szCs w:val="24"/>
        </w:rPr>
        <w:t xml:space="preserve"> accompanying the</w:t>
      </w:r>
      <w:r w:rsidRPr="003E6AB8">
        <w:rPr>
          <w:b w:val="0"/>
        </w:rPr>
        <w:t xml:space="preserve"> </w:t>
      </w:r>
      <w:r w:rsidRPr="003E6AB8">
        <w:rPr>
          <w:rFonts w:ascii="Times New Roman" w:hAnsi="Times New Roman"/>
          <w:b w:val="0"/>
          <w:i/>
          <w:sz w:val="24"/>
          <w:szCs w:val="24"/>
        </w:rPr>
        <w:t>Private Health Insurance (</w:t>
      </w:r>
      <w:r>
        <w:rPr>
          <w:rFonts w:ascii="Times New Roman" w:hAnsi="Times New Roman"/>
          <w:b w:val="0"/>
          <w:i/>
          <w:sz w:val="24"/>
          <w:szCs w:val="24"/>
        </w:rPr>
        <w:t>Insurer Obligations</w:t>
      </w:r>
      <w:r w:rsidRPr="003E6AB8">
        <w:rPr>
          <w:rFonts w:ascii="Times New Roman" w:hAnsi="Times New Roman"/>
          <w:b w:val="0"/>
          <w:i/>
          <w:sz w:val="24"/>
          <w:szCs w:val="24"/>
        </w:rPr>
        <w:t>) Rules 200</w:t>
      </w:r>
      <w:r>
        <w:rPr>
          <w:rFonts w:ascii="Times New Roman" w:hAnsi="Times New Roman"/>
          <w:b w:val="0"/>
          <w:i/>
          <w:sz w:val="24"/>
          <w:szCs w:val="24"/>
        </w:rPr>
        <w:t>9</w:t>
      </w:r>
      <w:r w:rsidR="00611EAB">
        <w:rPr>
          <w:rFonts w:ascii="Times New Roman" w:hAnsi="Times New Roman"/>
          <w:b w:val="0"/>
          <w:sz w:val="24"/>
          <w:szCs w:val="24"/>
        </w:rPr>
        <w:t xml:space="preserve">, the </w:t>
      </w:r>
      <w:r w:rsidR="00611EAB" w:rsidRPr="003E6AB8">
        <w:rPr>
          <w:rFonts w:ascii="Times New Roman" w:hAnsi="Times New Roman"/>
          <w:b w:val="0"/>
          <w:i/>
          <w:sz w:val="24"/>
          <w:szCs w:val="24"/>
        </w:rPr>
        <w:t>Private Health Insurance (</w:t>
      </w:r>
      <w:r w:rsidR="00611EAB">
        <w:rPr>
          <w:rFonts w:ascii="Times New Roman" w:hAnsi="Times New Roman"/>
          <w:b w:val="0"/>
          <w:i/>
          <w:sz w:val="24"/>
          <w:szCs w:val="24"/>
        </w:rPr>
        <w:t>Insurer Obligations</w:t>
      </w:r>
      <w:r w:rsidR="00611EAB" w:rsidRPr="003E6AB8">
        <w:rPr>
          <w:rFonts w:ascii="Times New Roman" w:hAnsi="Times New Roman"/>
          <w:b w:val="0"/>
          <w:i/>
          <w:sz w:val="24"/>
          <w:szCs w:val="24"/>
        </w:rPr>
        <w:t>)</w:t>
      </w:r>
      <w:r w:rsidR="00611EAB">
        <w:rPr>
          <w:rFonts w:ascii="Times New Roman" w:hAnsi="Times New Roman"/>
          <w:b w:val="0"/>
          <w:i/>
          <w:sz w:val="24"/>
          <w:szCs w:val="24"/>
        </w:rPr>
        <w:t xml:space="preserve"> Amendment Rule 2010 (No. 1)</w:t>
      </w:r>
      <w:r w:rsidR="00611EAB">
        <w:rPr>
          <w:rFonts w:ascii="Times New Roman" w:hAnsi="Times New Roman"/>
          <w:b w:val="0"/>
          <w:sz w:val="24"/>
          <w:szCs w:val="24"/>
        </w:rPr>
        <w:t xml:space="preserve">, the </w:t>
      </w:r>
      <w:r w:rsidR="00611EAB" w:rsidRPr="003E6AB8">
        <w:rPr>
          <w:rFonts w:ascii="Times New Roman" w:hAnsi="Times New Roman"/>
          <w:b w:val="0"/>
          <w:i/>
          <w:sz w:val="24"/>
          <w:szCs w:val="24"/>
        </w:rPr>
        <w:t>Private Health Insurance (</w:t>
      </w:r>
      <w:r w:rsidR="00611EAB">
        <w:rPr>
          <w:rFonts w:ascii="Times New Roman" w:hAnsi="Times New Roman"/>
          <w:b w:val="0"/>
          <w:i/>
          <w:sz w:val="24"/>
          <w:szCs w:val="24"/>
        </w:rPr>
        <w:t>Insurer Obligations</w:t>
      </w:r>
      <w:r w:rsidR="00611EAB" w:rsidRPr="003E6AB8">
        <w:rPr>
          <w:rFonts w:ascii="Times New Roman" w:hAnsi="Times New Roman"/>
          <w:b w:val="0"/>
          <w:i/>
          <w:sz w:val="24"/>
          <w:szCs w:val="24"/>
        </w:rPr>
        <w:t>)</w:t>
      </w:r>
      <w:r w:rsidR="00611EAB">
        <w:rPr>
          <w:rFonts w:ascii="Times New Roman" w:hAnsi="Times New Roman"/>
          <w:b w:val="0"/>
          <w:i/>
          <w:sz w:val="24"/>
          <w:szCs w:val="24"/>
        </w:rPr>
        <w:t xml:space="preserve"> Amendment Rule 2011 (No. 1)</w:t>
      </w:r>
      <w:r w:rsidR="00611EAB">
        <w:rPr>
          <w:rFonts w:ascii="Times New Roman" w:hAnsi="Times New Roman"/>
          <w:b w:val="0"/>
          <w:sz w:val="24"/>
          <w:szCs w:val="24"/>
        </w:rPr>
        <w:t xml:space="preserve">, the </w:t>
      </w:r>
      <w:r w:rsidR="00611EAB" w:rsidRPr="003E6AB8">
        <w:rPr>
          <w:rFonts w:ascii="Times New Roman" w:hAnsi="Times New Roman"/>
          <w:b w:val="0"/>
          <w:i/>
          <w:sz w:val="24"/>
          <w:szCs w:val="24"/>
        </w:rPr>
        <w:t>Private Health Insurance (</w:t>
      </w:r>
      <w:r w:rsidR="00611EAB">
        <w:rPr>
          <w:rFonts w:ascii="Times New Roman" w:hAnsi="Times New Roman"/>
          <w:b w:val="0"/>
          <w:i/>
          <w:sz w:val="24"/>
          <w:szCs w:val="24"/>
        </w:rPr>
        <w:t>Insurer Obligations</w:t>
      </w:r>
      <w:r w:rsidR="00611EAB" w:rsidRPr="003E6AB8">
        <w:rPr>
          <w:rFonts w:ascii="Times New Roman" w:hAnsi="Times New Roman"/>
          <w:b w:val="0"/>
          <w:i/>
          <w:sz w:val="24"/>
          <w:szCs w:val="24"/>
        </w:rPr>
        <w:t>)</w:t>
      </w:r>
      <w:r w:rsidR="00611EAB">
        <w:rPr>
          <w:rFonts w:ascii="Times New Roman" w:hAnsi="Times New Roman"/>
          <w:b w:val="0"/>
          <w:i/>
          <w:sz w:val="24"/>
          <w:szCs w:val="24"/>
        </w:rPr>
        <w:t xml:space="preserve"> Amendment Rule 2012 (No. 1) </w:t>
      </w:r>
      <w:r w:rsidR="00611EAB">
        <w:rPr>
          <w:rFonts w:ascii="Times New Roman" w:hAnsi="Times New Roman"/>
          <w:b w:val="0"/>
          <w:sz w:val="24"/>
          <w:szCs w:val="24"/>
        </w:rPr>
        <w:t xml:space="preserve">and the </w:t>
      </w:r>
      <w:r w:rsidR="00611EAB" w:rsidRPr="003E6AB8">
        <w:rPr>
          <w:rFonts w:ascii="Times New Roman" w:hAnsi="Times New Roman"/>
          <w:b w:val="0"/>
          <w:i/>
          <w:sz w:val="24"/>
          <w:szCs w:val="24"/>
        </w:rPr>
        <w:t>Private Health Insurance (</w:t>
      </w:r>
      <w:r w:rsidR="00611EAB">
        <w:rPr>
          <w:rFonts w:ascii="Times New Roman" w:hAnsi="Times New Roman"/>
          <w:b w:val="0"/>
          <w:i/>
          <w:sz w:val="24"/>
          <w:szCs w:val="24"/>
        </w:rPr>
        <w:t>Insurer Obligations</w:t>
      </w:r>
      <w:r w:rsidR="00611EAB" w:rsidRPr="003E6AB8">
        <w:rPr>
          <w:rFonts w:ascii="Times New Roman" w:hAnsi="Times New Roman"/>
          <w:b w:val="0"/>
          <w:i/>
          <w:sz w:val="24"/>
          <w:szCs w:val="24"/>
        </w:rPr>
        <w:t>)</w:t>
      </w:r>
      <w:r w:rsidR="00611EAB">
        <w:rPr>
          <w:rFonts w:ascii="Times New Roman" w:hAnsi="Times New Roman"/>
          <w:b w:val="0"/>
          <w:i/>
          <w:sz w:val="24"/>
          <w:szCs w:val="24"/>
        </w:rPr>
        <w:t xml:space="preserve"> Amendment Rule 2013 (No. 1)</w:t>
      </w:r>
      <w:r>
        <w:rPr>
          <w:rFonts w:ascii="Times New Roman" w:hAnsi="Times New Roman"/>
          <w:b w:val="0"/>
          <w:i/>
          <w:sz w:val="24"/>
          <w:szCs w:val="24"/>
        </w:rPr>
        <w:t>.</w:t>
      </w:r>
    </w:p>
    <w:p w:rsidR="001C01EB" w:rsidRPr="00387365" w:rsidRDefault="00AB456D" w:rsidP="008B1252">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APRA’s requirements apply to all private health insurers and </w:t>
      </w:r>
      <w:r w:rsidR="00C434A0">
        <w:rPr>
          <w:rFonts w:ascii="Times New Roman" w:hAnsi="Times New Roman"/>
          <w:b w:val="0"/>
          <w:sz w:val="24"/>
          <w:szCs w:val="24"/>
        </w:rPr>
        <w:t>include</w:t>
      </w:r>
      <w:r>
        <w:rPr>
          <w:rFonts w:ascii="Times New Roman" w:hAnsi="Times New Roman"/>
          <w:b w:val="0"/>
          <w:sz w:val="24"/>
          <w:szCs w:val="24"/>
        </w:rPr>
        <w:t xml:space="preserve"> substantially the same content, with some minor and technical changes to align with the new Act. The net result is that the obligations of private health insurers under APRA’s prudential requirements are substantively unchanged from the requirements administered by PHIAC. As the prudential standards and Rules maintain the status quo for the regulation of the private health industry, there are no regulatory impacts or costs incurred through the transition to APRA. Private health insurers are able to continue their practices with minimal disruption.</w:t>
      </w:r>
    </w:p>
    <w:p w:rsidR="002436BD" w:rsidRDefault="002436BD" w:rsidP="00D85E77">
      <w:pPr>
        <w:pStyle w:val="Heading"/>
        <w:numPr>
          <w:ilvl w:val="0"/>
          <w:numId w:val="2"/>
        </w:numPr>
        <w:spacing w:after="240"/>
        <w:rPr>
          <w:rFonts w:ascii="Times New Roman" w:hAnsi="Times New Roman"/>
          <w:sz w:val="24"/>
          <w:szCs w:val="24"/>
        </w:rPr>
      </w:pPr>
      <w:bookmarkStart w:id="5" w:name="bkPurpose"/>
      <w:bookmarkStart w:id="6" w:name="bkoperation"/>
      <w:bookmarkStart w:id="7" w:name="bkConsultationNo"/>
      <w:bookmarkEnd w:id="5"/>
      <w:bookmarkEnd w:id="6"/>
      <w:bookmarkEnd w:id="7"/>
      <w:r w:rsidRPr="002C6D26">
        <w:rPr>
          <w:rFonts w:ascii="Times New Roman" w:hAnsi="Times New Roman"/>
          <w:sz w:val="24"/>
          <w:szCs w:val="24"/>
        </w:rPr>
        <w:t>Consultation</w:t>
      </w:r>
    </w:p>
    <w:p w:rsidR="002436BD" w:rsidRDefault="002436BD" w:rsidP="00D85E77">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APRA undertook extensive consultations on </w:t>
      </w:r>
      <w:r w:rsidR="00E129FD">
        <w:rPr>
          <w:rFonts w:ascii="Times New Roman" w:hAnsi="Times New Roman"/>
          <w:b w:val="0"/>
          <w:sz w:val="24"/>
          <w:szCs w:val="24"/>
        </w:rPr>
        <w:t>the proposed prudential and reporting framework for APRA’s supervision of private health insurers. The consultation was undertaken</w:t>
      </w:r>
      <w:r>
        <w:rPr>
          <w:rFonts w:ascii="Times New Roman" w:hAnsi="Times New Roman"/>
          <w:b w:val="0"/>
          <w:sz w:val="24"/>
          <w:szCs w:val="24"/>
        </w:rPr>
        <w:t xml:space="preserve"> </w:t>
      </w:r>
      <w:r w:rsidR="008A1DDC">
        <w:rPr>
          <w:rFonts w:ascii="Times New Roman" w:hAnsi="Times New Roman"/>
          <w:b w:val="0"/>
          <w:sz w:val="24"/>
          <w:szCs w:val="24"/>
        </w:rPr>
        <w:t>from</w:t>
      </w:r>
      <w:r>
        <w:rPr>
          <w:rFonts w:ascii="Times New Roman" w:hAnsi="Times New Roman"/>
          <w:b w:val="0"/>
          <w:sz w:val="24"/>
          <w:szCs w:val="24"/>
        </w:rPr>
        <w:t xml:space="preserve"> </w:t>
      </w:r>
      <w:r w:rsidR="002C7E35">
        <w:rPr>
          <w:rFonts w:ascii="Times New Roman" w:hAnsi="Times New Roman"/>
          <w:b w:val="0"/>
          <w:sz w:val="24"/>
          <w:szCs w:val="24"/>
        </w:rPr>
        <w:t xml:space="preserve">March </w:t>
      </w:r>
      <w:r>
        <w:rPr>
          <w:rFonts w:ascii="Times New Roman" w:hAnsi="Times New Roman"/>
          <w:b w:val="0"/>
          <w:sz w:val="24"/>
          <w:szCs w:val="24"/>
        </w:rPr>
        <w:t xml:space="preserve">to </w:t>
      </w:r>
      <w:r w:rsidR="002C7E35">
        <w:rPr>
          <w:rFonts w:ascii="Times New Roman" w:hAnsi="Times New Roman"/>
          <w:b w:val="0"/>
          <w:sz w:val="24"/>
          <w:szCs w:val="24"/>
        </w:rPr>
        <w:t>May 2015</w:t>
      </w:r>
      <w:r w:rsidR="008A1DDC">
        <w:rPr>
          <w:rFonts w:ascii="Times New Roman" w:hAnsi="Times New Roman"/>
          <w:b w:val="0"/>
          <w:sz w:val="24"/>
          <w:szCs w:val="24"/>
        </w:rPr>
        <w:t xml:space="preserve">. APRA received input from </w:t>
      </w:r>
      <w:r w:rsidR="008F3205">
        <w:rPr>
          <w:rFonts w:ascii="Times New Roman" w:hAnsi="Times New Roman"/>
          <w:b w:val="0"/>
          <w:sz w:val="24"/>
          <w:szCs w:val="24"/>
        </w:rPr>
        <w:t>p</w:t>
      </w:r>
      <w:r w:rsidR="002C7E35">
        <w:rPr>
          <w:rFonts w:ascii="Times New Roman" w:hAnsi="Times New Roman"/>
          <w:b w:val="0"/>
          <w:sz w:val="24"/>
          <w:szCs w:val="24"/>
        </w:rPr>
        <w:t>rivate health insurers</w:t>
      </w:r>
      <w:r w:rsidR="00F65630">
        <w:rPr>
          <w:rFonts w:ascii="Times New Roman" w:hAnsi="Times New Roman"/>
          <w:b w:val="0"/>
          <w:sz w:val="24"/>
          <w:szCs w:val="24"/>
        </w:rPr>
        <w:t xml:space="preserve">, industry bodies, and </w:t>
      </w:r>
      <w:r>
        <w:rPr>
          <w:rFonts w:ascii="Times New Roman" w:hAnsi="Times New Roman"/>
          <w:b w:val="0"/>
          <w:sz w:val="24"/>
          <w:szCs w:val="24"/>
        </w:rPr>
        <w:t xml:space="preserve">other interested parties. </w:t>
      </w:r>
    </w:p>
    <w:p w:rsidR="002436BD" w:rsidRDefault="000E4D81" w:rsidP="00D85E77">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The following </w:t>
      </w:r>
      <w:r w:rsidR="008F3205">
        <w:rPr>
          <w:rFonts w:ascii="Times New Roman" w:hAnsi="Times New Roman"/>
          <w:b w:val="0"/>
          <w:sz w:val="24"/>
          <w:szCs w:val="24"/>
        </w:rPr>
        <w:t xml:space="preserve">consultation </w:t>
      </w:r>
      <w:r>
        <w:rPr>
          <w:rFonts w:ascii="Times New Roman" w:hAnsi="Times New Roman"/>
          <w:b w:val="0"/>
          <w:sz w:val="24"/>
          <w:szCs w:val="24"/>
        </w:rPr>
        <w:t>papers</w:t>
      </w:r>
      <w:r w:rsidR="002436BD">
        <w:rPr>
          <w:rFonts w:ascii="Times New Roman" w:hAnsi="Times New Roman"/>
          <w:b w:val="0"/>
          <w:sz w:val="24"/>
          <w:szCs w:val="24"/>
        </w:rPr>
        <w:t xml:space="preserve"> were released:</w:t>
      </w:r>
    </w:p>
    <w:p w:rsidR="002436BD" w:rsidRPr="00D85E77" w:rsidRDefault="009E1E90" w:rsidP="00D85E77">
      <w:pPr>
        <w:pStyle w:val="Heading"/>
        <w:numPr>
          <w:ilvl w:val="0"/>
          <w:numId w:val="3"/>
        </w:numPr>
        <w:spacing w:after="240"/>
        <w:rPr>
          <w:rFonts w:ascii="Times New Roman" w:hAnsi="Times New Roman"/>
          <w:b w:val="0"/>
          <w:sz w:val="24"/>
          <w:szCs w:val="24"/>
        </w:rPr>
      </w:pPr>
      <w:r>
        <w:rPr>
          <w:rFonts w:ascii="Times New Roman" w:hAnsi="Times New Roman"/>
          <w:b w:val="0"/>
          <w:sz w:val="24"/>
          <w:szCs w:val="24"/>
        </w:rPr>
        <w:t>March 2015</w:t>
      </w:r>
      <w:r w:rsidR="002436BD" w:rsidRPr="00D85E77">
        <w:rPr>
          <w:rFonts w:ascii="Times New Roman" w:hAnsi="Times New Roman"/>
          <w:b w:val="0"/>
          <w:sz w:val="24"/>
          <w:szCs w:val="24"/>
        </w:rPr>
        <w:t xml:space="preserve">: </w:t>
      </w:r>
      <w:r w:rsidR="006C6760">
        <w:rPr>
          <w:rFonts w:ascii="Times New Roman" w:hAnsi="Times New Roman"/>
          <w:b w:val="0"/>
          <w:sz w:val="24"/>
          <w:szCs w:val="24"/>
        </w:rPr>
        <w:t>Discussion paper on the proposed prudential and reporting framework for APRA’s supervision of private health insurers in Australia, together with draft prudential standards, Rules and reporting standards;</w:t>
      </w:r>
      <w:r w:rsidR="002436BD" w:rsidRPr="00D85E77">
        <w:rPr>
          <w:rFonts w:ascii="Times New Roman" w:hAnsi="Times New Roman"/>
          <w:b w:val="0"/>
          <w:sz w:val="24"/>
          <w:szCs w:val="24"/>
        </w:rPr>
        <w:t xml:space="preserve"> </w:t>
      </w:r>
      <w:r w:rsidR="00815849">
        <w:rPr>
          <w:rFonts w:ascii="Times New Roman" w:hAnsi="Times New Roman"/>
          <w:b w:val="0"/>
          <w:sz w:val="24"/>
          <w:szCs w:val="24"/>
        </w:rPr>
        <w:t>and</w:t>
      </w:r>
    </w:p>
    <w:p w:rsidR="002436BD" w:rsidRDefault="009E1E90" w:rsidP="00D85E77">
      <w:pPr>
        <w:pStyle w:val="Heading"/>
        <w:numPr>
          <w:ilvl w:val="0"/>
          <w:numId w:val="3"/>
        </w:numPr>
        <w:spacing w:after="240"/>
        <w:rPr>
          <w:rFonts w:ascii="Times New Roman" w:hAnsi="Times New Roman"/>
          <w:b w:val="0"/>
          <w:sz w:val="24"/>
          <w:szCs w:val="24"/>
        </w:rPr>
      </w:pPr>
      <w:r>
        <w:rPr>
          <w:rFonts w:ascii="Times New Roman" w:hAnsi="Times New Roman"/>
          <w:b w:val="0"/>
          <w:sz w:val="24"/>
          <w:szCs w:val="24"/>
        </w:rPr>
        <w:lastRenderedPageBreak/>
        <w:t>June 2015</w:t>
      </w:r>
      <w:r w:rsidR="002436BD" w:rsidRPr="00D85E77">
        <w:rPr>
          <w:rFonts w:ascii="Times New Roman" w:hAnsi="Times New Roman"/>
          <w:b w:val="0"/>
          <w:sz w:val="24"/>
          <w:szCs w:val="24"/>
        </w:rPr>
        <w:t xml:space="preserve">: </w:t>
      </w:r>
      <w:r w:rsidR="006C6760">
        <w:rPr>
          <w:rFonts w:ascii="Times New Roman" w:hAnsi="Times New Roman"/>
          <w:b w:val="0"/>
          <w:sz w:val="24"/>
          <w:szCs w:val="24"/>
        </w:rPr>
        <w:t xml:space="preserve">Response to submissions on the proposed prudential and reporting framework for APRA’s supervision of private health insurers in Australia, together with </w:t>
      </w:r>
      <w:r w:rsidR="00815849">
        <w:rPr>
          <w:rFonts w:ascii="Times New Roman" w:hAnsi="Times New Roman"/>
          <w:b w:val="0"/>
          <w:sz w:val="24"/>
          <w:szCs w:val="24"/>
        </w:rPr>
        <w:t>final</w:t>
      </w:r>
      <w:r w:rsidR="006C6760">
        <w:rPr>
          <w:rFonts w:ascii="Times New Roman" w:hAnsi="Times New Roman"/>
          <w:b w:val="0"/>
          <w:sz w:val="24"/>
          <w:szCs w:val="24"/>
        </w:rPr>
        <w:t xml:space="preserve"> prudential standards, Rules and reporting standards</w:t>
      </w:r>
      <w:r w:rsidR="00815849">
        <w:rPr>
          <w:rFonts w:ascii="Times New Roman" w:hAnsi="Times New Roman"/>
          <w:b w:val="0"/>
          <w:sz w:val="24"/>
          <w:szCs w:val="24"/>
        </w:rPr>
        <w:t>.</w:t>
      </w:r>
    </w:p>
    <w:p w:rsidR="009D29F6" w:rsidRPr="009D29F6" w:rsidRDefault="00BB3071" w:rsidP="009D29F6">
      <w:pPr>
        <w:pStyle w:val="Heading"/>
        <w:tabs>
          <w:tab w:val="left" w:pos="360"/>
        </w:tabs>
        <w:spacing w:after="240"/>
        <w:rPr>
          <w:rFonts w:ascii="Times New Roman" w:hAnsi="Times New Roman"/>
          <w:b w:val="0"/>
          <w:sz w:val="24"/>
          <w:szCs w:val="24"/>
        </w:rPr>
      </w:pPr>
      <w:bookmarkStart w:id="8" w:name="bkRIS"/>
      <w:r w:rsidRPr="00BB3071">
        <w:rPr>
          <w:rFonts w:ascii="Times New Roman" w:hAnsi="Times New Roman"/>
          <w:b w:val="0"/>
          <w:sz w:val="24"/>
          <w:szCs w:val="24"/>
        </w:rPr>
        <w:t xml:space="preserve">APRA has considered both formal and informal feedback from stakeholders throughout the consultation process. </w:t>
      </w:r>
      <w:r w:rsidR="004B0BC1">
        <w:rPr>
          <w:rFonts w:ascii="Times New Roman" w:hAnsi="Times New Roman"/>
          <w:b w:val="0"/>
          <w:sz w:val="24"/>
          <w:szCs w:val="24"/>
        </w:rPr>
        <w:t>12</w:t>
      </w:r>
      <w:r w:rsidR="000E7A04" w:rsidRPr="00BB3071">
        <w:rPr>
          <w:rFonts w:ascii="Times New Roman" w:hAnsi="Times New Roman"/>
          <w:b w:val="0"/>
          <w:sz w:val="24"/>
          <w:szCs w:val="24"/>
        </w:rPr>
        <w:t xml:space="preserve"> </w:t>
      </w:r>
      <w:r w:rsidRPr="00BB3071">
        <w:rPr>
          <w:rFonts w:ascii="Times New Roman" w:hAnsi="Times New Roman"/>
          <w:b w:val="0"/>
          <w:sz w:val="24"/>
          <w:szCs w:val="24"/>
        </w:rPr>
        <w:t>submissions were received in response to the discussion paper. In addition to the formal consultation, APRA held a number of consultation sessions and meetings with industry stakeholders.</w:t>
      </w:r>
    </w:p>
    <w:p w:rsidR="00C653CB" w:rsidRPr="00D85E77" w:rsidRDefault="009D29F6" w:rsidP="009D29F6">
      <w:pPr>
        <w:pStyle w:val="Heading"/>
        <w:tabs>
          <w:tab w:val="left" w:pos="360"/>
        </w:tabs>
        <w:spacing w:after="240"/>
        <w:rPr>
          <w:rFonts w:ascii="Times New Roman" w:hAnsi="Times New Roman"/>
          <w:b w:val="0"/>
          <w:sz w:val="24"/>
          <w:szCs w:val="24"/>
        </w:rPr>
      </w:pPr>
      <w:r w:rsidRPr="009D29F6">
        <w:rPr>
          <w:rFonts w:ascii="Times New Roman" w:hAnsi="Times New Roman"/>
          <w:b w:val="0"/>
          <w:sz w:val="24"/>
          <w:szCs w:val="24"/>
        </w:rPr>
        <w:t xml:space="preserve">Industry feedback </w:t>
      </w:r>
      <w:r w:rsidR="00C434A0">
        <w:rPr>
          <w:rFonts w:ascii="Times New Roman" w:hAnsi="Times New Roman"/>
          <w:b w:val="0"/>
          <w:sz w:val="24"/>
          <w:szCs w:val="24"/>
        </w:rPr>
        <w:t xml:space="preserve">did not raise any significant concerns with APRA’s proposals on the prudential standards.  Submissions </w:t>
      </w:r>
      <w:r w:rsidRPr="009D29F6">
        <w:rPr>
          <w:rFonts w:ascii="Times New Roman" w:hAnsi="Times New Roman"/>
          <w:b w:val="0"/>
          <w:sz w:val="24"/>
          <w:szCs w:val="24"/>
        </w:rPr>
        <w:t xml:space="preserve">focused on the technical changes that were necessary to align with the new legislation. As a result, APRA made a number of </w:t>
      </w:r>
      <w:r w:rsidR="00AE6772">
        <w:rPr>
          <w:rFonts w:ascii="Times New Roman" w:hAnsi="Times New Roman"/>
          <w:b w:val="0"/>
          <w:sz w:val="24"/>
          <w:szCs w:val="24"/>
        </w:rPr>
        <w:t xml:space="preserve">minor </w:t>
      </w:r>
      <w:r w:rsidRPr="009D29F6">
        <w:rPr>
          <w:rFonts w:ascii="Times New Roman" w:hAnsi="Times New Roman"/>
          <w:b w:val="0"/>
          <w:sz w:val="24"/>
          <w:szCs w:val="24"/>
        </w:rPr>
        <w:t>amendments to the consultation documents. These amendments sought to address some minor errors and omissions, and maintain the current requirements applying to private health insurers.</w:t>
      </w:r>
      <w:r w:rsidR="00C653CB">
        <w:rPr>
          <w:rFonts w:ascii="Times New Roman" w:hAnsi="Times New Roman"/>
          <w:b w:val="0"/>
          <w:sz w:val="24"/>
          <w:szCs w:val="24"/>
        </w:rPr>
        <w:t xml:space="preserve"> </w:t>
      </w:r>
    </w:p>
    <w:p w:rsidR="002436BD" w:rsidRDefault="00DF524E" w:rsidP="006C3AA6">
      <w:pPr>
        <w:pStyle w:val="Heading"/>
        <w:keepNext/>
        <w:tabs>
          <w:tab w:val="left" w:pos="360"/>
        </w:tabs>
        <w:spacing w:after="240"/>
        <w:rPr>
          <w:rFonts w:ascii="Times New Roman" w:hAnsi="Times New Roman"/>
          <w:sz w:val="24"/>
          <w:szCs w:val="24"/>
        </w:rPr>
      </w:pPr>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bookmarkEnd w:id="8"/>
    <w:p w:rsidR="00D3484E" w:rsidRDefault="00D3484E" w:rsidP="00D85E77">
      <w:pPr>
        <w:pStyle w:val="Heading"/>
        <w:spacing w:after="240"/>
        <w:rPr>
          <w:rFonts w:ascii="Times New Roman" w:hAnsi="Times New Roman"/>
          <w:b w:val="0"/>
          <w:sz w:val="24"/>
          <w:szCs w:val="24"/>
        </w:rPr>
      </w:pPr>
      <w:r w:rsidRPr="00D3484E">
        <w:rPr>
          <w:rFonts w:ascii="Times New Roman" w:hAnsi="Times New Roman"/>
          <w:b w:val="0"/>
          <w:sz w:val="24"/>
          <w:szCs w:val="24"/>
        </w:rPr>
        <w:t xml:space="preserve">The Office of Best Practice Regulation </w:t>
      </w:r>
      <w:r>
        <w:rPr>
          <w:rFonts w:ascii="Times New Roman" w:hAnsi="Times New Roman"/>
          <w:b w:val="0"/>
          <w:sz w:val="24"/>
          <w:szCs w:val="24"/>
        </w:rPr>
        <w:t>h</w:t>
      </w:r>
      <w:r w:rsidRPr="00D3484E">
        <w:rPr>
          <w:rFonts w:ascii="Times New Roman" w:hAnsi="Times New Roman"/>
          <w:b w:val="0"/>
          <w:sz w:val="24"/>
          <w:szCs w:val="24"/>
        </w:rPr>
        <w:t xml:space="preserve">as advised that a Regulation Impact Statement </w:t>
      </w:r>
      <w:r w:rsidR="00290946">
        <w:rPr>
          <w:rFonts w:ascii="Times New Roman" w:hAnsi="Times New Roman"/>
          <w:b w:val="0"/>
          <w:sz w:val="24"/>
          <w:szCs w:val="24"/>
        </w:rPr>
        <w:t>is not required</w:t>
      </w:r>
      <w:r w:rsidR="007F3C95">
        <w:rPr>
          <w:rFonts w:ascii="Times New Roman" w:hAnsi="Times New Roman"/>
          <w:b w:val="0"/>
          <w:sz w:val="24"/>
          <w:szCs w:val="24"/>
        </w:rPr>
        <w:t xml:space="preserve"> for the instruments</w:t>
      </w:r>
      <w:r w:rsidRPr="00D3484E">
        <w:rPr>
          <w:rFonts w:ascii="Times New Roman" w:hAnsi="Times New Roman"/>
          <w:b w:val="0"/>
          <w:sz w:val="24"/>
          <w:szCs w:val="24"/>
        </w:rPr>
        <w:t>.</w:t>
      </w:r>
    </w:p>
    <w:p w:rsidR="002436BD" w:rsidRPr="00B3165F" w:rsidRDefault="00DF524E" w:rsidP="00A8106A">
      <w:pPr>
        <w:pStyle w:val="Heading"/>
        <w:keepNext/>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Statement of compatibility prepared in accordance with Part 3 of the Human Rights (Parliamentary Scrutiny) Act 2011</w:t>
      </w:r>
    </w:p>
    <w:p w:rsidR="002436BD" w:rsidRDefault="0030506B" w:rsidP="00D85E77">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rsidR="00FB2570" w:rsidRDefault="00FB2570">
      <w:r>
        <w:br w:type="page"/>
      </w:r>
    </w:p>
    <w:p w:rsidR="00B04B20" w:rsidRPr="006C3AA6" w:rsidRDefault="00FB2570" w:rsidP="00D85E77">
      <w:pPr>
        <w:spacing w:after="240"/>
        <w:jc w:val="both"/>
        <w:rPr>
          <w:rFonts w:ascii="Times New Roman" w:hAnsi="Times New Roman"/>
          <w:b/>
          <w:sz w:val="24"/>
          <w:szCs w:val="24"/>
        </w:rPr>
      </w:pPr>
      <w:r w:rsidRPr="006C3AA6">
        <w:rPr>
          <w:rFonts w:ascii="Times New Roman" w:hAnsi="Times New Roman"/>
          <w:b/>
          <w:sz w:val="24"/>
          <w:szCs w:val="24"/>
        </w:rPr>
        <w:lastRenderedPageBreak/>
        <w:t>Attachment A</w:t>
      </w:r>
    </w:p>
    <w:p w:rsidR="006C3AA6" w:rsidRPr="006C3AA6" w:rsidRDefault="006C3AA6" w:rsidP="006C3AA6">
      <w:pPr>
        <w:spacing w:before="100" w:beforeAutospacing="1" w:after="240"/>
        <w:jc w:val="center"/>
        <w:rPr>
          <w:rFonts w:ascii="Helvetica Neue" w:hAnsi="Helvetica Neue"/>
          <w:b/>
          <w:sz w:val="19"/>
          <w:szCs w:val="19"/>
        </w:rPr>
      </w:pPr>
      <w:r w:rsidRPr="006C3AA6">
        <w:rPr>
          <w:rFonts w:ascii="Times New Roman" w:hAnsi="Times New Roman"/>
          <w:b/>
          <w:sz w:val="24"/>
          <w:szCs w:val="24"/>
        </w:rPr>
        <w:t>Statement of Compatibility with Human Rights</w:t>
      </w:r>
    </w:p>
    <w:p w:rsidR="006C3AA6" w:rsidRPr="006C3AA6" w:rsidRDefault="006C3AA6" w:rsidP="006C3AA6">
      <w:pPr>
        <w:spacing w:before="100" w:beforeAutospacing="1" w:after="240"/>
        <w:rPr>
          <w:rFonts w:ascii="Helvetica Neue" w:hAnsi="Helvetica Neue"/>
          <w:sz w:val="19"/>
          <w:szCs w:val="19"/>
        </w:rPr>
      </w:pPr>
      <w:r w:rsidRPr="006C3AA6">
        <w:rPr>
          <w:rFonts w:ascii="Times New Roman" w:hAnsi="Times New Roman"/>
          <w:i/>
          <w:iCs/>
          <w:sz w:val="24"/>
          <w:szCs w:val="24"/>
        </w:rPr>
        <w:t>Prepared in accordance with Part 3 of the Human Rights (Parliamentary Scrutiny) Act 2011</w:t>
      </w:r>
    </w:p>
    <w:p w:rsidR="006C3AA6" w:rsidRPr="006C3AA6" w:rsidRDefault="006C3AA6" w:rsidP="006C3AA6">
      <w:pPr>
        <w:spacing w:before="100" w:beforeAutospacing="1" w:after="240"/>
        <w:jc w:val="center"/>
        <w:rPr>
          <w:rFonts w:ascii="Helvetica Neue" w:hAnsi="Helvetica Neue"/>
          <w:b/>
          <w:sz w:val="19"/>
          <w:szCs w:val="19"/>
        </w:rPr>
      </w:pPr>
      <w:r w:rsidRPr="006C3AA6">
        <w:rPr>
          <w:rFonts w:ascii="Times New Roman" w:hAnsi="Times New Roman"/>
          <w:b/>
          <w:sz w:val="24"/>
          <w:szCs w:val="24"/>
        </w:rPr>
        <w:t>Health insurance (prudential standard) determinations Nos. 1 to 7 of 2015</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sz w:val="24"/>
          <w:szCs w:val="24"/>
        </w:rPr>
        <w:t xml:space="preserve">The Legislative Instruments are compatible with the human rights and freedoms recognised or declared in the international instruments listed in section 3 of the </w:t>
      </w:r>
      <w:r w:rsidRPr="006C3AA6">
        <w:rPr>
          <w:rFonts w:ascii="Times New Roman" w:hAnsi="Times New Roman"/>
          <w:i/>
          <w:iCs/>
          <w:sz w:val="24"/>
          <w:szCs w:val="24"/>
        </w:rPr>
        <w:t>Human Rights (Parliamentary Scrutiny) Act 2011</w:t>
      </w:r>
      <w:r w:rsidRPr="006C3AA6">
        <w:rPr>
          <w:rFonts w:ascii="Times New Roman" w:hAnsi="Times New Roman"/>
          <w:sz w:val="24"/>
          <w:szCs w:val="24"/>
        </w:rPr>
        <w:t xml:space="preserve"> (HRPS Act).</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b/>
          <w:bCs/>
          <w:sz w:val="24"/>
          <w:szCs w:val="24"/>
        </w:rPr>
        <w:t xml:space="preserve">Overview of the Legislative Instrument </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sz w:val="24"/>
          <w:szCs w:val="24"/>
        </w:rPr>
        <w:t xml:space="preserve">The Legislative Instruments </w:t>
      </w:r>
      <w:r w:rsidR="0088602C">
        <w:rPr>
          <w:rFonts w:ascii="Times New Roman" w:hAnsi="Times New Roman"/>
          <w:sz w:val="24"/>
          <w:szCs w:val="24"/>
        </w:rPr>
        <w:t xml:space="preserve">determine </w:t>
      </w:r>
      <w:r w:rsidR="00094E9D">
        <w:rPr>
          <w:rFonts w:ascii="Times New Roman" w:hAnsi="Times New Roman"/>
          <w:sz w:val="24"/>
          <w:szCs w:val="24"/>
        </w:rPr>
        <w:t>new prudential standards applicable to private health insurers</w:t>
      </w:r>
      <w:r w:rsidR="0088602C">
        <w:rPr>
          <w:rFonts w:ascii="Times New Roman" w:hAnsi="Times New Roman"/>
          <w:sz w:val="24"/>
          <w:szCs w:val="24"/>
        </w:rPr>
        <w:t xml:space="preserve">, </w:t>
      </w:r>
      <w:r w:rsidR="00D17CF9">
        <w:rPr>
          <w:rFonts w:ascii="Times New Roman" w:hAnsi="Times New Roman"/>
          <w:sz w:val="24"/>
          <w:szCs w:val="24"/>
        </w:rPr>
        <w:t xml:space="preserve">to </w:t>
      </w:r>
      <w:r w:rsidR="0088602C" w:rsidRPr="0088602C">
        <w:rPr>
          <w:rFonts w:ascii="Times New Roman" w:hAnsi="Times New Roman"/>
          <w:sz w:val="24"/>
          <w:szCs w:val="24"/>
        </w:rPr>
        <w:t>give effect to the transfer of relevant PHIAC functions to APRA</w:t>
      </w:r>
      <w:r w:rsidR="0088602C">
        <w:rPr>
          <w:rFonts w:ascii="Times New Roman" w:hAnsi="Times New Roman"/>
          <w:sz w:val="24"/>
          <w:szCs w:val="24"/>
        </w:rPr>
        <w:t>. The prudential standards continue the current prudential requirements applying to private health insurers administered by PHIAC</w:t>
      </w:r>
      <w:r w:rsidRPr="006C3AA6">
        <w:rPr>
          <w:rFonts w:ascii="Times New Roman" w:hAnsi="Times New Roman"/>
          <w:sz w:val="24"/>
          <w:szCs w:val="24"/>
        </w:rPr>
        <w:t xml:space="preserve">. </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b/>
          <w:bCs/>
          <w:sz w:val="24"/>
          <w:szCs w:val="24"/>
        </w:rPr>
        <w:t>Human rights implications</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sz w:val="24"/>
          <w:szCs w:val="24"/>
        </w:rPr>
        <w:t>APRA has assessed these Legislative Instruments and is of the view that they do not engage any of the applicable rights or freedoms recognised or declared in the international instruments listed in section 3 of the HRPS Act. Accordingly, in APRA’s assessment, the instruments are compatible with human rights.</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b/>
          <w:bCs/>
          <w:sz w:val="24"/>
          <w:szCs w:val="24"/>
        </w:rPr>
        <w:t>Conclusion</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sz w:val="24"/>
          <w:szCs w:val="24"/>
        </w:rPr>
        <w:t>These Legislative Instruments are compatible with human rights because they do not raise any human rights issues.</w:t>
      </w:r>
    </w:p>
    <w:p w:rsidR="006C3AA6" w:rsidRPr="00FA5345" w:rsidRDefault="006C3AA6" w:rsidP="00D85E77">
      <w:pPr>
        <w:spacing w:after="240"/>
        <w:jc w:val="both"/>
      </w:pPr>
    </w:p>
    <w:sectPr w:rsidR="006C3AA6" w:rsidRPr="00FA5345" w:rsidSect="003D5032">
      <w:footerReference w:type="default" r:id="rId9"/>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72" w:rsidRDefault="00403372" w:rsidP="00D85E77">
      <w:r>
        <w:separator/>
      </w:r>
    </w:p>
  </w:endnote>
  <w:endnote w:type="continuationSeparator" w:id="0">
    <w:p w:rsidR="00403372" w:rsidRDefault="00403372" w:rsidP="00D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rFonts w:ascii="Times New Roman" w:hAnsi="Times New Roman"/>
        <w:sz w:val="24"/>
        <w:szCs w:val="24"/>
      </w:rPr>
    </w:sdtEndPr>
    <w:sdtContent>
      <w:p w:rsidR="00D85E77" w:rsidRPr="00D85E77" w:rsidRDefault="00D85E77" w:rsidP="00D85E77">
        <w:pPr>
          <w:pStyle w:val="Footer"/>
          <w:jc w:val="center"/>
          <w:rPr>
            <w:rFonts w:ascii="Times New Roman" w:hAnsi="Times New Roman"/>
            <w:sz w:val="24"/>
            <w:szCs w:val="24"/>
          </w:rPr>
        </w:pPr>
        <w:r w:rsidRPr="00D85E77">
          <w:rPr>
            <w:rFonts w:ascii="Times New Roman" w:hAnsi="Times New Roman"/>
            <w:bCs/>
            <w:sz w:val="24"/>
            <w:szCs w:val="24"/>
          </w:rPr>
          <w:fldChar w:fldCharType="begin"/>
        </w:r>
        <w:r w:rsidRPr="00D85E77">
          <w:rPr>
            <w:rFonts w:ascii="Times New Roman" w:hAnsi="Times New Roman"/>
            <w:bCs/>
            <w:sz w:val="24"/>
            <w:szCs w:val="24"/>
          </w:rPr>
          <w:instrText xml:space="preserve"> PAGE </w:instrText>
        </w:r>
        <w:r w:rsidRPr="00D85E77">
          <w:rPr>
            <w:rFonts w:ascii="Times New Roman" w:hAnsi="Times New Roman"/>
            <w:bCs/>
            <w:sz w:val="24"/>
            <w:szCs w:val="24"/>
          </w:rPr>
          <w:fldChar w:fldCharType="separate"/>
        </w:r>
        <w:r w:rsidR="005D00B5">
          <w:rPr>
            <w:rFonts w:ascii="Times New Roman" w:hAnsi="Times New Roman"/>
            <w:bCs/>
            <w:noProof/>
            <w:sz w:val="24"/>
            <w:szCs w:val="24"/>
          </w:rPr>
          <w:t>1</w:t>
        </w:r>
        <w:r w:rsidRPr="00D85E77">
          <w:rPr>
            <w:rFonts w:ascii="Times New Roman" w:hAnsi="Times New Roman"/>
            <w:bCs/>
            <w:sz w:val="24"/>
            <w:szCs w:val="24"/>
          </w:rPr>
          <w:fldChar w:fldCharType="end"/>
        </w:r>
      </w:p>
    </w:sdtContent>
  </w:sdt>
  <w:p w:rsidR="00D85E77" w:rsidRDefault="00D8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72" w:rsidRDefault="00403372" w:rsidP="00D85E77">
      <w:r>
        <w:separator/>
      </w:r>
    </w:p>
  </w:footnote>
  <w:footnote w:type="continuationSeparator" w:id="0">
    <w:p w:rsidR="00403372" w:rsidRDefault="00403372" w:rsidP="00D85E77">
      <w:r>
        <w:continuationSeparator/>
      </w:r>
    </w:p>
  </w:footnote>
  <w:footnote w:id="1">
    <w:p w:rsidR="00C736B3" w:rsidRPr="00F77E3F" w:rsidRDefault="00C736B3">
      <w:pPr>
        <w:pStyle w:val="FootnoteText"/>
        <w:rPr>
          <w:rFonts w:ascii="Times New Roman" w:hAnsi="Times New Roman"/>
        </w:rPr>
      </w:pPr>
      <w:r>
        <w:rPr>
          <w:rStyle w:val="FootnoteReference"/>
        </w:rPr>
        <w:footnoteRef/>
      </w:r>
      <w:r>
        <w:t xml:space="preserve"> </w:t>
      </w:r>
      <w:r>
        <w:tab/>
      </w:r>
      <w:r w:rsidRPr="00F77E3F">
        <w:rPr>
          <w:rFonts w:ascii="Times New Roman" w:hAnsi="Times New Roman"/>
        </w:rPr>
        <w:t xml:space="preserve">The PHIAC solvency </w:t>
      </w:r>
      <w:r w:rsidRPr="005C510E">
        <w:rPr>
          <w:rFonts w:ascii="Times New Roman" w:hAnsi="Times New Roman"/>
        </w:rPr>
        <w:t>and</w:t>
      </w:r>
      <w:r w:rsidRPr="00F77E3F">
        <w:rPr>
          <w:rFonts w:ascii="Times New Roman" w:hAnsi="Times New Roman"/>
          <w:u w:val="single"/>
        </w:rPr>
        <w:t xml:space="preserve"> </w:t>
      </w:r>
      <w:r w:rsidRPr="005C510E">
        <w:rPr>
          <w:rFonts w:ascii="Times New Roman" w:hAnsi="Times New Roman"/>
        </w:rPr>
        <w:t>capital standards</w:t>
      </w:r>
      <w:r w:rsidRPr="00F77E3F">
        <w:rPr>
          <w:rFonts w:ascii="Times New Roman" w:hAnsi="Times New Roman"/>
        </w:rPr>
        <w:t xml:space="preserve"> were made under the </w:t>
      </w:r>
      <w:r w:rsidRPr="00F77E3F">
        <w:rPr>
          <w:rFonts w:ascii="Times New Roman" w:hAnsi="Times New Roman"/>
          <w:i/>
        </w:rPr>
        <w:t>Private Health Insurance (Health Benefits Fund Administration) Rules 2007</w:t>
      </w:r>
      <w:r w:rsidRPr="00F77E3F">
        <w:rPr>
          <w:rFonts w:ascii="Times New Roman" w:hAnsi="Times New Roman"/>
        </w:rPr>
        <w:t xml:space="preserve">, as amended by the </w:t>
      </w:r>
      <w:r w:rsidRPr="00F77E3F">
        <w:rPr>
          <w:rFonts w:ascii="Times New Roman" w:hAnsi="Times New Roman"/>
          <w:i/>
        </w:rPr>
        <w:t>Private Health Insurance (Health Benefits Fund Administration) Amendment Rule 2013 (No.1)</w:t>
      </w:r>
      <w:r w:rsidRPr="00F77E3F">
        <w:rPr>
          <w:rFonts w:ascii="Times New Roman" w:hAnsi="Times New Roman"/>
        </w:rPr>
        <w:t xml:space="preserve">. </w:t>
      </w:r>
    </w:p>
  </w:footnote>
  <w:footnote w:id="2">
    <w:p w:rsidR="001322F4" w:rsidRDefault="001322F4">
      <w:pPr>
        <w:pStyle w:val="FootnoteText"/>
      </w:pPr>
      <w:r w:rsidRPr="00F77E3F">
        <w:rPr>
          <w:rStyle w:val="FootnoteReference"/>
          <w:rFonts w:ascii="Times New Roman" w:hAnsi="Times New Roman"/>
        </w:rPr>
        <w:footnoteRef/>
      </w:r>
      <w:r w:rsidRPr="00F77E3F">
        <w:rPr>
          <w:rFonts w:ascii="Times New Roman" w:hAnsi="Times New Roman"/>
        </w:rPr>
        <w:t xml:space="preserve"> </w:t>
      </w:r>
      <w:r w:rsidRPr="00F77E3F">
        <w:rPr>
          <w:rFonts w:ascii="Times New Roman" w:hAnsi="Times New Roman"/>
        </w:rPr>
        <w:tab/>
        <w:t xml:space="preserve">The PHIAC outsourcing standard was made under the </w:t>
      </w:r>
      <w:r w:rsidRPr="00F77E3F">
        <w:rPr>
          <w:rFonts w:ascii="Times New Roman" w:hAnsi="Times New Roman"/>
          <w:i/>
        </w:rPr>
        <w:t>Private Health Insurance (Insurer Obligation) Rules 2009</w:t>
      </w:r>
      <w:r w:rsidRPr="00F77E3F">
        <w:rPr>
          <w:rFonts w:ascii="Times New Roman" w:hAnsi="Times New Roman"/>
        </w:rPr>
        <w:t xml:space="preserve">, as amended by the </w:t>
      </w:r>
      <w:r w:rsidRPr="00F77E3F">
        <w:rPr>
          <w:rFonts w:ascii="Times New Roman" w:hAnsi="Times New Roman"/>
          <w:i/>
        </w:rPr>
        <w:t>Private Health Insurance (Insurer Obligation) Amendment Rule 2012 (No 1).</w:t>
      </w:r>
      <w:r>
        <w:t xml:space="preserve">  </w:t>
      </w:r>
    </w:p>
  </w:footnote>
  <w:footnote w:id="3">
    <w:p w:rsidR="001322F4" w:rsidRPr="00C52E54" w:rsidRDefault="001322F4">
      <w:pPr>
        <w:pStyle w:val="FootnoteText"/>
        <w:rPr>
          <w:rFonts w:ascii="Times New Roman" w:hAnsi="Times New Roman"/>
          <w:i/>
        </w:rPr>
      </w:pPr>
      <w:r>
        <w:rPr>
          <w:rStyle w:val="FootnoteReference"/>
        </w:rPr>
        <w:footnoteRef/>
      </w:r>
      <w:r>
        <w:t xml:space="preserve"> </w:t>
      </w:r>
      <w:r>
        <w:tab/>
      </w:r>
      <w:r w:rsidRPr="00C52E54">
        <w:rPr>
          <w:rFonts w:ascii="Times New Roman" w:hAnsi="Times New Roman"/>
        </w:rPr>
        <w:t xml:space="preserve">The PHIAC </w:t>
      </w:r>
      <w:r w:rsidR="000F09B6" w:rsidRPr="00C52E54">
        <w:rPr>
          <w:rFonts w:ascii="Times New Roman" w:hAnsi="Times New Roman"/>
        </w:rPr>
        <w:t xml:space="preserve">appointed actuaries </w:t>
      </w:r>
      <w:r w:rsidRPr="00C52E54">
        <w:rPr>
          <w:rFonts w:ascii="Times New Roman" w:hAnsi="Times New Roman"/>
        </w:rPr>
        <w:t xml:space="preserve">standard was made under the </w:t>
      </w:r>
      <w:r w:rsidRPr="00C52E54">
        <w:rPr>
          <w:rFonts w:ascii="Times New Roman" w:hAnsi="Times New Roman"/>
          <w:i/>
        </w:rPr>
        <w:t>Private Health Insurance (Insurer Obligation) Rules 2009</w:t>
      </w:r>
      <w:r w:rsidRPr="00C52E54">
        <w:rPr>
          <w:rFonts w:ascii="Times New Roman" w:hAnsi="Times New Roman"/>
        </w:rPr>
        <w:t>, as amended by</w:t>
      </w:r>
      <w:r w:rsidR="000F09B6" w:rsidRPr="00C52E54">
        <w:rPr>
          <w:rFonts w:ascii="Times New Roman" w:hAnsi="Times New Roman"/>
        </w:rPr>
        <w:t xml:space="preserve"> the </w:t>
      </w:r>
      <w:r w:rsidR="000F09B6" w:rsidRPr="00C52E54">
        <w:rPr>
          <w:rFonts w:ascii="Times New Roman" w:hAnsi="Times New Roman"/>
          <w:i/>
        </w:rPr>
        <w:t>Private Health Insurance (Insurer Obligations) Amendment Rule 2011 (No. 1)</w:t>
      </w:r>
      <w:r w:rsidR="000F09B6" w:rsidRPr="00C52E54">
        <w:rPr>
          <w:rFonts w:ascii="Times New Roman" w:hAnsi="Times New Roman"/>
        </w:rPr>
        <w:t xml:space="preserve"> and the </w:t>
      </w:r>
      <w:r w:rsidR="000F09B6" w:rsidRPr="00C52E54">
        <w:rPr>
          <w:rFonts w:ascii="Times New Roman" w:hAnsi="Times New Roman"/>
          <w:i/>
        </w:rPr>
        <w:t>Private Health Insurance (Insurer Obligations) Amendment Rule 2013 (No. 1).</w:t>
      </w:r>
    </w:p>
  </w:footnote>
  <w:footnote w:id="4">
    <w:p w:rsidR="000F09B6" w:rsidRPr="00C52E54" w:rsidRDefault="000F09B6">
      <w:pPr>
        <w:pStyle w:val="FootnoteText"/>
        <w:rPr>
          <w:rFonts w:ascii="Times New Roman" w:hAnsi="Times New Roman"/>
          <w:i/>
        </w:rPr>
      </w:pPr>
      <w:r w:rsidRPr="00C52E54">
        <w:rPr>
          <w:rStyle w:val="FootnoteReference"/>
          <w:rFonts w:ascii="Times New Roman" w:hAnsi="Times New Roman"/>
        </w:rPr>
        <w:footnoteRef/>
      </w:r>
      <w:r w:rsidRPr="00C52E54">
        <w:rPr>
          <w:rFonts w:ascii="Times New Roman" w:hAnsi="Times New Roman"/>
        </w:rPr>
        <w:t xml:space="preserve"> </w:t>
      </w:r>
      <w:r w:rsidRPr="00C52E54">
        <w:rPr>
          <w:rFonts w:ascii="Times New Roman" w:hAnsi="Times New Roman"/>
        </w:rPr>
        <w:tab/>
        <w:t xml:space="preserve">The PHIAC </w:t>
      </w:r>
      <w:r w:rsidR="003E07B2" w:rsidRPr="00C52E54">
        <w:rPr>
          <w:rFonts w:ascii="Times New Roman" w:hAnsi="Times New Roman"/>
        </w:rPr>
        <w:t xml:space="preserve">disclosure standard was made under the </w:t>
      </w:r>
      <w:r w:rsidR="003E07B2" w:rsidRPr="00C52E54">
        <w:rPr>
          <w:rFonts w:ascii="Times New Roman" w:hAnsi="Times New Roman"/>
          <w:i/>
        </w:rPr>
        <w:t xml:space="preserve">Private Health Insurance (Insurer </w:t>
      </w:r>
      <w:r w:rsidR="00611EAB" w:rsidRPr="00C52E54">
        <w:rPr>
          <w:rFonts w:ascii="Times New Roman" w:hAnsi="Times New Roman"/>
          <w:i/>
        </w:rPr>
        <w:t>Obligation) Amendment Rule</w:t>
      </w:r>
      <w:r w:rsidR="003E07B2" w:rsidRPr="00C52E54">
        <w:rPr>
          <w:rFonts w:ascii="Times New Roman" w:hAnsi="Times New Roman"/>
          <w:i/>
        </w:rPr>
        <w:t xml:space="preserve"> 2010 (No. 1).</w:t>
      </w:r>
    </w:p>
  </w:footnote>
  <w:footnote w:id="5">
    <w:p w:rsidR="003E07B2" w:rsidRPr="003E07B2" w:rsidRDefault="003E07B2">
      <w:pPr>
        <w:pStyle w:val="FootnoteText"/>
        <w:rPr>
          <w:i/>
        </w:rPr>
      </w:pPr>
      <w:r w:rsidRPr="00C52E54">
        <w:rPr>
          <w:rStyle w:val="FootnoteReference"/>
          <w:rFonts w:ascii="Times New Roman" w:hAnsi="Times New Roman"/>
        </w:rPr>
        <w:footnoteRef/>
      </w:r>
      <w:r w:rsidRPr="00C52E54">
        <w:rPr>
          <w:rFonts w:ascii="Times New Roman" w:hAnsi="Times New Roman"/>
        </w:rPr>
        <w:t xml:space="preserve"> </w:t>
      </w:r>
      <w:r w:rsidRPr="00C52E54">
        <w:rPr>
          <w:rFonts w:ascii="Times New Roman" w:hAnsi="Times New Roman"/>
        </w:rPr>
        <w:tab/>
        <w:t xml:space="preserve">The PHIAC governance standard was made under the </w:t>
      </w:r>
      <w:r w:rsidRPr="00C52E54">
        <w:rPr>
          <w:rFonts w:ascii="Times New Roman" w:hAnsi="Times New Roman"/>
          <w:i/>
        </w:rPr>
        <w:t>Private Health Insurance (Insurer Obligation) Rules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49"/>
    <w:multiLevelType w:val="hybridMultilevel"/>
    <w:tmpl w:val="372292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02868D9"/>
    <w:multiLevelType w:val="hybridMultilevel"/>
    <w:tmpl w:val="FA4004D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C44575"/>
    <w:multiLevelType w:val="hybridMultilevel"/>
    <w:tmpl w:val="6A2200F8"/>
    <w:lvl w:ilvl="0" w:tplc="F1F253D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1DA3D61"/>
    <w:multiLevelType w:val="hybridMultilevel"/>
    <w:tmpl w:val="F208E238"/>
    <w:lvl w:ilvl="0" w:tplc="8C88B6BC">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72"/>
    <w:rsid w:val="000401FC"/>
    <w:rsid w:val="00056827"/>
    <w:rsid w:val="00061CBF"/>
    <w:rsid w:val="00094E9D"/>
    <w:rsid w:val="000B43FB"/>
    <w:rsid w:val="000B60B3"/>
    <w:rsid w:val="000E369C"/>
    <w:rsid w:val="000E4D81"/>
    <w:rsid w:val="000E7A04"/>
    <w:rsid w:val="000F09B6"/>
    <w:rsid w:val="001322F4"/>
    <w:rsid w:val="00144707"/>
    <w:rsid w:val="001474AD"/>
    <w:rsid w:val="00170383"/>
    <w:rsid w:val="00182FA1"/>
    <w:rsid w:val="001C01EB"/>
    <w:rsid w:val="001F5F33"/>
    <w:rsid w:val="002436BD"/>
    <w:rsid w:val="00246723"/>
    <w:rsid w:val="00290946"/>
    <w:rsid w:val="002A1111"/>
    <w:rsid w:val="002A73BD"/>
    <w:rsid w:val="002B6568"/>
    <w:rsid w:val="002C7E35"/>
    <w:rsid w:val="002D4A08"/>
    <w:rsid w:val="002F0613"/>
    <w:rsid w:val="002F6218"/>
    <w:rsid w:val="0030506B"/>
    <w:rsid w:val="00310CF8"/>
    <w:rsid w:val="003432C7"/>
    <w:rsid w:val="00354CB8"/>
    <w:rsid w:val="003866AD"/>
    <w:rsid w:val="00387365"/>
    <w:rsid w:val="00387EA0"/>
    <w:rsid w:val="003A52A5"/>
    <w:rsid w:val="003C64AC"/>
    <w:rsid w:val="003D1D79"/>
    <w:rsid w:val="003D5032"/>
    <w:rsid w:val="003E07B2"/>
    <w:rsid w:val="003E0ADB"/>
    <w:rsid w:val="003E0B64"/>
    <w:rsid w:val="003E6AB8"/>
    <w:rsid w:val="003F1F66"/>
    <w:rsid w:val="0040175E"/>
    <w:rsid w:val="00403372"/>
    <w:rsid w:val="0042100C"/>
    <w:rsid w:val="00422164"/>
    <w:rsid w:val="00443A02"/>
    <w:rsid w:val="00444768"/>
    <w:rsid w:val="004919BC"/>
    <w:rsid w:val="004B0BC1"/>
    <w:rsid w:val="004C0C16"/>
    <w:rsid w:val="004C3D07"/>
    <w:rsid w:val="004D4918"/>
    <w:rsid w:val="004E2008"/>
    <w:rsid w:val="004F5F67"/>
    <w:rsid w:val="00513672"/>
    <w:rsid w:val="00513BD9"/>
    <w:rsid w:val="0054565F"/>
    <w:rsid w:val="0056141D"/>
    <w:rsid w:val="005916AA"/>
    <w:rsid w:val="0059234A"/>
    <w:rsid w:val="0059706A"/>
    <w:rsid w:val="005B5513"/>
    <w:rsid w:val="005C510E"/>
    <w:rsid w:val="005D00B5"/>
    <w:rsid w:val="005E5910"/>
    <w:rsid w:val="005F56B0"/>
    <w:rsid w:val="006105E3"/>
    <w:rsid w:val="00611EAB"/>
    <w:rsid w:val="00622480"/>
    <w:rsid w:val="006448EB"/>
    <w:rsid w:val="00647CCE"/>
    <w:rsid w:val="00647D58"/>
    <w:rsid w:val="00657678"/>
    <w:rsid w:val="00664E7B"/>
    <w:rsid w:val="0067335E"/>
    <w:rsid w:val="00681DD3"/>
    <w:rsid w:val="00682865"/>
    <w:rsid w:val="00684F73"/>
    <w:rsid w:val="006B093F"/>
    <w:rsid w:val="006C3AA6"/>
    <w:rsid w:val="006C4398"/>
    <w:rsid w:val="006C6760"/>
    <w:rsid w:val="006F3CEF"/>
    <w:rsid w:val="007031F4"/>
    <w:rsid w:val="007049CF"/>
    <w:rsid w:val="00712E1A"/>
    <w:rsid w:val="007279E5"/>
    <w:rsid w:val="007368AD"/>
    <w:rsid w:val="007379A4"/>
    <w:rsid w:val="007428D4"/>
    <w:rsid w:val="00747AFF"/>
    <w:rsid w:val="00761B22"/>
    <w:rsid w:val="00785CDC"/>
    <w:rsid w:val="007B1DC5"/>
    <w:rsid w:val="007C2298"/>
    <w:rsid w:val="007D7EE6"/>
    <w:rsid w:val="007E3328"/>
    <w:rsid w:val="007E472C"/>
    <w:rsid w:val="007E4B2A"/>
    <w:rsid w:val="007F3C95"/>
    <w:rsid w:val="00815849"/>
    <w:rsid w:val="00830417"/>
    <w:rsid w:val="00830F66"/>
    <w:rsid w:val="0083709B"/>
    <w:rsid w:val="00852D2C"/>
    <w:rsid w:val="0088602C"/>
    <w:rsid w:val="00892FF8"/>
    <w:rsid w:val="008A1DDC"/>
    <w:rsid w:val="008B1252"/>
    <w:rsid w:val="008E2198"/>
    <w:rsid w:val="008F3205"/>
    <w:rsid w:val="008F685D"/>
    <w:rsid w:val="0090066C"/>
    <w:rsid w:val="0090438A"/>
    <w:rsid w:val="00932EFA"/>
    <w:rsid w:val="00943873"/>
    <w:rsid w:val="00952383"/>
    <w:rsid w:val="009659E4"/>
    <w:rsid w:val="00967D16"/>
    <w:rsid w:val="00987B7C"/>
    <w:rsid w:val="009C3639"/>
    <w:rsid w:val="009C5368"/>
    <w:rsid w:val="009D29F6"/>
    <w:rsid w:val="009E1E90"/>
    <w:rsid w:val="00A018B0"/>
    <w:rsid w:val="00A279AF"/>
    <w:rsid w:val="00A3485D"/>
    <w:rsid w:val="00A4133B"/>
    <w:rsid w:val="00A63A2B"/>
    <w:rsid w:val="00A6579B"/>
    <w:rsid w:val="00A66984"/>
    <w:rsid w:val="00A730D3"/>
    <w:rsid w:val="00A8106A"/>
    <w:rsid w:val="00AA3E4A"/>
    <w:rsid w:val="00AB456D"/>
    <w:rsid w:val="00AB4916"/>
    <w:rsid w:val="00AC2517"/>
    <w:rsid w:val="00AC4AE2"/>
    <w:rsid w:val="00AC7A56"/>
    <w:rsid w:val="00AD09D7"/>
    <w:rsid w:val="00AE6772"/>
    <w:rsid w:val="00B04B20"/>
    <w:rsid w:val="00B32F05"/>
    <w:rsid w:val="00B405A3"/>
    <w:rsid w:val="00B53BA2"/>
    <w:rsid w:val="00B64B2E"/>
    <w:rsid w:val="00B81F72"/>
    <w:rsid w:val="00B85B6E"/>
    <w:rsid w:val="00B87D7D"/>
    <w:rsid w:val="00BB1175"/>
    <w:rsid w:val="00BB1678"/>
    <w:rsid w:val="00BB3071"/>
    <w:rsid w:val="00BB34BC"/>
    <w:rsid w:val="00BE36B6"/>
    <w:rsid w:val="00BF2953"/>
    <w:rsid w:val="00C041B0"/>
    <w:rsid w:val="00C302FA"/>
    <w:rsid w:val="00C434A0"/>
    <w:rsid w:val="00C52E54"/>
    <w:rsid w:val="00C653CB"/>
    <w:rsid w:val="00C736B3"/>
    <w:rsid w:val="00C948AA"/>
    <w:rsid w:val="00CA6CB3"/>
    <w:rsid w:val="00CB384A"/>
    <w:rsid w:val="00CD1947"/>
    <w:rsid w:val="00CE3EF2"/>
    <w:rsid w:val="00D119F5"/>
    <w:rsid w:val="00D146A4"/>
    <w:rsid w:val="00D17CF9"/>
    <w:rsid w:val="00D3484E"/>
    <w:rsid w:val="00D53B59"/>
    <w:rsid w:val="00D53D6E"/>
    <w:rsid w:val="00D64906"/>
    <w:rsid w:val="00D83531"/>
    <w:rsid w:val="00D85E77"/>
    <w:rsid w:val="00D87E36"/>
    <w:rsid w:val="00DB04B4"/>
    <w:rsid w:val="00DF0910"/>
    <w:rsid w:val="00DF524E"/>
    <w:rsid w:val="00E129FD"/>
    <w:rsid w:val="00E15497"/>
    <w:rsid w:val="00E154A3"/>
    <w:rsid w:val="00E16789"/>
    <w:rsid w:val="00E201A8"/>
    <w:rsid w:val="00E32CD2"/>
    <w:rsid w:val="00E37E76"/>
    <w:rsid w:val="00E44416"/>
    <w:rsid w:val="00E52DFE"/>
    <w:rsid w:val="00E575CC"/>
    <w:rsid w:val="00E61B19"/>
    <w:rsid w:val="00E90C89"/>
    <w:rsid w:val="00EC5653"/>
    <w:rsid w:val="00F3274A"/>
    <w:rsid w:val="00F33B3C"/>
    <w:rsid w:val="00F436BC"/>
    <w:rsid w:val="00F44B66"/>
    <w:rsid w:val="00F5679F"/>
    <w:rsid w:val="00F65630"/>
    <w:rsid w:val="00F664F7"/>
    <w:rsid w:val="00F7706D"/>
    <w:rsid w:val="00F77E3F"/>
    <w:rsid w:val="00FA5345"/>
    <w:rsid w:val="00FB2570"/>
    <w:rsid w:val="00FE3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85E77"/>
    <w:pPr>
      <w:tabs>
        <w:tab w:val="center" w:pos="4513"/>
        <w:tab w:val="right" w:pos="9026"/>
      </w:tabs>
    </w:pPr>
  </w:style>
  <w:style w:type="character" w:customStyle="1" w:styleId="HeaderChar">
    <w:name w:val="Header Char"/>
    <w:basedOn w:val="DefaultParagraphFont"/>
    <w:link w:val="Header"/>
    <w:uiPriority w:val="99"/>
    <w:rsid w:val="00D85E77"/>
    <w:rPr>
      <w:rFonts w:ascii="Trebuchet MS" w:eastAsia="Times New Roman" w:hAnsi="Trebuchet MS"/>
      <w:sz w:val="22"/>
    </w:rPr>
  </w:style>
  <w:style w:type="paragraph" w:styleId="Footer">
    <w:name w:val="footer"/>
    <w:basedOn w:val="Normal"/>
    <w:link w:val="FooterChar"/>
    <w:uiPriority w:val="99"/>
    <w:unhideWhenUsed/>
    <w:rsid w:val="00D85E77"/>
    <w:pPr>
      <w:tabs>
        <w:tab w:val="center" w:pos="4513"/>
        <w:tab w:val="right" w:pos="9026"/>
      </w:tabs>
    </w:pPr>
  </w:style>
  <w:style w:type="character" w:customStyle="1" w:styleId="FooterChar">
    <w:name w:val="Footer Char"/>
    <w:basedOn w:val="DefaultParagraphFont"/>
    <w:link w:val="Footer"/>
    <w:uiPriority w:val="99"/>
    <w:rsid w:val="00D85E77"/>
    <w:rPr>
      <w:rFonts w:ascii="Trebuchet MS" w:eastAsia="Times New Roman" w:hAnsi="Trebuchet MS"/>
      <w:sz w:val="22"/>
    </w:rPr>
  </w:style>
  <w:style w:type="paragraph" w:customStyle="1" w:styleId="Default">
    <w:name w:val="Default"/>
    <w:rsid w:val="00A730D3"/>
    <w:pPr>
      <w:autoSpaceDE w:val="0"/>
      <w:autoSpaceDN w:val="0"/>
      <w:adjustRightInd w:val="0"/>
    </w:pPr>
    <w:rPr>
      <w:rFonts w:ascii="Times New Roman" w:hAnsi="Times New Roman"/>
      <w:color w:val="000000"/>
      <w:sz w:val="24"/>
      <w:szCs w:val="24"/>
    </w:rPr>
  </w:style>
  <w:style w:type="paragraph" w:customStyle="1" w:styleId="heading0">
    <w:name w:val="heading"/>
    <w:basedOn w:val="Normal"/>
    <w:rsid w:val="006C3AA6"/>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C736B3"/>
    <w:rPr>
      <w:sz w:val="20"/>
    </w:rPr>
  </w:style>
  <w:style w:type="character" w:customStyle="1" w:styleId="FootnoteTextChar">
    <w:name w:val="Footnote Text Char"/>
    <w:basedOn w:val="DefaultParagraphFont"/>
    <w:link w:val="FootnoteText"/>
    <w:uiPriority w:val="99"/>
    <w:semiHidden/>
    <w:rsid w:val="00C736B3"/>
    <w:rPr>
      <w:rFonts w:ascii="Trebuchet MS" w:eastAsia="Times New Roman" w:hAnsi="Trebuchet MS"/>
    </w:rPr>
  </w:style>
  <w:style w:type="character" w:styleId="FootnoteReference">
    <w:name w:val="footnote reference"/>
    <w:basedOn w:val="DefaultParagraphFont"/>
    <w:uiPriority w:val="99"/>
    <w:semiHidden/>
    <w:unhideWhenUsed/>
    <w:rsid w:val="00C736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85E77"/>
    <w:pPr>
      <w:tabs>
        <w:tab w:val="center" w:pos="4513"/>
        <w:tab w:val="right" w:pos="9026"/>
      </w:tabs>
    </w:pPr>
  </w:style>
  <w:style w:type="character" w:customStyle="1" w:styleId="HeaderChar">
    <w:name w:val="Header Char"/>
    <w:basedOn w:val="DefaultParagraphFont"/>
    <w:link w:val="Header"/>
    <w:uiPriority w:val="99"/>
    <w:rsid w:val="00D85E77"/>
    <w:rPr>
      <w:rFonts w:ascii="Trebuchet MS" w:eastAsia="Times New Roman" w:hAnsi="Trebuchet MS"/>
      <w:sz w:val="22"/>
    </w:rPr>
  </w:style>
  <w:style w:type="paragraph" w:styleId="Footer">
    <w:name w:val="footer"/>
    <w:basedOn w:val="Normal"/>
    <w:link w:val="FooterChar"/>
    <w:uiPriority w:val="99"/>
    <w:unhideWhenUsed/>
    <w:rsid w:val="00D85E77"/>
    <w:pPr>
      <w:tabs>
        <w:tab w:val="center" w:pos="4513"/>
        <w:tab w:val="right" w:pos="9026"/>
      </w:tabs>
    </w:pPr>
  </w:style>
  <w:style w:type="character" w:customStyle="1" w:styleId="FooterChar">
    <w:name w:val="Footer Char"/>
    <w:basedOn w:val="DefaultParagraphFont"/>
    <w:link w:val="Footer"/>
    <w:uiPriority w:val="99"/>
    <w:rsid w:val="00D85E77"/>
    <w:rPr>
      <w:rFonts w:ascii="Trebuchet MS" w:eastAsia="Times New Roman" w:hAnsi="Trebuchet MS"/>
      <w:sz w:val="22"/>
    </w:rPr>
  </w:style>
  <w:style w:type="paragraph" w:customStyle="1" w:styleId="Default">
    <w:name w:val="Default"/>
    <w:rsid w:val="00A730D3"/>
    <w:pPr>
      <w:autoSpaceDE w:val="0"/>
      <w:autoSpaceDN w:val="0"/>
      <w:adjustRightInd w:val="0"/>
    </w:pPr>
    <w:rPr>
      <w:rFonts w:ascii="Times New Roman" w:hAnsi="Times New Roman"/>
      <w:color w:val="000000"/>
      <w:sz w:val="24"/>
      <w:szCs w:val="24"/>
    </w:rPr>
  </w:style>
  <w:style w:type="paragraph" w:customStyle="1" w:styleId="heading0">
    <w:name w:val="heading"/>
    <w:basedOn w:val="Normal"/>
    <w:rsid w:val="006C3AA6"/>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C736B3"/>
    <w:rPr>
      <w:sz w:val="20"/>
    </w:rPr>
  </w:style>
  <w:style w:type="character" w:customStyle="1" w:styleId="FootnoteTextChar">
    <w:name w:val="Footnote Text Char"/>
    <w:basedOn w:val="DefaultParagraphFont"/>
    <w:link w:val="FootnoteText"/>
    <w:uiPriority w:val="99"/>
    <w:semiHidden/>
    <w:rsid w:val="00C736B3"/>
    <w:rPr>
      <w:rFonts w:ascii="Trebuchet MS" w:eastAsia="Times New Roman" w:hAnsi="Trebuchet MS"/>
    </w:rPr>
  </w:style>
  <w:style w:type="character" w:styleId="FootnoteReference">
    <w:name w:val="footnote reference"/>
    <w:basedOn w:val="DefaultParagraphFont"/>
    <w:uiPriority w:val="99"/>
    <w:semiHidden/>
    <w:unhideWhenUsed/>
    <w:rsid w:val="00C73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5251">
      <w:bodyDiv w:val="1"/>
      <w:marLeft w:val="0"/>
      <w:marRight w:val="0"/>
      <w:marTop w:val="0"/>
      <w:marBottom w:val="0"/>
      <w:divBdr>
        <w:top w:val="none" w:sz="0" w:space="0" w:color="auto"/>
        <w:left w:val="none" w:sz="0" w:space="0" w:color="auto"/>
        <w:bottom w:val="none" w:sz="0" w:space="0" w:color="auto"/>
        <w:right w:val="none" w:sz="0" w:space="0" w:color="auto"/>
      </w:divBdr>
      <w:divsChild>
        <w:div w:id="1300837347">
          <w:marLeft w:val="0"/>
          <w:marRight w:val="0"/>
          <w:marTop w:val="0"/>
          <w:marBottom w:val="0"/>
          <w:divBdr>
            <w:top w:val="none" w:sz="0" w:space="0" w:color="auto"/>
            <w:left w:val="none" w:sz="0" w:space="0" w:color="auto"/>
            <w:bottom w:val="none" w:sz="0" w:space="0" w:color="auto"/>
            <w:right w:val="none" w:sz="0" w:space="0" w:color="auto"/>
          </w:divBdr>
          <w:divsChild>
            <w:div w:id="671103556">
              <w:marLeft w:val="0"/>
              <w:marRight w:val="0"/>
              <w:marTop w:val="0"/>
              <w:marBottom w:val="0"/>
              <w:divBdr>
                <w:top w:val="none" w:sz="0" w:space="0" w:color="auto"/>
                <w:left w:val="none" w:sz="0" w:space="0" w:color="auto"/>
                <w:bottom w:val="none" w:sz="0" w:space="0" w:color="auto"/>
                <w:right w:val="none" w:sz="0" w:space="0" w:color="auto"/>
              </w:divBdr>
              <w:divsChild>
                <w:div w:id="132528583">
                  <w:marLeft w:val="0"/>
                  <w:marRight w:val="0"/>
                  <w:marTop w:val="0"/>
                  <w:marBottom w:val="0"/>
                  <w:divBdr>
                    <w:top w:val="none" w:sz="0" w:space="0" w:color="auto"/>
                    <w:left w:val="none" w:sz="0" w:space="0" w:color="auto"/>
                    <w:bottom w:val="none" w:sz="0" w:space="0" w:color="auto"/>
                    <w:right w:val="none" w:sz="0" w:space="0" w:color="auto"/>
                  </w:divBdr>
                  <w:divsChild>
                    <w:div w:id="2094541694">
                      <w:marLeft w:val="0"/>
                      <w:marRight w:val="0"/>
                      <w:marTop w:val="0"/>
                      <w:marBottom w:val="0"/>
                      <w:divBdr>
                        <w:top w:val="none" w:sz="0" w:space="0" w:color="auto"/>
                        <w:left w:val="none" w:sz="0" w:space="0" w:color="auto"/>
                        <w:bottom w:val="none" w:sz="0" w:space="0" w:color="auto"/>
                        <w:right w:val="none" w:sz="0" w:space="0" w:color="auto"/>
                      </w:divBdr>
                      <w:divsChild>
                        <w:div w:id="1991206379">
                          <w:marLeft w:val="0"/>
                          <w:marRight w:val="0"/>
                          <w:marTop w:val="0"/>
                          <w:marBottom w:val="0"/>
                          <w:divBdr>
                            <w:top w:val="single" w:sz="6" w:space="0" w:color="828282"/>
                            <w:left w:val="single" w:sz="6" w:space="0" w:color="828282"/>
                            <w:bottom w:val="single" w:sz="6" w:space="0" w:color="828282"/>
                            <w:right w:val="single" w:sz="6" w:space="0" w:color="828282"/>
                          </w:divBdr>
                          <w:divsChild>
                            <w:div w:id="376661953">
                              <w:marLeft w:val="0"/>
                              <w:marRight w:val="0"/>
                              <w:marTop w:val="0"/>
                              <w:marBottom w:val="0"/>
                              <w:divBdr>
                                <w:top w:val="none" w:sz="0" w:space="0" w:color="auto"/>
                                <w:left w:val="none" w:sz="0" w:space="0" w:color="auto"/>
                                <w:bottom w:val="none" w:sz="0" w:space="0" w:color="auto"/>
                                <w:right w:val="none" w:sz="0" w:space="0" w:color="auto"/>
                              </w:divBdr>
                              <w:divsChild>
                                <w:div w:id="1371615586">
                                  <w:marLeft w:val="0"/>
                                  <w:marRight w:val="0"/>
                                  <w:marTop w:val="0"/>
                                  <w:marBottom w:val="0"/>
                                  <w:divBdr>
                                    <w:top w:val="none" w:sz="0" w:space="0" w:color="auto"/>
                                    <w:left w:val="none" w:sz="0" w:space="0" w:color="auto"/>
                                    <w:bottom w:val="none" w:sz="0" w:space="0" w:color="auto"/>
                                    <w:right w:val="none" w:sz="0" w:space="0" w:color="auto"/>
                                  </w:divBdr>
                                  <w:divsChild>
                                    <w:div w:id="971397605">
                                      <w:marLeft w:val="0"/>
                                      <w:marRight w:val="0"/>
                                      <w:marTop w:val="0"/>
                                      <w:marBottom w:val="0"/>
                                      <w:divBdr>
                                        <w:top w:val="none" w:sz="0" w:space="0" w:color="auto"/>
                                        <w:left w:val="none" w:sz="0" w:space="0" w:color="auto"/>
                                        <w:bottom w:val="none" w:sz="0" w:space="0" w:color="auto"/>
                                        <w:right w:val="none" w:sz="0" w:space="0" w:color="auto"/>
                                      </w:divBdr>
                                      <w:divsChild>
                                        <w:div w:id="432554260">
                                          <w:marLeft w:val="0"/>
                                          <w:marRight w:val="0"/>
                                          <w:marTop w:val="0"/>
                                          <w:marBottom w:val="0"/>
                                          <w:divBdr>
                                            <w:top w:val="none" w:sz="0" w:space="0" w:color="auto"/>
                                            <w:left w:val="none" w:sz="0" w:space="0" w:color="auto"/>
                                            <w:bottom w:val="none" w:sz="0" w:space="0" w:color="auto"/>
                                            <w:right w:val="none" w:sz="0" w:space="0" w:color="auto"/>
                                          </w:divBdr>
                                          <w:divsChild>
                                            <w:div w:id="1951007398">
                                              <w:marLeft w:val="0"/>
                                              <w:marRight w:val="0"/>
                                              <w:marTop w:val="0"/>
                                              <w:marBottom w:val="0"/>
                                              <w:divBdr>
                                                <w:top w:val="none" w:sz="0" w:space="0" w:color="auto"/>
                                                <w:left w:val="none" w:sz="0" w:space="0" w:color="auto"/>
                                                <w:bottom w:val="none" w:sz="0" w:space="0" w:color="auto"/>
                                                <w:right w:val="none" w:sz="0" w:space="0" w:color="auto"/>
                                              </w:divBdr>
                                              <w:divsChild>
                                                <w:div w:id="15814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DE14-18DD-4D1C-8C5E-ACFAE517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 Rebecca</dc:creator>
  <cp:lastModifiedBy>Watson, Jill</cp:lastModifiedBy>
  <cp:revision>2</cp:revision>
  <cp:lastPrinted>2015-06-26T02:14:00Z</cp:lastPrinted>
  <dcterms:created xsi:type="dcterms:W3CDTF">2015-06-26T06:11:00Z</dcterms:created>
  <dcterms:modified xsi:type="dcterms:W3CDTF">2015-06-26T06:11:00Z</dcterms:modified>
</cp:coreProperties>
</file>