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FA" w:rsidRPr="00165A89" w:rsidRDefault="00165A89" w:rsidP="00165A89">
      <w:pPr>
        <w:jc w:val="center"/>
        <w:rPr>
          <w:b/>
          <w:u w:val="single"/>
        </w:rPr>
      </w:pPr>
      <w:r w:rsidRPr="00165A89">
        <w:rPr>
          <w:b/>
          <w:u w:val="single"/>
        </w:rPr>
        <w:t>EXPLANATORY STATEMENT</w:t>
      </w:r>
    </w:p>
    <w:p w:rsidR="00165A89" w:rsidRPr="00165A89" w:rsidRDefault="00165A89" w:rsidP="00A52C18">
      <w:pPr>
        <w:spacing w:before="120"/>
        <w:jc w:val="center"/>
        <w:rPr>
          <w:b/>
          <w:u w:val="single"/>
        </w:rPr>
      </w:pPr>
      <w:r w:rsidRPr="00165A89">
        <w:rPr>
          <w:b/>
          <w:u w:val="single"/>
        </w:rPr>
        <w:t>Select Le</w:t>
      </w:r>
      <w:r w:rsidR="00A52C18">
        <w:rPr>
          <w:b/>
          <w:u w:val="single"/>
        </w:rPr>
        <w:t xml:space="preserve">gislative Instrument No. 96. </w:t>
      </w:r>
      <w:r w:rsidR="00851A61">
        <w:rPr>
          <w:b/>
          <w:u w:val="single"/>
        </w:rPr>
        <w:t>2015</w:t>
      </w:r>
    </w:p>
    <w:p w:rsidR="00165A89" w:rsidRDefault="00165A89"/>
    <w:p w:rsidR="00165A89" w:rsidRDefault="00165A89" w:rsidP="00EE0F32">
      <w:pPr>
        <w:jc w:val="center"/>
      </w:pPr>
      <w:r>
        <w:t>(Issued by the Authority of the Minister for the Environment)</w:t>
      </w:r>
    </w:p>
    <w:p w:rsidR="00EE0F32" w:rsidRDefault="00EE0F32" w:rsidP="00EE0F32">
      <w:pPr>
        <w:rPr>
          <w:i/>
        </w:rPr>
      </w:pPr>
    </w:p>
    <w:p w:rsidR="00EE0F32" w:rsidRPr="00165A89" w:rsidRDefault="00EE0F32" w:rsidP="00EE0F32">
      <w:pPr>
        <w:jc w:val="center"/>
        <w:rPr>
          <w:i/>
        </w:rPr>
      </w:pPr>
      <w:r>
        <w:rPr>
          <w:i/>
        </w:rPr>
        <w:t>Carbon Credits (Carbon Farming Initiative) Amendment (Abolition of National Water Commission) Regulation 201</w:t>
      </w:r>
      <w:r w:rsidR="00014B5F">
        <w:rPr>
          <w:i/>
        </w:rPr>
        <w:t>5</w:t>
      </w:r>
    </w:p>
    <w:p w:rsidR="00EE0F32" w:rsidRDefault="00EE0F32" w:rsidP="00EE0F32">
      <w:pPr>
        <w:jc w:val="center"/>
      </w:pPr>
    </w:p>
    <w:p w:rsidR="00165A89" w:rsidRPr="00165A89" w:rsidRDefault="00EE0F32" w:rsidP="00EE0F32">
      <w:pPr>
        <w:jc w:val="center"/>
      </w:pPr>
      <w:r>
        <w:t xml:space="preserve">made under the </w:t>
      </w:r>
      <w:r w:rsidR="00C0199D">
        <w:rPr>
          <w:i/>
        </w:rPr>
        <w:t>Carbon Credits (Carbon Farming Initiative) Act 2011</w:t>
      </w:r>
    </w:p>
    <w:p w:rsidR="00A82382" w:rsidRDefault="00A82382" w:rsidP="00A82382">
      <w:pPr>
        <w:rPr>
          <w:rFonts w:eastAsia="Times New Roman"/>
          <w:u w:val="single"/>
          <w:lang w:eastAsia="en-AU"/>
        </w:rPr>
      </w:pPr>
    </w:p>
    <w:p w:rsidR="00A82382" w:rsidRPr="00081C12" w:rsidRDefault="00A82382" w:rsidP="00A82382">
      <w:pPr>
        <w:rPr>
          <w:rFonts w:eastAsia="Times New Roman"/>
          <w:u w:val="single"/>
          <w:lang w:eastAsia="en-AU"/>
        </w:rPr>
      </w:pPr>
      <w:r w:rsidRPr="00081C12">
        <w:rPr>
          <w:rFonts w:eastAsia="Times New Roman"/>
          <w:u w:val="single"/>
          <w:lang w:eastAsia="en-AU"/>
        </w:rPr>
        <w:t>Purpose of</w:t>
      </w:r>
      <w:r>
        <w:rPr>
          <w:rFonts w:eastAsia="Times New Roman"/>
          <w:u w:val="single"/>
          <w:lang w:eastAsia="en-AU"/>
        </w:rPr>
        <w:t xml:space="preserve"> the</w:t>
      </w:r>
      <w:r w:rsidRPr="00081C12">
        <w:rPr>
          <w:rFonts w:eastAsia="Times New Roman"/>
          <w:u w:val="single"/>
          <w:lang w:eastAsia="en-AU"/>
        </w:rPr>
        <w:t xml:space="preserve"> Regulation </w:t>
      </w:r>
    </w:p>
    <w:p w:rsidR="00165B88" w:rsidRDefault="00A82382" w:rsidP="00A82382">
      <w:r>
        <w:t xml:space="preserve">The </w:t>
      </w:r>
      <w:r w:rsidRPr="00487288">
        <w:rPr>
          <w:i/>
        </w:rPr>
        <w:t>Carbon Credits (Carbon Farming Initiative) Amendment (Abolition of National Water Commission) Regulation 201</w:t>
      </w:r>
      <w:r>
        <w:rPr>
          <w:i/>
        </w:rPr>
        <w:t xml:space="preserve">5 </w:t>
      </w:r>
      <w:r>
        <w:t xml:space="preserve">(the ‘Regulation’) amends the </w:t>
      </w:r>
      <w:r w:rsidR="00DC7835" w:rsidRPr="00F462C8">
        <w:rPr>
          <w:i/>
        </w:rPr>
        <w:t>Carbon Credits (Carbon Farming Initiative) Regulations 2011</w:t>
      </w:r>
      <w:r w:rsidR="00DC7835">
        <w:t xml:space="preserve"> (the ‘CFI Regulations’) </w:t>
      </w:r>
      <w:r>
        <w:t xml:space="preserve">to make consequential amendments that are necessary to give full effect to the closure of the </w:t>
      </w:r>
      <w:r w:rsidR="00165B88">
        <w:t>National Water Commission (the ‘Commission’)</w:t>
      </w:r>
      <w:r>
        <w:t xml:space="preserve"> by transferring its function under regulation 3.37 to the Water Department, as defined below. </w:t>
      </w:r>
    </w:p>
    <w:p w:rsidR="00165B88" w:rsidRDefault="00165B88" w:rsidP="00A82382"/>
    <w:p w:rsidR="00A82382" w:rsidRDefault="00A82382" w:rsidP="00A82382">
      <w:pPr>
        <w:rPr>
          <w:rFonts w:eastAsia="Times New Roman"/>
          <w:lang w:eastAsia="en-AU"/>
        </w:rPr>
      </w:pPr>
      <w:r w:rsidRPr="00081C12">
        <w:rPr>
          <w:rFonts w:eastAsia="Times New Roman"/>
          <w:u w:val="single"/>
          <w:lang w:eastAsia="en-AU"/>
        </w:rPr>
        <w:t>Abolition of Commission</w:t>
      </w:r>
      <w:r>
        <w:rPr>
          <w:rFonts w:eastAsia="Times New Roman"/>
          <w:u w:val="single"/>
          <w:lang w:eastAsia="en-AU"/>
        </w:rPr>
        <w:t xml:space="preserve"> in 2015</w:t>
      </w:r>
    </w:p>
    <w:p w:rsidR="00A82382" w:rsidRPr="003F5534" w:rsidRDefault="00A82382" w:rsidP="00A82382">
      <w:r w:rsidRPr="00C101B6">
        <w:t xml:space="preserve">The </w:t>
      </w:r>
      <w:r w:rsidRPr="00C101B6">
        <w:rPr>
          <w:i/>
        </w:rPr>
        <w:t xml:space="preserve">National Water Commission (Abolition) </w:t>
      </w:r>
      <w:r>
        <w:rPr>
          <w:i/>
        </w:rPr>
        <w:t>Act</w:t>
      </w:r>
      <w:r w:rsidRPr="00C101B6">
        <w:rPr>
          <w:i/>
        </w:rPr>
        <w:t xml:space="preserve"> 201</w:t>
      </w:r>
      <w:r>
        <w:rPr>
          <w:i/>
        </w:rPr>
        <w:t>5</w:t>
      </w:r>
      <w:r>
        <w:t xml:space="preserve"> (the ‘Act’)</w:t>
      </w:r>
      <w:r>
        <w:rPr>
          <w:i/>
        </w:rPr>
        <w:t xml:space="preserve"> </w:t>
      </w:r>
      <w:r>
        <w:t>gives</w:t>
      </w:r>
      <w:r w:rsidRPr="00C101B6">
        <w:t xml:space="preserve"> effect to a Government commitment announced in the 2014</w:t>
      </w:r>
      <w:r w:rsidRPr="00C101B6">
        <w:noBreakHyphen/>
        <w:t>15 Budget to abolish the Commission and transfer its continuing functions to existing Commonwealth agencies.</w:t>
      </w:r>
      <w:r w:rsidRPr="003F5534">
        <w:t xml:space="preserve"> </w:t>
      </w:r>
    </w:p>
    <w:p w:rsidR="00A82382" w:rsidRDefault="00A82382" w:rsidP="00A82382">
      <w:pPr>
        <w:rPr>
          <w:rFonts w:eastAsia="Times New Roman"/>
          <w:lang w:eastAsia="en-AU"/>
        </w:rPr>
      </w:pPr>
    </w:p>
    <w:p w:rsidR="00DC7835" w:rsidRPr="00DC7835" w:rsidRDefault="00DC7835" w:rsidP="00622AB9">
      <w:pPr>
        <w:rPr>
          <w:u w:val="single"/>
        </w:rPr>
      </w:pPr>
      <w:r w:rsidRPr="00DC7835">
        <w:rPr>
          <w:u w:val="single"/>
        </w:rPr>
        <w:t xml:space="preserve">The </w:t>
      </w:r>
      <w:r w:rsidRPr="00DC7835">
        <w:rPr>
          <w:i/>
          <w:u w:val="single"/>
        </w:rPr>
        <w:t>Carbon Credits (Carbon Farming Initiative) Act 2011</w:t>
      </w:r>
      <w:r w:rsidRPr="00DC7835">
        <w:rPr>
          <w:u w:val="single"/>
        </w:rPr>
        <w:t xml:space="preserve"> and the CFI Regulations</w:t>
      </w:r>
    </w:p>
    <w:p w:rsidR="00622AB9" w:rsidRDefault="00622AB9" w:rsidP="00622AB9">
      <w:pPr>
        <w:spacing w:after="100" w:afterAutospacing="1"/>
      </w:pPr>
      <w:r w:rsidRPr="00F36274">
        <w:t xml:space="preserve">The </w:t>
      </w:r>
      <w:r w:rsidRPr="00F36274">
        <w:rPr>
          <w:i/>
        </w:rPr>
        <w:t>Carbon Credits (Carbon Farming Initiative) Act 2011</w:t>
      </w:r>
      <w:r w:rsidRPr="00F36274">
        <w:t xml:space="preserve"> (the ‘CFI Act’</w:t>
      </w:r>
      <w:bookmarkStart w:id="0" w:name="_GoBack"/>
      <w:bookmarkEnd w:id="0"/>
      <w:r w:rsidRPr="00F36274">
        <w:t>)</w:t>
      </w:r>
      <w:r>
        <w:t xml:space="preserve"> </w:t>
      </w:r>
      <w:r w:rsidRPr="00161FEE">
        <w:t xml:space="preserve">enables the crediting of greenhouse gas abatement from emissions reduction activities across the economy. Greenhouse gas abatement is achieved either by reducing or avoiding emissions or by removing carbon from the atmosphere and storing it in soil or trees. </w:t>
      </w:r>
    </w:p>
    <w:p w:rsidR="00622AB9" w:rsidRDefault="00622AB9" w:rsidP="00622AB9">
      <w:pPr>
        <w:spacing w:before="100" w:beforeAutospacing="1" w:after="100" w:afterAutospacing="1"/>
      </w:pPr>
      <w:r w:rsidRPr="00252664">
        <w:t xml:space="preserve">In 2014, the Australian Parliament passed </w:t>
      </w:r>
      <w:r w:rsidRPr="0075521E">
        <w:t>the</w:t>
      </w:r>
      <w:r w:rsidRPr="0075521E">
        <w:rPr>
          <w:i/>
        </w:rPr>
        <w:t xml:space="preserve"> Carbon Farming Initiative Amendment Act 2014</w:t>
      </w:r>
      <w:r w:rsidRPr="00252664">
        <w:t>, which establishes the Emissions Reduction Fund (ERF)</w:t>
      </w:r>
      <w:r>
        <w:t xml:space="preserve"> through the CFI Act</w:t>
      </w:r>
      <w:r w:rsidRPr="00252664">
        <w:t xml:space="preserve">. </w:t>
      </w:r>
      <w:r w:rsidRPr="00F76A8D">
        <w:t xml:space="preserve">The primary objective of the </w:t>
      </w:r>
      <w:r>
        <w:t>ERF</w:t>
      </w:r>
      <w:r w:rsidRPr="00F76A8D">
        <w:t xml:space="preserve"> is to help Australia meet its international obligations under the United Nations Framewo</w:t>
      </w:r>
      <w:r>
        <w:t>rk Convention on Climate Change,</w:t>
      </w:r>
      <w:r w:rsidRPr="00F76A8D">
        <w:t xml:space="preserve"> to reduce emissions of greenhouse gases and meet its emissions reduction target of five per cent below 2000 levels by 2020.</w:t>
      </w:r>
    </w:p>
    <w:p w:rsidR="00622AB9" w:rsidRDefault="00622AB9" w:rsidP="00622AB9">
      <w:pPr>
        <w:spacing w:before="100" w:beforeAutospacing="1" w:after="100" w:afterAutospacing="1"/>
      </w:pPr>
      <w:r w:rsidRPr="00252664">
        <w:t>The ERF has three elements: crediting emissions reductions, purchasing emissions reductions, and safeguarding emissions reductions.</w:t>
      </w:r>
      <w:r>
        <w:t xml:space="preserve"> Eligible offsets projects earn Australian Carbon Credit Units, which can be bought by the Australian Government through a reverse auction.</w:t>
      </w:r>
    </w:p>
    <w:p w:rsidR="00855331" w:rsidRDefault="00855331" w:rsidP="00855331">
      <w:r>
        <w:t xml:space="preserve">Under Part 3 of the </w:t>
      </w:r>
      <w:r w:rsidR="00622AB9">
        <w:t xml:space="preserve">CFI </w:t>
      </w:r>
      <w:r>
        <w:t xml:space="preserve">Act, a person may apply to the Clean Energy Regulator (the ‘Regulator’) for a declaration that an offsets project is an eligible offsets project. The Regulator may not make such a declaration where a project is an ‘excluded offsets project’ for the purposes of section 56 of the </w:t>
      </w:r>
      <w:r w:rsidR="00D55EF3">
        <w:t xml:space="preserve">CFI </w:t>
      </w:r>
      <w:r>
        <w:t xml:space="preserve">Act. </w:t>
      </w:r>
    </w:p>
    <w:p w:rsidR="00855331" w:rsidRDefault="00855331" w:rsidP="00855331"/>
    <w:p w:rsidR="00855331" w:rsidRDefault="00855331" w:rsidP="00855331">
      <w:pPr>
        <w:rPr>
          <w:rFonts w:eastAsia="Times New Roman"/>
          <w:lang w:eastAsia="en-AU"/>
        </w:rPr>
      </w:pPr>
      <w:r>
        <w:t xml:space="preserve">Section 56 </w:t>
      </w:r>
      <w:r w:rsidR="00165B88">
        <w:t xml:space="preserve">of the CFI Act </w:t>
      </w:r>
      <w:r>
        <w:t xml:space="preserve">provides for the regulations to specify the kinds of offsets projects that are excluded offsets projects. Section 307 also provides that </w:t>
      </w:r>
      <w:r w:rsidR="00EE0F32" w:rsidRPr="00EE0F32">
        <w:rPr>
          <w:rFonts w:eastAsia="Times New Roman"/>
          <w:lang w:eastAsia="en-AU"/>
        </w:rPr>
        <w:t>the Governor-General may make regulations prescribing matters required or permitted by the CFI Act to be prescribed, or necessary or convenient to be prescribed for carrying out or giving effect</w:t>
      </w:r>
      <w:r>
        <w:rPr>
          <w:rFonts w:eastAsia="Times New Roman"/>
          <w:lang w:eastAsia="en-AU"/>
        </w:rPr>
        <w:t xml:space="preserve"> to the </w:t>
      </w:r>
      <w:r w:rsidR="00D55EF3">
        <w:rPr>
          <w:rFonts w:eastAsia="Times New Roman"/>
          <w:lang w:eastAsia="en-AU"/>
        </w:rPr>
        <w:t xml:space="preserve">CFI </w:t>
      </w:r>
      <w:r w:rsidR="00EE0F32" w:rsidRPr="00EE0F32">
        <w:rPr>
          <w:rFonts w:eastAsia="Times New Roman"/>
          <w:lang w:eastAsia="en-AU"/>
        </w:rPr>
        <w:t>Act.</w:t>
      </w:r>
    </w:p>
    <w:p w:rsidR="00855331" w:rsidRDefault="00855331" w:rsidP="00855331"/>
    <w:p w:rsidR="004548CE" w:rsidRPr="004548CE" w:rsidRDefault="004548CE" w:rsidP="00855331">
      <w:pPr>
        <w:rPr>
          <w:u w:val="single"/>
        </w:rPr>
      </w:pPr>
      <w:r w:rsidRPr="004548CE">
        <w:rPr>
          <w:u w:val="single"/>
        </w:rPr>
        <w:t>Excluded offsets projects – specified tree planting</w:t>
      </w:r>
    </w:p>
    <w:p w:rsidR="00855331" w:rsidRDefault="00855331" w:rsidP="00855331">
      <w:r>
        <w:t xml:space="preserve">Regulations 3.36 and 3.37 of the </w:t>
      </w:r>
      <w:r w:rsidR="00A82382">
        <w:t xml:space="preserve">CFI Regulations </w:t>
      </w:r>
      <w:r>
        <w:t xml:space="preserve">set out the kinds of projects that are excluded offsets projects. </w:t>
      </w:r>
    </w:p>
    <w:p w:rsidR="00855331" w:rsidRDefault="00855331" w:rsidP="00855331"/>
    <w:p w:rsidR="00081C12" w:rsidRDefault="00855331" w:rsidP="00081C12">
      <w:r>
        <w:lastRenderedPageBreak/>
        <w:t xml:space="preserve">Regulation 3.37 provides that specified tree plantings are excluded offsets projects, </w:t>
      </w:r>
      <w:r w:rsidRPr="003F4155">
        <w:rPr>
          <w:u w:val="single"/>
        </w:rPr>
        <w:t>unless</w:t>
      </w:r>
      <w:r>
        <w:t xml:space="preserve"> the planting occurs in an area in which the </w:t>
      </w:r>
      <w:r w:rsidR="00165B88">
        <w:t xml:space="preserve">Commission </w:t>
      </w:r>
      <w:r>
        <w:t>has determined that the relevant state or territory has adequately implemented its National Water Initiative commitments to manage water interception by plantations. Specifi</w:t>
      </w:r>
      <w:r w:rsidR="00A82382">
        <w:t>ed tree planting is defined in r</w:t>
      </w:r>
      <w:r>
        <w:t xml:space="preserve">egulation 3.34 of the </w:t>
      </w:r>
      <w:r w:rsidR="00A82382">
        <w:t>CFI</w:t>
      </w:r>
      <w:r>
        <w:t xml:space="preserve"> Regulations as a planting that occurs in an area that receives more than 600mm long-term average rainfall according to the CFI rainfall map. </w:t>
      </w:r>
      <w:r>
        <w:br/>
      </w:r>
      <w:r w:rsidR="00081C12">
        <w:rPr>
          <w:rFonts w:eastAsia="Times New Roman"/>
          <w:lang w:eastAsia="en-AU"/>
        </w:rPr>
        <w:br/>
      </w:r>
      <w:r w:rsidR="00995BDD">
        <w:rPr>
          <w:u w:val="single"/>
        </w:rPr>
        <w:t xml:space="preserve">Amendments </w:t>
      </w:r>
      <w:r w:rsidR="00BA66ED" w:rsidRPr="00BA66ED">
        <w:rPr>
          <w:u w:val="single"/>
        </w:rPr>
        <w:t>made by the Regulation</w:t>
      </w:r>
    </w:p>
    <w:p w:rsidR="00BA7887" w:rsidRDefault="00BA66ED" w:rsidP="00BA66ED">
      <w:r>
        <w:rPr>
          <w:rFonts w:eastAsia="Times New Roman"/>
          <w:lang w:eastAsia="en-AU"/>
        </w:rPr>
        <w:t xml:space="preserve">The </w:t>
      </w:r>
      <w:r w:rsidR="000D3BC2">
        <w:rPr>
          <w:rFonts w:eastAsia="Times New Roman"/>
          <w:lang w:eastAsia="en-AU"/>
        </w:rPr>
        <w:t xml:space="preserve">Regulation provides that </w:t>
      </w:r>
      <w:r w:rsidR="000D3BC2">
        <w:t>the Water Department is responsible for determinations under regulation 3.37 following the closure of the Commission. The Regulation also</w:t>
      </w:r>
      <w:r w:rsidR="00704D24">
        <w:t xml:space="preserve"> amends regulation 3.34 of the </w:t>
      </w:r>
      <w:r w:rsidR="000D3BC2">
        <w:t xml:space="preserve">CFI Regulations to define the Water Department as the Department of State that deals with water policy and resources, and is administered by the Minister administering the </w:t>
      </w:r>
      <w:r w:rsidR="000D3BC2" w:rsidRPr="00642D01">
        <w:rPr>
          <w:i/>
        </w:rPr>
        <w:t>Water Act 2007</w:t>
      </w:r>
      <w:r w:rsidR="000D3BC2">
        <w:t>.</w:t>
      </w:r>
    </w:p>
    <w:p w:rsidR="003B4572" w:rsidRDefault="000D3BC2" w:rsidP="00BA66ED">
      <w:r>
        <w:br/>
        <w:t>The Regulation also makes minor consequential amendments to the CFI Regulations, repealing the definition of ‘National Water Commission’ from regulation 3.34 and updating the definition of ‘National Water Initia</w:t>
      </w:r>
      <w:r w:rsidR="00360FC9">
        <w:t>t</w:t>
      </w:r>
      <w:r>
        <w:t xml:space="preserve">ive’ to remove references to the </w:t>
      </w:r>
      <w:r w:rsidRPr="000D3BC2">
        <w:rPr>
          <w:i/>
        </w:rPr>
        <w:t>National Water Commission Act 2004</w:t>
      </w:r>
      <w:r w:rsidR="004A49F9">
        <w:t xml:space="preserve">, which </w:t>
      </w:r>
      <w:r w:rsidR="00CE15FE">
        <w:t>was</w:t>
      </w:r>
      <w:r w:rsidR="004A49F9">
        <w:t xml:space="preserve"> repealed </w:t>
      </w:r>
      <w:r w:rsidR="0099229C">
        <w:t>upon commencement of</w:t>
      </w:r>
      <w:r w:rsidR="004A49F9">
        <w:t xml:space="preserve"> the </w:t>
      </w:r>
      <w:r w:rsidR="00CE15FE">
        <w:t>Act</w:t>
      </w:r>
      <w:r w:rsidR="00BD50D5" w:rsidRPr="00BD50D5">
        <w:t>.</w:t>
      </w:r>
      <w:r>
        <w:t xml:space="preserve"> </w:t>
      </w:r>
    </w:p>
    <w:p w:rsidR="003B4572" w:rsidRPr="003B4572" w:rsidRDefault="003B4572" w:rsidP="00BA66ED"/>
    <w:p w:rsidR="003B4572" w:rsidRDefault="003B4572" w:rsidP="003B4572">
      <w:r>
        <w:t>The commencement day of the Regulation is the day after it is registered on the Federal Register of Legislative Instruments.</w:t>
      </w:r>
    </w:p>
    <w:p w:rsidR="00493407" w:rsidRPr="00493407" w:rsidRDefault="00493407" w:rsidP="003B4572">
      <w:pPr>
        <w:spacing w:before="240" w:after="240"/>
        <w:rPr>
          <w:rFonts w:eastAsia="Times New Roman"/>
          <w:lang w:eastAsia="en-AU"/>
        </w:rPr>
      </w:pPr>
      <w:r w:rsidRPr="00493407">
        <w:rPr>
          <w:rFonts w:eastAsia="Times New Roman"/>
          <w:lang w:eastAsia="en-AU"/>
        </w:rPr>
        <w:t xml:space="preserve">A statement of the Regulation’s compatibility with human rights is set out in </w:t>
      </w:r>
      <w:r w:rsidRPr="00493407">
        <w:rPr>
          <w:rFonts w:eastAsia="Times New Roman"/>
          <w:u w:val="single"/>
          <w:lang w:eastAsia="en-AU"/>
        </w:rPr>
        <w:t xml:space="preserve">Attachment </w:t>
      </w:r>
      <w:r w:rsidR="005D0AEA">
        <w:rPr>
          <w:rFonts w:eastAsia="Times New Roman"/>
          <w:u w:val="single"/>
          <w:lang w:eastAsia="en-AU"/>
        </w:rPr>
        <w:t>A</w:t>
      </w:r>
      <w:r w:rsidRPr="00493407">
        <w:rPr>
          <w:rFonts w:eastAsia="Times New Roman"/>
          <w:lang w:eastAsia="en-AU"/>
        </w:rPr>
        <w:t>.</w:t>
      </w:r>
    </w:p>
    <w:p w:rsidR="001B269E" w:rsidRPr="00EE0F32" w:rsidRDefault="00493407" w:rsidP="00EE0F32">
      <w:pPr>
        <w:spacing w:before="100" w:beforeAutospacing="1" w:after="100" w:afterAutospacing="1"/>
        <w:rPr>
          <w:rFonts w:eastAsia="Times New Roman"/>
          <w:lang w:eastAsia="en-AU"/>
        </w:rPr>
      </w:pPr>
      <w:r w:rsidRPr="00493407">
        <w:rPr>
          <w:rFonts w:eastAsia="Times New Roman"/>
          <w:color w:val="000000"/>
          <w:lang w:eastAsia="en-AU"/>
        </w:rPr>
        <w:t xml:space="preserve">Details of the Regulation are set out in </w:t>
      </w:r>
      <w:r w:rsidRPr="00493407">
        <w:rPr>
          <w:rFonts w:eastAsia="Times New Roman"/>
          <w:color w:val="000000"/>
          <w:u w:val="single"/>
          <w:lang w:eastAsia="en-AU"/>
        </w:rPr>
        <w:t xml:space="preserve">Attachment </w:t>
      </w:r>
      <w:r w:rsidR="005D0AEA">
        <w:rPr>
          <w:rFonts w:eastAsia="Times New Roman"/>
          <w:color w:val="000000"/>
          <w:u w:val="single"/>
          <w:lang w:eastAsia="en-AU"/>
        </w:rPr>
        <w:t>B</w:t>
      </w:r>
      <w:r w:rsidRPr="00493407">
        <w:rPr>
          <w:rFonts w:eastAsia="Times New Roman"/>
          <w:color w:val="000000"/>
          <w:lang w:eastAsia="en-AU"/>
        </w:rPr>
        <w:t>.</w:t>
      </w:r>
      <w:r w:rsidR="00ED0484">
        <w:rPr>
          <w:rFonts w:eastAsia="Times New Roman"/>
          <w:color w:val="000000"/>
          <w:lang w:eastAsia="en-AU"/>
        </w:rPr>
        <w:t xml:space="preserve"> </w:t>
      </w:r>
    </w:p>
    <w:p w:rsidR="00CA1BF4" w:rsidRDefault="00CA1BF4" w:rsidP="0051634E">
      <w:pPr>
        <w:rPr>
          <w:b/>
        </w:rPr>
      </w:pPr>
      <w:r w:rsidRPr="00555FDC">
        <w:rPr>
          <w:b/>
        </w:rPr>
        <w:t>Consultation</w:t>
      </w:r>
    </w:p>
    <w:p w:rsidR="00081C12" w:rsidRDefault="00081C12" w:rsidP="0051634E">
      <w:pPr>
        <w:rPr>
          <w:b/>
        </w:rPr>
      </w:pPr>
      <w:r>
        <w:t>As the changes made by the Regulation are minor and are necessary to implement an agreed 2014</w:t>
      </w:r>
      <w:r>
        <w:noBreakHyphen/>
        <w:t xml:space="preserve">15 Budget measure, consultation on the Regulation was not required.  </w:t>
      </w:r>
    </w:p>
    <w:p w:rsidR="00CA1BF4" w:rsidRPr="001F1AB7" w:rsidRDefault="00CA1BF4" w:rsidP="0051634E"/>
    <w:p w:rsidR="001B269E" w:rsidRPr="00D44A38" w:rsidRDefault="00D44A38" w:rsidP="0051634E">
      <w:pPr>
        <w:rPr>
          <w:b/>
        </w:rPr>
      </w:pPr>
      <w:r w:rsidRPr="00555FDC">
        <w:rPr>
          <w:b/>
        </w:rPr>
        <w:t>Details of the Regulation</w:t>
      </w:r>
    </w:p>
    <w:p w:rsidR="00D44A38" w:rsidRDefault="00D44A38" w:rsidP="0051634E">
      <w:r>
        <w:t xml:space="preserve">The </w:t>
      </w:r>
      <w:r w:rsidR="00D55EF3">
        <w:t xml:space="preserve">CFI </w:t>
      </w:r>
      <w:r>
        <w:t>Act does not specify any conditions that need to be satisfied before the power to make the Regulation may be exercised.</w:t>
      </w:r>
    </w:p>
    <w:p w:rsidR="00D44A38" w:rsidRDefault="00D44A38" w:rsidP="0051634E"/>
    <w:p w:rsidR="00D44A38" w:rsidRDefault="00D44A38" w:rsidP="0051634E">
      <w:r>
        <w:t xml:space="preserve">The Regulation is a legislative instrument for the purposes of the </w:t>
      </w:r>
      <w:r w:rsidRPr="00B67FA2">
        <w:rPr>
          <w:i/>
        </w:rPr>
        <w:t>Legislative Instruments Act 2003</w:t>
      </w:r>
      <w:r>
        <w:t>.</w:t>
      </w:r>
    </w:p>
    <w:p w:rsidR="00D44A38" w:rsidRDefault="00D44A38" w:rsidP="0051634E"/>
    <w:p w:rsidR="00D44A38" w:rsidRDefault="00704D24" w:rsidP="0051634E">
      <w:r>
        <w:t>The Regulation commenced</w:t>
      </w:r>
      <w:r w:rsidR="00D44A38">
        <w:t xml:space="preserve"> </w:t>
      </w:r>
      <w:r w:rsidR="00B940E9">
        <w:t xml:space="preserve">on </w:t>
      </w:r>
      <w:r w:rsidR="00851A61">
        <w:t>the day after registration.</w:t>
      </w:r>
    </w:p>
    <w:p w:rsidR="002725DB" w:rsidRDefault="002725DB" w:rsidP="0051634E"/>
    <w:p w:rsidR="00D44A38" w:rsidRDefault="00D44A38" w:rsidP="00BA7887">
      <w:pPr>
        <w:jc w:val="right"/>
      </w:pPr>
      <w:r w:rsidRPr="00D44A38">
        <w:rPr>
          <w:u w:val="single"/>
        </w:rPr>
        <w:t>Authority:</w:t>
      </w:r>
      <w:r w:rsidR="00BA7887">
        <w:t xml:space="preserve">       Section 307 of the </w:t>
      </w:r>
      <w:r w:rsidR="00BA7887">
        <w:rPr>
          <w:i/>
        </w:rPr>
        <w:t>Carbon Credits (Carbon Farming Initiative) Act 2011</w:t>
      </w:r>
    </w:p>
    <w:p w:rsidR="00FD5247" w:rsidRDefault="002725DB" w:rsidP="0051634E">
      <w:pPr>
        <w:rPr>
          <w:b/>
        </w:rPr>
      </w:pPr>
      <w:r>
        <w:rPr>
          <w:b/>
        </w:rPr>
        <w:br w:type="page"/>
      </w:r>
    </w:p>
    <w:p w:rsidR="00BC2A2F" w:rsidRDefault="005D0AEA" w:rsidP="00BC2A2F">
      <w:pPr>
        <w:ind w:left="2160"/>
        <w:jc w:val="right"/>
        <w:rPr>
          <w:rFonts w:ascii="Times New Roman Bold" w:hAnsi="Times New Roman Bold"/>
          <w:b/>
          <w:caps/>
          <w:sz w:val="28"/>
          <w:szCs w:val="28"/>
          <w:u w:val="single"/>
        </w:rPr>
      </w:pPr>
      <w:r>
        <w:rPr>
          <w:rFonts w:ascii="Times New Roman Bold" w:hAnsi="Times New Roman Bold"/>
          <w:b/>
          <w:caps/>
          <w:sz w:val="28"/>
          <w:szCs w:val="28"/>
          <w:u w:val="single"/>
        </w:rPr>
        <w:lastRenderedPageBreak/>
        <w:t>Attachment A</w:t>
      </w:r>
    </w:p>
    <w:p w:rsidR="00D97A4A" w:rsidRPr="00BC2A2F" w:rsidRDefault="00D97A4A" w:rsidP="00BC2A2F">
      <w:pPr>
        <w:rPr>
          <w:b/>
          <w:u w:val="single"/>
        </w:rPr>
      </w:pPr>
      <w:r w:rsidRPr="00BC2A2F">
        <w:rPr>
          <w:b/>
          <w:u w:val="single"/>
        </w:rPr>
        <w:t>Statement of Compatibility with Human Rights</w:t>
      </w:r>
    </w:p>
    <w:p w:rsidR="001B38FA" w:rsidRPr="001B38FA" w:rsidRDefault="00BA66ED" w:rsidP="001B38FA">
      <w:pPr>
        <w:pStyle w:val="Heading8"/>
        <w:spacing w:after="240"/>
      </w:pPr>
      <w:r w:rsidRPr="00426672">
        <w:t>Prepared in accordance with the Human Rights (Parliamentary Scrutiny) Act 2011</w:t>
      </w:r>
    </w:p>
    <w:p w:rsidR="001B38FA" w:rsidRPr="001B38FA" w:rsidRDefault="00B31B1A" w:rsidP="001B38FA">
      <w:pPr>
        <w:spacing w:after="200"/>
        <w:rPr>
          <w:u w:val="single"/>
        </w:rPr>
      </w:pPr>
      <w:r w:rsidRPr="004D4CF8">
        <w:rPr>
          <w:u w:val="single"/>
        </w:rPr>
        <w:t>Overview of the Legislative Instrument</w:t>
      </w:r>
    </w:p>
    <w:p w:rsidR="001B38FA" w:rsidRDefault="001B38FA" w:rsidP="001B38FA">
      <w:r>
        <w:t xml:space="preserve">This legislative instrument amends the </w:t>
      </w:r>
      <w:r w:rsidRPr="00A55BA0">
        <w:rPr>
          <w:i/>
        </w:rPr>
        <w:t>Carbon Credits (</w:t>
      </w:r>
      <w:r>
        <w:rPr>
          <w:i/>
        </w:rPr>
        <w:t xml:space="preserve">Carbon Farming Initiative) Regulations 2011 </w:t>
      </w:r>
      <w:r>
        <w:t>(the ‘CFI Regulations’) to make consequential changes arising from the abolition of the National Water Commission (the ‘Commission’)</w:t>
      </w:r>
      <w:r w:rsidR="0099229C">
        <w:t xml:space="preserve"> upon commencement of the </w:t>
      </w:r>
      <w:r w:rsidR="0099229C" w:rsidRPr="0099229C">
        <w:rPr>
          <w:i/>
        </w:rPr>
        <w:t xml:space="preserve">National Water Commission (Abolition) </w:t>
      </w:r>
      <w:r w:rsidR="00CE15FE">
        <w:rPr>
          <w:i/>
        </w:rPr>
        <w:t>Act</w:t>
      </w:r>
      <w:r w:rsidR="0099229C" w:rsidRPr="0099229C">
        <w:rPr>
          <w:i/>
        </w:rPr>
        <w:t xml:space="preserve"> 201</w:t>
      </w:r>
      <w:r w:rsidR="00704D24">
        <w:rPr>
          <w:i/>
        </w:rPr>
        <w:t>5</w:t>
      </w:r>
      <w:r>
        <w:t>.</w:t>
      </w:r>
    </w:p>
    <w:p w:rsidR="001B38FA" w:rsidRDefault="001B38FA" w:rsidP="001B38FA"/>
    <w:p w:rsidR="001B38FA" w:rsidRPr="005335E1" w:rsidRDefault="001B38FA" w:rsidP="001B38FA">
      <w:pPr>
        <w:rPr>
          <w:u w:val="single"/>
        </w:rPr>
      </w:pPr>
      <w:r>
        <w:t xml:space="preserve">In particular, this legislative instrument </w:t>
      </w:r>
      <w:r w:rsidR="00704D24">
        <w:t>transfers</w:t>
      </w:r>
      <w:r>
        <w:t xml:space="preserve"> the Commission’s function under regulation 3.37 of the CFI Regulations to the Water Department (currently the Department of the Environment) following the closure of the Commission.</w:t>
      </w:r>
    </w:p>
    <w:p w:rsidR="00081C12" w:rsidRPr="007D6C57" w:rsidRDefault="00081C12" w:rsidP="00B31B1A"/>
    <w:p w:rsidR="001B38FA" w:rsidRPr="001B38FA" w:rsidRDefault="00B31B1A" w:rsidP="001B38FA">
      <w:pPr>
        <w:spacing w:after="200"/>
        <w:rPr>
          <w:u w:val="single"/>
        </w:rPr>
      </w:pPr>
      <w:r w:rsidRPr="004D4CF8">
        <w:rPr>
          <w:u w:val="single"/>
        </w:rPr>
        <w:t>Human rights implications</w:t>
      </w:r>
    </w:p>
    <w:p w:rsidR="00BC2A2F" w:rsidRDefault="00A82382" w:rsidP="001B38FA">
      <w:pPr>
        <w:pStyle w:val="Clauseparas"/>
        <w:numPr>
          <w:ilvl w:val="0"/>
          <w:numId w:val="0"/>
        </w:numPr>
        <w:spacing w:after="200"/>
      </w:pPr>
      <w:r>
        <w:t>This legislative instrument</w:t>
      </w:r>
      <w:r w:rsidR="00BA66ED" w:rsidRPr="00426672">
        <w:t xml:space="preserve"> is compatible with the human rights and freedom</w:t>
      </w:r>
      <w:r w:rsidR="001B38FA">
        <w:t xml:space="preserve">s recognised </w:t>
      </w:r>
      <w:r w:rsidR="00BC2A2F">
        <w:t xml:space="preserve">or declared in the </w:t>
      </w:r>
      <w:r w:rsidR="00BA66ED" w:rsidRPr="00426672">
        <w:t xml:space="preserve">international instruments listed in section 3 of the </w:t>
      </w:r>
      <w:r w:rsidR="00BA66ED" w:rsidRPr="00426672">
        <w:rPr>
          <w:i/>
        </w:rPr>
        <w:t>Human Rights (Parliamentary Scrutiny) Act 2011</w:t>
      </w:r>
      <w:r w:rsidR="001B38FA">
        <w:rPr>
          <w:i/>
        </w:rPr>
        <w:t xml:space="preserve"> </w:t>
      </w:r>
      <w:r w:rsidR="001B38FA">
        <w:t>(the ‘Human Rights Act’</w:t>
      </w:r>
      <w:r w:rsidR="000D3BC2">
        <w:t>)</w:t>
      </w:r>
      <w:r w:rsidR="001B38FA">
        <w:rPr>
          <w:i/>
        </w:rPr>
        <w:t>.</w:t>
      </w:r>
      <w:r w:rsidR="00BA66ED" w:rsidRPr="00426672">
        <w:t xml:space="preserve"> </w:t>
      </w:r>
    </w:p>
    <w:p w:rsidR="001B38FA" w:rsidRPr="001B38FA" w:rsidRDefault="00A82382" w:rsidP="001B38FA">
      <w:pPr>
        <w:pStyle w:val="Clauseparas"/>
        <w:numPr>
          <w:ilvl w:val="0"/>
          <w:numId w:val="0"/>
        </w:numPr>
        <w:spacing w:after="200"/>
      </w:pPr>
      <w:r>
        <w:t>This legislative instrument</w:t>
      </w:r>
      <w:r w:rsidR="00BA66ED" w:rsidRPr="00426672">
        <w:t xml:space="preserve"> does not engage any of the applicable rights or freedoms. </w:t>
      </w:r>
      <w:r w:rsidR="00BA66ED">
        <w:t xml:space="preserve">The amendments are of a machinery of government nature and </w:t>
      </w:r>
      <w:r w:rsidR="00BA66ED" w:rsidRPr="00426672">
        <w:t xml:space="preserve">do not limit any human rights or </w:t>
      </w:r>
      <w:r w:rsidR="00BA66ED">
        <w:t>provide for any</w:t>
      </w:r>
      <w:r w:rsidR="00BA66ED" w:rsidRPr="00426672">
        <w:t xml:space="preserve"> offences</w:t>
      </w:r>
      <w:r w:rsidR="00BA66ED">
        <w:t xml:space="preserve"> or penalties</w:t>
      </w:r>
      <w:r w:rsidR="00BA66ED" w:rsidRPr="00426672">
        <w:t>.</w:t>
      </w:r>
    </w:p>
    <w:p w:rsidR="001B38FA" w:rsidRDefault="00B31B1A" w:rsidP="001B38FA">
      <w:pPr>
        <w:spacing w:after="200"/>
        <w:rPr>
          <w:u w:val="single"/>
        </w:rPr>
      </w:pPr>
      <w:r w:rsidRPr="004D4CF8">
        <w:rPr>
          <w:u w:val="single"/>
        </w:rPr>
        <w:t>Conclusion</w:t>
      </w:r>
    </w:p>
    <w:p w:rsidR="00BA66ED" w:rsidRDefault="00BA66ED" w:rsidP="00BA66ED">
      <w:pPr>
        <w:rPr>
          <w:i/>
        </w:rPr>
      </w:pPr>
      <w:r>
        <w:t>This legislative instrument is compatible with the human rights and freedoms recognised or declared in the international instruments listed in section 3 of the</w:t>
      </w:r>
      <w:r>
        <w:rPr>
          <w:i/>
        </w:rPr>
        <w:t xml:space="preserve"> </w:t>
      </w:r>
      <w:r>
        <w:t>Human Rights Act.</w:t>
      </w:r>
      <w:r>
        <w:rPr>
          <w:i/>
        </w:rPr>
        <w:t xml:space="preserve"> </w:t>
      </w:r>
    </w:p>
    <w:p w:rsidR="00B31B1A" w:rsidRDefault="00B31B1A" w:rsidP="00B31B1A">
      <w:pPr>
        <w:tabs>
          <w:tab w:val="left" w:pos="6560"/>
        </w:tabs>
        <w:sectPr w:rsidR="00B31B1A" w:rsidSect="00FD5247">
          <w:headerReference w:type="default" r:id="rId8"/>
          <w:pgSz w:w="11906" w:h="16838"/>
          <w:pgMar w:top="1134" w:right="1134" w:bottom="1134" w:left="1134" w:header="709" w:footer="709" w:gutter="0"/>
          <w:cols w:space="708"/>
          <w:docGrid w:linePitch="360"/>
        </w:sectPr>
      </w:pPr>
      <w:r>
        <w:tab/>
      </w:r>
    </w:p>
    <w:p w:rsidR="00D97A4A" w:rsidRPr="00D97A4A" w:rsidRDefault="00D97A4A" w:rsidP="00D97A4A">
      <w:pPr>
        <w:jc w:val="right"/>
        <w:rPr>
          <w:b/>
          <w:u w:val="single"/>
        </w:rPr>
      </w:pPr>
      <w:r w:rsidRPr="00D97A4A">
        <w:rPr>
          <w:b/>
          <w:u w:val="single"/>
        </w:rPr>
        <w:t>ATTACHMENT</w:t>
      </w:r>
      <w:r w:rsidR="005D0AEA">
        <w:rPr>
          <w:b/>
          <w:u w:val="single"/>
        </w:rPr>
        <w:t xml:space="preserve"> B</w:t>
      </w:r>
    </w:p>
    <w:p w:rsidR="00D97A4A" w:rsidRDefault="00D97A4A" w:rsidP="0051634E"/>
    <w:p w:rsidR="00C07064" w:rsidRDefault="00C07064" w:rsidP="00C07064">
      <w:pPr>
        <w:rPr>
          <w:b/>
          <w:u w:val="single"/>
        </w:rPr>
      </w:pPr>
      <w:r>
        <w:rPr>
          <w:b/>
          <w:u w:val="single"/>
        </w:rPr>
        <w:t>Details of the Carbon Credits (Carbon Farming Initiative) Amendment (Abolition of National Wat</w:t>
      </w:r>
      <w:r w:rsidR="00704D24">
        <w:rPr>
          <w:b/>
          <w:u w:val="single"/>
        </w:rPr>
        <w:t>er Commission) Regulation 2015</w:t>
      </w:r>
    </w:p>
    <w:p w:rsidR="00C07064" w:rsidRDefault="00C07064" w:rsidP="00C07064"/>
    <w:p w:rsidR="00C07064" w:rsidRDefault="00C07064" w:rsidP="00C07064">
      <w:pPr>
        <w:rPr>
          <w:u w:val="single"/>
        </w:rPr>
      </w:pPr>
      <w:r>
        <w:rPr>
          <w:u w:val="single"/>
        </w:rPr>
        <w:t>Section 1 – Name of the Regulation</w:t>
      </w:r>
    </w:p>
    <w:p w:rsidR="00C07064" w:rsidRDefault="00C07064" w:rsidP="00C07064"/>
    <w:p w:rsidR="00C07064" w:rsidRPr="00FC79D1" w:rsidRDefault="00C07064" w:rsidP="00C07064">
      <w:r>
        <w:t xml:space="preserve">This section provides that the title of the Regulation is the </w:t>
      </w:r>
      <w:r>
        <w:rPr>
          <w:i/>
        </w:rPr>
        <w:t>Carbon Credits (Carbon Farming Initiative) Amendment (Abolition of National Water Commission) Regulation 201</w:t>
      </w:r>
      <w:r w:rsidR="00EC1202">
        <w:rPr>
          <w:i/>
        </w:rPr>
        <w:t>5</w:t>
      </w:r>
      <w:r>
        <w:rPr>
          <w:i/>
        </w:rPr>
        <w:t xml:space="preserve"> </w:t>
      </w:r>
      <w:r w:rsidR="002E2F34">
        <w:t>(the </w:t>
      </w:r>
      <w:r>
        <w:t>‘Regulation’).</w:t>
      </w:r>
    </w:p>
    <w:p w:rsidR="00C07064" w:rsidRDefault="00C07064" w:rsidP="00C07064"/>
    <w:p w:rsidR="00C07064" w:rsidRDefault="00C07064" w:rsidP="00C07064">
      <w:pPr>
        <w:rPr>
          <w:u w:val="single"/>
        </w:rPr>
      </w:pPr>
      <w:r>
        <w:rPr>
          <w:u w:val="single"/>
        </w:rPr>
        <w:t>Section 2 – Commencement</w:t>
      </w:r>
    </w:p>
    <w:p w:rsidR="00C07064" w:rsidRDefault="00C07064" w:rsidP="00C07064"/>
    <w:p w:rsidR="00C07064" w:rsidRDefault="00C07064" w:rsidP="00C07064">
      <w:r>
        <w:t xml:space="preserve">This section provides that the Regulation commences on </w:t>
      </w:r>
      <w:r w:rsidR="00EC1202">
        <w:t>the day after registration</w:t>
      </w:r>
      <w:r>
        <w:t>.</w:t>
      </w:r>
    </w:p>
    <w:p w:rsidR="00C07064" w:rsidRDefault="00C07064" w:rsidP="00C07064"/>
    <w:p w:rsidR="00C07064" w:rsidRDefault="00C07064" w:rsidP="00C07064">
      <w:pPr>
        <w:rPr>
          <w:u w:val="single"/>
        </w:rPr>
      </w:pPr>
      <w:r>
        <w:rPr>
          <w:u w:val="single"/>
        </w:rPr>
        <w:t>Section 3 – Authority</w:t>
      </w:r>
    </w:p>
    <w:p w:rsidR="00C07064" w:rsidRDefault="00C07064" w:rsidP="00C07064"/>
    <w:p w:rsidR="00C07064" w:rsidRDefault="00C07064" w:rsidP="00C07064">
      <w:r>
        <w:t xml:space="preserve">This section provides that the Regulation is made under the </w:t>
      </w:r>
      <w:r>
        <w:rPr>
          <w:i/>
        </w:rPr>
        <w:t xml:space="preserve">Carbon Credits (Carbon Farming Initiative) Act 2011. </w:t>
      </w:r>
    </w:p>
    <w:p w:rsidR="00C07064" w:rsidRDefault="00C07064" w:rsidP="00C07064"/>
    <w:p w:rsidR="00C07064" w:rsidRDefault="00C07064" w:rsidP="00C07064">
      <w:pPr>
        <w:rPr>
          <w:u w:val="single"/>
        </w:rPr>
      </w:pPr>
      <w:r>
        <w:rPr>
          <w:u w:val="single"/>
        </w:rPr>
        <w:t>Section 4 – Schedules</w:t>
      </w:r>
    </w:p>
    <w:p w:rsidR="00C07064" w:rsidRDefault="00C07064" w:rsidP="00C07064"/>
    <w:p w:rsidR="00C07064" w:rsidRDefault="00C07064" w:rsidP="00C07064">
      <w:r>
        <w:t>This section provides that each instrument that is specified in a Schedule is amended or repealed as set out in the applicable items in the Schedule concerned, and any other item in a Schedule has effect according to its terms.</w:t>
      </w:r>
    </w:p>
    <w:p w:rsidR="00C07064" w:rsidRDefault="00C07064" w:rsidP="00C07064"/>
    <w:p w:rsidR="00C07064" w:rsidRDefault="00C07064" w:rsidP="00C07064">
      <w:pPr>
        <w:rPr>
          <w:u w:val="single"/>
        </w:rPr>
      </w:pPr>
      <w:r>
        <w:rPr>
          <w:u w:val="single"/>
        </w:rPr>
        <w:t>Schedule 1 – Amendments</w:t>
      </w:r>
    </w:p>
    <w:p w:rsidR="00C07064" w:rsidRDefault="00C07064" w:rsidP="00C07064"/>
    <w:p w:rsidR="00C07064" w:rsidRDefault="00C07064" w:rsidP="00C07064">
      <w:r>
        <w:rPr>
          <w:i/>
        </w:rPr>
        <w:t>Carbon Credits (Carbon Farming Initiative) Regulations 2011</w:t>
      </w:r>
      <w:r w:rsidR="00B254A3">
        <w:t xml:space="preserve"> (the ‘CFI</w:t>
      </w:r>
      <w:r>
        <w:t xml:space="preserve"> Regulations’) </w:t>
      </w:r>
    </w:p>
    <w:p w:rsidR="00C07064" w:rsidRDefault="00C07064" w:rsidP="00C07064"/>
    <w:p w:rsidR="00C07064" w:rsidRDefault="00C07064" w:rsidP="00C07064">
      <w:pPr>
        <w:rPr>
          <w:b/>
        </w:rPr>
      </w:pPr>
      <w:r>
        <w:rPr>
          <w:b/>
        </w:rPr>
        <w:t xml:space="preserve">Item 1 – Regulation 3.34 (definition of </w:t>
      </w:r>
      <w:r w:rsidRPr="009C24EA">
        <w:rPr>
          <w:b/>
          <w:i/>
        </w:rPr>
        <w:t>National Water Commission</w:t>
      </w:r>
      <w:r>
        <w:rPr>
          <w:b/>
        </w:rPr>
        <w:t>)</w:t>
      </w:r>
    </w:p>
    <w:p w:rsidR="00C07064" w:rsidRDefault="00C07064" w:rsidP="00C07064"/>
    <w:p w:rsidR="00C07064" w:rsidRDefault="00B254A3" w:rsidP="00C07064">
      <w:pPr>
        <w:rPr>
          <w:b/>
        </w:rPr>
      </w:pPr>
      <w:r>
        <w:t xml:space="preserve">This item </w:t>
      </w:r>
      <w:r w:rsidR="00C07064">
        <w:t>repeal</w:t>
      </w:r>
      <w:r>
        <w:t>s</w:t>
      </w:r>
      <w:r w:rsidR="00C07064">
        <w:t xml:space="preserve"> the definition of ‘National Water Commission’ from Regulation 3.34, as the National Water Commission</w:t>
      </w:r>
      <w:r w:rsidR="00137085">
        <w:t xml:space="preserve"> (</w:t>
      </w:r>
      <w:r w:rsidR="0099229C">
        <w:t>the ‘</w:t>
      </w:r>
      <w:r w:rsidR="00137085">
        <w:t>Commission</w:t>
      </w:r>
      <w:r w:rsidR="0099229C">
        <w:t>’</w:t>
      </w:r>
      <w:r w:rsidR="00137085">
        <w:t>)</w:t>
      </w:r>
      <w:r>
        <w:t xml:space="preserve"> </w:t>
      </w:r>
      <w:r w:rsidR="00CE15FE">
        <w:t>was abolished upon</w:t>
      </w:r>
      <w:r w:rsidR="00C07064">
        <w:t xml:space="preserve"> the commencement of </w:t>
      </w:r>
      <w:r w:rsidR="00C07064" w:rsidRPr="005D0AEA">
        <w:t xml:space="preserve">the </w:t>
      </w:r>
      <w:r w:rsidR="00C07064" w:rsidRPr="005D0AEA">
        <w:rPr>
          <w:i/>
        </w:rPr>
        <w:t xml:space="preserve">National Water Commission (Abolition) </w:t>
      </w:r>
      <w:r w:rsidR="00CE15FE">
        <w:rPr>
          <w:i/>
        </w:rPr>
        <w:t>Act</w:t>
      </w:r>
      <w:r w:rsidR="00704D24">
        <w:rPr>
          <w:i/>
        </w:rPr>
        <w:t xml:space="preserve"> 2015</w:t>
      </w:r>
      <w:r w:rsidR="0099229C">
        <w:rPr>
          <w:i/>
        </w:rPr>
        <w:t xml:space="preserve"> </w:t>
      </w:r>
      <w:r w:rsidR="0099229C">
        <w:t>(the ‘</w:t>
      </w:r>
      <w:r w:rsidR="00CE15FE">
        <w:t>Act</w:t>
      </w:r>
      <w:r w:rsidR="0099229C">
        <w:t>’)</w:t>
      </w:r>
      <w:r w:rsidR="00886110">
        <w:t>.</w:t>
      </w:r>
      <w:r w:rsidR="00C07064">
        <w:br/>
      </w:r>
      <w:r w:rsidR="00C07064">
        <w:br/>
      </w:r>
      <w:r w:rsidR="00C07064">
        <w:rPr>
          <w:b/>
        </w:rPr>
        <w:t xml:space="preserve">Item 2 – Regulation 3.34 (definition of </w:t>
      </w:r>
      <w:r w:rsidR="00C07064" w:rsidRPr="009C24EA">
        <w:rPr>
          <w:b/>
          <w:i/>
        </w:rPr>
        <w:t xml:space="preserve">National </w:t>
      </w:r>
      <w:r w:rsidR="00C07064">
        <w:rPr>
          <w:b/>
          <w:i/>
        </w:rPr>
        <w:t>Water Initiative</w:t>
      </w:r>
      <w:r w:rsidR="00C07064">
        <w:rPr>
          <w:b/>
        </w:rPr>
        <w:t>)</w:t>
      </w:r>
    </w:p>
    <w:p w:rsidR="00C07064" w:rsidRDefault="00C07064" w:rsidP="00C07064"/>
    <w:p w:rsidR="00C07064" w:rsidRDefault="00886110" w:rsidP="00C07064">
      <w:r>
        <w:t xml:space="preserve">This item </w:t>
      </w:r>
      <w:r w:rsidR="00C07064">
        <w:t>repeal</w:t>
      </w:r>
      <w:r>
        <w:t>s</w:t>
      </w:r>
      <w:r w:rsidR="00C07064">
        <w:t xml:space="preserve"> the existing definition of ‘National Water Initiative’ from Regulation 3.34 of the </w:t>
      </w:r>
      <w:r w:rsidR="00A82382">
        <w:t>CFI</w:t>
      </w:r>
      <w:r w:rsidR="00C07064">
        <w:t xml:space="preserve"> Regulations and substitute</w:t>
      </w:r>
      <w:r>
        <w:t>s</w:t>
      </w:r>
      <w:r w:rsidR="00C07064">
        <w:t xml:space="preserve"> a new definition of </w:t>
      </w:r>
      <w:r>
        <w:t>the ‘National Water Initiative’;</w:t>
      </w:r>
      <w:r w:rsidR="00C07064">
        <w:t xml:space="preserve"> that is, the Intergovernmental Agreement on a National Water Initiative, </w:t>
      </w:r>
      <w:r w:rsidR="001B22BF">
        <w:t>between the Commonwealth of Australia and certain state and territory governments</w:t>
      </w:r>
      <w:r>
        <w:t>,</w:t>
      </w:r>
      <w:r w:rsidR="00C07064">
        <w:t xml:space="preserve"> as amended from time to time. </w:t>
      </w:r>
      <w:r>
        <w:t>This definition is substituted because</w:t>
      </w:r>
      <w:r w:rsidR="00C07064">
        <w:t xml:space="preserve"> the</w:t>
      </w:r>
      <w:r>
        <w:t xml:space="preserve"> definition in the CFI Regulations previously referred to</w:t>
      </w:r>
      <w:r w:rsidR="00C07064">
        <w:t xml:space="preserve"> the </w:t>
      </w:r>
      <w:r w:rsidR="00C07064">
        <w:rPr>
          <w:i/>
        </w:rPr>
        <w:t>National Water Commission Act </w:t>
      </w:r>
      <w:r w:rsidR="00C07064" w:rsidRPr="006A50BC">
        <w:rPr>
          <w:i/>
        </w:rPr>
        <w:t>2004</w:t>
      </w:r>
      <w:r>
        <w:t xml:space="preserve">, which </w:t>
      </w:r>
      <w:r w:rsidR="00CE15FE">
        <w:t>was</w:t>
      </w:r>
      <w:r w:rsidR="00137085">
        <w:t xml:space="preserve"> repealed </w:t>
      </w:r>
      <w:r w:rsidR="0099229C">
        <w:t xml:space="preserve">upon commencement of the </w:t>
      </w:r>
      <w:r w:rsidR="00CE15FE">
        <w:t>Act</w:t>
      </w:r>
      <w:r w:rsidR="00C07064">
        <w:t>.</w:t>
      </w:r>
    </w:p>
    <w:p w:rsidR="00C07064" w:rsidRDefault="00C07064" w:rsidP="00C07064">
      <w:pPr>
        <w:rPr>
          <w:b/>
        </w:rPr>
      </w:pPr>
      <w:r>
        <w:rPr>
          <w:b/>
        </w:rPr>
        <w:br/>
        <w:t xml:space="preserve">Item 3 – Regulation 3.34 – definition of </w:t>
      </w:r>
      <w:r w:rsidRPr="00642D01">
        <w:rPr>
          <w:b/>
          <w:i/>
        </w:rPr>
        <w:t>Water Department</w:t>
      </w:r>
    </w:p>
    <w:p w:rsidR="00C07064" w:rsidRDefault="00C07064" w:rsidP="00C07064">
      <w:r>
        <w:rPr>
          <w:b/>
        </w:rPr>
        <w:br/>
      </w:r>
      <w:r w:rsidR="008C43E5">
        <w:t>This item p</w:t>
      </w:r>
      <w:r>
        <w:t>rovide</w:t>
      </w:r>
      <w:r w:rsidR="008C43E5">
        <w:t>s</w:t>
      </w:r>
      <w:r>
        <w:t xml:space="preserve"> that ‘Water Department’ means the Department of State that deals with water policy and resources and that is administered by the Minister administering the </w:t>
      </w:r>
      <w:r w:rsidRPr="00642D01">
        <w:rPr>
          <w:i/>
        </w:rPr>
        <w:t>Water Act 2007</w:t>
      </w:r>
      <w:r>
        <w:rPr>
          <w:i/>
        </w:rPr>
        <w:t xml:space="preserve"> </w:t>
      </w:r>
      <w:r>
        <w:t>(currently the Department of the Environment).</w:t>
      </w:r>
    </w:p>
    <w:p w:rsidR="00C07064" w:rsidRDefault="00C07064" w:rsidP="00C07064">
      <w:pPr>
        <w:rPr>
          <w:b/>
        </w:rPr>
      </w:pPr>
      <w:r>
        <w:rPr>
          <w:b/>
        </w:rPr>
        <w:br/>
        <w:t xml:space="preserve">Item 4 – Subregulation 3.37(4) </w:t>
      </w:r>
    </w:p>
    <w:p w:rsidR="00C07064" w:rsidRDefault="00C07064" w:rsidP="00C07064">
      <w:pPr>
        <w:rPr>
          <w:b/>
        </w:rPr>
      </w:pPr>
    </w:p>
    <w:p w:rsidR="00C07064" w:rsidRDefault="008C43E5" w:rsidP="00C07064">
      <w:r>
        <w:t>This item</w:t>
      </w:r>
      <w:r w:rsidR="00C07064">
        <w:t xml:space="preserve"> repeal</w:t>
      </w:r>
      <w:r>
        <w:t>s</w:t>
      </w:r>
      <w:r w:rsidR="00C07064">
        <w:t xml:space="preserve"> the term ‘National Water Commission’ from subregulation 3.37(4) and replace</w:t>
      </w:r>
      <w:r w:rsidR="002C0600">
        <w:t>s</w:t>
      </w:r>
      <w:r w:rsidR="00C07064">
        <w:t xml:space="preserve"> it with the ter</w:t>
      </w:r>
      <w:r>
        <w:t>m ‘Water Department’. This</w:t>
      </w:r>
      <w:r w:rsidR="00C07064">
        <w:t xml:space="preserve"> transfer</w:t>
      </w:r>
      <w:r>
        <w:t>s</w:t>
      </w:r>
      <w:r w:rsidR="00C07064">
        <w:t xml:space="preserve"> responsibility from the Commission for making a determination under this subregulation to the Water Dep</w:t>
      </w:r>
      <w:r w:rsidR="00A82382">
        <w:t>artment (as defined by amended r</w:t>
      </w:r>
      <w:r w:rsidR="00C07064">
        <w:t xml:space="preserve">egulation 3.34). </w:t>
      </w:r>
    </w:p>
    <w:p w:rsidR="00C07064" w:rsidRDefault="00C07064" w:rsidP="00C07064"/>
    <w:p w:rsidR="00C07064" w:rsidRDefault="002C0600" w:rsidP="00C07064">
      <w:r>
        <w:t>The effect of the Regulation is that from</w:t>
      </w:r>
      <w:r w:rsidR="00EC1202">
        <w:t xml:space="preserve"> commencement</w:t>
      </w:r>
      <w:r>
        <w:t>, the Water Department is</w:t>
      </w:r>
      <w:r w:rsidR="00C07064">
        <w:t xml:space="preserve"> responsible for determining whether the relevant state or territory has adequately implemented its National Water Initiative (‘NWI’) commitments to manage water interception by plantations. </w:t>
      </w:r>
    </w:p>
    <w:p w:rsidR="00C07064" w:rsidRDefault="00C07064" w:rsidP="00C07064">
      <w:r>
        <w:br/>
        <w:t>If the Water Department were to determine that relevant NWI commitments had been adequately implemented, specified tree plantings</w:t>
      </w:r>
      <w:r w:rsidRPr="00515AB1">
        <w:t xml:space="preserve"> would</w:t>
      </w:r>
      <w:r>
        <w:t xml:space="preserve"> also</w:t>
      </w:r>
      <w:r w:rsidRPr="00515AB1">
        <w:t xml:space="preserve"> need to meet all other scheme eligibility requirements</w:t>
      </w:r>
      <w:r>
        <w:t xml:space="preserve"> to be an eligible offsets project</w:t>
      </w:r>
      <w:r w:rsidRPr="00515AB1">
        <w:t>, incl</w:t>
      </w:r>
      <w:r w:rsidR="00995BDD">
        <w:t>uding being compliant with the state or t</w:t>
      </w:r>
      <w:r w:rsidRPr="00515AB1">
        <w:t xml:space="preserve">erritory </w:t>
      </w:r>
      <w:r>
        <w:t xml:space="preserve">legislative </w:t>
      </w:r>
      <w:r w:rsidRPr="00515AB1">
        <w:t>provisions to manage water interception by plantations.</w:t>
      </w:r>
      <w:r>
        <w:t xml:space="preserve"> </w:t>
      </w:r>
    </w:p>
    <w:p w:rsidR="00C07064" w:rsidRDefault="00C07064" w:rsidP="00C07064"/>
    <w:p w:rsidR="0063713E" w:rsidRPr="00B940E9" w:rsidRDefault="0063713E" w:rsidP="00C0199D"/>
    <w:sectPr w:rsidR="0063713E" w:rsidRPr="00B940E9" w:rsidSect="00165A8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72" w:rsidRDefault="003B4572" w:rsidP="00B31B1A">
      <w:r>
        <w:separator/>
      </w:r>
    </w:p>
  </w:endnote>
  <w:endnote w:type="continuationSeparator" w:id="0">
    <w:p w:rsidR="003B4572" w:rsidRDefault="003B4572" w:rsidP="00B3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72" w:rsidRDefault="003B4572" w:rsidP="00B31B1A">
      <w:r>
        <w:separator/>
      </w:r>
    </w:p>
  </w:footnote>
  <w:footnote w:type="continuationSeparator" w:id="0">
    <w:p w:rsidR="003B4572" w:rsidRDefault="003B4572" w:rsidP="00B3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572" w:rsidRPr="001C1A8B" w:rsidRDefault="003B4572" w:rsidP="001C1A8B">
    <w:pPr>
      <w:pStyle w:val="Header"/>
      <w:rPr>
        <w:sz w:val="18"/>
        <w:szCs w:val="18"/>
      </w:rPr>
    </w:pPr>
    <w:r w:rsidRPr="001C1A8B">
      <w:rPr>
        <w:i/>
        <w:sz w:val="18"/>
        <w:szCs w:val="18"/>
      </w:rPr>
      <w:t xml:space="preserve">Carbon Credits (Carbon Farming Initiative) Amendment (Abolition of National Water Commission) Regulation </w:t>
    </w:r>
    <w:r>
      <w:rPr>
        <w:i/>
        <w:sz w:val="18"/>
        <w:szCs w:val="1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7E9C"/>
    <w:multiLevelType w:val="hybridMultilevel"/>
    <w:tmpl w:val="F15012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C4B63E3"/>
    <w:multiLevelType w:val="hybridMultilevel"/>
    <w:tmpl w:val="81BA23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EC04199"/>
    <w:multiLevelType w:val="hybridMultilevel"/>
    <w:tmpl w:val="527613A6"/>
    <w:lvl w:ilvl="0" w:tplc="9912C794">
      <w:start w:val="1"/>
      <w:numFmt w:val="decimal"/>
      <w:pStyle w:val="Clauseparas"/>
      <w:lvlText w:val="%1."/>
      <w:lvlJc w:val="left"/>
      <w:pPr>
        <w:tabs>
          <w:tab w:val="num" w:pos="360"/>
        </w:tabs>
        <w:ind w:left="360" w:hanging="360"/>
      </w:pPr>
      <w:rPr>
        <w:rFonts w:ascii="Times New Roman" w:hAnsi="Times New Roman" w:cs="Times New Roman" w:hint="default"/>
        <w:b w:val="0"/>
        <w:i w:val="0"/>
      </w:rPr>
    </w:lvl>
    <w:lvl w:ilvl="1" w:tplc="2E365E20">
      <w:start w:val="1"/>
      <w:numFmt w:val="lowerLetter"/>
      <w:lvlText w:val="%2."/>
      <w:lvlJc w:val="left"/>
      <w:pPr>
        <w:tabs>
          <w:tab w:val="num" w:pos="2880"/>
        </w:tabs>
        <w:ind w:left="2880" w:hanging="360"/>
      </w:pPr>
    </w:lvl>
    <w:lvl w:ilvl="2" w:tplc="5FC2229E">
      <w:start w:val="1"/>
      <w:numFmt w:val="lowerLetter"/>
      <w:lvlText w:val="(%3)"/>
      <w:lvlJc w:val="left"/>
      <w:pPr>
        <w:tabs>
          <w:tab w:val="num" w:pos="3510"/>
        </w:tabs>
        <w:ind w:left="3510" w:hanging="360"/>
      </w:pPr>
      <w:rPr>
        <w:rFonts w:hint="default"/>
      </w:rPr>
    </w:lvl>
    <w:lvl w:ilvl="3" w:tplc="5F5CE546">
      <w:start w:val="1"/>
      <w:numFmt w:val="decimal"/>
      <w:lvlText w:val="%4."/>
      <w:lvlJc w:val="left"/>
      <w:pPr>
        <w:tabs>
          <w:tab w:val="num" w:pos="4320"/>
        </w:tabs>
        <w:ind w:left="4320" w:hanging="360"/>
      </w:pPr>
    </w:lvl>
    <w:lvl w:ilvl="4" w:tplc="48786F78" w:tentative="1">
      <w:start w:val="1"/>
      <w:numFmt w:val="lowerLetter"/>
      <w:lvlText w:val="%5."/>
      <w:lvlJc w:val="left"/>
      <w:pPr>
        <w:tabs>
          <w:tab w:val="num" w:pos="5040"/>
        </w:tabs>
        <w:ind w:left="5040" w:hanging="360"/>
      </w:pPr>
    </w:lvl>
    <w:lvl w:ilvl="5" w:tplc="E9B08724" w:tentative="1">
      <w:start w:val="1"/>
      <w:numFmt w:val="lowerRoman"/>
      <w:lvlText w:val="%6."/>
      <w:lvlJc w:val="right"/>
      <w:pPr>
        <w:tabs>
          <w:tab w:val="num" w:pos="5760"/>
        </w:tabs>
        <w:ind w:left="5760" w:hanging="180"/>
      </w:pPr>
    </w:lvl>
    <w:lvl w:ilvl="6" w:tplc="D30297DC" w:tentative="1">
      <w:start w:val="1"/>
      <w:numFmt w:val="decimal"/>
      <w:lvlText w:val="%7."/>
      <w:lvlJc w:val="left"/>
      <w:pPr>
        <w:tabs>
          <w:tab w:val="num" w:pos="6480"/>
        </w:tabs>
        <w:ind w:left="6480" w:hanging="360"/>
      </w:pPr>
    </w:lvl>
    <w:lvl w:ilvl="7" w:tplc="39165C94" w:tentative="1">
      <w:start w:val="1"/>
      <w:numFmt w:val="lowerLetter"/>
      <w:lvlText w:val="%8."/>
      <w:lvlJc w:val="left"/>
      <w:pPr>
        <w:tabs>
          <w:tab w:val="num" w:pos="7200"/>
        </w:tabs>
        <w:ind w:left="7200" w:hanging="360"/>
      </w:pPr>
    </w:lvl>
    <w:lvl w:ilvl="8" w:tplc="F21CA9E0" w:tentative="1">
      <w:start w:val="1"/>
      <w:numFmt w:val="lowerRoman"/>
      <w:lvlText w:val="%9."/>
      <w:lvlJc w:val="right"/>
      <w:pPr>
        <w:tabs>
          <w:tab w:val="num" w:pos="7920"/>
        </w:tabs>
        <w:ind w:left="7920" w:hanging="180"/>
      </w:pPr>
    </w:lvl>
  </w:abstractNum>
  <w:abstractNum w:abstractNumId="3">
    <w:nsid w:val="48AB79A2"/>
    <w:multiLevelType w:val="hybridMultilevel"/>
    <w:tmpl w:val="FD66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372F80"/>
    <w:multiLevelType w:val="hybridMultilevel"/>
    <w:tmpl w:val="F0A6B4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FF23160"/>
    <w:multiLevelType w:val="hybridMultilevel"/>
    <w:tmpl w:val="C38C6C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ille, Helen">
    <w15:presenceInfo w15:providerId="None" w15:userId="Neville, 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66"/>
    <w:rsid w:val="00010398"/>
    <w:rsid w:val="000131DD"/>
    <w:rsid w:val="00014B5F"/>
    <w:rsid w:val="00030F75"/>
    <w:rsid w:val="0004698B"/>
    <w:rsid w:val="00066AAC"/>
    <w:rsid w:val="00067B6D"/>
    <w:rsid w:val="000717F9"/>
    <w:rsid w:val="0007207E"/>
    <w:rsid w:val="00081990"/>
    <w:rsid w:val="00081C12"/>
    <w:rsid w:val="000B27C1"/>
    <w:rsid w:val="000D3BC2"/>
    <w:rsid w:val="000E77E3"/>
    <w:rsid w:val="00125190"/>
    <w:rsid w:val="00137085"/>
    <w:rsid w:val="00137881"/>
    <w:rsid w:val="001627D5"/>
    <w:rsid w:val="00165A89"/>
    <w:rsid w:val="00165B88"/>
    <w:rsid w:val="00166B32"/>
    <w:rsid w:val="001749A5"/>
    <w:rsid w:val="001A46DB"/>
    <w:rsid w:val="001B22BF"/>
    <w:rsid w:val="001B269E"/>
    <w:rsid w:val="001B38FA"/>
    <w:rsid w:val="001B54EB"/>
    <w:rsid w:val="001C1A8B"/>
    <w:rsid w:val="001C4460"/>
    <w:rsid w:val="001E3B81"/>
    <w:rsid w:val="001E6FA5"/>
    <w:rsid w:val="001F1AB7"/>
    <w:rsid w:val="001F1CA2"/>
    <w:rsid w:val="001F2771"/>
    <w:rsid w:val="00210B9D"/>
    <w:rsid w:val="00212FA2"/>
    <w:rsid w:val="00226C23"/>
    <w:rsid w:val="00236733"/>
    <w:rsid w:val="00236B8F"/>
    <w:rsid w:val="00244D90"/>
    <w:rsid w:val="0025178A"/>
    <w:rsid w:val="00262B47"/>
    <w:rsid w:val="00264947"/>
    <w:rsid w:val="002725DB"/>
    <w:rsid w:val="00286DFD"/>
    <w:rsid w:val="00286E63"/>
    <w:rsid w:val="002C0600"/>
    <w:rsid w:val="002C4866"/>
    <w:rsid w:val="002D1348"/>
    <w:rsid w:val="002E2F34"/>
    <w:rsid w:val="003014D8"/>
    <w:rsid w:val="00301513"/>
    <w:rsid w:val="00307754"/>
    <w:rsid w:val="003135E9"/>
    <w:rsid w:val="00321CEE"/>
    <w:rsid w:val="003378EC"/>
    <w:rsid w:val="00342B28"/>
    <w:rsid w:val="00360FC9"/>
    <w:rsid w:val="003614B7"/>
    <w:rsid w:val="00361A82"/>
    <w:rsid w:val="00380C9C"/>
    <w:rsid w:val="0038288C"/>
    <w:rsid w:val="00387556"/>
    <w:rsid w:val="0039044A"/>
    <w:rsid w:val="003965A1"/>
    <w:rsid w:val="003B4572"/>
    <w:rsid w:val="003E024B"/>
    <w:rsid w:val="003F5534"/>
    <w:rsid w:val="00402DF8"/>
    <w:rsid w:val="0041442A"/>
    <w:rsid w:val="00420E5D"/>
    <w:rsid w:val="0042433A"/>
    <w:rsid w:val="00426C9E"/>
    <w:rsid w:val="004548CE"/>
    <w:rsid w:val="00454920"/>
    <w:rsid w:val="00473B39"/>
    <w:rsid w:val="00493407"/>
    <w:rsid w:val="004A49F9"/>
    <w:rsid w:val="004B4B70"/>
    <w:rsid w:val="0051634E"/>
    <w:rsid w:val="00516D66"/>
    <w:rsid w:val="00540A27"/>
    <w:rsid w:val="00554480"/>
    <w:rsid w:val="00555FDC"/>
    <w:rsid w:val="005667BF"/>
    <w:rsid w:val="00573CAA"/>
    <w:rsid w:val="005747E7"/>
    <w:rsid w:val="0058439F"/>
    <w:rsid w:val="005A00CE"/>
    <w:rsid w:val="005B6133"/>
    <w:rsid w:val="005C003E"/>
    <w:rsid w:val="005D0AEA"/>
    <w:rsid w:val="005D14DB"/>
    <w:rsid w:val="005E138D"/>
    <w:rsid w:val="00614373"/>
    <w:rsid w:val="00622AB9"/>
    <w:rsid w:val="00636CCC"/>
    <w:rsid w:val="0063713E"/>
    <w:rsid w:val="00645AB7"/>
    <w:rsid w:val="00645BA7"/>
    <w:rsid w:val="00664049"/>
    <w:rsid w:val="0066770F"/>
    <w:rsid w:val="00670BD3"/>
    <w:rsid w:val="00675C25"/>
    <w:rsid w:val="006A75CD"/>
    <w:rsid w:val="006C62A9"/>
    <w:rsid w:val="006D13C6"/>
    <w:rsid w:val="006F432C"/>
    <w:rsid w:val="006F4DB7"/>
    <w:rsid w:val="006F57BB"/>
    <w:rsid w:val="006F60A8"/>
    <w:rsid w:val="00704D24"/>
    <w:rsid w:val="007106B7"/>
    <w:rsid w:val="00726998"/>
    <w:rsid w:val="0072706E"/>
    <w:rsid w:val="00734162"/>
    <w:rsid w:val="00770D50"/>
    <w:rsid w:val="007C27A3"/>
    <w:rsid w:val="007F2493"/>
    <w:rsid w:val="008000E8"/>
    <w:rsid w:val="00802B66"/>
    <w:rsid w:val="00827565"/>
    <w:rsid w:val="0084561B"/>
    <w:rsid w:val="00851A61"/>
    <w:rsid w:val="00855331"/>
    <w:rsid w:val="0086676B"/>
    <w:rsid w:val="00886110"/>
    <w:rsid w:val="008908A7"/>
    <w:rsid w:val="00893D1D"/>
    <w:rsid w:val="008B0C71"/>
    <w:rsid w:val="008C0023"/>
    <w:rsid w:val="008C43E5"/>
    <w:rsid w:val="008E0B05"/>
    <w:rsid w:val="008F16CC"/>
    <w:rsid w:val="008F2BBF"/>
    <w:rsid w:val="00922A25"/>
    <w:rsid w:val="009353F0"/>
    <w:rsid w:val="00953BE7"/>
    <w:rsid w:val="00955112"/>
    <w:rsid w:val="009800EA"/>
    <w:rsid w:val="00983826"/>
    <w:rsid w:val="00983A73"/>
    <w:rsid w:val="009843AF"/>
    <w:rsid w:val="0099229C"/>
    <w:rsid w:val="00995BDD"/>
    <w:rsid w:val="00997204"/>
    <w:rsid w:val="009A14AE"/>
    <w:rsid w:val="009A1AAB"/>
    <w:rsid w:val="009A4F21"/>
    <w:rsid w:val="009A6F1A"/>
    <w:rsid w:val="009B2466"/>
    <w:rsid w:val="009C28D2"/>
    <w:rsid w:val="009E4282"/>
    <w:rsid w:val="009E692E"/>
    <w:rsid w:val="009E7C74"/>
    <w:rsid w:val="009F67E0"/>
    <w:rsid w:val="00A02919"/>
    <w:rsid w:val="00A1346C"/>
    <w:rsid w:val="00A15292"/>
    <w:rsid w:val="00A30E26"/>
    <w:rsid w:val="00A52879"/>
    <w:rsid w:val="00A52C18"/>
    <w:rsid w:val="00A66493"/>
    <w:rsid w:val="00A70F9F"/>
    <w:rsid w:val="00A714B8"/>
    <w:rsid w:val="00A82382"/>
    <w:rsid w:val="00A85E96"/>
    <w:rsid w:val="00A86091"/>
    <w:rsid w:val="00AB023F"/>
    <w:rsid w:val="00AB4C7F"/>
    <w:rsid w:val="00AB69E6"/>
    <w:rsid w:val="00B0539B"/>
    <w:rsid w:val="00B254A3"/>
    <w:rsid w:val="00B31655"/>
    <w:rsid w:val="00B31B1A"/>
    <w:rsid w:val="00B53E90"/>
    <w:rsid w:val="00B624AD"/>
    <w:rsid w:val="00B63DEF"/>
    <w:rsid w:val="00B67FA2"/>
    <w:rsid w:val="00B773E0"/>
    <w:rsid w:val="00B940E9"/>
    <w:rsid w:val="00BA247E"/>
    <w:rsid w:val="00BA66ED"/>
    <w:rsid w:val="00BA7887"/>
    <w:rsid w:val="00BB7477"/>
    <w:rsid w:val="00BC2A2F"/>
    <w:rsid w:val="00BD252E"/>
    <w:rsid w:val="00BD377F"/>
    <w:rsid w:val="00BD50D5"/>
    <w:rsid w:val="00BE54B0"/>
    <w:rsid w:val="00C0199D"/>
    <w:rsid w:val="00C04F03"/>
    <w:rsid w:val="00C07064"/>
    <w:rsid w:val="00C101B6"/>
    <w:rsid w:val="00C32771"/>
    <w:rsid w:val="00C32A6D"/>
    <w:rsid w:val="00C33949"/>
    <w:rsid w:val="00C4294C"/>
    <w:rsid w:val="00C51263"/>
    <w:rsid w:val="00C5260B"/>
    <w:rsid w:val="00C6592E"/>
    <w:rsid w:val="00CA1BF4"/>
    <w:rsid w:val="00CA7A9B"/>
    <w:rsid w:val="00CB4DB5"/>
    <w:rsid w:val="00CC339C"/>
    <w:rsid w:val="00CD2C99"/>
    <w:rsid w:val="00CE15FE"/>
    <w:rsid w:val="00CF5D0E"/>
    <w:rsid w:val="00D17839"/>
    <w:rsid w:val="00D20868"/>
    <w:rsid w:val="00D368C4"/>
    <w:rsid w:val="00D412FA"/>
    <w:rsid w:val="00D44A38"/>
    <w:rsid w:val="00D55EF3"/>
    <w:rsid w:val="00D601AC"/>
    <w:rsid w:val="00D817B1"/>
    <w:rsid w:val="00D86BE8"/>
    <w:rsid w:val="00D919B6"/>
    <w:rsid w:val="00D97A4A"/>
    <w:rsid w:val="00DC7712"/>
    <w:rsid w:val="00DC7835"/>
    <w:rsid w:val="00DD1A4D"/>
    <w:rsid w:val="00E11F11"/>
    <w:rsid w:val="00E15DE8"/>
    <w:rsid w:val="00E44B4F"/>
    <w:rsid w:val="00E74E61"/>
    <w:rsid w:val="00E7756B"/>
    <w:rsid w:val="00E93B3D"/>
    <w:rsid w:val="00EA0093"/>
    <w:rsid w:val="00EA1175"/>
    <w:rsid w:val="00EA53BE"/>
    <w:rsid w:val="00EC1202"/>
    <w:rsid w:val="00ED0484"/>
    <w:rsid w:val="00EE0F32"/>
    <w:rsid w:val="00EF52D8"/>
    <w:rsid w:val="00F345BB"/>
    <w:rsid w:val="00F34E5F"/>
    <w:rsid w:val="00F4092F"/>
    <w:rsid w:val="00F725AD"/>
    <w:rsid w:val="00F84D8E"/>
    <w:rsid w:val="00F862F4"/>
    <w:rsid w:val="00FD5247"/>
    <w:rsid w:val="00FD7082"/>
    <w:rsid w:val="00FE1CCC"/>
    <w:rsid w:val="00FE599B"/>
    <w:rsid w:val="00FE5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27"/>
    <w:rPr>
      <w:sz w:val="24"/>
      <w:szCs w:val="24"/>
      <w:lang w:eastAsia="zh-TW"/>
    </w:rPr>
  </w:style>
  <w:style w:type="paragraph" w:styleId="Heading8">
    <w:name w:val="heading 8"/>
    <w:basedOn w:val="Normal"/>
    <w:next w:val="Normal"/>
    <w:link w:val="Heading8Char"/>
    <w:qFormat/>
    <w:rsid w:val="00BA66ED"/>
    <w:pPr>
      <w:spacing w:before="240" w:after="60"/>
      <w:outlineLvl w:val="7"/>
    </w:pPr>
    <w:rPr>
      <w:rFonts w:eastAsia="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31B1A"/>
    <w:pPr>
      <w:spacing w:after="200" w:line="276" w:lineRule="auto"/>
    </w:pPr>
    <w:rPr>
      <w:rFonts w:ascii="Calibri" w:eastAsia="Times New Roman" w:hAnsi="Calibri"/>
      <w:sz w:val="20"/>
      <w:szCs w:val="20"/>
      <w:lang w:eastAsia="en-US"/>
    </w:rPr>
  </w:style>
  <w:style w:type="character" w:customStyle="1" w:styleId="FootnoteTextChar">
    <w:name w:val="Footnote Text Char"/>
    <w:basedOn w:val="DefaultParagraphFont"/>
    <w:link w:val="FootnoteText"/>
    <w:rsid w:val="00B31B1A"/>
    <w:rPr>
      <w:rFonts w:ascii="Calibri" w:eastAsia="Times New Roman" w:hAnsi="Calibri"/>
      <w:lang w:eastAsia="en-US"/>
    </w:rPr>
  </w:style>
  <w:style w:type="character" w:styleId="FootnoteReference">
    <w:name w:val="footnote reference"/>
    <w:basedOn w:val="DefaultParagraphFont"/>
    <w:rsid w:val="00B31B1A"/>
    <w:rPr>
      <w:rFonts w:cs="Times New Roman"/>
      <w:vertAlign w:val="superscript"/>
    </w:rPr>
  </w:style>
  <w:style w:type="paragraph" w:styleId="Header">
    <w:name w:val="header"/>
    <w:basedOn w:val="Normal"/>
    <w:link w:val="HeaderChar"/>
    <w:rsid w:val="00B31B1A"/>
    <w:pPr>
      <w:tabs>
        <w:tab w:val="center" w:pos="4513"/>
        <w:tab w:val="right" w:pos="9026"/>
      </w:tabs>
    </w:pPr>
  </w:style>
  <w:style w:type="character" w:customStyle="1" w:styleId="HeaderChar">
    <w:name w:val="Header Char"/>
    <w:basedOn w:val="DefaultParagraphFont"/>
    <w:link w:val="Header"/>
    <w:rsid w:val="00B31B1A"/>
    <w:rPr>
      <w:sz w:val="24"/>
      <w:szCs w:val="24"/>
      <w:lang w:eastAsia="zh-TW"/>
    </w:rPr>
  </w:style>
  <w:style w:type="paragraph" w:styleId="Footer">
    <w:name w:val="footer"/>
    <w:basedOn w:val="Normal"/>
    <w:link w:val="FooterChar"/>
    <w:rsid w:val="00B31B1A"/>
    <w:pPr>
      <w:tabs>
        <w:tab w:val="center" w:pos="4513"/>
        <w:tab w:val="right" w:pos="9026"/>
      </w:tabs>
    </w:pPr>
  </w:style>
  <w:style w:type="character" w:customStyle="1" w:styleId="FooterChar">
    <w:name w:val="Footer Char"/>
    <w:basedOn w:val="DefaultParagraphFont"/>
    <w:link w:val="Footer"/>
    <w:rsid w:val="00B31B1A"/>
    <w:rPr>
      <w:sz w:val="24"/>
      <w:szCs w:val="24"/>
      <w:lang w:eastAsia="zh-TW"/>
    </w:rPr>
  </w:style>
  <w:style w:type="character" w:styleId="CommentReference">
    <w:name w:val="annotation reference"/>
    <w:basedOn w:val="DefaultParagraphFont"/>
    <w:uiPriority w:val="99"/>
    <w:semiHidden/>
    <w:unhideWhenUsed/>
    <w:rsid w:val="007106B7"/>
    <w:rPr>
      <w:sz w:val="16"/>
      <w:szCs w:val="16"/>
    </w:rPr>
  </w:style>
  <w:style w:type="paragraph" w:styleId="CommentText">
    <w:name w:val="annotation text"/>
    <w:basedOn w:val="Normal"/>
    <w:link w:val="CommentTextChar"/>
    <w:uiPriority w:val="99"/>
    <w:unhideWhenUsed/>
    <w:rsid w:val="007106B7"/>
    <w:rPr>
      <w:sz w:val="20"/>
      <w:szCs w:val="20"/>
    </w:rPr>
  </w:style>
  <w:style w:type="character" w:customStyle="1" w:styleId="CommentTextChar">
    <w:name w:val="Comment Text Char"/>
    <w:basedOn w:val="DefaultParagraphFont"/>
    <w:link w:val="CommentText"/>
    <w:uiPriority w:val="99"/>
    <w:rsid w:val="007106B7"/>
    <w:rPr>
      <w:lang w:eastAsia="zh-TW"/>
    </w:rPr>
  </w:style>
  <w:style w:type="paragraph" w:styleId="CommentSubject">
    <w:name w:val="annotation subject"/>
    <w:basedOn w:val="CommentText"/>
    <w:next w:val="CommentText"/>
    <w:link w:val="CommentSubjectChar"/>
    <w:semiHidden/>
    <w:unhideWhenUsed/>
    <w:rsid w:val="007106B7"/>
    <w:rPr>
      <w:b/>
      <w:bCs/>
    </w:rPr>
  </w:style>
  <w:style w:type="character" w:customStyle="1" w:styleId="CommentSubjectChar">
    <w:name w:val="Comment Subject Char"/>
    <w:basedOn w:val="CommentTextChar"/>
    <w:link w:val="CommentSubject"/>
    <w:semiHidden/>
    <w:rsid w:val="007106B7"/>
    <w:rPr>
      <w:b/>
      <w:bCs/>
      <w:lang w:eastAsia="zh-TW"/>
    </w:rPr>
  </w:style>
  <w:style w:type="paragraph" w:styleId="BalloonText">
    <w:name w:val="Balloon Text"/>
    <w:basedOn w:val="Normal"/>
    <w:link w:val="BalloonTextChar"/>
    <w:semiHidden/>
    <w:unhideWhenUsed/>
    <w:rsid w:val="007106B7"/>
    <w:rPr>
      <w:rFonts w:ascii="Segoe UI" w:hAnsi="Segoe UI" w:cs="Segoe UI"/>
      <w:sz w:val="18"/>
      <w:szCs w:val="18"/>
    </w:rPr>
  </w:style>
  <w:style w:type="character" w:customStyle="1" w:styleId="BalloonTextChar">
    <w:name w:val="Balloon Text Char"/>
    <w:basedOn w:val="DefaultParagraphFont"/>
    <w:link w:val="BalloonText"/>
    <w:semiHidden/>
    <w:rsid w:val="007106B7"/>
    <w:rPr>
      <w:rFonts w:ascii="Segoe UI" w:hAnsi="Segoe UI" w:cs="Segoe UI"/>
      <w:sz w:val="18"/>
      <w:szCs w:val="18"/>
      <w:lang w:eastAsia="zh-TW"/>
    </w:rPr>
  </w:style>
  <w:style w:type="paragraph" w:customStyle="1" w:styleId="Clauseparas">
    <w:name w:val="Clause paras"/>
    <w:basedOn w:val="Normal"/>
    <w:link w:val="ClauseparasChar"/>
    <w:rsid w:val="00BA66ED"/>
    <w:pPr>
      <w:numPr>
        <w:numId w:val="6"/>
      </w:numPr>
      <w:spacing w:after="120"/>
    </w:pPr>
    <w:rPr>
      <w:rFonts w:eastAsia="Times New Roman"/>
      <w:lang w:eastAsia="en-AU"/>
    </w:rPr>
  </w:style>
  <w:style w:type="character" w:customStyle="1" w:styleId="ClauseparasChar">
    <w:name w:val="Clause paras Char"/>
    <w:basedOn w:val="DefaultParagraphFont"/>
    <w:link w:val="Clauseparas"/>
    <w:rsid w:val="00BA66ED"/>
    <w:rPr>
      <w:rFonts w:eastAsia="Times New Roman"/>
      <w:sz w:val="24"/>
      <w:szCs w:val="24"/>
    </w:rPr>
  </w:style>
  <w:style w:type="character" w:customStyle="1" w:styleId="Heading8Char">
    <w:name w:val="Heading 8 Char"/>
    <w:basedOn w:val="DefaultParagraphFont"/>
    <w:link w:val="Heading8"/>
    <w:rsid w:val="00BA66ED"/>
    <w:rPr>
      <w:rFonts w:eastAsia="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27"/>
    <w:rPr>
      <w:sz w:val="24"/>
      <w:szCs w:val="24"/>
      <w:lang w:eastAsia="zh-TW"/>
    </w:rPr>
  </w:style>
  <w:style w:type="paragraph" w:styleId="Heading8">
    <w:name w:val="heading 8"/>
    <w:basedOn w:val="Normal"/>
    <w:next w:val="Normal"/>
    <w:link w:val="Heading8Char"/>
    <w:qFormat/>
    <w:rsid w:val="00BA66ED"/>
    <w:pPr>
      <w:spacing w:before="240" w:after="60"/>
      <w:outlineLvl w:val="7"/>
    </w:pPr>
    <w:rPr>
      <w:rFonts w:eastAsia="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31B1A"/>
    <w:pPr>
      <w:spacing w:after="200" w:line="276" w:lineRule="auto"/>
    </w:pPr>
    <w:rPr>
      <w:rFonts w:ascii="Calibri" w:eastAsia="Times New Roman" w:hAnsi="Calibri"/>
      <w:sz w:val="20"/>
      <w:szCs w:val="20"/>
      <w:lang w:eastAsia="en-US"/>
    </w:rPr>
  </w:style>
  <w:style w:type="character" w:customStyle="1" w:styleId="FootnoteTextChar">
    <w:name w:val="Footnote Text Char"/>
    <w:basedOn w:val="DefaultParagraphFont"/>
    <w:link w:val="FootnoteText"/>
    <w:rsid w:val="00B31B1A"/>
    <w:rPr>
      <w:rFonts w:ascii="Calibri" w:eastAsia="Times New Roman" w:hAnsi="Calibri"/>
      <w:lang w:eastAsia="en-US"/>
    </w:rPr>
  </w:style>
  <w:style w:type="character" w:styleId="FootnoteReference">
    <w:name w:val="footnote reference"/>
    <w:basedOn w:val="DefaultParagraphFont"/>
    <w:rsid w:val="00B31B1A"/>
    <w:rPr>
      <w:rFonts w:cs="Times New Roman"/>
      <w:vertAlign w:val="superscript"/>
    </w:rPr>
  </w:style>
  <w:style w:type="paragraph" w:styleId="Header">
    <w:name w:val="header"/>
    <w:basedOn w:val="Normal"/>
    <w:link w:val="HeaderChar"/>
    <w:rsid w:val="00B31B1A"/>
    <w:pPr>
      <w:tabs>
        <w:tab w:val="center" w:pos="4513"/>
        <w:tab w:val="right" w:pos="9026"/>
      </w:tabs>
    </w:pPr>
  </w:style>
  <w:style w:type="character" w:customStyle="1" w:styleId="HeaderChar">
    <w:name w:val="Header Char"/>
    <w:basedOn w:val="DefaultParagraphFont"/>
    <w:link w:val="Header"/>
    <w:rsid w:val="00B31B1A"/>
    <w:rPr>
      <w:sz w:val="24"/>
      <w:szCs w:val="24"/>
      <w:lang w:eastAsia="zh-TW"/>
    </w:rPr>
  </w:style>
  <w:style w:type="paragraph" w:styleId="Footer">
    <w:name w:val="footer"/>
    <w:basedOn w:val="Normal"/>
    <w:link w:val="FooterChar"/>
    <w:rsid w:val="00B31B1A"/>
    <w:pPr>
      <w:tabs>
        <w:tab w:val="center" w:pos="4513"/>
        <w:tab w:val="right" w:pos="9026"/>
      </w:tabs>
    </w:pPr>
  </w:style>
  <w:style w:type="character" w:customStyle="1" w:styleId="FooterChar">
    <w:name w:val="Footer Char"/>
    <w:basedOn w:val="DefaultParagraphFont"/>
    <w:link w:val="Footer"/>
    <w:rsid w:val="00B31B1A"/>
    <w:rPr>
      <w:sz w:val="24"/>
      <w:szCs w:val="24"/>
      <w:lang w:eastAsia="zh-TW"/>
    </w:rPr>
  </w:style>
  <w:style w:type="character" w:styleId="CommentReference">
    <w:name w:val="annotation reference"/>
    <w:basedOn w:val="DefaultParagraphFont"/>
    <w:uiPriority w:val="99"/>
    <w:semiHidden/>
    <w:unhideWhenUsed/>
    <w:rsid w:val="007106B7"/>
    <w:rPr>
      <w:sz w:val="16"/>
      <w:szCs w:val="16"/>
    </w:rPr>
  </w:style>
  <w:style w:type="paragraph" w:styleId="CommentText">
    <w:name w:val="annotation text"/>
    <w:basedOn w:val="Normal"/>
    <w:link w:val="CommentTextChar"/>
    <w:uiPriority w:val="99"/>
    <w:unhideWhenUsed/>
    <w:rsid w:val="007106B7"/>
    <w:rPr>
      <w:sz w:val="20"/>
      <w:szCs w:val="20"/>
    </w:rPr>
  </w:style>
  <w:style w:type="character" w:customStyle="1" w:styleId="CommentTextChar">
    <w:name w:val="Comment Text Char"/>
    <w:basedOn w:val="DefaultParagraphFont"/>
    <w:link w:val="CommentText"/>
    <w:uiPriority w:val="99"/>
    <w:rsid w:val="007106B7"/>
    <w:rPr>
      <w:lang w:eastAsia="zh-TW"/>
    </w:rPr>
  </w:style>
  <w:style w:type="paragraph" w:styleId="CommentSubject">
    <w:name w:val="annotation subject"/>
    <w:basedOn w:val="CommentText"/>
    <w:next w:val="CommentText"/>
    <w:link w:val="CommentSubjectChar"/>
    <w:semiHidden/>
    <w:unhideWhenUsed/>
    <w:rsid w:val="007106B7"/>
    <w:rPr>
      <w:b/>
      <w:bCs/>
    </w:rPr>
  </w:style>
  <w:style w:type="character" w:customStyle="1" w:styleId="CommentSubjectChar">
    <w:name w:val="Comment Subject Char"/>
    <w:basedOn w:val="CommentTextChar"/>
    <w:link w:val="CommentSubject"/>
    <w:semiHidden/>
    <w:rsid w:val="007106B7"/>
    <w:rPr>
      <w:b/>
      <w:bCs/>
      <w:lang w:eastAsia="zh-TW"/>
    </w:rPr>
  </w:style>
  <w:style w:type="paragraph" w:styleId="BalloonText">
    <w:name w:val="Balloon Text"/>
    <w:basedOn w:val="Normal"/>
    <w:link w:val="BalloonTextChar"/>
    <w:semiHidden/>
    <w:unhideWhenUsed/>
    <w:rsid w:val="007106B7"/>
    <w:rPr>
      <w:rFonts w:ascii="Segoe UI" w:hAnsi="Segoe UI" w:cs="Segoe UI"/>
      <w:sz w:val="18"/>
      <w:szCs w:val="18"/>
    </w:rPr>
  </w:style>
  <w:style w:type="character" w:customStyle="1" w:styleId="BalloonTextChar">
    <w:name w:val="Balloon Text Char"/>
    <w:basedOn w:val="DefaultParagraphFont"/>
    <w:link w:val="BalloonText"/>
    <w:semiHidden/>
    <w:rsid w:val="007106B7"/>
    <w:rPr>
      <w:rFonts w:ascii="Segoe UI" w:hAnsi="Segoe UI" w:cs="Segoe UI"/>
      <w:sz w:val="18"/>
      <w:szCs w:val="18"/>
      <w:lang w:eastAsia="zh-TW"/>
    </w:rPr>
  </w:style>
  <w:style w:type="paragraph" w:customStyle="1" w:styleId="Clauseparas">
    <w:name w:val="Clause paras"/>
    <w:basedOn w:val="Normal"/>
    <w:link w:val="ClauseparasChar"/>
    <w:rsid w:val="00BA66ED"/>
    <w:pPr>
      <w:numPr>
        <w:numId w:val="6"/>
      </w:numPr>
      <w:spacing w:after="120"/>
    </w:pPr>
    <w:rPr>
      <w:rFonts w:eastAsia="Times New Roman"/>
      <w:lang w:eastAsia="en-AU"/>
    </w:rPr>
  </w:style>
  <w:style w:type="character" w:customStyle="1" w:styleId="ClauseparasChar">
    <w:name w:val="Clause paras Char"/>
    <w:basedOn w:val="DefaultParagraphFont"/>
    <w:link w:val="Clauseparas"/>
    <w:rsid w:val="00BA66ED"/>
    <w:rPr>
      <w:rFonts w:eastAsia="Times New Roman"/>
      <w:sz w:val="24"/>
      <w:szCs w:val="24"/>
    </w:rPr>
  </w:style>
  <w:style w:type="character" w:customStyle="1" w:styleId="Heading8Char">
    <w:name w:val="Heading 8 Char"/>
    <w:basedOn w:val="DefaultParagraphFont"/>
    <w:link w:val="Heading8"/>
    <w:rsid w:val="00BA66ED"/>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91389">
      <w:bodyDiv w:val="1"/>
      <w:marLeft w:val="0"/>
      <w:marRight w:val="0"/>
      <w:marTop w:val="0"/>
      <w:marBottom w:val="0"/>
      <w:divBdr>
        <w:top w:val="none" w:sz="0" w:space="0" w:color="auto"/>
        <w:left w:val="none" w:sz="0" w:space="0" w:color="auto"/>
        <w:bottom w:val="none" w:sz="0" w:space="0" w:color="auto"/>
        <w:right w:val="none" w:sz="0" w:space="0" w:color="auto"/>
      </w:divBdr>
      <w:divsChild>
        <w:div w:id="1209729128">
          <w:marLeft w:val="0"/>
          <w:marRight w:val="0"/>
          <w:marTop w:val="0"/>
          <w:marBottom w:val="0"/>
          <w:divBdr>
            <w:top w:val="none" w:sz="0" w:space="0" w:color="auto"/>
            <w:left w:val="none" w:sz="0" w:space="0" w:color="auto"/>
            <w:bottom w:val="none" w:sz="0" w:space="0" w:color="auto"/>
            <w:right w:val="none" w:sz="0" w:space="0" w:color="auto"/>
          </w:divBdr>
          <w:divsChild>
            <w:div w:id="1055202308">
              <w:marLeft w:val="0"/>
              <w:marRight w:val="0"/>
              <w:marTop w:val="0"/>
              <w:marBottom w:val="0"/>
              <w:divBdr>
                <w:top w:val="none" w:sz="0" w:space="0" w:color="auto"/>
                <w:left w:val="none" w:sz="0" w:space="0" w:color="auto"/>
                <w:bottom w:val="none" w:sz="0" w:space="0" w:color="auto"/>
                <w:right w:val="none" w:sz="0" w:space="0" w:color="auto"/>
              </w:divBdr>
              <w:divsChild>
                <w:div w:id="1667131237">
                  <w:marLeft w:val="0"/>
                  <w:marRight w:val="0"/>
                  <w:marTop w:val="0"/>
                  <w:marBottom w:val="0"/>
                  <w:divBdr>
                    <w:top w:val="none" w:sz="0" w:space="0" w:color="auto"/>
                    <w:left w:val="none" w:sz="0" w:space="0" w:color="auto"/>
                    <w:bottom w:val="none" w:sz="0" w:space="0" w:color="auto"/>
                    <w:right w:val="none" w:sz="0" w:space="0" w:color="auto"/>
                  </w:divBdr>
                  <w:divsChild>
                    <w:div w:id="889462095">
                      <w:marLeft w:val="0"/>
                      <w:marRight w:val="0"/>
                      <w:marTop w:val="0"/>
                      <w:marBottom w:val="0"/>
                      <w:divBdr>
                        <w:top w:val="none" w:sz="0" w:space="0" w:color="auto"/>
                        <w:left w:val="none" w:sz="0" w:space="0" w:color="auto"/>
                        <w:bottom w:val="none" w:sz="0" w:space="0" w:color="auto"/>
                        <w:right w:val="none" w:sz="0" w:space="0" w:color="auto"/>
                      </w:divBdr>
                      <w:divsChild>
                        <w:div w:id="1301153443">
                          <w:marLeft w:val="0"/>
                          <w:marRight w:val="0"/>
                          <w:marTop w:val="0"/>
                          <w:marBottom w:val="0"/>
                          <w:divBdr>
                            <w:top w:val="single" w:sz="6" w:space="0" w:color="828282"/>
                            <w:left w:val="single" w:sz="6" w:space="0" w:color="828282"/>
                            <w:bottom w:val="single" w:sz="6" w:space="0" w:color="828282"/>
                            <w:right w:val="single" w:sz="6" w:space="0" w:color="828282"/>
                          </w:divBdr>
                          <w:divsChild>
                            <w:div w:id="1465197963">
                              <w:marLeft w:val="0"/>
                              <w:marRight w:val="0"/>
                              <w:marTop w:val="0"/>
                              <w:marBottom w:val="0"/>
                              <w:divBdr>
                                <w:top w:val="none" w:sz="0" w:space="0" w:color="auto"/>
                                <w:left w:val="none" w:sz="0" w:space="0" w:color="auto"/>
                                <w:bottom w:val="none" w:sz="0" w:space="0" w:color="auto"/>
                                <w:right w:val="none" w:sz="0" w:space="0" w:color="auto"/>
                              </w:divBdr>
                              <w:divsChild>
                                <w:div w:id="535702760">
                                  <w:marLeft w:val="0"/>
                                  <w:marRight w:val="0"/>
                                  <w:marTop w:val="0"/>
                                  <w:marBottom w:val="0"/>
                                  <w:divBdr>
                                    <w:top w:val="none" w:sz="0" w:space="0" w:color="auto"/>
                                    <w:left w:val="none" w:sz="0" w:space="0" w:color="auto"/>
                                    <w:bottom w:val="none" w:sz="0" w:space="0" w:color="auto"/>
                                    <w:right w:val="none" w:sz="0" w:space="0" w:color="auto"/>
                                  </w:divBdr>
                                  <w:divsChild>
                                    <w:div w:id="1076899113">
                                      <w:marLeft w:val="0"/>
                                      <w:marRight w:val="0"/>
                                      <w:marTop w:val="0"/>
                                      <w:marBottom w:val="0"/>
                                      <w:divBdr>
                                        <w:top w:val="none" w:sz="0" w:space="0" w:color="auto"/>
                                        <w:left w:val="none" w:sz="0" w:space="0" w:color="auto"/>
                                        <w:bottom w:val="none" w:sz="0" w:space="0" w:color="auto"/>
                                        <w:right w:val="none" w:sz="0" w:space="0" w:color="auto"/>
                                      </w:divBdr>
                                      <w:divsChild>
                                        <w:div w:id="326901330">
                                          <w:marLeft w:val="0"/>
                                          <w:marRight w:val="0"/>
                                          <w:marTop w:val="0"/>
                                          <w:marBottom w:val="0"/>
                                          <w:divBdr>
                                            <w:top w:val="none" w:sz="0" w:space="0" w:color="auto"/>
                                            <w:left w:val="none" w:sz="0" w:space="0" w:color="auto"/>
                                            <w:bottom w:val="none" w:sz="0" w:space="0" w:color="auto"/>
                                            <w:right w:val="none" w:sz="0" w:space="0" w:color="auto"/>
                                          </w:divBdr>
                                          <w:divsChild>
                                            <w:div w:id="2115052547">
                                              <w:marLeft w:val="0"/>
                                              <w:marRight w:val="0"/>
                                              <w:marTop w:val="0"/>
                                              <w:marBottom w:val="0"/>
                                              <w:divBdr>
                                                <w:top w:val="none" w:sz="0" w:space="0" w:color="auto"/>
                                                <w:left w:val="none" w:sz="0" w:space="0" w:color="auto"/>
                                                <w:bottom w:val="none" w:sz="0" w:space="0" w:color="auto"/>
                                                <w:right w:val="none" w:sz="0" w:space="0" w:color="auto"/>
                                              </w:divBdr>
                                              <w:divsChild>
                                                <w:div w:id="1092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217077">
      <w:bodyDiv w:val="1"/>
      <w:marLeft w:val="0"/>
      <w:marRight w:val="0"/>
      <w:marTop w:val="0"/>
      <w:marBottom w:val="0"/>
      <w:divBdr>
        <w:top w:val="none" w:sz="0" w:space="0" w:color="auto"/>
        <w:left w:val="none" w:sz="0" w:space="0" w:color="auto"/>
        <w:bottom w:val="none" w:sz="0" w:space="0" w:color="auto"/>
        <w:right w:val="none" w:sz="0" w:space="0" w:color="auto"/>
      </w:divBdr>
      <w:divsChild>
        <w:div w:id="457383900">
          <w:marLeft w:val="0"/>
          <w:marRight w:val="0"/>
          <w:marTop w:val="0"/>
          <w:marBottom w:val="0"/>
          <w:divBdr>
            <w:top w:val="none" w:sz="0" w:space="0" w:color="auto"/>
            <w:left w:val="none" w:sz="0" w:space="0" w:color="auto"/>
            <w:bottom w:val="none" w:sz="0" w:space="0" w:color="auto"/>
            <w:right w:val="none" w:sz="0" w:space="0" w:color="auto"/>
          </w:divBdr>
          <w:divsChild>
            <w:div w:id="1236236414">
              <w:marLeft w:val="0"/>
              <w:marRight w:val="0"/>
              <w:marTop w:val="0"/>
              <w:marBottom w:val="0"/>
              <w:divBdr>
                <w:top w:val="none" w:sz="0" w:space="0" w:color="auto"/>
                <w:left w:val="none" w:sz="0" w:space="0" w:color="auto"/>
                <w:bottom w:val="none" w:sz="0" w:space="0" w:color="auto"/>
                <w:right w:val="none" w:sz="0" w:space="0" w:color="auto"/>
              </w:divBdr>
              <w:divsChild>
                <w:div w:id="985014566">
                  <w:marLeft w:val="0"/>
                  <w:marRight w:val="0"/>
                  <w:marTop w:val="0"/>
                  <w:marBottom w:val="0"/>
                  <w:divBdr>
                    <w:top w:val="none" w:sz="0" w:space="0" w:color="auto"/>
                    <w:left w:val="none" w:sz="0" w:space="0" w:color="auto"/>
                    <w:bottom w:val="none" w:sz="0" w:space="0" w:color="auto"/>
                    <w:right w:val="none" w:sz="0" w:space="0" w:color="auto"/>
                  </w:divBdr>
                  <w:divsChild>
                    <w:div w:id="462232626">
                      <w:marLeft w:val="0"/>
                      <w:marRight w:val="0"/>
                      <w:marTop w:val="0"/>
                      <w:marBottom w:val="0"/>
                      <w:divBdr>
                        <w:top w:val="none" w:sz="0" w:space="0" w:color="auto"/>
                        <w:left w:val="none" w:sz="0" w:space="0" w:color="auto"/>
                        <w:bottom w:val="none" w:sz="0" w:space="0" w:color="auto"/>
                        <w:right w:val="none" w:sz="0" w:space="0" w:color="auto"/>
                      </w:divBdr>
                      <w:divsChild>
                        <w:div w:id="592013320">
                          <w:marLeft w:val="0"/>
                          <w:marRight w:val="0"/>
                          <w:marTop w:val="0"/>
                          <w:marBottom w:val="0"/>
                          <w:divBdr>
                            <w:top w:val="single" w:sz="6" w:space="0" w:color="828282"/>
                            <w:left w:val="single" w:sz="6" w:space="0" w:color="828282"/>
                            <w:bottom w:val="single" w:sz="6" w:space="0" w:color="828282"/>
                            <w:right w:val="single" w:sz="6" w:space="0" w:color="828282"/>
                          </w:divBdr>
                          <w:divsChild>
                            <w:div w:id="1902977044">
                              <w:marLeft w:val="0"/>
                              <w:marRight w:val="0"/>
                              <w:marTop w:val="0"/>
                              <w:marBottom w:val="0"/>
                              <w:divBdr>
                                <w:top w:val="none" w:sz="0" w:space="0" w:color="auto"/>
                                <w:left w:val="none" w:sz="0" w:space="0" w:color="auto"/>
                                <w:bottom w:val="none" w:sz="0" w:space="0" w:color="auto"/>
                                <w:right w:val="none" w:sz="0" w:space="0" w:color="auto"/>
                              </w:divBdr>
                              <w:divsChild>
                                <w:div w:id="1023551357">
                                  <w:marLeft w:val="0"/>
                                  <w:marRight w:val="0"/>
                                  <w:marTop w:val="0"/>
                                  <w:marBottom w:val="0"/>
                                  <w:divBdr>
                                    <w:top w:val="none" w:sz="0" w:space="0" w:color="auto"/>
                                    <w:left w:val="none" w:sz="0" w:space="0" w:color="auto"/>
                                    <w:bottom w:val="none" w:sz="0" w:space="0" w:color="auto"/>
                                    <w:right w:val="none" w:sz="0" w:space="0" w:color="auto"/>
                                  </w:divBdr>
                                  <w:divsChild>
                                    <w:div w:id="2066710375">
                                      <w:marLeft w:val="0"/>
                                      <w:marRight w:val="0"/>
                                      <w:marTop w:val="0"/>
                                      <w:marBottom w:val="0"/>
                                      <w:divBdr>
                                        <w:top w:val="none" w:sz="0" w:space="0" w:color="auto"/>
                                        <w:left w:val="none" w:sz="0" w:space="0" w:color="auto"/>
                                        <w:bottom w:val="none" w:sz="0" w:space="0" w:color="auto"/>
                                        <w:right w:val="none" w:sz="0" w:space="0" w:color="auto"/>
                                      </w:divBdr>
                                      <w:divsChild>
                                        <w:div w:id="1941909687">
                                          <w:marLeft w:val="0"/>
                                          <w:marRight w:val="0"/>
                                          <w:marTop w:val="0"/>
                                          <w:marBottom w:val="0"/>
                                          <w:divBdr>
                                            <w:top w:val="none" w:sz="0" w:space="0" w:color="auto"/>
                                            <w:left w:val="none" w:sz="0" w:space="0" w:color="auto"/>
                                            <w:bottom w:val="none" w:sz="0" w:space="0" w:color="auto"/>
                                            <w:right w:val="none" w:sz="0" w:space="0" w:color="auto"/>
                                          </w:divBdr>
                                          <w:divsChild>
                                            <w:div w:id="355618764">
                                              <w:marLeft w:val="0"/>
                                              <w:marRight w:val="0"/>
                                              <w:marTop w:val="0"/>
                                              <w:marBottom w:val="0"/>
                                              <w:divBdr>
                                                <w:top w:val="none" w:sz="0" w:space="0" w:color="auto"/>
                                                <w:left w:val="none" w:sz="0" w:space="0" w:color="auto"/>
                                                <w:bottom w:val="none" w:sz="0" w:space="0" w:color="auto"/>
                                                <w:right w:val="none" w:sz="0" w:space="0" w:color="auto"/>
                                              </w:divBdr>
                                              <w:divsChild>
                                                <w:div w:id="433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763738">
      <w:bodyDiv w:val="1"/>
      <w:marLeft w:val="0"/>
      <w:marRight w:val="0"/>
      <w:marTop w:val="0"/>
      <w:marBottom w:val="0"/>
      <w:divBdr>
        <w:top w:val="none" w:sz="0" w:space="0" w:color="auto"/>
        <w:left w:val="none" w:sz="0" w:space="0" w:color="auto"/>
        <w:bottom w:val="none" w:sz="0" w:space="0" w:color="auto"/>
        <w:right w:val="none" w:sz="0" w:space="0" w:color="auto"/>
      </w:divBdr>
      <w:divsChild>
        <w:div w:id="25297769">
          <w:marLeft w:val="0"/>
          <w:marRight w:val="0"/>
          <w:marTop w:val="0"/>
          <w:marBottom w:val="0"/>
          <w:divBdr>
            <w:top w:val="none" w:sz="0" w:space="0" w:color="auto"/>
            <w:left w:val="none" w:sz="0" w:space="0" w:color="auto"/>
            <w:bottom w:val="none" w:sz="0" w:space="0" w:color="auto"/>
            <w:right w:val="none" w:sz="0" w:space="0" w:color="auto"/>
          </w:divBdr>
          <w:divsChild>
            <w:div w:id="393816527">
              <w:marLeft w:val="0"/>
              <w:marRight w:val="0"/>
              <w:marTop w:val="0"/>
              <w:marBottom w:val="0"/>
              <w:divBdr>
                <w:top w:val="none" w:sz="0" w:space="0" w:color="auto"/>
                <w:left w:val="none" w:sz="0" w:space="0" w:color="auto"/>
                <w:bottom w:val="none" w:sz="0" w:space="0" w:color="auto"/>
                <w:right w:val="none" w:sz="0" w:space="0" w:color="auto"/>
              </w:divBdr>
              <w:divsChild>
                <w:div w:id="1199858272">
                  <w:marLeft w:val="0"/>
                  <w:marRight w:val="0"/>
                  <w:marTop w:val="0"/>
                  <w:marBottom w:val="0"/>
                  <w:divBdr>
                    <w:top w:val="none" w:sz="0" w:space="0" w:color="auto"/>
                    <w:left w:val="none" w:sz="0" w:space="0" w:color="auto"/>
                    <w:bottom w:val="none" w:sz="0" w:space="0" w:color="auto"/>
                    <w:right w:val="none" w:sz="0" w:space="0" w:color="auto"/>
                  </w:divBdr>
                  <w:divsChild>
                    <w:div w:id="968971430">
                      <w:marLeft w:val="150"/>
                      <w:marRight w:val="150"/>
                      <w:marTop w:val="0"/>
                      <w:marBottom w:val="192"/>
                      <w:divBdr>
                        <w:top w:val="single" w:sz="6" w:space="0" w:color="F0F0F0"/>
                        <w:left w:val="single" w:sz="6" w:space="0" w:color="F0F0F0"/>
                        <w:bottom w:val="single" w:sz="6" w:space="0" w:color="F0F0F0"/>
                        <w:right w:val="single" w:sz="6" w:space="0" w:color="F0F0F0"/>
                      </w:divBdr>
                    </w:div>
                    <w:div w:id="1751268900">
                      <w:marLeft w:val="0"/>
                      <w:marRight w:val="0"/>
                      <w:marTop w:val="0"/>
                      <w:marBottom w:val="0"/>
                      <w:divBdr>
                        <w:top w:val="none" w:sz="0" w:space="0" w:color="auto"/>
                        <w:left w:val="none" w:sz="0" w:space="0" w:color="auto"/>
                        <w:bottom w:val="none" w:sz="0" w:space="0" w:color="auto"/>
                        <w:right w:val="none" w:sz="0" w:space="0" w:color="auto"/>
                      </w:divBdr>
                      <w:divsChild>
                        <w:div w:id="155877364">
                          <w:marLeft w:val="0"/>
                          <w:marRight w:val="0"/>
                          <w:marTop w:val="0"/>
                          <w:marBottom w:val="0"/>
                          <w:divBdr>
                            <w:top w:val="none" w:sz="0" w:space="0" w:color="auto"/>
                            <w:left w:val="none" w:sz="0" w:space="0" w:color="auto"/>
                            <w:bottom w:val="none" w:sz="0" w:space="0" w:color="auto"/>
                            <w:right w:val="none" w:sz="0" w:space="0" w:color="auto"/>
                          </w:divBdr>
                          <w:divsChild>
                            <w:div w:id="1609581236">
                              <w:marLeft w:val="0"/>
                              <w:marRight w:val="0"/>
                              <w:marTop w:val="0"/>
                              <w:marBottom w:val="0"/>
                              <w:divBdr>
                                <w:top w:val="none" w:sz="0" w:space="0" w:color="auto"/>
                                <w:left w:val="none" w:sz="0" w:space="0" w:color="auto"/>
                                <w:bottom w:val="none" w:sz="0" w:space="0" w:color="auto"/>
                                <w:right w:val="none" w:sz="0" w:space="0" w:color="auto"/>
                              </w:divBdr>
                              <w:divsChild>
                                <w:div w:id="1663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4262">
                      <w:marLeft w:val="150"/>
                      <w:marRight w:val="150"/>
                      <w:marTop w:val="0"/>
                      <w:marBottom w:val="0"/>
                      <w:divBdr>
                        <w:top w:val="none" w:sz="0" w:space="0" w:color="auto"/>
                        <w:left w:val="none" w:sz="0" w:space="0" w:color="auto"/>
                        <w:bottom w:val="none" w:sz="0" w:space="0" w:color="auto"/>
                        <w:right w:val="none" w:sz="0" w:space="0" w:color="auto"/>
                      </w:divBdr>
                      <w:divsChild>
                        <w:div w:id="1102800293">
                          <w:marLeft w:val="0"/>
                          <w:marRight w:val="0"/>
                          <w:marTop w:val="0"/>
                          <w:marBottom w:val="0"/>
                          <w:divBdr>
                            <w:top w:val="none" w:sz="0" w:space="0" w:color="auto"/>
                            <w:left w:val="none" w:sz="0" w:space="0" w:color="auto"/>
                            <w:bottom w:val="none" w:sz="0" w:space="0" w:color="auto"/>
                            <w:right w:val="none" w:sz="0" w:space="0" w:color="auto"/>
                          </w:divBdr>
                          <w:divsChild>
                            <w:div w:id="1284073711">
                              <w:marLeft w:val="0"/>
                              <w:marRight w:val="0"/>
                              <w:marTop w:val="0"/>
                              <w:marBottom w:val="240"/>
                              <w:divBdr>
                                <w:top w:val="none" w:sz="0" w:space="0" w:color="auto"/>
                                <w:left w:val="none" w:sz="0" w:space="0" w:color="auto"/>
                                <w:bottom w:val="none" w:sz="0" w:space="0" w:color="auto"/>
                                <w:right w:val="none" w:sz="0" w:space="0" w:color="auto"/>
                              </w:divBdr>
                              <w:divsChild>
                                <w:div w:id="1111167690">
                                  <w:marLeft w:val="0"/>
                                  <w:marRight w:val="0"/>
                                  <w:marTop w:val="0"/>
                                  <w:marBottom w:val="0"/>
                                  <w:divBdr>
                                    <w:top w:val="none" w:sz="0" w:space="0" w:color="auto"/>
                                    <w:left w:val="none" w:sz="0" w:space="0" w:color="auto"/>
                                    <w:bottom w:val="none" w:sz="0" w:space="0" w:color="auto"/>
                                    <w:right w:val="none" w:sz="0" w:space="0" w:color="auto"/>
                                  </w:divBdr>
                                  <w:divsChild>
                                    <w:div w:id="1639532280">
                                      <w:marLeft w:val="0"/>
                                      <w:marRight w:val="0"/>
                                      <w:marTop w:val="0"/>
                                      <w:marBottom w:val="0"/>
                                      <w:divBdr>
                                        <w:top w:val="none" w:sz="0" w:space="0" w:color="auto"/>
                                        <w:left w:val="none" w:sz="0" w:space="0" w:color="auto"/>
                                        <w:bottom w:val="none" w:sz="0" w:space="0" w:color="auto"/>
                                        <w:right w:val="none" w:sz="0" w:space="0" w:color="auto"/>
                                      </w:divBdr>
                                      <w:divsChild>
                                        <w:div w:id="1328248789">
                                          <w:marLeft w:val="0"/>
                                          <w:marRight w:val="0"/>
                                          <w:marTop w:val="0"/>
                                          <w:marBottom w:val="0"/>
                                          <w:divBdr>
                                            <w:top w:val="none" w:sz="0" w:space="0" w:color="auto"/>
                                            <w:left w:val="none" w:sz="0" w:space="0" w:color="auto"/>
                                            <w:bottom w:val="none" w:sz="0" w:space="0" w:color="auto"/>
                                            <w:right w:val="none" w:sz="0" w:space="0" w:color="auto"/>
                                          </w:divBdr>
                                          <w:divsChild>
                                            <w:div w:id="1721780421">
                                              <w:marLeft w:val="0"/>
                                              <w:marRight w:val="0"/>
                                              <w:marTop w:val="0"/>
                                              <w:marBottom w:val="0"/>
                                              <w:divBdr>
                                                <w:top w:val="none" w:sz="0" w:space="0" w:color="auto"/>
                                                <w:left w:val="none" w:sz="0" w:space="0" w:color="auto"/>
                                                <w:bottom w:val="none" w:sz="0" w:space="0" w:color="auto"/>
                                                <w:right w:val="none" w:sz="0" w:space="0" w:color="auto"/>
                                              </w:divBdr>
                                              <w:divsChild>
                                                <w:div w:id="598876385">
                                                  <w:marLeft w:val="0"/>
                                                  <w:marRight w:val="0"/>
                                                  <w:marTop w:val="0"/>
                                                  <w:marBottom w:val="0"/>
                                                  <w:divBdr>
                                                    <w:top w:val="none" w:sz="0" w:space="0" w:color="auto"/>
                                                    <w:left w:val="none" w:sz="0" w:space="0" w:color="auto"/>
                                                    <w:bottom w:val="none" w:sz="0" w:space="0" w:color="auto"/>
                                                    <w:right w:val="none" w:sz="0" w:space="0" w:color="auto"/>
                                                  </w:divBdr>
                                                  <w:divsChild>
                                                    <w:div w:id="1835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1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8322</Characters>
  <Application>Microsoft Office Word</Application>
  <DocSecurity>0</DocSecurity>
  <Lines>693</Lines>
  <Paragraphs>406</Paragraphs>
  <ScaleCrop>false</ScaleCrop>
  <Company>DEWHA</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A14100</dc:creator>
  <cp:lastModifiedBy>Gibson, Vikki</cp:lastModifiedBy>
  <cp:revision>3</cp:revision>
  <dcterms:created xsi:type="dcterms:W3CDTF">2015-06-24T00:35:00Z</dcterms:created>
  <dcterms:modified xsi:type="dcterms:W3CDTF">2015-06-24T00:35:00Z</dcterms:modified>
</cp:coreProperties>
</file>