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B7" w:rsidRPr="00756CB7" w:rsidRDefault="00756CB7" w:rsidP="00756CB7">
      <w:pPr>
        <w:tabs>
          <w:tab w:val="center" w:pos="4513"/>
          <w:tab w:val="right" w:pos="9026"/>
        </w:tabs>
        <w:spacing w:before="0" w:after="120"/>
        <w:rPr>
          <w:rFonts w:cs="Arial"/>
          <w:b/>
          <w:color w:val="51626F" w:themeColor="accent1"/>
          <w:sz w:val="32"/>
          <w:szCs w:val="32"/>
        </w:rPr>
      </w:pPr>
      <w:r w:rsidRPr="00756CB7">
        <w:rPr>
          <w:noProof/>
          <w:color w:val="51626F" w:themeColor="accent1"/>
          <w:sz w:val="18"/>
          <w:szCs w:val="18"/>
          <w:lang w:eastAsia="en-AU"/>
        </w:rPr>
        <w:drawing>
          <wp:inline distT="0" distB="0" distL="0" distR="0" wp14:anchorId="417F1E5F" wp14:editId="44BCEC77">
            <wp:extent cx="1524000" cy="904875"/>
            <wp:effectExtent l="0" t="0" r="0" b="9525"/>
            <wp:docPr id="1" name="Picture 1" descr="logo_100x48mm-300dpi-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00x48mm-300dpi-BW"/>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2381" b="29104"/>
                    <a:stretch/>
                  </pic:blipFill>
                  <pic:spPr bwMode="auto">
                    <a:xfrm>
                      <a:off x="0" y="0"/>
                      <a:ext cx="1524000" cy="904875"/>
                    </a:xfrm>
                    <a:prstGeom prst="rect">
                      <a:avLst/>
                    </a:prstGeom>
                    <a:noFill/>
                    <a:ln>
                      <a:noFill/>
                    </a:ln>
                    <a:extLst>
                      <a:ext uri="{53640926-AAD7-44D8-BBD7-CCE9431645EC}">
                        <a14:shadowObscured xmlns:a14="http://schemas.microsoft.com/office/drawing/2010/main"/>
                      </a:ext>
                    </a:extLst>
                  </pic:spPr>
                </pic:pic>
              </a:graphicData>
            </a:graphic>
          </wp:inline>
        </w:drawing>
      </w:r>
    </w:p>
    <w:p w:rsidR="00756CB7" w:rsidRPr="00756CB7" w:rsidRDefault="00756CB7" w:rsidP="00756CB7">
      <w:pPr>
        <w:tabs>
          <w:tab w:val="center" w:pos="4513"/>
          <w:tab w:val="right" w:pos="9026"/>
        </w:tabs>
        <w:spacing w:after="120"/>
        <w:rPr>
          <w:rFonts w:cs="Arial"/>
          <w:b/>
          <w:color w:val="51626F" w:themeColor="accent1"/>
          <w:sz w:val="18"/>
          <w:szCs w:val="24"/>
        </w:rPr>
      </w:pPr>
    </w:p>
    <w:p w:rsidR="00756CB7" w:rsidRPr="00756CB7" w:rsidRDefault="00756CB7" w:rsidP="00756CB7">
      <w:pPr>
        <w:tabs>
          <w:tab w:val="center" w:pos="4513"/>
          <w:tab w:val="right" w:pos="9026"/>
        </w:tabs>
        <w:spacing w:after="120"/>
        <w:rPr>
          <w:rFonts w:cs="Arial"/>
          <w:b/>
          <w:i/>
          <w:sz w:val="32"/>
          <w:szCs w:val="32"/>
        </w:rPr>
      </w:pPr>
      <w:r w:rsidRPr="00756CB7">
        <w:rPr>
          <w:rFonts w:cs="Arial"/>
          <w:b/>
          <w:i/>
          <w:sz w:val="32"/>
          <w:szCs w:val="32"/>
        </w:rPr>
        <w:t>Consumer Goods (Bean Bags) Safety Standard Amendment 2015</w:t>
      </w:r>
    </w:p>
    <w:p w:rsidR="00756CB7" w:rsidRPr="00756CB7" w:rsidRDefault="00756CB7" w:rsidP="00756CB7">
      <w:pPr>
        <w:tabs>
          <w:tab w:val="center" w:pos="4513"/>
          <w:tab w:val="right" w:pos="9026"/>
        </w:tabs>
        <w:spacing w:after="120"/>
        <w:rPr>
          <w:rFonts w:cs="Arial"/>
          <w:i/>
          <w:color w:val="51626F" w:themeColor="accent1"/>
          <w:sz w:val="28"/>
        </w:rPr>
      </w:pPr>
    </w:p>
    <w:p w:rsidR="00756CB7" w:rsidRPr="00756CB7" w:rsidRDefault="00756CB7" w:rsidP="00756CB7">
      <w:pPr>
        <w:tabs>
          <w:tab w:val="center" w:pos="4513"/>
          <w:tab w:val="right" w:pos="9026"/>
        </w:tabs>
        <w:spacing w:after="120"/>
        <w:rPr>
          <w:rFonts w:cs="Arial"/>
          <w:b/>
          <w:sz w:val="28"/>
          <w:szCs w:val="28"/>
        </w:rPr>
      </w:pPr>
      <w:r w:rsidRPr="00756CB7">
        <w:rPr>
          <w:rFonts w:cs="Arial"/>
          <w:b/>
          <w:sz w:val="28"/>
          <w:szCs w:val="28"/>
        </w:rPr>
        <w:t>Consumer Protection Notice No.4 of 2015</w:t>
      </w:r>
    </w:p>
    <w:p w:rsidR="00756CB7" w:rsidRPr="00756CB7" w:rsidRDefault="00756CB7" w:rsidP="00756CB7">
      <w:pPr>
        <w:tabs>
          <w:tab w:val="center" w:pos="4513"/>
          <w:tab w:val="right" w:pos="9026"/>
        </w:tabs>
        <w:spacing w:after="120"/>
        <w:rPr>
          <w:rFonts w:cs="Arial"/>
          <w:i/>
          <w:color w:val="51626F" w:themeColor="accent1"/>
          <w:sz w:val="28"/>
        </w:rPr>
      </w:pPr>
    </w:p>
    <w:p w:rsidR="00756CB7" w:rsidRPr="00756CB7" w:rsidRDefault="00756CB7" w:rsidP="00756CB7">
      <w:pPr>
        <w:tabs>
          <w:tab w:val="center" w:pos="4513"/>
          <w:tab w:val="right" w:pos="9026"/>
        </w:tabs>
        <w:spacing w:after="120"/>
        <w:rPr>
          <w:rFonts w:cs="Arial"/>
          <w:i/>
          <w:sz w:val="28"/>
        </w:rPr>
      </w:pPr>
      <w:r w:rsidRPr="00756CB7">
        <w:rPr>
          <w:rFonts w:cs="Arial"/>
          <w:i/>
          <w:sz w:val="28"/>
        </w:rPr>
        <w:t>Competition and Consumer Act 2010</w:t>
      </w:r>
      <w:r w:rsidRPr="00756CB7">
        <w:rPr>
          <w:rFonts w:cs="Arial"/>
          <w:i/>
          <w:sz w:val="28"/>
        </w:rPr>
        <w:br/>
        <w:t>___________________________________________________</w:t>
      </w:r>
    </w:p>
    <w:p w:rsidR="00756CB7" w:rsidRPr="00756CB7" w:rsidRDefault="00756CB7" w:rsidP="00756CB7">
      <w:pPr>
        <w:spacing w:before="240" w:after="200" w:line="276" w:lineRule="auto"/>
        <w:rPr>
          <w:rFonts w:cs="Arial"/>
        </w:rPr>
      </w:pPr>
      <w:r w:rsidRPr="00756CB7">
        <w:rPr>
          <w:rFonts w:cs="Arial"/>
        </w:rPr>
        <w:t xml:space="preserve">I, BRUCE BILLSON, Minister for Small Business, make the following regulation. </w:t>
      </w:r>
    </w:p>
    <w:p w:rsidR="00756CB7" w:rsidRPr="00756CB7" w:rsidRDefault="00756CB7" w:rsidP="00756CB7">
      <w:pPr>
        <w:spacing w:after="200" w:line="276" w:lineRule="auto"/>
        <w:rPr>
          <w:rFonts w:cs="Arial"/>
        </w:rPr>
      </w:pPr>
      <w:r w:rsidRPr="00756CB7">
        <w:rPr>
          <w:rFonts w:cs="Arial"/>
        </w:rPr>
        <w:t>DATED</w:t>
      </w:r>
      <w:r w:rsidRPr="00756CB7">
        <w:rPr>
          <w:rFonts w:cs="Arial"/>
        </w:rPr>
        <w:tab/>
      </w:r>
      <w:r w:rsidR="00DD26C5">
        <w:rPr>
          <w:rFonts w:cs="Arial"/>
        </w:rPr>
        <w:t>6</w:t>
      </w:r>
      <w:r w:rsidR="00DD26C5" w:rsidRPr="00DD26C5">
        <w:rPr>
          <w:rFonts w:cs="Arial"/>
          <w:vertAlign w:val="superscript"/>
        </w:rPr>
        <w:t>th</w:t>
      </w:r>
      <w:r w:rsidR="00DD26C5">
        <w:rPr>
          <w:rFonts w:cs="Arial"/>
        </w:rPr>
        <w:t xml:space="preserve"> of July</w:t>
      </w:r>
      <w:r w:rsidRPr="00756CB7">
        <w:rPr>
          <w:rFonts w:cs="Arial"/>
        </w:rPr>
        <w:tab/>
        <w:t>2015</w:t>
      </w:r>
    </w:p>
    <w:p w:rsidR="00756CB7" w:rsidRPr="00756CB7" w:rsidRDefault="00756CB7" w:rsidP="00756CB7">
      <w:pPr>
        <w:spacing w:after="200" w:line="276" w:lineRule="auto"/>
        <w:rPr>
          <w:rFonts w:cs="Arial"/>
          <w:b/>
        </w:rPr>
      </w:pPr>
    </w:p>
    <w:p w:rsidR="00756CB7" w:rsidRPr="00756CB7" w:rsidRDefault="00756CB7" w:rsidP="00756CB7">
      <w:pPr>
        <w:spacing w:after="200" w:line="276" w:lineRule="auto"/>
        <w:rPr>
          <w:rFonts w:cs="Arial"/>
        </w:rPr>
      </w:pPr>
      <w:bookmarkStart w:id="0" w:name="_GoBack"/>
      <w:bookmarkEnd w:id="0"/>
    </w:p>
    <w:p w:rsidR="00756CB7" w:rsidRPr="00756CB7" w:rsidRDefault="00756CB7" w:rsidP="00756CB7">
      <w:pPr>
        <w:spacing w:after="200" w:line="276" w:lineRule="auto"/>
        <w:rPr>
          <w:rFonts w:cs="Arial"/>
          <w:b/>
        </w:rPr>
      </w:pPr>
    </w:p>
    <w:p w:rsidR="00756CB7" w:rsidRPr="00756CB7" w:rsidRDefault="00756CB7" w:rsidP="00756CB7">
      <w:pPr>
        <w:pBdr>
          <w:bottom w:val="single" w:sz="12" w:space="1" w:color="auto"/>
        </w:pBdr>
        <w:spacing w:after="200" w:line="276" w:lineRule="auto"/>
        <w:rPr>
          <w:rFonts w:cs="Arial"/>
        </w:rPr>
      </w:pPr>
      <w:r w:rsidRPr="00756CB7">
        <w:rPr>
          <w:rFonts w:cs="Arial"/>
        </w:rPr>
        <w:t>BRUCE BILLSON</w:t>
      </w:r>
      <w:r w:rsidRPr="00756CB7">
        <w:rPr>
          <w:rFonts w:cs="Arial"/>
        </w:rPr>
        <w:br/>
        <w:t>Minister for Small Business</w:t>
      </w:r>
    </w:p>
    <w:p w:rsidR="00756CB7" w:rsidRPr="00756CB7" w:rsidRDefault="00756CB7" w:rsidP="00756CB7">
      <w:pPr>
        <w:rPr>
          <w:sz w:val="20"/>
          <w:szCs w:val="20"/>
          <w:highlight w:val="yellow"/>
        </w:rPr>
      </w:pPr>
    </w:p>
    <w:p w:rsidR="00756CB7" w:rsidRPr="00756CB7" w:rsidRDefault="00756CB7" w:rsidP="00756CB7">
      <w:pPr>
        <w:spacing w:before="520"/>
        <w:contextualSpacing/>
        <w:outlineLvl w:val="1"/>
        <w:rPr>
          <w:rFonts w:ascii="Lucida Fax" w:eastAsia="Times New Roman" w:hAnsi="Lucida Fax" w:cs="Times New Roman"/>
          <w:color w:val="51626F"/>
          <w:sz w:val="28"/>
          <w:szCs w:val="28"/>
          <w:lang w:val="en-GB" w:eastAsia="en-AU"/>
        </w:rPr>
      </w:pPr>
    </w:p>
    <w:p w:rsidR="00756CB7" w:rsidRPr="00756CB7" w:rsidRDefault="00756CB7" w:rsidP="00756CB7">
      <w:pPr>
        <w:spacing w:before="520"/>
        <w:contextualSpacing/>
        <w:outlineLvl w:val="1"/>
        <w:rPr>
          <w:rFonts w:ascii="Lucida Fax" w:eastAsia="Times New Roman" w:hAnsi="Lucida Fax" w:cs="Times New Roman"/>
          <w:color w:val="51626F"/>
          <w:sz w:val="28"/>
          <w:szCs w:val="28"/>
          <w:lang w:val="en-GB" w:eastAsia="en-AU"/>
        </w:rPr>
      </w:pPr>
    </w:p>
    <w:p w:rsidR="00756CB7" w:rsidRPr="00756CB7" w:rsidRDefault="00756CB7" w:rsidP="00756CB7">
      <w:pPr>
        <w:spacing w:before="520"/>
        <w:contextualSpacing/>
        <w:outlineLvl w:val="1"/>
        <w:rPr>
          <w:rFonts w:ascii="Lucida Fax" w:eastAsia="Times New Roman" w:hAnsi="Lucida Fax" w:cs="Times New Roman"/>
          <w:color w:val="51626F"/>
          <w:sz w:val="28"/>
          <w:szCs w:val="28"/>
          <w:lang w:val="en-GB" w:eastAsia="en-AU"/>
        </w:rPr>
      </w:pPr>
    </w:p>
    <w:p w:rsidR="00756CB7" w:rsidRPr="00756CB7" w:rsidRDefault="00756CB7" w:rsidP="00756CB7">
      <w:pPr>
        <w:spacing w:before="520"/>
        <w:contextualSpacing/>
        <w:outlineLvl w:val="1"/>
        <w:rPr>
          <w:rFonts w:ascii="Lucida Fax" w:eastAsia="Times New Roman" w:hAnsi="Lucida Fax" w:cs="Times New Roman"/>
          <w:color w:val="51626F"/>
          <w:sz w:val="28"/>
          <w:szCs w:val="28"/>
          <w:lang w:val="en-GB" w:eastAsia="en-AU"/>
        </w:rPr>
      </w:pPr>
    </w:p>
    <w:p w:rsidR="00756CB7" w:rsidRPr="00756CB7" w:rsidRDefault="00756CB7" w:rsidP="00756CB7">
      <w:pPr>
        <w:spacing w:before="520"/>
        <w:contextualSpacing/>
        <w:outlineLvl w:val="1"/>
        <w:rPr>
          <w:rFonts w:ascii="Lucida Fax" w:eastAsia="Times New Roman" w:hAnsi="Lucida Fax" w:cs="Times New Roman"/>
          <w:color w:val="51626F"/>
          <w:sz w:val="28"/>
          <w:szCs w:val="28"/>
          <w:lang w:val="en-GB" w:eastAsia="en-AU"/>
        </w:rPr>
      </w:pPr>
    </w:p>
    <w:p w:rsidR="00756CB7" w:rsidRPr="00756CB7" w:rsidRDefault="00756CB7" w:rsidP="00756CB7">
      <w:pPr>
        <w:spacing w:after="200" w:line="276" w:lineRule="auto"/>
        <w:rPr>
          <w:rFonts w:ascii="Lucida Fax" w:hAnsi="Lucida Fax"/>
          <w:color w:val="51626F"/>
          <w:sz w:val="28"/>
          <w:szCs w:val="28"/>
        </w:rPr>
      </w:pPr>
    </w:p>
    <w:p w:rsidR="00756CB7" w:rsidRPr="00756CB7" w:rsidRDefault="00756CB7" w:rsidP="00756CB7">
      <w:pPr>
        <w:spacing w:before="0" w:after="200" w:line="276" w:lineRule="auto"/>
        <w:rPr>
          <w:rFonts w:ascii="Lucida Fax" w:hAnsi="Lucida Fax"/>
          <w:b/>
          <w:color w:val="51626F"/>
          <w:sz w:val="24"/>
          <w:szCs w:val="24"/>
        </w:rPr>
      </w:pPr>
      <w:bookmarkStart w:id="1" w:name="_Toc369089036"/>
    </w:p>
    <w:p w:rsidR="00756CB7" w:rsidRPr="00756CB7" w:rsidRDefault="00756CB7" w:rsidP="00756CB7">
      <w:pPr>
        <w:spacing w:before="0" w:after="200" w:line="276" w:lineRule="auto"/>
        <w:rPr>
          <w:rFonts w:ascii="Lucida Fax" w:hAnsi="Lucida Fax"/>
          <w:b/>
          <w:color w:val="51626F"/>
          <w:sz w:val="24"/>
          <w:szCs w:val="24"/>
        </w:rPr>
      </w:pPr>
    </w:p>
    <w:p w:rsidR="00756CB7" w:rsidRPr="00756CB7" w:rsidRDefault="00756CB7" w:rsidP="00756CB7">
      <w:pPr>
        <w:rPr>
          <w:rFonts w:ascii="Lucida Fax" w:hAnsi="Lucida Fax"/>
          <w:b/>
          <w:color w:val="51626F"/>
          <w:sz w:val="24"/>
          <w:szCs w:val="24"/>
        </w:rPr>
      </w:pPr>
      <w:r w:rsidRPr="00756CB7">
        <w:rPr>
          <w:rFonts w:ascii="Lucida Fax" w:hAnsi="Lucida Fax"/>
          <w:b/>
          <w:color w:val="51626F"/>
          <w:sz w:val="24"/>
          <w:szCs w:val="24"/>
        </w:rPr>
        <w:br w:type="page"/>
      </w:r>
    </w:p>
    <w:p w:rsidR="00756CB7" w:rsidRPr="00756CB7" w:rsidRDefault="00756CB7" w:rsidP="00756CB7">
      <w:pPr>
        <w:numPr>
          <w:ilvl w:val="0"/>
          <w:numId w:val="28"/>
        </w:numPr>
        <w:spacing w:before="0" w:line="360" w:lineRule="auto"/>
        <w:rPr>
          <w:rFonts w:ascii="Lucida Fax" w:hAnsi="Lucida Fax"/>
          <w:b/>
          <w:color w:val="51626F"/>
          <w:sz w:val="24"/>
          <w:szCs w:val="24"/>
        </w:rPr>
      </w:pPr>
      <w:r w:rsidRPr="00756CB7">
        <w:rPr>
          <w:rFonts w:asciiTheme="minorHAnsi" w:hAnsiTheme="minorHAnsi" w:cstheme="minorHAnsi"/>
          <w:b/>
          <w:sz w:val="24"/>
          <w:szCs w:val="24"/>
        </w:rPr>
        <w:lastRenderedPageBreak/>
        <w:t xml:space="preserve">Name </w:t>
      </w:r>
      <w:r w:rsidRPr="00756CB7">
        <w:rPr>
          <w:rFonts w:cs="Arial"/>
          <w:b/>
          <w:sz w:val="24"/>
          <w:szCs w:val="24"/>
        </w:rPr>
        <w:t>of regulation</w:t>
      </w:r>
      <w:bookmarkEnd w:id="1"/>
    </w:p>
    <w:p w:rsidR="00756CB7" w:rsidRPr="00756CB7" w:rsidRDefault="00756CB7" w:rsidP="00756CB7">
      <w:pPr>
        <w:spacing w:before="0"/>
        <w:rPr>
          <w:rFonts w:asciiTheme="minorHAnsi" w:hAnsiTheme="minorHAnsi" w:cstheme="minorHAnsi"/>
          <w:sz w:val="24"/>
          <w:szCs w:val="24"/>
        </w:rPr>
      </w:pPr>
      <w:r w:rsidRPr="00756CB7">
        <w:rPr>
          <w:rFonts w:asciiTheme="minorHAnsi" w:hAnsiTheme="minorHAnsi" w:cstheme="minorHAnsi"/>
          <w:sz w:val="24"/>
          <w:szCs w:val="24"/>
        </w:rPr>
        <w:t xml:space="preserve">This regulation is the </w:t>
      </w:r>
      <w:r w:rsidRPr="00756CB7">
        <w:rPr>
          <w:rFonts w:asciiTheme="minorHAnsi" w:hAnsiTheme="minorHAnsi" w:cstheme="minorHAnsi"/>
          <w:i/>
          <w:sz w:val="24"/>
          <w:szCs w:val="24"/>
        </w:rPr>
        <w:t>Consumer Goods (Bean Bags) Safety Standard Amendment 2015</w:t>
      </w:r>
      <w:r w:rsidRPr="00756CB7">
        <w:rPr>
          <w:rFonts w:asciiTheme="minorHAnsi" w:hAnsiTheme="minorHAnsi" w:cstheme="minorHAnsi"/>
          <w:sz w:val="24"/>
          <w:szCs w:val="24"/>
        </w:rPr>
        <w:t>.</w:t>
      </w:r>
    </w:p>
    <w:p w:rsidR="00756CB7" w:rsidRPr="00756CB7" w:rsidRDefault="00756CB7" w:rsidP="00756CB7">
      <w:pPr>
        <w:spacing w:before="0"/>
        <w:rPr>
          <w:rFonts w:asciiTheme="minorHAnsi" w:hAnsiTheme="minorHAnsi" w:cstheme="minorHAnsi"/>
          <w:b/>
          <w:sz w:val="24"/>
          <w:szCs w:val="24"/>
        </w:rPr>
      </w:pPr>
    </w:p>
    <w:p w:rsidR="00756CB7" w:rsidRPr="00756CB7" w:rsidRDefault="00756CB7" w:rsidP="00756CB7">
      <w:pPr>
        <w:numPr>
          <w:ilvl w:val="0"/>
          <w:numId w:val="28"/>
        </w:numPr>
        <w:spacing w:before="0" w:line="360" w:lineRule="auto"/>
        <w:rPr>
          <w:rFonts w:asciiTheme="minorHAnsi" w:hAnsiTheme="minorHAnsi" w:cstheme="minorHAnsi"/>
          <w:b/>
          <w:sz w:val="24"/>
          <w:szCs w:val="24"/>
        </w:rPr>
      </w:pPr>
      <w:r w:rsidRPr="00756CB7">
        <w:rPr>
          <w:rFonts w:asciiTheme="minorHAnsi" w:hAnsiTheme="minorHAnsi" w:cstheme="minorHAnsi"/>
          <w:b/>
          <w:sz w:val="24"/>
          <w:szCs w:val="24"/>
        </w:rPr>
        <w:t>Commencement</w:t>
      </w:r>
    </w:p>
    <w:p w:rsidR="00756CB7" w:rsidRPr="00756CB7" w:rsidRDefault="00756CB7" w:rsidP="00756CB7">
      <w:pPr>
        <w:spacing w:before="0"/>
        <w:rPr>
          <w:rFonts w:asciiTheme="minorHAnsi" w:hAnsiTheme="minorHAnsi" w:cstheme="minorHAnsi"/>
          <w:sz w:val="24"/>
          <w:szCs w:val="24"/>
        </w:rPr>
      </w:pPr>
      <w:r w:rsidRPr="00756CB7">
        <w:rPr>
          <w:rFonts w:asciiTheme="minorHAnsi" w:hAnsiTheme="minorHAnsi" w:cstheme="minorHAnsi"/>
          <w:sz w:val="24"/>
          <w:szCs w:val="24"/>
        </w:rPr>
        <w:t>This regulation commences on the day it is registered on the Federal Register of Legislative Instruments.</w:t>
      </w:r>
    </w:p>
    <w:p w:rsidR="00756CB7" w:rsidRPr="00756CB7" w:rsidRDefault="00756CB7" w:rsidP="00756CB7">
      <w:pPr>
        <w:spacing w:before="0"/>
        <w:rPr>
          <w:rFonts w:asciiTheme="minorHAnsi" w:hAnsiTheme="minorHAnsi" w:cstheme="minorHAnsi"/>
          <w:sz w:val="24"/>
          <w:szCs w:val="24"/>
        </w:rPr>
      </w:pPr>
      <w:r w:rsidRPr="00756CB7">
        <w:rPr>
          <w:rFonts w:asciiTheme="minorHAnsi" w:hAnsiTheme="minorHAnsi" w:cstheme="minorHAnsi"/>
          <w:sz w:val="24"/>
          <w:szCs w:val="24"/>
        </w:rPr>
        <w:t xml:space="preserve"> </w:t>
      </w:r>
    </w:p>
    <w:p w:rsidR="00756CB7" w:rsidRPr="00756CB7" w:rsidRDefault="00756CB7" w:rsidP="00756CB7">
      <w:pPr>
        <w:numPr>
          <w:ilvl w:val="0"/>
          <w:numId w:val="28"/>
        </w:numPr>
        <w:spacing w:before="0" w:line="360" w:lineRule="auto"/>
        <w:rPr>
          <w:rFonts w:asciiTheme="minorHAnsi" w:hAnsiTheme="minorHAnsi" w:cstheme="minorHAnsi"/>
          <w:b/>
          <w:sz w:val="24"/>
          <w:szCs w:val="24"/>
        </w:rPr>
      </w:pPr>
      <w:r w:rsidRPr="00756CB7">
        <w:rPr>
          <w:rFonts w:asciiTheme="minorHAnsi" w:hAnsiTheme="minorHAnsi" w:cstheme="minorHAnsi"/>
          <w:b/>
          <w:sz w:val="24"/>
          <w:szCs w:val="24"/>
        </w:rPr>
        <w:t>Application</w:t>
      </w:r>
    </w:p>
    <w:p w:rsidR="00756CB7" w:rsidRPr="00756CB7" w:rsidRDefault="00756CB7" w:rsidP="00756CB7">
      <w:pPr>
        <w:spacing w:before="0"/>
        <w:rPr>
          <w:rFonts w:asciiTheme="minorHAnsi" w:hAnsiTheme="minorHAnsi" w:cstheme="minorHAnsi"/>
          <w:sz w:val="24"/>
          <w:szCs w:val="24"/>
        </w:rPr>
      </w:pPr>
      <w:r w:rsidRPr="00756CB7">
        <w:rPr>
          <w:rFonts w:asciiTheme="minorHAnsi" w:hAnsiTheme="minorHAnsi" w:cstheme="minorHAnsi"/>
          <w:sz w:val="24"/>
          <w:szCs w:val="24"/>
        </w:rPr>
        <w:t xml:space="preserve">This regulation amends the </w:t>
      </w:r>
      <w:r w:rsidRPr="00756CB7">
        <w:rPr>
          <w:rFonts w:asciiTheme="minorHAnsi" w:hAnsiTheme="minorHAnsi" w:cstheme="minorHAnsi"/>
          <w:i/>
          <w:sz w:val="24"/>
          <w:szCs w:val="24"/>
        </w:rPr>
        <w:t>Consumer Goods (Bean Bags) Safety Standard 2014</w:t>
      </w:r>
      <w:r w:rsidRPr="00756CB7">
        <w:rPr>
          <w:rFonts w:asciiTheme="minorHAnsi" w:hAnsiTheme="minorHAnsi" w:cstheme="minorHAnsi"/>
          <w:sz w:val="24"/>
          <w:szCs w:val="24"/>
        </w:rPr>
        <w:t>.</w:t>
      </w:r>
    </w:p>
    <w:p w:rsidR="00756CB7" w:rsidRPr="00756CB7" w:rsidRDefault="00756CB7" w:rsidP="00756CB7">
      <w:pPr>
        <w:spacing w:before="0"/>
        <w:rPr>
          <w:rFonts w:asciiTheme="minorHAnsi" w:hAnsiTheme="minorHAnsi" w:cstheme="minorHAnsi"/>
          <w:i/>
          <w:sz w:val="24"/>
          <w:szCs w:val="24"/>
        </w:rPr>
      </w:pPr>
    </w:p>
    <w:p w:rsidR="00756CB7" w:rsidRPr="00756CB7" w:rsidRDefault="00756CB7" w:rsidP="00756CB7">
      <w:pPr>
        <w:numPr>
          <w:ilvl w:val="0"/>
          <w:numId w:val="28"/>
        </w:numPr>
        <w:spacing w:before="0" w:line="360" w:lineRule="auto"/>
        <w:rPr>
          <w:rFonts w:asciiTheme="minorHAnsi" w:hAnsiTheme="minorHAnsi" w:cstheme="minorHAnsi"/>
          <w:b/>
          <w:sz w:val="24"/>
          <w:szCs w:val="24"/>
        </w:rPr>
      </w:pPr>
      <w:r w:rsidRPr="00756CB7">
        <w:rPr>
          <w:rFonts w:asciiTheme="minorHAnsi" w:hAnsiTheme="minorHAnsi" w:cstheme="minorHAnsi"/>
          <w:b/>
          <w:sz w:val="24"/>
          <w:szCs w:val="24"/>
        </w:rPr>
        <w:t>Authority</w:t>
      </w:r>
    </w:p>
    <w:p w:rsidR="00756CB7" w:rsidRPr="00756CB7" w:rsidRDefault="00756CB7" w:rsidP="00756CB7">
      <w:pPr>
        <w:spacing w:before="0" w:line="276" w:lineRule="auto"/>
        <w:rPr>
          <w:rFonts w:asciiTheme="minorHAnsi" w:hAnsiTheme="minorHAnsi" w:cstheme="minorHAnsi"/>
          <w:sz w:val="24"/>
          <w:szCs w:val="24"/>
        </w:rPr>
      </w:pPr>
      <w:r w:rsidRPr="00756CB7">
        <w:rPr>
          <w:rFonts w:asciiTheme="minorHAnsi" w:hAnsiTheme="minorHAnsi" w:cstheme="minorHAnsi"/>
          <w:sz w:val="24"/>
          <w:szCs w:val="24"/>
        </w:rPr>
        <w:t xml:space="preserve">This regulation is made under the </w:t>
      </w:r>
      <w:r w:rsidRPr="00756CB7">
        <w:rPr>
          <w:rFonts w:asciiTheme="minorHAnsi" w:hAnsiTheme="minorHAnsi" w:cstheme="minorHAnsi"/>
          <w:i/>
          <w:sz w:val="24"/>
          <w:szCs w:val="24"/>
        </w:rPr>
        <w:t>Competition and Consumer Act 2010.</w:t>
      </w:r>
    </w:p>
    <w:p w:rsidR="00756CB7" w:rsidRPr="00756CB7" w:rsidRDefault="00756CB7" w:rsidP="00756CB7">
      <w:pPr>
        <w:spacing w:before="0"/>
        <w:rPr>
          <w:rFonts w:asciiTheme="minorHAnsi" w:hAnsiTheme="minorHAnsi" w:cstheme="minorHAnsi"/>
          <w:b/>
          <w:sz w:val="24"/>
          <w:szCs w:val="24"/>
        </w:rPr>
      </w:pPr>
    </w:p>
    <w:p w:rsidR="00756CB7" w:rsidRPr="00756CB7" w:rsidRDefault="00756CB7" w:rsidP="00756CB7">
      <w:pPr>
        <w:numPr>
          <w:ilvl w:val="0"/>
          <w:numId w:val="28"/>
        </w:numPr>
        <w:spacing w:before="0" w:line="360" w:lineRule="auto"/>
        <w:rPr>
          <w:rFonts w:asciiTheme="minorHAnsi" w:hAnsiTheme="minorHAnsi" w:cstheme="minorHAnsi"/>
          <w:b/>
          <w:sz w:val="24"/>
          <w:szCs w:val="24"/>
        </w:rPr>
      </w:pPr>
      <w:r w:rsidRPr="00756CB7">
        <w:rPr>
          <w:rFonts w:asciiTheme="minorHAnsi" w:hAnsiTheme="minorHAnsi" w:cstheme="minorHAnsi"/>
          <w:b/>
          <w:sz w:val="24"/>
          <w:szCs w:val="24"/>
        </w:rPr>
        <w:t>Schedules</w:t>
      </w:r>
    </w:p>
    <w:p w:rsidR="00756CB7" w:rsidRPr="00756CB7" w:rsidRDefault="00756CB7" w:rsidP="00756CB7">
      <w:pPr>
        <w:spacing w:before="0"/>
        <w:rPr>
          <w:rFonts w:asciiTheme="minorHAnsi" w:hAnsiTheme="minorHAnsi" w:cstheme="minorHAnsi"/>
          <w:sz w:val="24"/>
          <w:szCs w:val="24"/>
        </w:rPr>
      </w:pPr>
      <w:r w:rsidRPr="00756CB7">
        <w:rPr>
          <w:rFonts w:asciiTheme="minorHAnsi" w:hAnsiTheme="minorHAnsi" w:cstheme="minorHAnsi"/>
          <w:sz w:val="24"/>
          <w:szCs w:val="24"/>
        </w:rPr>
        <w:t>Each instrument that is specified in a Schedule to this instrument is amended or repealed as set out in the applicable items in the Schedule concerned, and any other item in a Schedule to this instrument has effect according to its terms.</w:t>
      </w:r>
    </w:p>
    <w:p w:rsidR="00756CB7" w:rsidRPr="00756CB7" w:rsidRDefault="00756CB7" w:rsidP="00756CB7">
      <w:pPr>
        <w:spacing w:before="0" w:line="276" w:lineRule="auto"/>
        <w:rPr>
          <w:rFonts w:asciiTheme="minorHAnsi" w:hAnsiTheme="minorHAnsi" w:cstheme="minorHAnsi"/>
          <w:sz w:val="24"/>
          <w:szCs w:val="24"/>
        </w:rPr>
      </w:pPr>
      <w:bookmarkStart w:id="2" w:name="_Toc369089040"/>
    </w:p>
    <w:p w:rsidR="00756CB7" w:rsidRPr="00756CB7" w:rsidRDefault="00756CB7" w:rsidP="00756CB7">
      <w:pPr>
        <w:spacing w:before="0" w:after="200" w:line="276" w:lineRule="auto"/>
        <w:jc w:val="center"/>
        <w:rPr>
          <w:rFonts w:asciiTheme="minorHAnsi" w:hAnsiTheme="minorHAnsi" w:cstheme="minorHAnsi"/>
          <w:b/>
          <w:sz w:val="24"/>
          <w:szCs w:val="24"/>
        </w:rPr>
      </w:pPr>
      <w:r w:rsidRPr="00756CB7">
        <w:rPr>
          <w:rFonts w:asciiTheme="minorHAnsi" w:hAnsiTheme="minorHAnsi" w:cstheme="minorHAnsi"/>
          <w:b/>
          <w:sz w:val="24"/>
          <w:szCs w:val="24"/>
        </w:rPr>
        <w:t>Schedule 1—Amendments</w:t>
      </w:r>
      <w:bookmarkEnd w:id="2"/>
    </w:p>
    <w:p w:rsidR="00756CB7" w:rsidRPr="00756CB7" w:rsidRDefault="00756CB7" w:rsidP="00756CB7">
      <w:pPr>
        <w:numPr>
          <w:ilvl w:val="0"/>
          <w:numId w:val="29"/>
        </w:numPr>
        <w:spacing w:before="120" w:after="200" w:line="276" w:lineRule="auto"/>
        <w:rPr>
          <w:rFonts w:asciiTheme="minorHAnsi" w:hAnsiTheme="minorHAnsi" w:cstheme="minorHAnsi"/>
          <w:b/>
          <w:sz w:val="24"/>
          <w:szCs w:val="24"/>
        </w:rPr>
      </w:pPr>
      <w:r w:rsidRPr="00756CB7">
        <w:rPr>
          <w:rFonts w:asciiTheme="minorHAnsi" w:hAnsiTheme="minorHAnsi" w:cstheme="minorHAnsi"/>
          <w:b/>
          <w:sz w:val="24"/>
          <w:szCs w:val="24"/>
        </w:rPr>
        <w:t>Part 1 - Preliminary (Paragraph 2 (‘Commencement’))</w:t>
      </w:r>
    </w:p>
    <w:p w:rsidR="00756CB7" w:rsidRPr="00756CB7" w:rsidRDefault="00756CB7" w:rsidP="00756CB7">
      <w:pPr>
        <w:spacing w:after="200" w:line="276" w:lineRule="auto"/>
        <w:ind w:left="360"/>
        <w:rPr>
          <w:rFonts w:asciiTheme="minorHAnsi" w:hAnsiTheme="minorHAnsi" w:cstheme="minorHAnsi"/>
          <w:sz w:val="24"/>
          <w:szCs w:val="24"/>
        </w:rPr>
      </w:pPr>
      <w:r w:rsidRPr="00756CB7">
        <w:rPr>
          <w:rFonts w:asciiTheme="minorHAnsi" w:hAnsiTheme="minorHAnsi" w:cstheme="minorHAnsi"/>
          <w:sz w:val="24"/>
          <w:szCs w:val="24"/>
        </w:rPr>
        <w:t xml:space="preserve">Delete ‘This safety standard commences on 1 January 2016’ </w:t>
      </w:r>
    </w:p>
    <w:p w:rsidR="00756CB7" w:rsidRPr="00756CB7" w:rsidRDefault="00756CB7" w:rsidP="00756CB7">
      <w:pPr>
        <w:spacing w:after="200" w:line="276" w:lineRule="auto"/>
        <w:ind w:left="360"/>
        <w:rPr>
          <w:rFonts w:asciiTheme="minorHAnsi" w:hAnsiTheme="minorHAnsi" w:cstheme="minorHAnsi"/>
          <w:sz w:val="24"/>
          <w:szCs w:val="24"/>
        </w:rPr>
      </w:pPr>
      <w:r w:rsidRPr="00756CB7">
        <w:rPr>
          <w:rFonts w:asciiTheme="minorHAnsi" w:hAnsiTheme="minorHAnsi" w:cstheme="minorHAnsi"/>
          <w:sz w:val="24"/>
          <w:szCs w:val="24"/>
        </w:rPr>
        <w:t>Insert:</w:t>
      </w:r>
    </w:p>
    <w:p w:rsidR="00756CB7" w:rsidRPr="00756CB7" w:rsidRDefault="00756CB7" w:rsidP="00756CB7">
      <w:pPr>
        <w:autoSpaceDE w:val="0"/>
        <w:autoSpaceDN w:val="0"/>
        <w:ind w:left="720"/>
        <w:rPr>
          <w:sz w:val="24"/>
          <w:szCs w:val="24"/>
        </w:rPr>
      </w:pPr>
      <w:r w:rsidRPr="00756CB7">
        <w:rPr>
          <w:sz w:val="24"/>
          <w:szCs w:val="24"/>
        </w:rPr>
        <w:t>‘(1)</w:t>
      </w:r>
      <w:r w:rsidRPr="00756CB7">
        <w:t xml:space="preserve"> </w:t>
      </w:r>
      <w:r w:rsidRPr="00756CB7">
        <w:rPr>
          <w:sz w:val="24"/>
          <w:szCs w:val="24"/>
        </w:rPr>
        <w:t xml:space="preserve">This safety standard commences on the date that the </w:t>
      </w:r>
      <w:r w:rsidRPr="00756CB7">
        <w:rPr>
          <w:i/>
          <w:sz w:val="24"/>
          <w:szCs w:val="24"/>
        </w:rPr>
        <w:t>Consumer Goods (Bean Bags) Safety Standard Amendment</w:t>
      </w:r>
      <w:r w:rsidRPr="00756CB7">
        <w:rPr>
          <w:sz w:val="24"/>
          <w:szCs w:val="24"/>
        </w:rPr>
        <w:t xml:space="preserve"> 2015 is registered on the Federal Register of Legislative Instruments</w:t>
      </w:r>
    </w:p>
    <w:p w:rsidR="00756CB7" w:rsidRPr="00756CB7" w:rsidRDefault="00756CB7" w:rsidP="00756CB7">
      <w:pPr>
        <w:autoSpaceDE w:val="0"/>
        <w:autoSpaceDN w:val="0"/>
        <w:ind w:firstLine="720"/>
        <w:rPr>
          <w:sz w:val="24"/>
          <w:szCs w:val="24"/>
        </w:rPr>
      </w:pPr>
      <w:r w:rsidRPr="00756CB7">
        <w:rPr>
          <w:sz w:val="24"/>
          <w:szCs w:val="24"/>
        </w:rPr>
        <w:t>(2) If:</w:t>
      </w:r>
    </w:p>
    <w:p w:rsidR="00756CB7" w:rsidRPr="00756CB7" w:rsidRDefault="00756CB7" w:rsidP="00756CB7">
      <w:pPr>
        <w:autoSpaceDE w:val="0"/>
        <w:autoSpaceDN w:val="0"/>
        <w:ind w:left="720"/>
        <w:rPr>
          <w:sz w:val="24"/>
          <w:szCs w:val="24"/>
        </w:rPr>
      </w:pPr>
      <w:r w:rsidRPr="00756CB7">
        <w:rPr>
          <w:sz w:val="24"/>
          <w:szCs w:val="24"/>
        </w:rPr>
        <w:t xml:space="preserve">(a) a bean bag or bean bag cover is supplied during the period from the commencement date of the </w:t>
      </w:r>
      <w:r w:rsidRPr="00756CB7">
        <w:rPr>
          <w:i/>
          <w:sz w:val="24"/>
          <w:szCs w:val="24"/>
        </w:rPr>
        <w:t xml:space="preserve">Consumer Goods (Bean Bags) Safety Amendment </w:t>
      </w:r>
      <w:r w:rsidRPr="00756CB7">
        <w:rPr>
          <w:sz w:val="24"/>
          <w:szCs w:val="24"/>
        </w:rPr>
        <w:t>2015 to 30 June 2016; and</w:t>
      </w:r>
    </w:p>
    <w:p w:rsidR="00756CB7" w:rsidRPr="00756CB7" w:rsidRDefault="00756CB7" w:rsidP="00756CB7">
      <w:pPr>
        <w:autoSpaceDE w:val="0"/>
        <w:autoSpaceDN w:val="0"/>
        <w:ind w:left="720"/>
        <w:rPr>
          <w:sz w:val="24"/>
          <w:szCs w:val="24"/>
        </w:rPr>
      </w:pPr>
      <w:r w:rsidRPr="00756CB7">
        <w:rPr>
          <w:sz w:val="24"/>
          <w:szCs w:val="24"/>
        </w:rPr>
        <w:t xml:space="preserve">(b) the bean bag or bean bag cover complies with the safety standard for bean bags made under section 104(1) of the Australian Consumer Law on 1 January 2011 by reason of Item 4 of Schedule 7 of the </w:t>
      </w:r>
      <w:r w:rsidRPr="00756CB7">
        <w:rPr>
          <w:i/>
          <w:sz w:val="24"/>
          <w:szCs w:val="24"/>
        </w:rPr>
        <w:t xml:space="preserve">Trade Practices Amendment </w:t>
      </w:r>
      <w:r w:rsidRPr="00756CB7">
        <w:rPr>
          <w:sz w:val="24"/>
          <w:szCs w:val="24"/>
        </w:rPr>
        <w:t xml:space="preserve"> </w:t>
      </w:r>
      <w:r w:rsidRPr="00756CB7">
        <w:rPr>
          <w:i/>
          <w:sz w:val="24"/>
          <w:szCs w:val="24"/>
        </w:rPr>
        <w:t>(Australian Consumer Law) Act (No.2) 2010</w:t>
      </w:r>
      <w:r w:rsidRPr="00756CB7">
        <w:rPr>
          <w:sz w:val="24"/>
          <w:szCs w:val="24"/>
        </w:rPr>
        <w:t xml:space="preserve"> (the existing standard) </w:t>
      </w:r>
      <w:r w:rsidRPr="00756CB7">
        <w:rPr>
          <w:i/>
          <w:sz w:val="24"/>
          <w:szCs w:val="24"/>
          <w:vertAlign w:val="superscript"/>
        </w:rPr>
        <w:footnoteReference w:id="1"/>
      </w:r>
      <w:r w:rsidRPr="00756CB7">
        <w:rPr>
          <w:sz w:val="24"/>
          <w:szCs w:val="24"/>
        </w:rPr>
        <w:t xml:space="preserve">; </w:t>
      </w:r>
    </w:p>
    <w:p w:rsidR="00756CB7" w:rsidRPr="00756CB7" w:rsidRDefault="00756CB7" w:rsidP="00756CB7">
      <w:pPr>
        <w:autoSpaceDE w:val="0"/>
        <w:autoSpaceDN w:val="0"/>
        <w:ind w:left="720"/>
        <w:rPr>
          <w:sz w:val="24"/>
          <w:szCs w:val="24"/>
        </w:rPr>
      </w:pPr>
      <w:proofErr w:type="gramStart"/>
      <w:r w:rsidRPr="00756CB7">
        <w:rPr>
          <w:sz w:val="24"/>
          <w:szCs w:val="24"/>
        </w:rPr>
        <w:t>the</w:t>
      </w:r>
      <w:proofErr w:type="gramEnd"/>
      <w:r w:rsidRPr="00756CB7">
        <w:rPr>
          <w:sz w:val="24"/>
          <w:szCs w:val="24"/>
        </w:rPr>
        <w:t xml:space="preserve"> bean bag or bean bag cover is taken to comply with the requirements of this standard.</w:t>
      </w:r>
    </w:p>
    <w:p w:rsidR="00756CB7" w:rsidRPr="00756CB7" w:rsidRDefault="00756CB7" w:rsidP="00756CB7">
      <w:pPr>
        <w:autoSpaceDE w:val="0"/>
        <w:autoSpaceDN w:val="0"/>
        <w:ind w:left="1440"/>
      </w:pPr>
      <w:r w:rsidRPr="00756CB7">
        <w:lastRenderedPageBreak/>
        <w:t>Note: There will be two systems of regulation for bean bags and bean bag covers in operation in the period from the commencement date of this standard to 30 June 2016:</w:t>
      </w:r>
    </w:p>
    <w:p w:rsidR="00756CB7" w:rsidRPr="00756CB7" w:rsidRDefault="00756CB7" w:rsidP="00756CB7">
      <w:pPr>
        <w:autoSpaceDE w:val="0"/>
        <w:autoSpaceDN w:val="0"/>
        <w:ind w:left="720" w:firstLine="720"/>
      </w:pPr>
      <w:r w:rsidRPr="00756CB7">
        <w:t xml:space="preserve">(a) </w:t>
      </w:r>
      <w:proofErr w:type="gramStart"/>
      <w:r w:rsidRPr="00756CB7">
        <w:t>the</w:t>
      </w:r>
      <w:proofErr w:type="gramEnd"/>
      <w:r w:rsidRPr="00756CB7">
        <w:t xml:space="preserve"> system set out in this standard; and</w:t>
      </w:r>
    </w:p>
    <w:p w:rsidR="00756CB7" w:rsidRPr="00756CB7" w:rsidRDefault="00756CB7" w:rsidP="00756CB7">
      <w:pPr>
        <w:autoSpaceDE w:val="0"/>
        <w:autoSpaceDN w:val="0"/>
        <w:ind w:left="1440"/>
      </w:pPr>
      <w:r w:rsidRPr="00756CB7">
        <w:t xml:space="preserve">(b) </w:t>
      </w:r>
      <w:proofErr w:type="gramStart"/>
      <w:r w:rsidRPr="00756CB7">
        <w:t>the</w:t>
      </w:r>
      <w:proofErr w:type="gramEnd"/>
      <w:r w:rsidRPr="00756CB7">
        <w:t xml:space="preserve"> system set out in the existing standard.</w:t>
      </w:r>
    </w:p>
    <w:p w:rsidR="00756CB7" w:rsidRPr="00756CB7" w:rsidRDefault="00756CB7" w:rsidP="00756CB7">
      <w:pPr>
        <w:autoSpaceDE w:val="0"/>
        <w:autoSpaceDN w:val="0"/>
        <w:ind w:left="1440"/>
      </w:pPr>
      <w:r w:rsidRPr="00756CB7">
        <w:t>During that period, suppliers of bean bags or bean bag covers that were subject to the existing standard may continue to supply bean bags or bean bag covers in compliance with that standard, or may supply bean bags or bean bag covers in compliance with this standard.</w:t>
      </w:r>
    </w:p>
    <w:p w:rsidR="00756CB7" w:rsidRPr="00756CB7" w:rsidRDefault="00756CB7" w:rsidP="00756CB7">
      <w:pPr>
        <w:autoSpaceDE w:val="0"/>
        <w:autoSpaceDN w:val="0"/>
        <w:ind w:left="1440"/>
      </w:pPr>
      <w:r w:rsidRPr="00756CB7">
        <w:t>From 1 July 2016, all bean bags and bean bag covers must comply with this standard.</w:t>
      </w:r>
    </w:p>
    <w:p w:rsidR="00756CB7" w:rsidRPr="00756CB7" w:rsidRDefault="00756CB7" w:rsidP="00756CB7">
      <w:pPr>
        <w:autoSpaceDE w:val="0"/>
        <w:autoSpaceDN w:val="0"/>
        <w:spacing w:before="0"/>
        <w:rPr>
          <w:sz w:val="24"/>
          <w:szCs w:val="24"/>
        </w:rPr>
      </w:pPr>
    </w:p>
    <w:p w:rsidR="00756CB7" w:rsidRPr="00756CB7" w:rsidRDefault="00756CB7" w:rsidP="00756CB7">
      <w:pPr>
        <w:numPr>
          <w:ilvl w:val="0"/>
          <w:numId w:val="29"/>
        </w:numPr>
        <w:autoSpaceDE w:val="0"/>
        <w:autoSpaceDN w:val="0"/>
        <w:spacing w:before="120"/>
        <w:rPr>
          <w:b/>
          <w:sz w:val="24"/>
          <w:szCs w:val="24"/>
        </w:rPr>
      </w:pPr>
      <w:r w:rsidRPr="00756CB7">
        <w:rPr>
          <w:b/>
          <w:sz w:val="24"/>
          <w:szCs w:val="24"/>
        </w:rPr>
        <w:t>Part 2 – Safety Requirements (Paragraph 8(1) – Warning message requirements):</w:t>
      </w:r>
    </w:p>
    <w:p w:rsidR="00756CB7" w:rsidRPr="00756CB7" w:rsidRDefault="00756CB7" w:rsidP="00756CB7">
      <w:pPr>
        <w:autoSpaceDE w:val="0"/>
        <w:autoSpaceDN w:val="0"/>
        <w:ind w:firstLine="360"/>
        <w:rPr>
          <w:sz w:val="24"/>
          <w:szCs w:val="24"/>
        </w:rPr>
      </w:pPr>
      <w:r w:rsidRPr="00756CB7">
        <w:rPr>
          <w:sz w:val="24"/>
          <w:szCs w:val="24"/>
        </w:rPr>
        <w:t>Delete ‘a label or notice in the following form:’</w:t>
      </w:r>
    </w:p>
    <w:p w:rsidR="00756CB7" w:rsidRPr="00756CB7" w:rsidRDefault="00756CB7" w:rsidP="00756CB7">
      <w:pPr>
        <w:autoSpaceDE w:val="0"/>
        <w:autoSpaceDN w:val="0"/>
        <w:spacing w:before="0"/>
        <w:ind w:firstLine="360"/>
        <w:rPr>
          <w:sz w:val="24"/>
          <w:szCs w:val="24"/>
        </w:rPr>
      </w:pPr>
    </w:p>
    <w:p w:rsidR="00756CB7" w:rsidRPr="00756CB7" w:rsidRDefault="00756CB7" w:rsidP="00756CB7">
      <w:pPr>
        <w:autoSpaceDE w:val="0"/>
        <w:autoSpaceDN w:val="0"/>
        <w:spacing w:before="0"/>
        <w:ind w:firstLine="360"/>
        <w:rPr>
          <w:sz w:val="24"/>
          <w:szCs w:val="24"/>
        </w:rPr>
      </w:pPr>
      <w:r w:rsidRPr="00756CB7">
        <w:rPr>
          <w:sz w:val="24"/>
          <w:szCs w:val="24"/>
        </w:rPr>
        <w:t>Insert ‘a warning label stating:’</w:t>
      </w:r>
    </w:p>
    <w:p w:rsidR="00756CB7" w:rsidRPr="00756CB7" w:rsidRDefault="00756CB7" w:rsidP="00756CB7">
      <w:pPr>
        <w:autoSpaceDE w:val="0"/>
        <w:autoSpaceDN w:val="0"/>
        <w:spacing w:before="0"/>
        <w:rPr>
          <w:sz w:val="24"/>
          <w:szCs w:val="24"/>
        </w:rPr>
      </w:pPr>
    </w:p>
    <w:p w:rsidR="00756CB7" w:rsidRPr="00756CB7" w:rsidRDefault="00756CB7" w:rsidP="00756CB7">
      <w:pPr>
        <w:numPr>
          <w:ilvl w:val="0"/>
          <w:numId w:val="29"/>
        </w:numPr>
        <w:autoSpaceDE w:val="0"/>
        <w:autoSpaceDN w:val="0"/>
        <w:spacing w:before="0"/>
        <w:rPr>
          <w:b/>
          <w:sz w:val="24"/>
          <w:szCs w:val="24"/>
        </w:rPr>
      </w:pPr>
      <w:r w:rsidRPr="00756CB7">
        <w:rPr>
          <w:b/>
          <w:sz w:val="24"/>
          <w:szCs w:val="24"/>
        </w:rPr>
        <w:t>Paragraph 9 – Child resistance requirements:</w:t>
      </w:r>
    </w:p>
    <w:p w:rsidR="00756CB7" w:rsidRPr="00756CB7" w:rsidRDefault="00756CB7" w:rsidP="00756CB7">
      <w:pPr>
        <w:autoSpaceDE w:val="0"/>
        <w:autoSpaceDN w:val="0"/>
        <w:spacing w:before="0"/>
        <w:ind w:left="360"/>
        <w:rPr>
          <w:sz w:val="24"/>
          <w:szCs w:val="24"/>
        </w:rPr>
      </w:pPr>
    </w:p>
    <w:p w:rsidR="00756CB7" w:rsidRPr="00756CB7" w:rsidRDefault="00756CB7" w:rsidP="00756CB7">
      <w:pPr>
        <w:autoSpaceDE w:val="0"/>
        <w:autoSpaceDN w:val="0"/>
        <w:adjustRightInd w:val="0"/>
        <w:spacing w:before="0" w:line="276" w:lineRule="auto"/>
        <w:ind w:left="357"/>
        <w:contextualSpacing/>
        <w:rPr>
          <w:rFonts w:cs="Arial"/>
          <w:sz w:val="24"/>
          <w:szCs w:val="24"/>
        </w:rPr>
      </w:pPr>
      <w:r w:rsidRPr="00756CB7">
        <w:rPr>
          <w:sz w:val="24"/>
          <w:szCs w:val="24"/>
        </w:rPr>
        <w:t>Delete paragraph 9(2) – ‘</w:t>
      </w:r>
      <w:r w:rsidRPr="00756CB7">
        <w:rPr>
          <w:rFonts w:cs="Arial"/>
          <w:sz w:val="24"/>
          <w:szCs w:val="24"/>
        </w:rPr>
        <w:t>If a bean bag or bean bag cover has more than one slide-fastener, each such slide-fastener shall be child-resistant.’</w:t>
      </w:r>
    </w:p>
    <w:p w:rsidR="00756CB7" w:rsidRPr="00756CB7" w:rsidRDefault="00756CB7" w:rsidP="00756CB7">
      <w:pPr>
        <w:autoSpaceDE w:val="0"/>
        <w:autoSpaceDN w:val="0"/>
        <w:adjustRightInd w:val="0"/>
        <w:spacing w:before="0" w:line="276" w:lineRule="auto"/>
        <w:ind w:left="357"/>
        <w:contextualSpacing/>
        <w:rPr>
          <w:rFonts w:cs="Arial"/>
          <w:sz w:val="24"/>
          <w:szCs w:val="24"/>
        </w:rPr>
      </w:pPr>
    </w:p>
    <w:p w:rsidR="00756CB7" w:rsidRPr="00756CB7" w:rsidRDefault="00756CB7" w:rsidP="00756CB7">
      <w:pPr>
        <w:autoSpaceDE w:val="0"/>
        <w:autoSpaceDN w:val="0"/>
        <w:adjustRightInd w:val="0"/>
        <w:spacing w:before="0" w:line="276" w:lineRule="auto"/>
        <w:ind w:left="357"/>
        <w:contextualSpacing/>
        <w:rPr>
          <w:rFonts w:cs="Arial"/>
          <w:sz w:val="24"/>
          <w:szCs w:val="24"/>
        </w:rPr>
      </w:pPr>
    </w:p>
    <w:p w:rsidR="00756CB7" w:rsidRPr="00756CB7" w:rsidRDefault="00756CB7" w:rsidP="00756CB7">
      <w:pPr>
        <w:autoSpaceDE w:val="0"/>
        <w:autoSpaceDN w:val="0"/>
        <w:adjustRightInd w:val="0"/>
        <w:spacing w:before="0" w:line="276" w:lineRule="auto"/>
        <w:ind w:left="357"/>
        <w:contextualSpacing/>
        <w:rPr>
          <w:rFonts w:cs="Arial"/>
          <w:sz w:val="24"/>
          <w:szCs w:val="24"/>
        </w:rPr>
      </w:pPr>
    </w:p>
    <w:p w:rsidR="00756CB7" w:rsidRPr="00756CB7" w:rsidRDefault="00756CB7" w:rsidP="00756CB7">
      <w:pPr>
        <w:autoSpaceDE w:val="0"/>
        <w:autoSpaceDN w:val="0"/>
        <w:adjustRightInd w:val="0"/>
        <w:spacing w:before="0" w:line="276" w:lineRule="auto"/>
        <w:ind w:left="357"/>
        <w:contextualSpacing/>
        <w:rPr>
          <w:rFonts w:cs="Arial"/>
          <w:sz w:val="24"/>
          <w:szCs w:val="24"/>
        </w:rPr>
      </w:pPr>
    </w:p>
    <w:p w:rsidR="00756CB7" w:rsidRPr="00756CB7" w:rsidRDefault="00756CB7" w:rsidP="00756CB7">
      <w:pPr>
        <w:autoSpaceDE w:val="0"/>
        <w:autoSpaceDN w:val="0"/>
        <w:adjustRightInd w:val="0"/>
        <w:spacing w:before="0" w:line="276" w:lineRule="auto"/>
        <w:ind w:left="357"/>
        <w:contextualSpacing/>
        <w:rPr>
          <w:rFonts w:cs="Arial"/>
          <w:sz w:val="24"/>
          <w:szCs w:val="24"/>
        </w:rPr>
      </w:pPr>
    </w:p>
    <w:p w:rsidR="00756CB7" w:rsidRPr="00756CB7" w:rsidRDefault="00756CB7" w:rsidP="00756CB7">
      <w:pPr>
        <w:autoSpaceDE w:val="0"/>
        <w:autoSpaceDN w:val="0"/>
        <w:adjustRightInd w:val="0"/>
        <w:spacing w:before="0" w:line="276" w:lineRule="auto"/>
        <w:ind w:left="357"/>
        <w:contextualSpacing/>
        <w:rPr>
          <w:rFonts w:cs="Arial"/>
          <w:sz w:val="24"/>
          <w:szCs w:val="24"/>
        </w:rPr>
      </w:pPr>
    </w:p>
    <w:p w:rsidR="00303C4A" w:rsidRDefault="00303C4A"/>
    <w:sectPr w:rsidR="00303C4A" w:rsidSect="00691616">
      <w:footerReference w:type="firs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CB7" w:rsidRDefault="00756CB7" w:rsidP="004B4412">
      <w:pPr>
        <w:spacing w:before="0"/>
      </w:pPr>
      <w:r>
        <w:separator/>
      </w:r>
    </w:p>
  </w:endnote>
  <w:endnote w:type="continuationSeparator" w:id="0">
    <w:p w:rsidR="00756CB7" w:rsidRDefault="00756CB7"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CB7" w:rsidRDefault="00756CB7" w:rsidP="004B4412">
      <w:pPr>
        <w:spacing w:before="0"/>
      </w:pPr>
      <w:r>
        <w:separator/>
      </w:r>
    </w:p>
  </w:footnote>
  <w:footnote w:type="continuationSeparator" w:id="0">
    <w:p w:rsidR="00756CB7" w:rsidRDefault="00756CB7" w:rsidP="004B4412">
      <w:pPr>
        <w:spacing w:before="0"/>
      </w:pPr>
      <w:r>
        <w:continuationSeparator/>
      </w:r>
    </w:p>
  </w:footnote>
  <w:footnote w:id="1">
    <w:p w:rsidR="00756CB7" w:rsidRDefault="00756CB7" w:rsidP="00756CB7">
      <w:pPr>
        <w:pStyle w:val="FootnoteText"/>
      </w:pPr>
      <w:r>
        <w:rPr>
          <w:rStyle w:val="FootnoteReference"/>
        </w:rPr>
        <w:footnoteRef/>
      </w:r>
      <w:r>
        <w:t xml:space="preserve"> Which contain the same requirements as those which were prescribed as the consumer product safety standard for bean bags for the purposes of section 65C of the Trade Practices Act </w:t>
      </w:r>
      <w:proofErr w:type="gramStart"/>
      <w:r>
        <w:t>1974.</w:t>
      </w:r>
      <w:proofErr w:type="gramEnd"/>
      <w:r>
        <w:t xml:space="preserve"> Those requirements are contained in Regulation 11 of the Trade Practices (Consumer Product Safety Standards) Regulations 1979.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1B87A41"/>
    <w:multiLevelType w:val="hybridMultilevel"/>
    <w:tmpl w:val="4E1029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5D42239"/>
    <w:multiLevelType w:val="hybridMultilevel"/>
    <w:tmpl w:val="E12E6602"/>
    <w:lvl w:ilvl="0" w:tplc="E2EACE7C">
      <w:start w:val="1"/>
      <w:numFmt w:val="decimal"/>
      <w:lvlText w:val="%1."/>
      <w:lvlJc w:val="left"/>
      <w:pPr>
        <w:ind w:left="360" w:hanging="360"/>
      </w:pPr>
      <w:rPr>
        <w:rFonts w:ascii="Arial" w:hAnsi="Arial" w:cs="Arial"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4">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5">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6">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7">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8"/>
  </w:num>
  <w:num w:numId="3">
    <w:abstractNumId w:val="7"/>
  </w:num>
  <w:num w:numId="4">
    <w:abstractNumId w:val="6"/>
  </w:num>
  <w:num w:numId="5">
    <w:abstractNumId w:val="5"/>
  </w:num>
  <w:num w:numId="6">
    <w:abstractNumId w:val="4"/>
  </w:num>
  <w:num w:numId="7">
    <w:abstractNumId w:val="1"/>
  </w:num>
  <w:num w:numId="8">
    <w:abstractNumId w:val="0"/>
  </w:num>
  <w:num w:numId="9">
    <w:abstractNumId w:val="23"/>
  </w:num>
  <w:num w:numId="10">
    <w:abstractNumId w:val="17"/>
  </w:num>
  <w:num w:numId="11">
    <w:abstractNumId w:val="9"/>
  </w:num>
  <w:num w:numId="12">
    <w:abstractNumId w:val="14"/>
  </w:num>
  <w:num w:numId="13">
    <w:abstractNumId w:val="16"/>
  </w:num>
  <w:num w:numId="14">
    <w:abstractNumId w:val="2"/>
  </w:num>
  <w:num w:numId="15">
    <w:abstractNumId w:val="24"/>
  </w:num>
  <w:num w:numId="16">
    <w:abstractNumId w:val="27"/>
  </w:num>
  <w:num w:numId="17">
    <w:abstractNumId w:val="26"/>
  </w:num>
  <w:num w:numId="18">
    <w:abstractNumId w:val="20"/>
  </w:num>
  <w:num w:numId="19">
    <w:abstractNumId w:val="15"/>
  </w:num>
  <w:num w:numId="20">
    <w:abstractNumId w:val="18"/>
  </w:num>
  <w:num w:numId="21">
    <w:abstractNumId w:val="25"/>
  </w:num>
  <w:num w:numId="22">
    <w:abstractNumId w:val="21"/>
  </w:num>
  <w:num w:numId="23">
    <w:abstractNumId w:val="8"/>
  </w:num>
  <w:num w:numId="24">
    <w:abstractNumId w:val="3"/>
  </w:num>
  <w:num w:numId="25">
    <w:abstractNumId w:val="19"/>
  </w:num>
  <w:num w:numId="26">
    <w:abstractNumId w:val="13"/>
  </w:num>
  <w:num w:numId="27">
    <w:abstractNumId w:val="22"/>
  </w:num>
  <w:num w:numId="28">
    <w:abstractNumId w:val="12"/>
  </w:num>
  <w:num w:numId="2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Offline Records (AC)\CPN No 4 Bean Bags Legislative Instrument as agreed by Minister 6 July 2015 DOC.docx"/>
  </w:docVars>
  <w:rsids>
    <w:rsidRoot w:val="00756CB7"/>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1CAF"/>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56CB7"/>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D26C5"/>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0A2-2101-45A1-87E3-46230C79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CBC53151</Template>
  <TotalTime>1</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Scott, Ian</dc:creator>
  <cp:lastModifiedBy>Scott, Ian</cp:lastModifiedBy>
  <cp:revision>3</cp:revision>
  <dcterms:created xsi:type="dcterms:W3CDTF">2015-07-10T05:04:00Z</dcterms:created>
  <dcterms:modified xsi:type="dcterms:W3CDTF">2015-07-10T07:11:00Z</dcterms:modified>
</cp:coreProperties>
</file>