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C7563" w14:textId="77777777" w:rsidR="00EC1558" w:rsidRPr="00F132FC" w:rsidRDefault="00535368">
      <w:pPr>
        <w:rPr>
          <w:rFonts w:ascii="Times New Roman" w:hAnsi="Times New Roman" w:cs="Times New Roman"/>
        </w:rPr>
      </w:pPr>
      <w:r w:rsidRPr="00F132FC">
        <w:rPr>
          <w:rFonts w:ascii="Times New Roman" w:hAnsi="Times New Roman" w:cs="Times New Roman"/>
          <w:noProof/>
          <w:lang w:eastAsia="en-AU"/>
        </w:rPr>
        <w:drawing>
          <wp:inline distT="0" distB="0" distL="0" distR="0" wp14:anchorId="03DFAD8F" wp14:editId="6A2506EA">
            <wp:extent cx="1419225" cy="1104900"/>
            <wp:effectExtent l="0" t="0" r="9525" b="0"/>
            <wp:docPr id="1" name="Picture 1" descr="Commonwealth Coat of Arms"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3F4A04E4" w14:textId="2B62F74F" w:rsidR="00E1241E" w:rsidRDefault="00E1241E" w:rsidP="00E1241E">
      <w:pPr>
        <w:pStyle w:val="Title"/>
        <w:pBdr>
          <w:bottom w:val="single" w:sz="4" w:space="3" w:color="auto"/>
        </w:pBdr>
      </w:pPr>
      <w:r>
        <w:t>Telecommunications (</w:t>
      </w:r>
      <w:r w:rsidR="001E2FB9">
        <w:t xml:space="preserve">Charges) </w:t>
      </w:r>
      <w:r w:rsidR="00464FBC">
        <w:t>Amendment</w:t>
      </w:r>
      <w:r>
        <w:t xml:space="preserve"> Determination 2015</w:t>
      </w:r>
      <w:r w:rsidR="00FB38DB">
        <w:t xml:space="preserve"> (No. 1)</w:t>
      </w:r>
    </w:p>
    <w:p w14:paraId="15AA6BB5" w14:textId="37952727" w:rsidR="00E1241E" w:rsidRDefault="00464FBC" w:rsidP="00E1241E">
      <w:pPr>
        <w:pBdr>
          <w:bottom w:val="single" w:sz="4" w:space="3" w:color="auto"/>
        </w:pBdr>
        <w:spacing w:before="480"/>
        <w:rPr>
          <w:rFonts w:ascii="Arial" w:hAnsi="Arial" w:cs="Arial"/>
          <w:i/>
          <w:sz w:val="28"/>
          <w:szCs w:val="28"/>
          <w:lang w:val="en-US"/>
        </w:rPr>
      </w:pPr>
      <w:r>
        <w:rPr>
          <w:rFonts w:ascii="Arial" w:hAnsi="Arial" w:cs="Arial"/>
          <w:i/>
          <w:sz w:val="28"/>
          <w:szCs w:val="28"/>
          <w:lang w:val="en-US"/>
        </w:rPr>
        <w:t>Australian Communications and Media Authority Act 2005</w:t>
      </w:r>
    </w:p>
    <w:p w14:paraId="45F2C02B" w14:textId="49C9BFD4" w:rsidR="00E1241E" w:rsidRPr="00B8779D" w:rsidRDefault="00E1241E" w:rsidP="00E1241E">
      <w:pPr>
        <w:spacing w:before="360"/>
        <w:jc w:val="both"/>
        <w:rPr>
          <w:rFonts w:ascii="Times New Roman" w:hAnsi="Times New Roman" w:cs="Times New Roman"/>
          <w:sz w:val="24"/>
          <w:szCs w:val="24"/>
        </w:rPr>
      </w:pPr>
      <w:r w:rsidRPr="00B16AAC">
        <w:rPr>
          <w:rFonts w:ascii="Times New Roman" w:hAnsi="Times New Roman" w:cs="Times New Roman"/>
          <w:sz w:val="24"/>
          <w:szCs w:val="24"/>
        </w:rPr>
        <w:t xml:space="preserve">The AUSTRALIAN COMMUNICATIONS AND MEDIA AUTHORITY makes this </w:t>
      </w:r>
      <w:r w:rsidR="001329B5" w:rsidRPr="00B16AAC">
        <w:rPr>
          <w:rFonts w:ascii="Times New Roman" w:hAnsi="Times New Roman" w:cs="Times New Roman"/>
          <w:sz w:val="24"/>
          <w:szCs w:val="24"/>
        </w:rPr>
        <w:t>Determination</w:t>
      </w:r>
      <w:r w:rsidRPr="00B16AAC">
        <w:rPr>
          <w:rFonts w:ascii="Times New Roman" w:hAnsi="Times New Roman" w:cs="Times New Roman"/>
          <w:sz w:val="24"/>
          <w:szCs w:val="24"/>
        </w:rPr>
        <w:t xml:space="preserve"> under subsection </w:t>
      </w:r>
      <w:r w:rsidR="00464FBC" w:rsidRPr="00B16AAC">
        <w:rPr>
          <w:rFonts w:ascii="Times New Roman" w:hAnsi="Times New Roman" w:cs="Times New Roman"/>
          <w:sz w:val="24"/>
          <w:szCs w:val="24"/>
        </w:rPr>
        <w:t>60</w:t>
      </w:r>
      <w:r w:rsidRPr="00B16AAC">
        <w:rPr>
          <w:rFonts w:ascii="Times New Roman" w:hAnsi="Times New Roman" w:cs="Times New Roman"/>
          <w:sz w:val="24"/>
          <w:szCs w:val="24"/>
        </w:rPr>
        <w:t xml:space="preserve"> (1) of the </w:t>
      </w:r>
      <w:r w:rsidR="00464FBC" w:rsidRPr="00B16AAC">
        <w:rPr>
          <w:rFonts w:ascii="Times New Roman" w:hAnsi="Times New Roman" w:cs="Times New Roman"/>
          <w:i/>
          <w:sz w:val="24"/>
          <w:szCs w:val="24"/>
        </w:rPr>
        <w:t>Australian Communications and Media Authority</w:t>
      </w:r>
      <w:r w:rsidRPr="00B16AAC">
        <w:rPr>
          <w:rFonts w:ascii="Times New Roman" w:hAnsi="Times New Roman" w:cs="Times New Roman"/>
          <w:i/>
          <w:sz w:val="24"/>
          <w:szCs w:val="24"/>
        </w:rPr>
        <w:t xml:space="preserve"> Act </w:t>
      </w:r>
      <w:r w:rsidR="00464FBC" w:rsidRPr="00B16AAC">
        <w:rPr>
          <w:rFonts w:ascii="Times New Roman" w:hAnsi="Times New Roman" w:cs="Times New Roman"/>
          <w:i/>
          <w:sz w:val="24"/>
          <w:szCs w:val="24"/>
        </w:rPr>
        <w:t>2005</w:t>
      </w:r>
      <w:r w:rsidRPr="00B16AAC">
        <w:rPr>
          <w:rFonts w:ascii="Times New Roman" w:hAnsi="Times New Roman" w:cs="Times New Roman"/>
          <w:sz w:val="24"/>
          <w:szCs w:val="24"/>
        </w:rPr>
        <w:t>.</w:t>
      </w:r>
    </w:p>
    <w:p w14:paraId="70ED5090" w14:textId="3FA530B2" w:rsidR="00535368" w:rsidRPr="00B16AAC" w:rsidRDefault="00535368" w:rsidP="00F132FC">
      <w:pPr>
        <w:jc w:val="both"/>
        <w:rPr>
          <w:rFonts w:ascii="Times New Roman" w:hAnsi="Times New Roman" w:cs="Times New Roman"/>
          <w:sz w:val="24"/>
          <w:szCs w:val="24"/>
        </w:rPr>
      </w:pPr>
    </w:p>
    <w:p w14:paraId="5B389D2C" w14:textId="3D82701E" w:rsidR="00535368" w:rsidRPr="00B16AAC" w:rsidRDefault="00535368" w:rsidP="00535368">
      <w:pPr>
        <w:tabs>
          <w:tab w:val="left" w:pos="3119"/>
        </w:tabs>
        <w:spacing w:before="300" w:after="600" w:line="300" w:lineRule="atLeast"/>
        <w:rPr>
          <w:rFonts w:ascii="Times New Roman" w:hAnsi="Times New Roman" w:cs="Times New Roman"/>
          <w:sz w:val="24"/>
          <w:szCs w:val="24"/>
        </w:rPr>
      </w:pPr>
      <w:bookmarkStart w:id="0" w:name="Year"/>
      <w:r w:rsidRPr="00B16AAC">
        <w:rPr>
          <w:rFonts w:ascii="Times New Roman" w:hAnsi="Times New Roman" w:cs="Times New Roman"/>
          <w:sz w:val="24"/>
          <w:szCs w:val="24"/>
        </w:rPr>
        <w:t>Dated:</w:t>
      </w:r>
      <w:bookmarkEnd w:id="0"/>
      <w:r w:rsidR="00E95EA8">
        <w:rPr>
          <w:rFonts w:ascii="Times New Roman" w:hAnsi="Times New Roman" w:cs="Times New Roman"/>
          <w:sz w:val="24"/>
          <w:szCs w:val="24"/>
        </w:rPr>
        <w:t xml:space="preserve"> </w:t>
      </w:r>
      <w:r w:rsidR="00E95EA8" w:rsidRPr="00E95EA8">
        <w:rPr>
          <w:rFonts w:ascii="Times New Roman" w:hAnsi="Times New Roman" w:cs="Times New Roman"/>
          <w:i/>
          <w:sz w:val="24"/>
          <w:szCs w:val="24"/>
        </w:rPr>
        <w:t>10</w:t>
      </w:r>
      <w:r w:rsidR="00E95EA8" w:rsidRPr="00E95EA8">
        <w:rPr>
          <w:rFonts w:ascii="Times New Roman" w:hAnsi="Times New Roman" w:cs="Times New Roman"/>
          <w:i/>
          <w:sz w:val="24"/>
          <w:szCs w:val="24"/>
          <w:vertAlign w:val="superscript"/>
        </w:rPr>
        <w:t>th</w:t>
      </w:r>
      <w:r w:rsidR="00E95EA8" w:rsidRPr="00E95EA8">
        <w:rPr>
          <w:rFonts w:ascii="Times New Roman" w:hAnsi="Times New Roman" w:cs="Times New Roman"/>
          <w:i/>
          <w:sz w:val="24"/>
          <w:szCs w:val="24"/>
        </w:rPr>
        <w:t xml:space="preserve"> July 2015</w:t>
      </w:r>
    </w:p>
    <w:p w14:paraId="25F27A60" w14:textId="104ECAF4" w:rsidR="00535368" w:rsidRPr="00B16AAC" w:rsidRDefault="00E95EA8" w:rsidP="0067075F">
      <w:pPr>
        <w:tabs>
          <w:tab w:val="left" w:pos="3119"/>
        </w:tabs>
        <w:spacing w:before="600" w:after="600" w:line="240" w:lineRule="auto"/>
        <w:jc w:val="right"/>
        <w:rPr>
          <w:rFonts w:ascii="Times New Roman" w:hAnsi="Times New Roman" w:cs="Times New Roman"/>
          <w:sz w:val="24"/>
          <w:szCs w:val="24"/>
        </w:rPr>
      </w:pPr>
      <w:r w:rsidRPr="00E95EA8">
        <w:rPr>
          <w:rFonts w:ascii="Times New Roman" w:hAnsi="Times New Roman" w:cs="Times New Roman"/>
          <w:i/>
          <w:sz w:val="24"/>
          <w:szCs w:val="24"/>
        </w:rPr>
        <w:t>Chris Chapman</w:t>
      </w:r>
      <w:r>
        <w:rPr>
          <w:rFonts w:ascii="Times New Roman" w:hAnsi="Times New Roman" w:cs="Times New Roman"/>
          <w:sz w:val="24"/>
          <w:szCs w:val="24"/>
        </w:rPr>
        <w:t xml:space="preserve"> </w:t>
      </w:r>
      <w:r w:rsidR="0067075F">
        <w:rPr>
          <w:rFonts w:ascii="Times New Roman" w:hAnsi="Times New Roman" w:cs="Times New Roman"/>
          <w:sz w:val="24"/>
          <w:szCs w:val="24"/>
        </w:rPr>
        <w:br/>
      </w:r>
      <w:r>
        <w:rPr>
          <w:rFonts w:ascii="Times New Roman" w:hAnsi="Times New Roman" w:cs="Times New Roman"/>
          <w:sz w:val="24"/>
          <w:szCs w:val="24"/>
        </w:rPr>
        <w:t xml:space="preserve">[signed] </w:t>
      </w:r>
      <w:r w:rsidR="0067075F">
        <w:rPr>
          <w:rFonts w:ascii="Times New Roman" w:hAnsi="Times New Roman" w:cs="Times New Roman"/>
          <w:sz w:val="24"/>
          <w:szCs w:val="24"/>
        </w:rPr>
        <w:br/>
      </w:r>
      <w:r w:rsidR="00535368" w:rsidRPr="00B16AAC">
        <w:rPr>
          <w:rFonts w:ascii="Times New Roman" w:hAnsi="Times New Roman" w:cs="Times New Roman"/>
          <w:sz w:val="24"/>
          <w:szCs w:val="24"/>
        </w:rPr>
        <w:t>Member</w:t>
      </w:r>
      <w:bookmarkStart w:id="1" w:name="Minister"/>
    </w:p>
    <w:p w14:paraId="624D8319" w14:textId="61132556" w:rsidR="00535368" w:rsidRPr="00B16AAC" w:rsidRDefault="0067075F" w:rsidP="0067075F">
      <w:pPr>
        <w:tabs>
          <w:tab w:val="left" w:pos="3119"/>
        </w:tabs>
        <w:spacing w:before="600" w:line="240" w:lineRule="auto"/>
        <w:jc w:val="right"/>
        <w:rPr>
          <w:rFonts w:ascii="Times New Roman" w:hAnsi="Times New Roman" w:cs="Times New Roman"/>
          <w:sz w:val="24"/>
          <w:szCs w:val="24"/>
        </w:rPr>
      </w:pPr>
      <w:r>
        <w:rPr>
          <w:rFonts w:ascii="Times New Roman" w:hAnsi="Times New Roman" w:cs="Times New Roman"/>
          <w:i/>
          <w:sz w:val="24"/>
          <w:szCs w:val="24"/>
        </w:rPr>
        <w:t>Richard B</w:t>
      </w:r>
      <w:r w:rsidR="00E95EA8" w:rsidRPr="00E95EA8">
        <w:rPr>
          <w:rFonts w:ascii="Times New Roman" w:hAnsi="Times New Roman" w:cs="Times New Roman"/>
          <w:i/>
          <w:sz w:val="24"/>
          <w:szCs w:val="24"/>
        </w:rPr>
        <w:t>ean</w:t>
      </w:r>
      <w:r w:rsidR="00E95EA8">
        <w:rPr>
          <w:rFonts w:ascii="Times New Roman" w:hAnsi="Times New Roman" w:cs="Times New Roman"/>
          <w:sz w:val="24"/>
          <w:szCs w:val="24"/>
        </w:rPr>
        <w:t xml:space="preserve"> </w:t>
      </w:r>
      <w:r>
        <w:rPr>
          <w:rFonts w:ascii="Times New Roman" w:hAnsi="Times New Roman" w:cs="Times New Roman"/>
          <w:sz w:val="24"/>
          <w:szCs w:val="24"/>
        </w:rPr>
        <w:br/>
      </w:r>
      <w:r w:rsidR="00E95EA8">
        <w:rPr>
          <w:rFonts w:ascii="Times New Roman" w:hAnsi="Times New Roman" w:cs="Times New Roman"/>
          <w:sz w:val="24"/>
          <w:szCs w:val="24"/>
        </w:rPr>
        <w:t xml:space="preserve">[signed] </w:t>
      </w:r>
      <w:r>
        <w:rPr>
          <w:rFonts w:ascii="Times New Roman" w:hAnsi="Times New Roman" w:cs="Times New Roman"/>
          <w:sz w:val="24"/>
          <w:szCs w:val="24"/>
        </w:rPr>
        <w:br/>
      </w:r>
      <w:bookmarkStart w:id="2" w:name="_GoBack"/>
      <w:bookmarkEnd w:id="2"/>
      <w:r w:rsidR="00535368" w:rsidRPr="00B16AAC">
        <w:rPr>
          <w:rFonts w:ascii="Times New Roman" w:hAnsi="Times New Roman" w:cs="Times New Roman"/>
          <w:sz w:val="24"/>
          <w:szCs w:val="24"/>
        </w:rPr>
        <w:t>Member /</w:t>
      </w:r>
      <w:r w:rsidR="00535368" w:rsidRPr="00E95EA8">
        <w:rPr>
          <w:rFonts w:ascii="Times New Roman" w:hAnsi="Times New Roman" w:cs="Times New Roman"/>
          <w:strike/>
          <w:sz w:val="24"/>
          <w:szCs w:val="24"/>
        </w:rPr>
        <w:t>General Manager</w:t>
      </w:r>
    </w:p>
    <w:bookmarkEnd w:id="1"/>
    <w:p w14:paraId="52AB4832" w14:textId="77777777" w:rsidR="00535368" w:rsidRPr="00B16AAC" w:rsidRDefault="00535368" w:rsidP="00535368">
      <w:pPr>
        <w:pBdr>
          <w:bottom w:val="single" w:sz="4" w:space="1" w:color="auto"/>
        </w:pBdr>
        <w:tabs>
          <w:tab w:val="left" w:pos="3119"/>
        </w:tabs>
        <w:spacing w:before="300" w:after="600" w:line="300" w:lineRule="atLeast"/>
        <w:rPr>
          <w:sz w:val="24"/>
          <w:szCs w:val="24"/>
        </w:rPr>
      </w:pPr>
      <w:r w:rsidRPr="00B16AAC">
        <w:rPr>
          <w:rFonts w:ascii="Times New Roman" w:hAnsi="Times New Roman" w:cs="Times New Roman"/>
          <w:sz w:val="24"/>
          <w:szCs w:val="24"/>
        </w:rPr>
        <w:t>Australian Communications and Media Authority</w:t>
      </w:r>
    </w:p>
    <w:p w14:paraId="0ED06DC0" w14:textId="5BA6E781" w:rsidR="00535368" w:rsidRDefault="00535368" w:rsidP="00535368">
      <w:pPr>
        <w:pStyle w:val="HR"/>
      </w:pPr>
      <w:r>
        <w:t>1</w:t>
      </w:r>
      <w:r>
        <w:tab/>
        <w:t xml:space="preserve">Name of </w:t>
      </w:r>
      <w:r w:rsidR="00E1241E">
        <w:t>Determination</w:t>
      </w:r>
    </w:p>
    <w:p w14:paraId="6D0F0CE7" w14:textId="4D35D2D4" w:rsidR="00CF3F22" w:rsidRDefault="00CF3F22" w:rsidP="00CF3F22">
      <w:pPr>
        <w:pStyle w:val="R1"/>
        <w:tabs>
          <w:tab w:val="clear" w:pos="794"/>
        </w:tabs>
        <w:ind w:left="993" w:firstLine="0"/>
      </w:pPr>
      <w:r>
        <w:t xml:space="preserve">This </w:t>
      </w:r>
      <w:r w:rsidR="00932692">
        <w:t>Determination</w:t>
      </w:r>
      <w:r w:rsidR="007958D3">
        <w:t xml:space="preserve"> is the </w:t>
      </w:r>
      <w:r w:rsidR="00932692">
        <w:rPr>
          <w:i/>
        </w:rPr>
        <w:t>Telecommunications (Charge</w:t>
      </w:r>
      <w:r w:rsidR="00464FBC">
        <w:rPr>
          <w:i/>
        </w:rPr>
        <w:t>s</w:t>
      </w:r>
      <w:r w:rsidR="00932692">
        <w:rPr>
          <w:i/>
        </w:rPr>
        <w:t>)</w:t>
      </w:r>
      <w:r w:rsidR="00464FBC">
        <w:rPr>
          <w:i/>
        </w:rPr>
        <w:t xml:space="preserve"> Amendment</w:t>
      </w:r>
      <w:r w:rsidR="00932692">
        <w:rPr>
          <w:i/>
        </w:rPr>
        <w:t xml:space="preserve"> Determination</w:t>
      </w:r>
      <w:r w:rsidR="007958D3">
        <w:rPr>
          <w:i/>
        </w:rPr>
        <w:t xml:space="preserve"> 2015</w:t>
      </w:r>
      <w:r w:rsidR="00F538E1">
        <w:rPr>
          <w:i/>
        </w:rPr>
        <w:t xml:space="preserve"> (No. 1)</w:t>
      </w:r>
      <w:r>
        <w:t>.</w:t>
      </w:r>
    </w:p>
    <w:p w14:paraId="756EF5EC" w14:textId="77777777" w:rsidR="00CF3F22" w:rsidRDefault="00CF3F22" w:rsidP="00CF3F22">
      <w:pPr>
        <w:pStyle w:val="HR"/>
      </w:pPr>
      <w:r>
        <w:t>2</w:t>
      </w:r>
      <w:r>
        <w:tab/>
        <w:t>Commencement</w:t>
      </w:r>
    </w:p>
    <w:p w14:paraId="1CB9D81E" w14:textId="6D1E6967" w:rsidR="0005751D" w:rsidRDefault="0005751D" w:rsidP="00B95854">
      <w:pPr>
        <w:pStyle w:val="R1"/>
        <w:tabs>
          <w:tab w:val="clear" w:pos="794"/>
          <w:tab w:val="left" w:pos="284"/>
        </w:tabs>
        <w:spacing w:after="240"/>
        <w:ind w:left="992" w:hanging="992"/>
      </w:pPr>
      <w:r>
        <w:tab/>
      </w:r>
      <w:r w:rsidR="00D57186">
        <w:t>(1)</w:t>
      </w:r>
      <w:r>
        <w:tab/>
      </w:r>
      <w:r w:rsidR="00D57186">
        <w:t>Subject to subsection (2), e</w:t>
      </w:r>
      <w:r>
        <w:t>ach provision of t</w:t>
      </w:r>
      <w:r w:rsidR="00CF3F22">
        <w:t xml:space="preserve">his </w:t>
      </w:r>
      <w:r w:rsidR="00932692">
        <w:t>Determination</w:t>
      </w:r>
      <w:r w:rsidR="00CF3F22">
        <w:t xml:space="preserve"> </w:t>
      </w:r>
      <w:r>
        <w:t>specified in column</w:t>
      </w:r>
      <w:r w:rsidR="00DD7E47">
        <w:t> </w:t>
      </w:r>
      <w:r>
        <w:t xml:space="preserve">1 of the table </w:t>
      </w:r>
      <w:r w:rsidR="00CF3F22">
        <w:t>commences</w:t>
      </w:r>
      <w:r>
        <w:t>, or is taken to have commenced, in accordance with column</w:t>
      </w:r>
      <w:r w:rsidR="002F3A9B">
        <w:t> </w:t>
      </w:r>
      <w:r>
        <w:t>2 of the table.</w:t>
      </w:r>
    </w:p>
    <w:tbl>
      <w:tblPr>
        <w:tblW w:w="4904" w:type="pct"/>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879"/>
        <w:gridCol w:w="5974"/>
      </w:tblGrid>
      <w:tr w:rsidR="0005751D" w:rsidRPr="00963EDB" w14:paraId="52D6DCDA" w14:textId="77777777" w:rsidTr="008C070A">
        <w:trPr>
          <w:tblHeader/>
        </w:trPr>
        <w:tc>
          <w:tcPr>
            <w:tcW w:w="2879" w:type="dxa"/>
            <w:tcBorders>
              <w:top w:val="single" w:sz="12" w:space="0" w:color="auto"/>
              <w:bottom w:val="single" w:sz="6" w:space="0" w:color="auto"/>
            </w:tcBorders>
            <w:shd w:val="clear" w:color="auto" w:fill="auto"/>
            <w:hideMark/>
          </w:tcPr>
          <w:p w14:paraId="3B51FEEF" w14:textId="77777777" w:rsidR="0005751D" w:rsidRPr="00963EDB" w:rsidRDefault="0005751D" w:rsidP="004A5321">
            <w:pPr>
              <w:pStyle w:val="TableHeading"/>
            </w:pPr>
            <w:r w:rsidRPr="00963EDB">
              <w:lastRenderedPageBreak/>
              <w:t>Column 1</w:t>
            </w:r>
          </w:p>
        </w:tc>
        <w:tc>
          <w:tcPr>
            <w:tcW w:w="5974" w:type="dxa"/>
            <w:tcBorders>
              <w:top w:val="single" w:sz="12" w:space="0" w:color="auto"/>
              <w:bottom w:val="single" w:sz="6" w:space="0" w:color="auto"/>
            </w:tcBorders>
            <w:shd w:val="clear" w:color="auto" w:fill="auto"/>
            <w:hideMark/>
          </w:tcPr>
          <w:p w14:paraId="53ADEFD7" w14:textId="77777777" w:rsidR="0005751D" w:rsidRPr="00963EDB" w:rsidRDefault="0005751D" w:rsidP="004A5321">
            <w:pPr>
              <w:pStyle w:val="TableHeading"/>
            </w:pPr>
            <w:r w:rsidRPr="00963EDB">
              <w:t>Column 2</w:t>
            </w:r>
          </w:p>
        </w:tc>
      </w:tr>
      <w:tr w:rsidR="0005751D" w:rsidRPr="00963EDB" w14:paraId="7E80EE6D" w14:textId="77777777" w:rsidTr="00D57186">
        <w:trPr>
          <w:tblHeader/>
        </w:trPr>
        <w:tc>
          <w:tcPr>
            <w:tcW w:w="2879" w:type="dxa"/>
            <w:tcBorders>
              <w:top w:val="single" w:sz="6" w:space="0" w:color="auto"/>
              <w:bottom w:val="single" w:sz="12" w:space="0" w:color="auto"/>
            </w:tcBorders>
            <w:shd w:val="clear" w:color="auto" w:fill="auto"/>
            <w:hideMark/>
          </w:tcPr>
          <w:p w14:paraId="17E3778E" w14:textId="77777777" w:rsidR="0005751D" w:rsidRPr="00963EDB" w:rsidRDefault="0005751D" w:rsidP="004A5321">
            <w:pPr>
              <w:pStyle w:val="TableHeading"/>
            </w:pPr>
            <w:r w:rsidRPr="00963EDB">
              <w:t>Provisions</w:t>
            </w:r>
          </w:p>
        </w:tc>
        <w:tc>
          <w:tcPr>
            <w:tcW w:w="5974" w:type="dxa"/>
            <w:tcBorders>
              <w:top w:val="single" w:sz="6" w:space="0" w:color="auto"/>
              <w:bottom w:val="single" w:sz="12" w:space="0" w:color="auto"/>
            </w:tcBorders>
            <w:shd w:val="clear" w:color="auto" w:fill="auto"/>
            <w:hideMark/>
          </w:tcPr>
          <w:p w14:paraId="0C6E4CB2" w14:textId="77777777" w:rsidR="0005751D" w:rsidRPr="00963EDB" w:rsidRDefault="0005751D" w:rsidP="004A5321">
            <w:pPr>
              <w:pStyle w:val="TableHeading"/>
            </w:pPr>
            <w:r w:rsidRPr="00963EDB">
              <w:t>Commencement</w:t>
            </w:r>
          </w:p>
        </w:tc>
      </w:tr>
      <w:tr w:rsidR="0005751D" w:rsidRPr="00963EDB" w14:paraId="39CFD312" w14:textId="77777777" w:rsidTr="00D57186">
        <w:tc>
          <w:tcPr>
            <w:tcW w:w="2879" w:type="dxa"/>
            <w:tcBorders>
              <w:top w:val="single" w:sz="12" w:space="0" w:color="auto"/>
            </w:tcBorders>
            <w:shd w:val="clear" w:color="auto" w:fill="auto"/>
            <w:hideMark/>
          </w:tcPr>
          <w:p w14:paraId="3347BA6B" w14:textId="4A22F992" w:rsidR="0005751D" w:rsidRPr="00963EDB" w:rsidRDefault="0005751D" w:rsidP="0005751D">
            <w:pPr>
              <w:pStyle w:val="Tabletext0"/>
            </w:pPr>
            <w:r w:rsidRPr="00963EDB">
              <w:t xml:space="preserve">1.  Sections 1 to </w:t>
            </w:r>
            <w:r>
              <w:t>3</w:t>
            </w:r>
            <w:r w:rsidR="00774069">
              <w:t>, Schedule 1</w:t>
            </w:r>
            <w:r w:rsidRPr="00963EDB">
              <w:t xml:space="preserve"> and anything in this instrument not elsewhere covered by this table</w:t>
            </w:r>
          </w:p>
        </w:tc>
        <w:tc>
          <w:tcPr>
            <w:tcW w:w="5974" w:type="dxa"/>
            <w:tcBorders>
              <w:top w:val="single" w:sz="12" w:space="0" w:color="auto"/>
            </w:tcBorders>
            <w:shd w:val="clear" w:color="auto" w:fill="auto"/>
            <w:hideMark/>
          </w:tcPr>
          <w:p w14:paraId="61C76739" w14:textId="73F94AD0" w:rsidR="0005751D" w:rsidRPr="00963EDB" w:rsidRDefault="0005751D" w:rsidP="00D57186">
            <w:pPr>
              <w:pStyle w:val="Tabletext0"/>
            </w:pPr>
            <w:r w:rsidRPr="00963EDB">
              <w:t xml:space="preserve">The day after this </w:t>
            </w:r>
            <w:r w:rsidR="00D57186">
              <w:t>Determination</w:t>
            </w:r>
            <w:r w:rsidRPr="00963EDB">
              <w:t xml:space="preserve"> is registered.</w:t>
            </w:r>
          </w:p>
        </w:tc>
      </w:tr>
      <w:tr w:rsidR="00651314" w:rsidRPr="00963EDB" w14:paraId="5EC51570" w14:textId="77777777" w:rsidTr="00B16AAC">
        <w:tc>
          <w:tcPr>
            <w:tcW w:w="2879" w:type="dxa"/>
            <w:tcBorders>
              <w:bottom w:val="single" w:sz="12" w:space="0" w:color="auto"/>
            </w:tcBorders>
            <w:shd w:val="clear" w:color="auto" w:fill="auto"/>
            <w:hideMark/>
          </w:tcPr>
          <w:p w14:paraId="18C2471F" w14:textId="6BD18A74" w:rsidR="00651314" w:rsidRPr="00963EDB" w:rsidRDefault="00651314" w:rsidP="00EA0A80">
            <w:pPr>
              <w:pStyle w:val="Tabletext0"/>
            </w:pPr>
            <w:r w:rsidRPr="00963EDB">
              <w:t>2.  Sections </w:t>
            </w:r>
            <w:r>
              <w:t>4</w:t>
            </w:r>
            <w:r w:rsidRPr="00963EDB">
              <w:t xml:space="preserve"> </w:t>
            </w:r>
            <w:r w:rsidR="007F40F1">
              <w:t>and</w:t>
            </w:r>
            <w:r w:rsidRPr="00963EDB">
              <w:t xml:space="preserve"> 5</w:t>
            </w:r>
            <w:r>
              <w:t>, and Schedule</w:t>
            </w:r>
            <w:r w:rsidR="00EA0A80">
              <w:t> </w:t>
            </w:r>
            <w:r>
              <w:t>2</w:t>
            </w:r>
          </w:p>
        </w:tc>
        <w:tc>
          <w:tcPr>
            <w:tcW w:w="5974" w:type="dxa"/>
            <w:tcBorders>
              <w:bottom w:val="single" w:sz="12" w:space="0" w:color="auto"/>
            </w:tcBorders>
            <w:shd w:val="clear" w:color="auto" w:fill="auto"/>
          </w:tcPr>
          <w:p w14:paraId="702F39B0" w14:textId="25D400F3" w:rsidR="00651314" w:rsidRPr="00963EDB" w:rsidRDefault="00651314" w:rsidP="00651314">
            <w:pPr>
              <w:pStyle w:val="Tabletext0"/>
            </w:pPr>
            <w:r>
              <w:t xml:space="preserve">The same day as </w:t>
            </w:r>
            <w:r w:rsidRPr="002F3A9B">
              <w:t>sections 5 to</w:t>
            </w:r>
            <w:r>
              <w:t xml:space="preserve"> 135 of, and Schedules 1 to 8 to, the </w:t>
            </w:r>
            <w:r>
              <w:rPr>
                <w:i/>
              </w:rPr>
              <w:t>Telecommunications Numbering Plan 2015</w:t>
            </w:r>
            <w:r w:rsidR="007F40F1" w:rsidRPr="007F40F1">
              <w:t xml:space="preserve"> commence</w:t>
            </w:r>
            <w:r>
              <w:t>.</w:t>
            </w:r>
          </w:p>
        </w:tc>
      </w:tr>
    </w:tbl>
    <w:p w14:paraId="5CD75BA0" w14:textId="6C57C637" w:rsidR="00466A60" w:rsidRDefault="00D57186" w:rsidP="00B95854">
      <w:pPr>
        <w:pStyle w:val="R1"/>
        <w:tabs>
          <w:tab w:val="clear" w:pos="794"/>
          <w:tab w:val="left" w:pos="284"/>
        </w:tabs>
        <w:spacing w:before="240"/>
        <w:ind w:left="992" w:hanging="992"/>
      </w:pPr>
      <w:r>
        <w:tab/>
        <w:t>(2)</w:t>
      </w:r>
      <w:r>
        <w:tab/>
        <w:t>If th</w:t>
      </w:r>
      <w:r w:rsidR="00466A60">
        <w:t>is</w:t>
      </w:r>
      <w:r>
        <w:t xml:space="preserve"> Determination is registered on or after the day mentioned in column 2 of item</w:t>
      </w:r>
      <w:r w:rsidR="00466A60">
        <w:t> </w:t>
      </w:r>
      <w:r>
        <w:t>2</w:t>
      </w:r>
      <w:r w:rsidR="00466A60">
        <w:t xml:space="preserve"> </w:t>
      </w:r>
      <w:r>
        <w:t xml:space="preserve">in the </w:t>
      </w:r>
      <w:r w:rsidR="00466A60">
        <w:t>above table</w:t>
      </w:r>
      <w:r w:rsidR="00651314">
        <w:t>, the provisions mentioned in item 2 of the table commence immediately after the provisions mentioned in item 1 commence.</w:t>
      </w:r>
    </w:p>
    <w:p w14:paraId="6054986F" w14:textId="27FEE960" w:rsidR="00CF3F22" w:rsidRDefault="00651314" w:rsidP="00CF3F22">
      <w:pPr>
        <w:pStyle w:val="Note"/>
        <w:tabs>
          <w:tab w:val="left" w:pos="1985"/>
        </w:tabs>
        <w:ind w:left="1985" w:hanging="1021"/>
      </w:pPr>
      <w:r w:rsidDel="00651314">
        <w:t xml:space="preserve"> </w:t>
      </w:r>
      <w:r w:rsidR="00CF3F22" w:rsidRPr="00F4166C">
        <w:rPr>
          <w:i/>
        </w:rPr>
        <w:t>N</w:t>
      </w:r>
      <w:r w:rsidR="00CF3F22">
        <w:rPr>
          <w:i/>
        </w:rPr>
        <w:t>ote</w:t>
      </w:r>
      <w:r w:rsidR="004C4DCE">
        <w:rPr>
          <w:i/>
        </w:rPr>
        <w:t> 1</w:t>
      </w:r>
      <w:r w:rsidR="00CF3F22">
        <w:rPr>
          <w:rFonts w:ascii="Arial" w:hAnsi="Arial" w:cs="Arial"/>
        </w:rPr>
        <w:t>   </w:t>
      </w:r>
      <w:r w:rsidR="00CF3F22">
        <w:rPr>
          <w:rFonts w:ascii="Arial" w:hAnsi="Arial" w:cs="Arial"/>
        </w:rPr>
        <w:tab/>
      </w:r>
      <w:r w:rsidR="00CF3F22">
        <w:t xml:space="preserve">All legislative instruments must be registered on the Federal Register of Legislative Instruments required to be maintained under the </w:t>
      </w:r>
      <w:r w:rsidR="00CF3F22">
        <w:rPr>
          <w:i/>
        </w:rPr>
        <w:t>Legislative Instruments Act 2003</w:t>
      </w:r>
      <w:r w:rsidR="00CF3F22">
        <w:t>.</w:t>
      </w:r>
    </w:p>
    <w:p w14:paraId="58BDBAF8" w14:textId="0232DAA1" w:rsidR="004C4DCE" w:rsidRDefault="004C4DCE" w:rsidP="00CF3F22">
      <w:pPr>
        <w:pStyle w:val="Note"/>
        <w:tabs>
          <w:tab w:val="left" w:pos="1985"/>
        </w:tabs>
        <w:ind w:left="1985" w:hanging="1021"/>
      </w:pPr>
      <w:r>
        <w:rPr>
          <w:i/>
        </w:rPr>
        <w:t>Note 2   </w:t>
      </w:r>
      <w:r>
        <w:rPr>
          <w:i/>
        </w:rPr>
        <w:tab/>
      </w:r>
      <w:r>
        <w:t xml:space="preserve">Section 2 of the </w:t>
      </w:r>
      <w:r>
        <w:rPr>
          <w:i/>
        </w:rPr>
        <w:t>Telecommunications Numbering Plan 2015</w:t>
      </w:r>
      <w:r>
        <w:t xml:space="preserve"> provides that </w:t>
      </w:r>
      <w:r w:rsidRPr="002F3A9B">
        <w:t>sections 5</w:t>
      </w:r>
      <w:r>
        <w:t xml:space="preserve"> to 135 of, and Schedules 1 to 8 to, that instrument commence on a single day to be fixed by the ACMA by legislat</w:t>
      </w:r>
      <w:r w:rsidR="00C07E5D">
        <w:t>ive instrument.  However, if those</w:t>
      </w:r>
      <w:r>
        <w:t xml:space="preserve"> provisions do not commence before 1 October 2015, they commence on that day.</w:t>
      </w:r>
    </w:p>
    <w:p w14:paraId="7953A2F0" w14:textId="2A5FE399" w:rsidR="0005751D" w:rsidRDefault="0005751D" w:rsidP="00CF3F22">
      <w:pPr>
        <w:pStyle w:val="HR"/>
      </w:pPr>
      <w:r>
        <w:t>3</w:t>
      </w:r>
      <w:r>
        <w:tab/>
        <w:t>Amendments – submarine cable</w:t>
      </w:r>
      <w:r w:rsidR="0043592F">
        <w:t>s</w:t>
      </w:r>
    </w:p>
    <w:p w14:paraId="5CD3484D" w14:textId="2969295B" w:rsidR="0005751D" w:rsidRDefault="0005751D" w:rsidP="0005751D">
      <w:pPr>
        <w:pStyle w:val="R1"/>
        <w:tabs>
          <w:tab w:val="clear" w:pos="794"/>
        </w:tabs>
        <w:ind w:left="993" w:firstLine="0"/>
      </w:pPr>
      <w:r>
        <w:t xml:space="preserve">Schedule 1 amends the </w:t>
      </w:r>
      <w:r>
        <w:rPr>
          <w:i/>
        </w:rPr>
        <w:t>Telecommunications (Charges) Determination 2012</w:t>
      </w:r>
      <w:r>
        <w:t xml:space="preserve"> [F2012L01231].</w:t>
      </w:r>
    </w:p>
    <w:p w14:paraId="577AB6E6" w14:textId="5708D80E" w:rsidR="00CF3F22" w:rsidRDefault="0005751D" w:rsidP="00CF3F22">
      <w:pPr>
        <w:pStyle w:val="HR"/>
      </w:pPr>
      <w:r>
        <w:t>4</w:t>
      </w:r>
      <w:r w:rsidR="00CF3F22">
        <w:tab/>
      </w:r>
      <w:r w:rsidR="00464FBC">
        <w:t>Amendment</w:t>
      </w:r>
      <w:r w:rsidR="002F3A9B">
        <w:t>s</w:t>
      </w:r>
      <w:r>
        <w:t xml:space="preserve"> – numbering application</w:t>
      </w:r>
      <w:r w:rsidR="001D3782">
        <w:t>s</w:t>
      </w:r>
    </w:p>
    <w:p w14:paraId="19C77252" w14:textId="1CD18020" w:rsidR="00CF3F22" w:rsidRDefault="00464FBC" w:rsidP="00CF3F22">
      <w:pPr>
        <w:pStyle w:val="R1"/>
        <w:tabs>
          <w:tab w:val="clear" w:pos="794"/>
        </w:tabs>
        <w:ind w:left="993" w:firstLine="0"/>
      </w:pPr>
      <w:r>
        <w:t xml:space="preserve">Schedule </w:t>
      </w:r>
      <w:r w:rsidR="0005751D">
        <w:t>2</w:t>
      </w:r>
      <w:r>
        <w:t xml:space="preserve"> amends the </w:t>
      </w:r>
      <w:r w:rsidR="00932692">
        <w:rPr>
          <w:i/>
        </w:rPr>
        <w:t>Telecommunications (Charges</w:t>
      </w:r>
      <w:r>
        <w:rPr>
          <w:i/>
        </w:rPr>
        <w:t>) Determination 2012</w:t>
      </w:r>
      <w:r w:rsidR="00CF3F22">
        <w:t xml:space="preserve"> [</w:t>
      </w:r>
      <w:r w:rsidR="007958D3">
        <w:t>F20</w:t>
      </w:r>
      <w:r w:rsidR="00932692">
        <w:t>1</w:t>
      </w:r>
      <w:r>
        <w:t>2</w:t>
      </w:r>
      <w:r w:rsidR="00932692">
        <w:t>L0</w:t>
      </w:r>
      <w:r>
        <w:t>1231</w:t>
      </w:r>
      <w:r w:rsidR="00CF3F22">
        <w:t>].</w:t>
      </w:r>
    </w:p>
    <w:p w14:paraId="1899E3A3" w14:textId="2C2D0EC3" w:rsidR="003F4F96" w:rsidRDefault="0005751D" w:rsidP="003F4F96">
      <w:pPr>
        <w:pStyle w:val="HR"/>
      </w:pPr>
      <w:r>
        <w:t>5</w:t>
      </w:r>
      <w:r w:rsidR="003F4F96">
        <w:tab/>
        <w:t>Revocation</w:t>
      </w:r>
    </w:p>
    <w:p w14:paraId="70091702" w14:textId="37956C36" w:rsidR="009461AF" w:rsidRDefault="003F4F96" w:rsidP="00B95854">
      <w:pPr>
        <w:pStyle w:val="R1"/>
        <w:tabs>
          <w:tab w:val="clear" w:pos="794"/>
        </w:tabs>
        <w:ind w:left="993" w:firstLine="0"/>
      </w:pPr>
      <w:r>
        <w:t xml:space="preserve">The </w:t>
      </w:r>
      <w:r>
        <w:rPr>
          <w:i/>
        </w:rPr>
        <w:t>Telecommunications (</w:t>
      </w:r>
      <w:proofErr w:type="spellStart"/>
      <w:r>
        <w:rPr>
          <w:i/>
        </w:rPr>
        <w:t>Freephone</w:t>
      </w:r>
      <w:proofErr w:type="spellEnd"/>
      <w:r>
        <w:rPr>
          <w:i/>
        </w:rPr>
        <w:t xml:space="preserve"> and Local Rate Numbers Auctions – Registration Charge) Determination 2007</w:t>
      </w:r>
      <w:r>
        <w:t xml:space="preserve"> [F2007L00369] is revoked.</w:t>
      </w:r>
    </w:p>
    <w:p w14:paraId="35FD1D3B" w14:textId="77777777" w:rsidR="009461AF" w:rsidRDefault="009461AF" w:rsidP="00124F18">
      <w:pPr>
        <w:pStyle w:val="paragraph"/>
        <w:tabs>
          <w:tab w:val="clear" w:pos="1531"/>
          <w:tab w:val="right" w:pos="1701"/>
        </w:tabs>
        <w:ind w:left="993" w:firstLine="0"/>
        <w:rPr>
          <w:sz w:val="24"/>
          <w:szCs w:val="24"/>
        </w:rPr>
        <w:sectPr w:rsidR="009461AF" w:rsidSect="00DE5F33">
          <w:headerReference w:type="even" r:id="rId9"/>
          <w:headerReference w:type="default" r:id="rId10"/>
          <w:footerReference w:type="even" r:id="rId11"/>
          <w:footerReference w:type="default" r:id="rId12"/>
          <w:pgSz w:w="11906" w:h="16838"/>
          <w:pgMar w:top="1440" w:right="1440" w:bottom="1440" w:left="1440" w:header="708" w:footer="708" w:gutter="0"/>
          <w:cols w:space="708"/>
          <w:titlePg/>
          <w:docGrid w:linePitch="360"/>
        </w:sectPr>
      </w:pPr>
    </w:p>
    <w:p w14:paraId="2AEE6E2C" w14:textId="07423ED1" w:rsidR="001D3782" w:rsidRPr="00293F87" w:rsidRDefault="001D3782" w:rsidP="001D3782">
      <w:pPr>
        <w:pStyle w:val="Scheduletitle"/>
        <w:pageBreakBefore/>
      </w:pPr>
      <w:r w:rsidRPr="00802CF5">
        <w:rPr>
          <w:rStyle w:val="CharAmSchNo"/>
          <w:rFonts w:cs="Arial"/>
        </w:rPr>
        <w:lastRenderedPageBreak/>
        <w:t>Schedule</w:t>
      </w:r>
      <w:r>
        <w:rPr>
          <w:rStyle w:val="CharAmSchNo"/>
          <w:rFonts w:cs="Arial"/>
        </w:rPr>
        <w:t xml:space="preserve"> 1</w:t>
      </w:r>
      <w:r w:rsidRPr="005E29F5">
        <w:rPr>
          <w:rFonts w:ascii="Times New Roman" w:hAnsi="Times New Roman"/>
        </w:rPr>
        <w:tab/>
      </w:r>
      <w:r>
        <w:rPr>
          <w:rStyle w:val="CharAmSchText"/>
          <w:rFonts w:cs="Arial"/>
        </w:rPr>
        <w:t xml:space="preserve">Amendments to the </w:t>
      </w:r>
      <w:r>
        <w:rPr>
          <w:rStyle w:val="CharAmSchText"/>
          <w:rFonts w:cs="Arial"/>
          <w:i/>
        </w:rPr>
        <w:t>Telecommunications (Charges) Determination 2012</w:t>
      </w:r>
      <w:r>
        <w:rPr>
          <w:rStyle w:val="CharAmSchText"/>
          <w:rFonts w:cs="Arial"/>
          <w:b w:val="0"/>
        </w:rPr>
        <w:t xml:space="preserve"> </w:t>
      </w:r>
      <w:r>
        <w:rPr>
          <w:rStyle w:val="CharAmSchText"/>
          <w:rFonts w:cs="Arial"/>
        </w:rPr>
        <w:t>– submarine cables</w:t>
      </w:r>
    </w:p>
    <w:p w14:paraId="18056355" w14:textId="77777777" w:rsidR="001D3782" w:rsidRDefault="001D3782" w:rsidP="001D3782">
      <w:pPr>
        <w:pStyle w:val="Schedulereference"/>
        <w:rPr>
          <w:rFonts w:cs="Arial"/>
        </w:rPr>
      </w:pPr>
      <w:r w:rsidRPr="00802CF5">
        <w:rPr>
          <w:rFonts w:cs="Arial"/>
        </w:rPr>
        <w:t>(</w:t>
      </w:r>
      <w:r>
        <w:rPr>
          <w:rFonts w:cs="Arial"/>
        </w:rPr>
        <w:t>section 3</w:t>
      </w:r>
      <w:r w:rsidRPr="00802CF5">
        <w:rPr>
          <w:rFonts w:cs="Arial"/>
        </w:rPr>
        <w:t>)</w:t>
      </w:r>
    </w:p>
    <w:p w14:paraId="21C06316" w14:textId="16BA81CA" w:rsidR="001D3782" w:rsidRPr="009A0C9B" w:rsidRDefault="00EA0A80" w:rsidP="001D3782">
      <w:pPr>
        <w:pStyle w:val="HR"/>
        <w:rPr>
          <w:i/>
        </w:rPr>
      </w:pPr>
      <w:r>
        <w:t>1</w:t>
      </w:r>
      <w:r w:rsidR="001D3782">
        <w:tab/>
        <w:t>Section 4, definition</w:t>
      </w:r>
      <w:r w:rsidR="009A0C9B">
        <w:t>s</w:t>
      </w:r>
      <w:r w:rsidR="001D3782">
        <w:t xml:space="preserve"> of </w:t>
      </w:r>
      <w:r w:rsidRPr="00B16AAC">
        <w:rPr>
          <w:i/>
        </w:rPr>
        <w:t>coastal waters</w:t>
      </w:r>
      <w:r>
        <w:t xml:space="preserve">, </w:t>
      </w:r>
      <w:r w:rsidR="001D3782">
        <w:rPr>
          <w:i/>
        </w:rPr>
        <w:t>linked (NPZ) installation permit</w:t>
      </w:r>
      <w:r w:rsidR="009A0C9B">
        <w:t xml:space="preserve"> and </w:t>
      </w:r>
      <w:r w:rsidR="009A0C9B">
        <w:rPr>
          <w:i/>
        </w:rPr>
        <w:t>linked (NPZ) installation permit application</w:t>
      </w:r>
    </w:p>
    <w:p w14:paraId="6CA60719" w14:textId="132E16D8" w:rsidR="001D3782" w:rsidRDefault="001D3782" w:rsidP="001D3782">
      <w:pPr>
        <w:pStyle w:val="R1"/>
        <w:tabs>
          <w:tab w:val="left" w:pos="1440"/>
          <w:tab w:val="left" w:pos="2160"/>
          <w:tab w:val="left" w:pos="2880"/>
          <w:tab w:val="left" w:pos="4995"/>
        </w:tabs>
        <w:spacing w:after="120"/>
        <w:rPr>
          <w:i/>
        </w:rPr>
      </w:pPr>
      <w:r>
        <w:tab/>
      </w:r>
      <w:r>
        <w:tab/>
      </w:r>
      <w:proofErr w:type="gramStart"/>
      <w:r w:rsidRPr="00293F87">
        <w:rPr>
          <w:i/>
        </w:rPr>
        <w:t>o</w:t>
      </w:r>
      <w:r>
        <w:rPr>
          <w:i/>
        </w:rPr>
        <w:t>mit</w:t>
      </w:r>
      <w:proofErr w:type="gramEnd"/>
      <w:r>
        <w:rPr>
          <w:i/>
        </w:rPr>
        <w:t xml:space="preserve"> the definition</w:t>
      </w:r>
      <w:r w:rsidR="009A0C9B">
        <w:rPr>
          <w:i/>
        </w:rPr>
        <w:t>s</w:t>
      </w:r>
    </w:p>
    <w:p w14:paraId="64B83300" w14:textId="0C11F076" w:rsidR="001D3782" w:rsidRDefault="00EA0A80" w:rsidP="001D3782">
      <w:pPr>
        <w:pStyle w:val="HR"/>
        <w:rPr>
          <w:i/>
        </w:rPr>
      </w:pPr>
      <w:r>
        <w:t>2</w:t>
      </w:r>
      <w:r w:rsidR="001D3782">
        <w:tab/>
        <w:t xml:space="preserve">Section 4, definition of </w:t>
      </w:r>
      <w:r w:rsidR="001D3782">
        <w:rPr>
          <w:i/>
        </w:rPr>
        <w:t>non-protection zone installation permit</w:t>
      </w:r>
    </w:p>
    <w:p w14:paraId="098984BC" w14:textId="7D33F06E" w:rsidR="001D3782" w:rsidRPr="00921DAC" w:rsidRDefault="001D3782" w:rsidP="001D3782">
      <w:pPr>
        <w:pStyle w:val="R1"/>
        <w:tabs>
          <w:tab w:val="left" w:pos="1440"/>
          <w:tab w:val="left" w:pos="2160"/>
          <w:tab w:val="left" w:pos="2880"/>
          <w:tab w:val="left" w:pos="4995"/>
        </w:tabs>
        <w:spacing w:after="120"/>
        <w:rPr>
          <w:i/>
        </w:rPr>
      </w:pPr>
      <w:r>
        <w:tab/>
      </w:r>
      <w:r>
        <w:tab/>
      </w:r>
      <w:proofErr w:type="gramStart"/>
      <w:r w:rsidR="00921DAC">
        <w:rPr>
          <w:i/>
        </w:rPr>
        <w:t>omit</w:t>
      </w:r>
      <w:proofErr w:type="gramEnd"/>
    </w:p>
    <w:p w14:paraId="4593652C" w14:textId="74A40D12" w:rsidR="001D3782" w:rsidRPr="00293F87" w:rsidRDefault="00921DAC" w:rsidP="001D3782">
      <w:pPr>
        <w:ind w:left="1134"/>
        <w:rPr>
          <w:rFonts w:ascii="Times New Roman" w:hAnsi="Times New Roman" w:cs="Times New Roman"/>
          <w:sz w:val="24"/>
          <w:szCs w:val="24"/>
          <w:lang w:eastAsia="en-AU"/>
        </w:rPr>
      </w:pPr>
      <w:proofErr w:type="gramStart"/>
      <w:r>
        <w:rPr>
          <w:rFonts w:ascii="Times New Roman" w:hAnsi="Times New Roman" w:cs="Times New Roman"/>
          <w:sz w:val="24"/>
          <w:szCs w:val="24"/>
          <w:lang w:eastAsia="en-AU"/>
        </w:rPr>
        <w:t>clause</w:t>
      </w:r>
      <w:proofErr w:type="gramEnd"/>
      <w:r>
        <w:rPr>
          <w:rFonts w:ascii="Times New Roman" w:hAnsi="Times New Roman" w:cs="Times New Roman"/>
          <w:sz w:val="24"/>
          <w:szCs w:val="24"/>
          <w:lang w:eastAsia="en-AU"/>
        </w:rPr>
        <w:t xml:space="preserve"> 64</w:t>
      </w:r>
    </w:p>
    <w:p w14:paraId="25C84D52" w14:textId="58C8F80B" w:rsidR="00921DAC" w:rsidRPr="00921DAC" w:rsidRDefault="00921DAC" w:rsidP="00921DAC">
      <w:pPr>
        <w:pStyle w:val="R1"/>
        <w:tabs>
          <w:tab w:val="left" w:pos="1440"/>
          <w:tab w:val="left" w:pos="2160"/>
          <w:tab w:val="left" w:pos="2880"/>
          <w:tab w:val="left" w:pos="4995"/>
        </w:tabs>
        <w:spacing w:after="120"/>
        <w:rPr>
          <w:i/>
        </w:rPr>
      </w:pPr>
      <w:r>
        <w:tab/>
      </w:r>
      <w:r>
        <w:tab/>
      </w:r>
      <w:proofErr w:type="gramStart"/>
      <w:r>
        <w:rPr>
          <w:i/>
        </w:rPr>
        <w:t>insert</w:t>
      </w:r>
      <w:proofErr w:type="gramEnd"/>
    </w:p>
    <w:p w14:paraId="104B17D6" w14:textId="3389BA47" w:rsidR="00921DAC" w:rsidRPr="004A5321" w:rsidRDefault="00921DAC" w:rsidP="00921DAC">
      <w:pPr>
        <w:ind w:left="1134"/>
        <w:rPr>
          <w:rFonts w:ascii="Times New Roman" w:hAnsi="Times New Roman" w:cs="Times New Roman"/>
          <w:sz w:val="24"/>
          <w:szCs w:val="24"/>
          <w:lang w:eastAsia="en-AU"/>
        </w:rPr>
      </w:pPr>
      <w:proofErr w:type="gramStart"/>
      <w:r>
        <w:rPr>
          <w:rFonts w:ascii="Times New Roman" w:hAnsi="Times New Roman" w:cs="Times New Roman"/>
          <w:sz w:val="24"/>
          <w:szCs w:val="24"/>
          <w:lang w:eastAsia="en-AU"/>
        </w:rPr>
        <w:t>clause</w:t>
      </w:r>
      <w:proofErr w:type="gramEnd"/>
      <w:r>
        <w:rPr>
          <w:rFonts w:ascii="Times New Roman" w:hAnsi="Times New Roman" w:cs="Times New Roman"/>
          <w:sz w:val="24"/>
          <w:szCs w:val="24"/>
          <w:lang w:eastAsia="en-AU"/>
        </w:rPr>
        <w:t xml:space="preserve"> 2</w:t>
      </w:r>
    </w:p>
    <w:p w14:paraId="3F395F34" w14:textId="27429CAF" w:rsidR="009D6109" w:rsidRDefault="00EA0A80" w:rsidP="009D6109">
      <w:pPr>
        <w:pStyle w:val="HR"/>
        <w:rPr>
          <w:i/>
        </w:rPr>
      </w:pPr>
      <w:r>
        <w:t>3</w:t>
      </w:r>
      <w:r w:rsidR="009D6109">
        <w:tab/>
        <w:t xml:space="preserve">Section 4, definition of </w:t>
      </w:r>
      <w:r w:rsidR="009D6109">
        <w:rPr>
          <w:i/>
        </w:rPr>
        <w:t>protection zone installation permit application</w:t>
      </w:r>
    </w:p>
    <w:p w14:paraId="170611A1" w14:textId="77777777" w:rsidR="009D6109" w:rsidRPr="00921DAC" w:rsidRDefault="009D6109" w:rsidP="009D6109">
      <w:pPr>
        <w:pStyle w:val="R1"/>
        <w:tabs>
          <w:tab w:val="left" w:pos="1440"/>
          <w:tab w:val="left" w:pos="2160"/>
          <w:tab w:val="left" w:pos="2880"/>
          <w:tab w:val="left" w:pos="4995"/>
        </w:tabs>
        <w:spacing w:after="120"/>
        <w:rPr>
          <w:i/>
        </w:rPr>
      </w:pPr>
      <w:r>
        <w:tab/>
      </w:r>
      <w:r>
        <w:tab/>
      </w:r>
      <w:proofErr w:type="gramStart"/>
      <w:r>
        <w:rPr>
          <w:i/>
        </w:rPr>
        <w:t>omit</w:t>
      </w:r>
      <w:proofErr w:type="gramEnd"/>
    </w:p>
    <w:p w14:paraId="5EDF08C1" w14:textId="0BDEFAAD" w:rsidR="009D6109" w:rsidRDefault="009D6109" w:rsidP="009D6109">
      <w:pPr>
        <w:ind w:left="1134"/>
        <w:rPr>
          <w:rFonts w:ascii="Times New Roman" w:hAnsi="Times New Roman" w:cs="Times New Roman"/>
          <w:sz w:val="24"/>
          <w:szCs w:val="24"/>
          <w:lang w:eastAsia="en-AU"/>
        </w:rPr>
      </w:pPr>
      <w:proofErr w:type="gramStart"/>
      <w:r>
        <w:rPr>
          <w:rFonts w:ascii="Times New Roman" w:hAnsi="Times New Roman" w:cs="Times New Roman"/>
          <w:sz w:val="24"/>
          <w:szCs w:val="24"/>
          <w:lang w:eastAsia="en-AU"/>
        </w:rPr>
        <w:t>permit</w:t>
      </w:r>
      <w:proofErr w:type="gramEnd"/>
      <w:r>
        <w:rPr>
          <w:rFonts w:ascii="Times New Roman" w:hAnsi="Times New Roman" w:cs="Times New Roman"/>
          <w:sz w:val="24"/>
          <w:szCs w:val="24"/>
          <w:lang w:eastAsia="en-AU"/>
        </w:rPr>
        <w:t xml:space="preserve"> (including such an application in respect of that part of a trans-zone submarine cable that is, or will be, located in a protection zone).</w:t>
      </w:r>
    </w:p>
    <w:p w14:paraId="0427699A" w14:textId="77777777" w:rsidR="009D6109" w:rsidRPr="00921DAC" w:rsidRDefault="009D6109" w:rsidP="009D6109">
      <w:pPr>
        <w:pStyle w:val="R1"/>
        <w:tabs>
          <w:tab w:val="left" w:pos="1440"/>
          <w:tab w:val="left" w:pos="2160"/>
          <w:tab w:val="left" w:pos="2880"/>
          <w:tab w:val="left" w:pos="4995"/>
        </w:tabs>
        <w:spacing w:after="120"/>
        <w:rPr>
          <w:i/>
        </w:rPr>
      </w:pPr>
      <w:r>
        <w:tab/>
      </w:r>
      <w:r>
        <w:tab/>
      </w:r>
      <w:proofErr w:type="gramStart"/>
      <w:r>
        <w:rPr>
          <w:i/>
        </w:rPr>
        <w:t>insert</w:t>
      </w:r>
      <w:proofErr w:type="gramEnd"/>
    </w:p>
    <w:p w14:paraId="770AF21D" w14:textId="19C9C8F0" w:rsidR="009D6109" w:rsidRPr="004A5321" w:rsidRDefault="009D6109" w:rsidP="009D6109">
      <w:pPr>
        <w:ind w:left="1134"/>
        <w:rPr>
          <w:rFonts w:ascii="Times New Roman" w:hAnsi="Times New Roman" w:cs="Times New Roman"/>
          <w:sz w:val="24"/>
          <w:szCs w:val="24"/>
          <w:lang w:eastAsia="en-AU"/>
        </w:rPr>
      </w:pPr>
      <w:proofErr w:type="gramStart"/>
      <w:r>
        <w:rPr>
          <w:rFonts w:ascii="Times New Roman" w:hAnsi="Times New Roman" w:cs="Times New Roman"/>
          <w:sz w:val="24"/>
          <w:szCs w:val="24"/>
          <w:lang w:eastAsia="en-AU"/>
        </w:rPr>
        <w:t>permit</w:t>
      </w:r>
      <w:proofErr w:type="gramEnd"/>
      <w:r>
        <w:rPr>
          <w:rFonts w:ascii="Times New Roman" w:hAnsi="Times New Roman" w:cs="Times New Roman"/>
          <w:sz w:val="24"/>
          <w:szCs w:val="24"/>
          <w:lang w:eastAsia="en-AU"/>
        </w:rPr>
        <w:t>.</w:t>
      </w:r>
    </w:p>
    <w:p w14:paraId="2ACEE98C" w14:textId="4181B9CB" w:rsidR="009D6109" w:rsidRPr="009D6109" w:rsidRDefault="00EA0A80" w:rsidP="009D6109">
      <w:pPr>
        <w:pStyle w:val="HR"/>
        <w:rPr>
          <w:i/>
        </w:rPr>
      </w:pPr>
      <w:r>
        <w:t>4</w:t>
      </w:r>
      <w:r w:rsidR="009D6109">
        <w:tab/>
        <w:t xml:space="preserve">Section 4, definitions of </w:t>
      </w:r>
      <w:r w:rsidR="009D6109">
        <w:rPr>
          <w:i/>
        </w:rPr>
        <w:t xml:space="preserve">trans-zone (NPZ) installation permit </w:t>
      </w:r>
      <w:r w:rsidR="009D6109" w:rsidRPr="00293F87">
        <w:t>and</w:t>
      </w:r>
      <w:r w:rsidR="009D6109">
        <w:rPr>
          <w:b w:val="0"/>
        </w:rPr>
        <w:t xml:space="preserve"> </w:t>
      </w:r>
      <w:r w:rsidR="009D6109">
        <w:rPr>
          <w:i/>
        </w:rPr>
        <w:t>trans-zone submarine cable</w:t>
      </w:r>
    </w:p>
    <w:p w14:paraId="5EE27979" w14:textId="7FE7123F" w:rsidR="009D6109" w:rsidRDefault="009D6109" w:rsidP="009D6109">
      <w:pPr>
        <w:pStyle w:val="R1"/>
        <w:tabs>
          <w:tab w:val="left" w:pos="1440"/>
          <w:tab w:val="left" w:pos="2160"/>
          <w:tab w:val="left" w:pos="2880"/>
          <w:tab w:val="left" w:pos="4995"/>
        </w:tabs>
        <w:spacing w:after="120"/>
        <w:rPr>
          <w:i/>
        </w:rPr>
      </w:pPr>
      <w:r>
        <w:tab/>
      </w:r>
      <w:r>
        <w:tab/>
      </w:r>
      <w:proofErr w:type="gramStart"/>
      <w:r w:rsidRPr="004A5321">
        <w:rPr>
          <w:i/>
        </w:rPr>
        <w:t>o</w:t>
      </w:r>
      <w:r>
        <w:rPr>
          <w:i/>
        </w:rPr>
        <w:t>mit</w:t>
      </w:r>
      <w:proofErr w:type="gramEnd"/>
      <w:r>
        <w:rPr>
          <w:i/>
        </w:rPr>
        <w:t xml:space="preserve"> the definitions</w:t>
      </w:r>
    </w:p>
    <w:p w14:paraId="6FB7ACA0" w14:textId="28C180E1" w:rsidR="00D57186" w:rsidRDefault="00EA0A80" w:rsidP="00D57186">
      <w:pPr>
        <w:pStyle w:val="HR"/>
        <w:rPr>
          <w:i/>
        </w:rPr>
      </w:pPr>
      <w:r>
        <w:t>5</w:t>
      </w:r>
      <w:r w:rsidR="00D57186">
        <w:tab/>
      </w:r>
      <w:r w:rsidR="00466A60">
        <w:t>Paragraph 12(a)</w:t>
      </w:r>
    </w:p>
    <w:p w14:paraId="74665A00" w14:textId="77777777" w:rsidR="00D57186" w:rsidRPr="00921DAC" w:rsidRDefault="00D57186" w:rsidP="00D57186">
      <w:pPr>
        <w:pStyle w:val="R1"/>
        <w:tabs>
          <w:tab w:val="left" w:pos="1440"/>
          <w:tab w:val="left" w:pos="2160"/>
          <w:tab w:val="left" w:pos="2880"/>
          <w:tab w:val="left" w:pos="4995"/>
        </w:tabs>
        <w:spacing w:after="120"/>
        <w:rPr>
          <w:i/>
        </w:rPr>
      </w:pPr>
      <w:r>
        <w:tab/>
      </w:r>
      <w:r>
        <w:tab/>
      </w:r>
      <w:proofErr w:type="gramStart"/>
      <w:r>
        <w:rPr>
          <w:i/>
        </w:rPr>
        <w:t>omit</w:t>
      </w:r>
      <w:proofErr w:type="gramEnd"/>
    </w:p>
    <w:p w14:paraId="1597B727" w14:textId="2C07106A" w:rsidR="00D57186" w:rsidRDefault="00F4551C" w:rsidP="00D57186">
      <w:pPr>
        <w:ind w:left="1134"/>
        <w:rPr>
          <w:rFonts w:ascii="Times New Roman" w:hAnsi="Times New Roman" w:cs="Times New Roman"/>
          <w:sz w:val="24"/>
          <w:szCs w:val="24"/>
          <w:lang w:eastAsia="en-AU"/>
        </w:rPr>
      </w:pPr>
      <w:r>
        <w:rPr>
          <w:rFonts w:ascii="Times New Roman" w:hAnsi="Times New Roman" w:cs="Times New Roman"/>
          <w:sz w:val="24"/>
          <w:szCs w:val="24"/>
          <w:lang w:eastAsia="en-AU"/>
        </w:rPr>
        <w:t>7.4, 7</w:t>
      </w:r>
      <w:r w:rsidR="00EB367A">
        <w:rPr>
          <w:rFonts w:ascii="Times New Roman" w:hAnsi="Times New Roman" w:cs="Times New Roman"/>
          <w:sz w:val="24"/>
          <w:szCs w:val="24"/>
          <w:lang w:eastAsia="en-AU"/>
        </w:rPr>
        <w:t>.</w:t>
      </w:r>
      <w:r>
        <w:rPr>
          <w:rFonts w:ascii="Times New Roman" w:hAnsi="Times New Roman" w:cs="Times New Roman"/>
          <w:sz w:val="24"/>
          <w:szCs w:val="24"/>
          <w:lang w:eastAsia="en-AU"/>
        </w:rPr>
        <w:t>6 or 7.7</w:t>
      </w:r>
    </w:p>
    <w:p w14:paraId="7859FE19" w14:textId="77777777" w:rsidR="00D57186" w:rsidRPr="00921DAC" w:rsidRDefault="00D57186" w:rsidP="009A0C9B">
      <w:pPr>
        <w:pStyle w:val="R1"/>
        <w:keepNext/>
        <w:tabs>
          <w:tab w:val="left" w:pos="1440"/>
          <w:tab w:val="left" w:pos="2160"/>
          <w:tab w:val="left" w:pos="2880"/>
          <w:tab w:val="left" w:pos="4995"/>
        </w:tabs>
        <w:spacing w:after="120"/>
        <w:rPr>
          <w:i/>
        </w:rPr>
      </w:pPr>
      <w:r>
        <w:tab/>
      </w:r>
      <w:r>
        <w:tab/>
      </w:r>
      <w:proofErr w:type="gramStart"/>
      <w:r>
        <w:rPr>
          <w:i/>
        </w:rPr>
        <w:t>insert</w:t>
      </w:r>
      <w:proofErr w:type="gramEnd"/>
    </w:p>
    <w:p w14:paraId="2F76085C" w14:textId="09096355" w:rsidR="00D57186" w:rsidRPr="004A5321" w:rsidRDefault="00F4551C" w:rsidP="00D57186">
      <w:pPr>
        <w:ind w:left="1134"/>
        <w:rPr>
          <w:rFonts w:ascii="Times New Roman" w:hAnsi="Times New Roman" w:cs="Times New Roman"/>
          <w:sz w:val="24"/>
          <w:szCs w:val="24"/>
          <w:lang w:eastAsia="en-AU"/>
        </w:rPr>
      </w:pPr>
      <w:r>
        <w:rPr>
          <w:rFonts w:ascii="Times New Roman" w:hAnsi="Times New Roman" w:cs="Times New Roman"/>
          <w:sz w:val="24"/>
          <w:szCs w:val="24"/>
          <w:lang w:eastAsia="en-AU"/>
        </w:rPr>
        <w:t xml:space="preserve">7.4 </w:t>
      </w:r>
      <w:proofErr w:type="gramStart"/>
      <w:r>
        <w:rPr>
          <w:rFonts w:ascii="Times New Roman" w:hAnsi="Times New Roman" w:cs="Times New Roman"/>
          <w:sz w:val="24"/>
          <w:szCs w:val="24"/>
          <w:lang w:eastAsia="en-AU"/>
        </w:rPr>
        <w:t>or</w:t>
      </w:r>
      <w:proofErr w:type="gramEnd"/>
      <w:r>
        <w:rPr>
          <w:rFonts w:ascii="Times New Roman" w:hAnsi="Times New Roman" w:cs="Times New Roman"/>
          <w:sz w:val="24"/>
          <w:szCs w:val="24"/>
          <w:lang w:eastAsia="en-AU"/>
        </w:rPr>
        <w:t xml:space="preserve"> 7.6</w:t>
      </w:r>
    </w:p>
    <w:p w14:paraId="79986068" w14:textId="227A134E" w:rsidR="00F15DF0" w:rsidRDefault="00EA0A80" w:rsidP="009A0C9B">
      <w:pPr>
        <w:pStyle w:val="HR"/>
        <w:rPr>
          <w:i/>
        </w:rPr>
      </w:pPr>
      <w:r>
        <w:lastRenderedPageBreak/>
        <w:t>6</w:t>
      </w:r>
      <w:r w:rsidR="00F15DF0">
        <w:tab/>
        <w:t>Schedule 1, Part 7</w:t>
      </w:r>
    </w:p>
    <w:p w14:paraId="65B7723C" w14:textId="5C30BE3A" w:rsidR="00F15DF0" w:rsidRDefault="00F15DF0" w:rsidP="009A0C9B">
      <w:pPr>
        <w:pStyle w:val="R1"/>
        <w:keepNext/>
        <w:tabs>
          <w:tab w:val="left" w:pos="1440"/>
          <w:tab w:val="left" w:pos="2160"/>
          <w:tab w:val="left" w:pos="2880"/>
          <w:tab w:val="left" w:pos="4995"/>
        </w:tabs>
        <w:spacing w:after="120"/>
        <w:rPr>
          <w:i/>
        </w:rPr>
      </w:pPr>
      <w:r>
        <w:tab/>
      </w:r>
      <w:r>
        <w:tab/>
      </w:r>
      <w:proofErr w:type="gramStart"/>
      <w:r w:rsidR="00BD26EA">
        <w:rPr>
          <w:i/>
        </w:rPr>
        <w:t>s</w:t>
      </w:r>
      <w:r>
        <w:rPr>
          <w:i/>
        </w:rPr>
        <w:t>ubstitute</w:t>
      </w:r>
      <w:proofErr w:type="gramEnd"/>
    </w:p>
    <w:p w14:paraId="7CD4099C" w14:textId="77777777" w:rsidR="00F15DF0" w:rsidRDefault="00F15DF0" w:rsidP="00F15DF0">
      <w:pPr>
        <w:keepNext/>
        <w:ind w:left="1418" w:hanging="1418"/>
        <w:rPr>
          <w:rFonts w:ascii="Arial" w:hAnsi="Arial" w:cs="Arial"/>
          <w:b/>
        </w:rPr>
      </w:pPr>
      <w:r w:rsidRPr="00DF5323">
        <w:rPr>
          <w:rFonts w:ascii="Arial" w:hAnsi="Arial" w:cs="Arial"/>
          <w:b/>
        </w:rPr>
        <w:t xml:space="preserve">Part </w:t>
      </w:r>
      <w:r>
        <w:rPr>
          <w:rFonts w:ascii="Arial" w:hAnsi="Arial" w:cs="Arial"/>
          <w:b/>
        </w:rPr>
        <w:t>7</w:t>
      </w:r>
      <w:r>
        <w:rPr>
          <w:rFonts w:ascii="Arial" w:hAnsi="Arial" w:cs="Arial"/>
          <w:b/>
        </w:rPr>
        <w:tab/>
      </w:r>
      <w:r>
        <w:rPr>
          <w:rFonts w:ascii="Arial" w:hAnsi="Arial" w:cs="Arial"/>
          <w:b/>
        </w:rPr>
        <w:tab/>
      </w:r>
      <w:r w:rsidRPr="00BD15C8">
        <w:rPr>
          <w:rFonts w:ascii="Arial" w:hAnsi="Arial" w:cs="Arial"/>
          <w:b/>
        </w:rPr>
        <w:t>Charges payable in relation to certain permits to install a submarine cable</w:t>
      </w:r>
    </w:p>
    <w:p w14:paraId="6D819277" w14:textId="77777777" w:rsidR="00F15DF0" w:rsidRPr="005359D2" w:rsidRDefault="00F15DF0" w:rsidP="00F15DF0">
      <w:pPr>
        <w:pStyle w:val="Schedulereference"/>
      </w:pPr>
    </w:p>
    <w:tbl>
      <w:tblPr>
        <w:tblW w:w="0" w:type="auto"/>
        <w:tblLayout w:type="fixed"/>
        <w:tblLook w:val="0000" w:firstRow="0" w:lastRow="0" w:firstColumn="0" w:lastColumn="0" w:noHBand="0" w:noVBand="0"/>
      </w:tblPr>
      <w:tblGrid>
        <w:gridCol w:w="1188"/>
        <w:gridCol w:w="4560"/>
        <w:gridCol w:w="2778"/>
      </w:tblGrid>
      <w:tr w:rsidR="00F15DF0" w:rsidRPr="005359D2" w14:paraId="7F4D389A" w14:textId="77777777" w:rsidTr="006D3777">
        <w:trPr>
          <w:cantSplit/>
        </w:trPr>
        <w:tc>
          <w:tcPr>
            <w:tcW w:w="1188" w:type="dxa"/>
            <w:tcBorders>
              <w:top w:val="nil"/>
              <w:left w:val="nil"/>
              <w:bottom w:val="single" w:sz="4" w:space="0" w:color="auto"/>
              <w:right w:val="nil"/>
            </w:tcBorders>
          </w:tcPr>
          <w:p w14:paraId="1EDCD58B" w14:textId="77777777" w:rsidR="00F15DF0" w:rsidRDefault="00F15DF0" w:rsidP="006D3777">
            <w:pPr>
              <w:pStyle w:val="TableColHead"/>
            </w:pPr>
            <w:r w:rsidRPr="005359D2">
              <w:t>Column 1</w:t>
            </w:r>
          </w:p>
          <w:p w14:paraId="18F90825" w14:textId="77777777" w:rsidR="00F15DF0" w:rsidRPr="005359D2" w:rsidRDefault="00F15DF0" w:rsidP="006D3777">
            <w:pPr>
              <w:pStyle w:val="TableColHead"/>
              <w:spacing w:before="60"/>
            </w:pPr>
            <w:r w:rsidRPr="005359D2">
              <w:t>Item</w:t>
            </w:r>
          </w:p>
        </w:tc>
        <w:tc>
          <w:tcPr>
            <w:tcW w:w="4560" w:type="dxa"/>
            <w:tcBorders>
              <w:top w:val="nil"/>
              <w:left w:val="nil"/>
              <w:bottom w:val="single" w:sz="4" w:space="0" w:color="auto"/>
              <w:right w:val="nil"/>
            </w:tcBorders>
          </w:tcPr>
          <w:p w14:paraId="24BA3455" w14:textId="77777777" w:rsidR="00F15DF0" w:rsidRDefault="00F15DF0" w:rsidP="006D3777">
            <w:pPr>
              <w:pStyle w:val="TableColHead"/>
            </w:pPr>
            <w:r w:rsidRPr="005359D2">
              <w:t>Column 2</w:t>
            </w:r>
          </w:p>
          <w:p w14:paraId="16765FE5" w14:textId="77777777" w:rsidR="00F15DF0" w:rsidRPr="005359D2" w:rsidRDefault="00F15DF0" w:rsidP="006D3777">
            <w:pPr>
              <w:pStyle w:val="TableColHead"/>
              <w:spacing w:before="60"/>
            </w:pPr>
            <w:r w:rsidRPr="005359D2">
              <w:t>Matter</w:t>
            </w:r>
          </w:p>
        </w:tc>
        <w:tc>
          <w:tcPr>
            <w:tcW w:w="2778" w:type="dxa"/>
            <w:tcBorders>
              <w:top w:val="nil"/>
              <w:left w:val="nil"/>
              <w:bottom w:val="single" w:sz="4" w:space="0" w:color="auto"/>
              <w:right w:val="nil"/>
            </w:tcBorders>
          </w:tcPr>
          <w:p w14:paraId="5649A4D0" w14:textId="77777777" w:rsidR="00F15DF0" w:rsidRDefault="00F15DF0" w:rsidP="006D3777">
            <w:pPr>
              <w:pStyle w:val="TableColHead"/>
            </w:pPr>
            <w:r w:rsidRPr="005359D2">
              <w:t>Column 3</w:t>
            </w:r>
          </w:p>
          <w:p w14:paraId="6244AA7C" w14:textId="77777777" w:rsidR="00F15DF0" w:rsidRPr="005359D2" w:rsidRDefault="00F15DF0" w:rsidP="006D3777">
            <w:pPr>
              <w:pStyle w:val="TableColHead"/>
              <w:spacing w:before="60"/>
            </w:pPr>
            <w:r w:rsidRPr="005359D2">
              <w:t>Charge</w:t>
            </w:r>
          </w:p>
        </w:tc>
      </w:tr>
      <w:tr w:rsidR="00F15DF0" w:rsidRPr="005359D2" w14:paraId="0BE19DEC" w14:textId="77777777" w:rsidTr="006D3777">
        <w:trPr>
          <w:cantSplit/>
        </w:trPr>
        <w:tc>
          <w:tcPr>
            <w:tcW w:w="1188" w:type="dxa"/>
            <w:tcBorders>
              <w:top w:val="nil"/>
              <w:left w:val="nil"/>
              <w:bottom w:val="nil"/>
              <w:right w:val="nil"/>
            </w:tcBorders>
          </w:tcPr>
          <w:p w14:paraId="508158D1" w14:textId="77777777" w:rsidR="00F15DF0" w:rsidRPr="005359D2" w:rsidRDefault="00F15DF0" w:rsidP="006D3777">
            <w:pPr>
              <w:pStyle w:val="TableText"/>
              <w:ind w:left="227"/>
            </w:pPr>
            <w:r>
              <w:t>7.1</w:t>
            </w:r>
          </w:p>
        </w:tc>
        <w:tc>
          <w:tcPr>
            <w:tcW w:w="4560" w:type="dxa"/>
            <w:tcBorders>
              <w:top w:val="nil"/>
              <w:left w:val="nil"/>
              <w:bottom w:val="nil"/>
              <w:right w:val="nil"/>
            </w:tcBorders>
          </w:tcPr>
          <w:p w14:paraId="0D3920EC" w14:textId="77558393" w:rsidR="00F15DF0" w:rsidRPr="005359D2" w:rsidRDefault="00F15DF0" w:rsidP="00AF11DB">
            <w:pPr>
              <w:pStyle w:val="TableText"/>
            </w:pPr>
            <w:r>
              <w:t>Protection zone installation permit</w:t>
            </w:r>
            <w:r w:rsidR="009A0C9B">
              <w:t xml:space="preserve"> application</w:t>
            </w:r>
            <w:r>
              <w:t> — charge for the purposes of c</w:t>
            </w:r>
            <w:r w:rsidRPr="00D15AB4">
              <w:t xml:space="preserve">lause 53 of </w:t>
            </w:r>
            <w:r w:rsidR="00AF11DB" w:rsidRPr="00D15AB4">
              <w:t>Schedule</w:t>
            </w:r>
            <w:r w:rsidR="00AF11DB">
              <w:t> </w:t>
            </w:r>
            <w:r w:rsidRPr="00D15AB4">
              <w:t>3A to the Telecommunications Act</w:t>
            </w:r>
            <w:r>
              <w:t>,</w:t>
            </w:r>
            <w:r w:rsidRPr="00D15AB4">
              <w:t xml:space="preserve"> </w:t>
            </w:r>
            <w:r>
              <w:t xml:space="preserve">in relation to considering and processing a </w:t>
            </w:r>
            <w:r w:rsidRPr="00D24FF4">
              <w:t>protection zone installation permit application</w:t>
            </w:r>
            <w:r>
              <w:t xml:space="preserve"> </w:t>
            </w:r>
          </w:p>
        </w:tc>
        <w:tc>
          <w:tcPr>
            <w:tcW w:w="2778" w:type="dxa"/>
            <w:tcBorders>
              <w:top w:val="nil"/>
              <w:left w:val="nil"/>
              <w:bottom w:val="nil"/>
              <w:right w:val="nil"/>
            </w:tcBorders>
          </w:tcPr>
          <w:p w14:paraId="63B0ACCA" w14:textId="77777777" w:rsidR="00F15DF0" w:rsidRPr="005359D2" w:rsidRDefault="00F15DF0" w:rsidP="006D3777">
            <w:pPr>
              <w:pStyle w:val="TableText"/>
            </w:pPr>
            <w:r>
              <w:t>$2 660</w:t>
            </w:r>
            <w:r w:rsidRPr="00A113ED">
              <w:t xml:space="preserve"> </w:t>
            </w:r>
            <w:r>
              <w:t>for each</w:t>
            </w:r>
            <w:r w:rsidRPr="00A113ED">
              <w:t xml:space="preserve"> submarine cable</w:t>
            </w:r>
            <w:r>
              <w:t xml:space="preserve"> the subject of the application </w:t>
            </w:r>
          </w:p>
        </w:tc>
      </w:tr>
      <w:tr w:rsidR="00F15DF0" w:rsidRPr="005359D2" w14:paraId="63364084" w14:textId="77777777" w:rsidTr="006D3777">
        <w:trPr>
          <w:cantSplit/>
        </w:trPr>
        <w:tc>
          <w:tcPr>
            <w:tcW w:w="1188" w:type="dxa"/>
            <w:tcBorders>
              <w:top w:val="nil"/>
              <w:left w:val="nil"/>
              <w:bottom w:val="nil"/>
              <w:right w:val="nil"/>
            </w:tcBorders>
          </w:tcPr>
          <w:p w14:paraId="697426B9" w14:textId="77777777" w:rsidR="00F15DF0" w:rsidRDefault="00F15DF0" w:rsidP="006D3777">
            <w:pPr>
              <w:pStyle w:val="TableText"/>
              <w:ind w:left="227"/>
            </w:pPr>
            <w:r>
              <w:t>7.2</w:t>
            </w:r>
          </w:p>
        </w:tc>
        <w:tc>
          <w:tcPr>
            <w:tcW w:w="4560" w:type="dxa"/>
            <w:tcBorders>
              <w:top w:val="nil"/>
              <w:left w:val="nil"/>
              <w:bottom w:val="nil"/>
              <w:right w:val="nil"/>
            </w:tcBorders>
          </w:tcPr>
          <w:p w14:paraId="27FE65B2" w14:textId="6EB1DABC" w:rsidR="00F15DF0" w:rsidRPr="005359D2" w:rsidRDefault="00F15DF0" w:rsidP="009A0C9B">
            <w:pPr>
              <w:pStyle w:val="TableText"/>
            </w:pPr>
            <w:r>
              <w:t xml:space="preserve">Protection zone installation permit —considering and processing an application </w:t>
            </w:r>
            <w:r w:rsidR="009A0C9B">
              <w:t xml:space="preserve">under clause 61 of Schedule 3A to the Telecommunications Act </w:t>
            </w:r>
            <w:r>
              <w:t>to extend the duration of a protection zone installation permit</w:t>
            </w:r>
          </w:p>
        </w:tc>
        <w:tc>
          <w:tcPr>
            <w:tcW w:w="2778" w:type="dxa"/>
            <w:tcBorders>
              <w:top w:val="nil"/>
              <w:left w:val="nil"/>
              <w:bottom w:val="nil"/>
              <w:right w:val="nil"/>
            </w:tcBorders>
          </w:tcPr>
          <w:p w14:paraId="65901303" w14:textId="77777777" w:rsidR="00F15DF0" w:rsidRPr="005359D2" w:rsidRDefault="00F15DF0" w:rsidP="006D3777">
            <w:pPr>
              <w:pStyle w:val="TableText"/>
            </w:pPr>
            <w:r>
              <w:t>$595</w:t>
            </w:r>
          </w:p>
        </w:tc>
      </w:tr>
      <w:tr w:rsidR="00F15DF0" w:rsidRPr="005359D2" w14:paraId="0CC6CC00" w14:textId="77777777" w:rsidTr="006D3777">
        <w:trPr>
          <w:cantSplit/>
        </w:trPr>
        <w:tc>
          <w:tcPr>
            <w:tcW w:w="1188" w:type="dxa"/>
            <w:tcBorders>
              <w:top w:val="nil"/>
              <w:left w:val="nil"/>
              <w:bottom w:val="nil"/>
              <w:right w:val="nil"/>
            </w:tcBorders>
          </w:tcPr>
          <w:p w14:paraId="3355ED68" w14:textId="77777777" w:rsidR="00F15DF0" w:rsidRDefault="00F15DF0" w:rsidP="006D3777">
            <w:pPr>
              <w:pStyle w:val="TableText"/>
              <w:ind w:left="227"/>
            </w:pPr>
            <w:r>
              <w:t>7.3</w:t>
            </w:r>
          </w:p>
        </w:tc>
        <w:tc>
          <w:tcPr>
            <w:tcW w:w="4560" w:type="dxa"/>
            <w:tcBorders>
              <w:top w:val="nil"/>
              <w:left w:val="nil"/>
              <w:bottom w:val="nil"/>
              <w:right w:val="nil"/>
            </w:tcBorders>
          </w:tcPr>
          <w:p w14:paraId="02818660" w14:textId="26A5970A" w:rsidR="00F15DF0" w:rsidRDefault="00F15DF0" w:rsidP="00AF11DB">
            <w:pPr>
              <w:pStyle w:val="TableText"/>
            </w:pPr>
            <w:r>
              <w:t>Non</w:t>
            </w:r>
            <w:r>
              <w:noBreakHyphen/>
              <w:t>protection zone installation permit</w:t>
            </w:r>
            <w:r w:rsidR="004C08A9">
              <w:t xml:space="preserve"> application </w:t>
            </w:r>
            <w:r>
              <w:t xml:space="preserve">— </w:t>
            </w:r>
            <w:r w:rsidRPr="00AC7F53">
              <w:t>char</w:t>
            </w:r>
            <w:r>
              <w:t xml:space="preserve">ge for the purposes of </w:t>
            </w:r>
            <w:r w:rsidR="00AF11DB">
              <w:t>clause </w:t>
            </w:r>
            <w:r>
              <w:t>66</w:t>
            </w:r>
            <w:r w:rsidRPr="00AC7F53">
              <w:t xml:space="preserve"> of Schedule 3A to the Telecommunications Act</w:t>
            </w:r>
            <w:r>
              <w:t>,</w:t>
            </w:r>
            <w:r w:rsidRPr="00AC7F53">
              <w:t xml:space="preserve"> in relation to</w:t>
            </w:r>
            <w:r>
              <w:t xml:space="preserve"> considering and processing a </w:t>
            </w:r>
            <w:r w:rsidRPr="00F42F00">
              <w:t>non-protection zone installation permit application</w:t>
            </w:r>
            <w:r>
              <w:t>, excluding the additional charges mentioned at items 7.4 and 7.5</w:t>
            </w:r>
          </w:p>
        </w:tc>
        <w:tc>
          <w:tcPr>
            <w:tcW w:w="2778" w:type="dxa"/>
            <w:tcBorders>
              <w:top w:val="nil"/>
              <w:left w:val="nil"/>
              <w:bottom w:val="nil"/>
              <w:right w:val="nil"/>
            </w:tcBorders>
          </w:tcPr>
          <w:p w14:paraId="3E0CD150" w14:textId="77777777" w:rsidR="00F15DF0" w:rsidRPr="005359D2" w:rsidRDefault="00F15DF0" w:rsidP="006D3777">
            <w:pPr>
              <w:pStyle w:val="TableText"/>
            </w:pPr>
            <w:r>
              <w:t>$8 176</w:t>
            </w:r>
            <w:r w:rsidRPr="00A113ED">
              <w:t xml:space="preserve"> </w:t>
            </w:r>
            <w:r>
              <w:t>for each</w:t>
            </w:r>
            <w:r w:rsidRPr="00A113ED">
              <w:t xml:space="preserve"> submarine cable</w:t>
            </w:r>
            <w:r>
              <w:t xml:space="preserve"> the subject of the application</w:t>
            </w:r>
          </w:p>
        </w:tc>
      </w:tr>
      <w:tr w:rsidR="00F15DF0" w:rsidRPr="005359D2" w14:paraId="602B3963" w14:textId="77777777" w:rsidTr="006D3777">
        <w:trPr>
          <w:cantSplit/>
        </w:trPr>
        <w:tc>
          <w:tcPr>
            <w:tcW w:w="1188" w:type="dxa"/>
            <w:tcBorders>
              <w:top w:val="nil"/>
              <w:left w:val="nil"/>
              <w:bottom w:val="nil"/>
              <w:right w:val="nil"/>
            </w:tcBorders>
          </w:tcPr>
          <w:p w14:paraId="418CCFA0" w14:textId="77777777" w:rsidR="00F15DF0" w:rsidRDefault="00F15DF0" w:rsidP="006D3777">
            <w:pPr>
              <w:pStyle w:val="TableText"/>
              <w:ind w:left="227"/>
            </w:pPr>
            <w:r>
              <w:t>7.4</w:t>
            </w:r>
          </w:p>
        </w:tc>
        <w:tc>
          <w:tcPr>
            <w:tcW w:w="4560" w:type="dxa"/>
            <w:tcBorders>
              <w:top w:val="nil"/>
              <w:left w:val="nil"/>
              <w:bottom w:val="nil"/>
              <w:right w:val="nil"/>
            </w:tcBorders>
          </w:tcPr>
          <w:p w14:paraId="52060CBC" w14:textId="2C43A755" w:rsidR="00F15DF0" w:rsidRPr="005359D2" w:rsidRDefault="00F15DF0" w:rsidP="00293F87">
            <w:pPr>
              <w:pStyle w:val="TableText"/>
            </w:pPr>
            <w:r>
              <w:t>Non</w:t>
            </w:r>
            <w:r>
              <w:noBreakHyphen/>
              <w:t>protection zone installation permit application — deposit payable on account of the charges at item 7.5</w:t>
            </w:r>
          </w:p>
        </w:tc>
        <w:tc>
          <w:tcPr>
            <w:tcW w:w="2778" w:type="dxa"/>
            <w:tcBorders>
              <w:top w:val="nil"/>
              <w:left w:val="nil"/>
              <w:bottom w:val="nil"/>
              <w:right w:val="nil"/>
            </w:tcBorders>
          </w:tcPr>
          <w:p w14:paraId="4D235972" w14:textId="77777777" w:rsidR="00F15DF0" w:rsidRPr="005359D2" w:rsidRDefault="00F15DF0" w:rsidP="006D3777">
            <w:pPr>
              <w:pStyle w:val="TableText"/>
            </w:pPr>
            <w:r>
              <w:t>$25 000</w:t>
            </w:r>
          </w:p>
        </w:tc>
      </w:tr>
      <w:tr w:rsidR="00F15DF0" w:rsidRPr="005359D2" w14:paraId="0BA33243" w14:textId="77777777" w:rsidTr="006D3777">
        <w:trPr>
          <w:cantSplit/>
        </w:trPr>
        <w:tc>
          <w:tcPr>
            <w:tcW w:w="1188" w:type="dxa"/>
            <w:tcBorders>
              <w:top w:val="nil"/>
              <w:left w:val="nil"/>
              <w:bottom w:val="nil"/>
              <w:right w:val="nil"/>
            </w:tcBorders>
          </w:tcPr>
          <w:p w14:paraId="75457609" w14:textId="77777777" w:rsidR="00F15DF0" w:rsidRDefault="00F15DF0" w:rsidP="006D3777">
            <w:pPr>
              <w:pStyle w:val="TableText"/>
              <w:ind w:left="227"/>
            </w:pPr>
            <w:r>
              <w:t>7.5</w:t>
            </w:r>
          </w:p>
        </w:tc>
        <w:tc>
          <w:tcPr>
            <w:tcW w:w="4560" w:type="dxa"/>
            <w:tcBorders>
              <w:top w:val="nil"/>
              <w:left w:val="nil"/>
              <w:bottom w:val="nil"/>
              <w:right w:val="nil"/>
            </w:tcBorders>
          </w:tcPr>
          <w:p w14:paraId="04CE26C4" w14:textId="39A01F31" w:rsidR="00F15DF0" w:rsidRPr="005359D2" w:rsidRDefault="00F15DF0" w:rsidP="00AF11DB">
            <w:pPr>
              <w:pStyle w:val="TableText"/>
            </w:pPr>
            <w:r>
              <w:t xml:space="preserve">Non-protection zone installation permit application — </w:t>
            </w:r>
            <w:r w:rsidRPr="00AC7F53">
              <w:t>char</w:t>
            </w:r>
            <w:r>
              <w:t xml:space="preserve">ge for the purposes of </w:t>
            </w:r>
            <w:r w:rsidR="00AF11DB">
              <w:t>clause </w:t>
            </w:r>
            <w:r>
              <w:t>66</w:t>
            </w:r>
            <w:r w:rsidRPr="00AC7F53">
              <w:t xml:space="preserve"> of Schedule 3A to the Telecommunications Act</w:t>
            </w:r>
            <w:r>
              <w:t>,</w:t>
            </w:r>
            <w:r w:rsidRPr="00AC7F53">
              <w:t xml:space="preserve"> in relation to </w:t>
            </w:r>
            <w:r>
              <w:t>external costs for the use of external consultants in considering a n</w:t>
            </w:r>
            <w:r w:rsidRPr="00926F64">
              <w:t>on-protection zone installation permit application</w:t>
            </w:r>
            <w:r w:rsidRPr="00926F64" w:rsidDel="00926F64">
              <w:t xml:space="preserve"> </w:t>
            </w:r>
          </w:p>
        </w:tc>
        <w:tc>
          <w:tcPr>
            <w:tcW w:w="2778" w:type="dxa"/>
            <w:tcBorders>
              <w:top w:val="nil"/>
              <w:left w:val="nil"/>
              <w:bottom w:val="nil"/>
              <w:right w:val="nil"/>
            </w:tcBorders>
          </w:tcPr>
          <w:p w14:paraId="73B1EB77" w14:textId="77777777" w:rsidR="00F15DF0" w:rsidRPr="005359D2" w:rsidRDefault="00F15DF0" w:rsidP="006D3777">
            <w:pPr>
              <w:pStyle w:val="TableText"/>
            </w:pPr>
            <w:r>
              <w:t>Actual costs</w:t>
            </w:r>
          </w:p>
        </w:tc>
      </w:tr>
      <w:tr w:rsidR="00F15DF0" w:rsidRPr="005359D2" w14:paraId="3E6B0106" w14:textId="77777777" w:rsidTr="006D3777">
        <w:trPr>
          <w:cantSplit/>
        </w:trPr>
        <w:tc>
          <w:tcPr>
            <w:tcW w:w="1188" w:type="dxa"/>
            <w:tcBorders>
              <w:top w:val="nil"/>
              <w:left w:val="nil"/>
              <w:right w:val="nil"/>
            </w:tcBorders>
          </w:tcPr>
          <w:p w14:paraId="0ECBFBE6" w14:textId="77777777" w:rsidR="00F15DF0" w:rsidRDefault="00F15DF0" w:rsidP="006D3777">
            <w:pPr>
              <w:pStyle w:val="TableText"/>
              <w:ind w:left="227"/>
            </w:pPr>
            <w:r>
              <w:t>7.6</w:t>
            </w:r>
          </w:p>
        </w:tc>
        <w:tc>
          <w:tcPr>
            <w:tcW w:w="4560" w:type="dxa"/>
            <w:tcBorders>
              <w:top w:val="nil"/>
              <w:left w:val="nil"/>
              <w:right w:val="nil"/>
            </w:tcBorders>
          </w:tcPr>
          <w:p w14:paraId="428B6BF0" w14:textId="7E654C2A" w:rsidR="00F15DF0" w:rsidRDefault="00F15DF0" w:rsidP="00293F87">
            <w:pPr>
              <w:pStyle w:val="TableText"/>
            </w:pPr>
            <w:r>
              <w:t>Non</w:t>
            </w:r>
            <w:r>
              <w:noBreakHyphen/>
              <w:t xml:space="preserve">protection zone installation permit — considering and processing an application </w:t>
            </w:r>
            <w:r w:rsidR="009A0C9B">
              <w:t xml:space="preserve">under clause 76 of Schedule 3A to the Telecommunications Act </w:t>
            </w:r>
            <w:r>
              <w:t>to extend the duration of a non-protection zone installation permit</w:t>
            </w:r>
          </w:p>
        </w:tc>
        <w:tc>
          <w:tcPr>
            <w:tcW w:w="2778" w:type="dxa"/>
            <w:tcBorders>
              <w:top w:val="nil"/>
              <w:left w:val="nil"/>
              <w:right w:val="nil"/>
            </w:tcBorders>
          </w:tcPr>
          <w:p w14:paraId="79B8B7AA" w14:textId="77777777" w:rsidR="00F15DF0" w:rsidRPr="005359D2" w:rsidRDefault="00F15DF0" w:rsidP="006D3777">
            <w:pPr>
              <w:pStyle w:val="TableText"/>
            </w:pPr>
            <w:r>
              <w:t>$595</w:t>
            </w:r>
          </w:p>
        </w:tc>
      </w:tr>
      <w:tr w:rsidR="00F15DF0" w:rsidRPr="005359D2" w14:paraId="731CB7F0" w14:textId="77777777" w:rsidTr="006D3777">
        <w:trPr>
          <w:cantSplit/>
        </w:trPr>
        <w:tc>
          <w:tcPr>
            <w:tcW w:w="1188" w:type="dxa"/>
            <w:tcBorders>
              <w:top w:val="nil"/>
              <w:left w:val="nil"/>
              <w:bottom w:val="single" w:sz="4" w:space="0" w:color="auto"/>
              <w:right w:val="nil"/>
            </w:tcBorders>
          </w:tcPr>
          <w:p w14:paraId="2A131E38" w14:textId="3A359AAB" w:rsidR="00F15DF0" w:rsidRDefault="00F15DF0" w:rsidP="006D3777">
            <w:pPr>
              <w:pStyle w:val="TableText"/>
              <w:ind w:left="227"/>
            </w:pPr>
          </w:p>
        </w:tc>
        <w:tc>
          <w:tcPr>
            <w:tcW w:w="4560" w:type="dxa"/>
            <w:tcBorders>
              <w:top w:val="nil"/>
              <w:left w:val="nil"/>
              <w:bottom w:val="single" w:sz="4" w:space="0" w:color="auto"/>
              <w:right w:val="nil"/>
            </w:tcBorders>
          </w:tcPr>
          <w:p w14:paraId="3A7B186B" w14:textId="0C7D33B7" w:rsidR="00F15DF0" w:rsidRDefault="00F15DF0" w:rsidP="006D3777">
            <w:pPr>
              <w:pStyle w:val="TableText"/>
            </w:pPr>
          </w:p>
        </w:tc>
        <w:tc>
          <w:tcPr>
            <w:tcW w:w="2778" w:type="dxa"/>
            <w:tcBorders>
              <w:top w:val="nil"/>
              <w:left w:val="nil"/>
              <w:bottom w:val="single" w:sz="4" w:space="0" w:color="auto"/>
              <w:right w:val="nil"/>
            </w:tcBorders>
          </w:tcPr>
          <w:p w14:paraId="1F64A50D" w14:textId="1587D354" w:rsidR="00F15DF0" w:rsidRPr="005359D2" w:rsidRDefault="00F15DF0" w:rsidP="006D3777">
            <w:pPr>
              <w:pStyle w:val="TableText"/>
            </w:pPr>
          </w:p>
        </w:tc>
      </w:tr>
    </w:tbl>
    <w:p w14:paraId="3CA11CE9" w14:textId="77777777" w:rsidR="009D6109" w:rsidRPr="004A5321" w:rsidRDefault="009D6109" w:rsidP="009D6109">
      <w:pPr>
        <w:ind w:left="1134"/>
        <w:rPr>
          <w:rFonts w:ascii="Times New Roman" w:hAnsi="Times New Roman" w:cs="Times New Roman"/>
          <w:sz w:val="24"/>
          <w:szCs w:val="24"/>
          <w:lang w:eastAsia="en-AU"/>
        </w:rPr>
      </w:pPr>
    </w:p>
    <w:p w14:paraId="36CADEF2" w14:textId="1B617D70" w:rsidR="00AC7229" w:rsidRPr="00293F87" w:rsidRDefault="00AC7229" w:rsidP="00AC7229">
      <w:pPr>
        <w:pStyle w:val="Scheduletitle"/>
        <w:pageBreakBefore/>
      </w:pPr>
      <w:r w:rsidRPr="00802CF5">
        <w:rPr>
          <w:rStyle w:val="CharAmSchNo"/>
          <w:rFonts w:cs="Arial"/>
        </w:rPr>
        <w:lastRenderedPageBreak/>
        <w:t>Schedule</w:t>
      </w:r>
      <w:r w:rsidR="00F538E1">
        <w:rPr>
          <w:rStyle w:val="CharAmSchNo"/>
          <w:rFonts w:cs="Arial"/>
        </w:rPr>
        <w:t xml:space="preserve"> </w:t>
      </w:r>
      <w:r w:rsidR="0005751D">
        <w:rPr>
          <w:rStyle w:val="CharAmSchNo"/>
          <w:rFonts w:cs="Arial"/>
        </w:rPr>
        <w:t>2</w:t>
      </w:r>
      <w:r w:rsidRPr="005E29F5">
        <w:rPr>
          <w:rFonts w:ascii="Times New Roman" w:hAnsi="Times New Roman"/>
        </w:rPr>
        <w:tab/>
      </w:r>
      <w:r w:rsidR="00464FBC">
        <w:rPr>
          <w:rStyle w:val="CharAmSchText"/>
          <w:rFonts w:cs="Arial"/>
        </w:rPr>
        <w:t xml:space="preserve">Amendments to the </w:t>
      </w:r>
      <w:r w:rsidR="00464FBC">
        <w:rPr>
          <w:rStyle w:val="CharAmSchText"/>
          <w:rFonts w:cs="Arial"/>
          <w:i/>
        </w:rPr>
        <w:t>Telecommunications (Charges) Determination 2012</w:t>
      </w:r>
      <w:r w:rsidR="001D3782">
        <w:rPr>
          <w:rStyle w:val="CharAmSchText"/>
          <w:rFonts w:cs="Arial"/>
        </w:rPr>
        <w:t xml:space="preserve"> – numbering applications</w:t>
      </w:r>
    </w:p>
    <w:p w14:paraId="1FD7AACE" w14:textId="41D88B49" w:rsidR="00AC7229" w:rsidRDefault="00AC7229" w:rsidP="00AC7229">
      <w:pPr>
        <w:pStyle w:val="Schedulereference"/>
        <w:rPr>
          <w:rFonts w:cs="Arial"/>
        </w:rPr>
      </w:pPr>
      <w:r w:rsidRPr="00802CF5">
        <w:rPr>
          <w:rFonts w:cs="Arial"/>
        </w:rPr>
        <w:t>(</w:t>
      </w:r>
      <w:r w:rsidR="00464FBC">
        <w:rPr>
          <w:rFonts w:cs="Arial"/>
        </w:rPr>
        <w:t xml:space="preserve">section </w:t>
      </w:r>
      <w:r w:rsidR="00675206">
        <w:rPr>
          <w:rFonts w:cs="Arial"/>
        </w:rPr>
        <w:t>4</w:t>
      </w:r>
      <w:r w:rsidRPr="00802CF5">
        <w:rPr>
          <w:rFonts w:cs="Arial"/>
        </w:rPr>
        <w:t>)</w:t>
      </w:r>
    </w:p>
    <w:p w14:paraId="3D7D12C6" w14:textId="22A3A9E6" w:rsidR="00925A5C" w:rsidRDefault="00161965" w:rsidP="00925A5C">
      <w:pPr>
        <w:pStyle w:val="HR"/>
        <w:rPr>
          <w:i/>
        </w:rPr>
      </w:pPr>
      <w:r>
        <w:t>1</w:t>
      </w:r>
      <w:r w:rsidR="00925A5C">
        <w:tab/>
        <w:t xml:space="preserve">Section 4, after definition of </w:t>
      </w:r>
      <w:r w:rsidR="00925A5C">
        <w:rPr>
          <w:i/>
        </w:rPr>
        <w:t>authority of the Commonwealth</w:t>
      </w:r>
    </w:p>
    <w:p w14:paraId="0245FEFD" w14:textId="77777777" w:rsidR="00925A5C" w:rsidRDefault="00925A5C" w:rsidP="00925A5C">
      <w:pPr>
        <w:pStyle w:val="R1"/>
        <w:tabs>
          <w:tab w:val="left" w:pos="1440"/>
          <w:tab w:val="left" w:pos="2160"/>
          <w:tab w:val="left" w:pos="2880"/>
          <w:tab w:val="left" w:pos="4995"/>
        </w:tabs>
        <w:spacing w:after="120"/>
        <w:rPr>
          <w:i/>
        </w:rPr>
      </w:pPr>
      <w:r>
        <w:tab/>
      </w:r>
      <w:r>
        <w:tab/>
      </w:r>
      <w:proofErr w:type="gramStart"/>
      <w:r>
        <w:rPr>
          <w:i/>
        </w:rPr>
        <w:t>insert</w:t>
      </w:r>
      <w:proofErr w:type="gramEnd"/>
    </w:p>
    <w:p w14:paraId="11C49461" w14:textId="1FC4EBBB" w:rsidR="00925A5C" w:rsidRPr="00925A5C" w:rsidRDefault="00925A5C" w:rsidP="00925A5C">
      <w:pPr>
        <w:ind w:left="1134"/>
        <w:rPr>
          <w:lang w:eastAsia="en-AU"/>
        </w:rPr>
      </w:pPr>
      <w:proofErr w:type="gramStart"/>
      <w:r>
        <w:rPr>
          <w:rFonts w:ascii="Times New Roman" w:hAnsi="Times New Roman" w:cs="Times New Roman"/>
          <w:b/>
          <w:i/>
          <w:sz w:val="24"/>
          <w:szCs w:val="24"/>
          <w:lang w:eastAsia="en-AU"/>
        </w:rPr>
        <w:t>carriage</w:t>
      </w:r>
      <w:proofErr w:type="gramEnd"/>
      <w:r>
        <w:rPr>
          <w:rFonts w:ascii="Times New Roman" w:hAnsi="Times New Roman" w:cs="Times New Roman"/>
          <w:b/>
          <w:i/>
          <w:sz w:val="24"/>
          <w:szCs w:val="24"/>
          <w:lang w:eastAsia="en-AU"/>
        </w:rPr>
        <w:t xml:space="preserve"> service provider </w:t>
      </w:r>
      <w:r>
        <w:rPr>
          <w:rFonts w:ascii="Times New Roman" w:hAnsi="Times New Roman" w:cs="Times New Roman"/>
          <w:sz w:val="24"/>
          <w:szCs w:val="24"/>
          <w:lang w:eastAsia="en-AU"/>
        </w:rPr>
        <w:t>has the same meaning as in the Telecommunications Act.</w:t>
      </w:r>
    </w:p>
    <w:p w14:paraId="0B4AF28B" w14:textId="66A53CB0" w:rsidR="00161965" w:rsidRDefault="00161965" w:rsidP="00161965">
      <w:pPr>
        <w:pStyle w:val="HR"/>
        <w:rPr>
          <w:i/>
        </w:rPr>
      </w:pPr>
      <w:r>
        <w:t>2</w:t>
      </w:r>
      <w:r>
        <w:tab/>
        <w:t xml:space="preserve">Section 4, after definition of </w:t>
      </w:r>
      <w:r w:rsidR="00ED7BA2">
        <w:rPr>
          <w:i/>
        </w:rPr>
        <w:t>certification body</w:t>
      </w:r>
    </w:p>
    <w:p w14:paraId="55476695" w14:textId="77777777" w:rsidR="00161965" w:rsidRDefault="00161965" w:rsidP="00161965">
      <w:pPr>
        <w:pStyle w:val="R1"/>
        <w:tabs>
          <w:tab w:val="left" w:pos="1440"/>
          <w:tab w:val="left" w:pos="2160"/>
          <w:tab w:val="left" w:pos="2880"/>
          <w:tab w:val="left" w:pos="4995"/>
        </w:tabs>
        <w:spacing w:after="120"/>
        <w:rPr>
          <w:i/>
        </w:rPr>
      </w:pPr>
      <w:r>
        <w:tab/>
      </w:r>
      <w:r>
        <w:tab/>
      </w:r>
      <w:proofErr w:type="gramStart"/>
      <w:r>
        <w:rPr>
          <w:i/>
        </w:rPr>
        <w:t>insert</w:t>
      </w:r>
      <w:proofErr w:type="gramEnd"/>
    </w:p>
    <w:p w14:paraId="1F701B90" w14:textId="27CC1626" w:rsidR="00161965" w:rsidRPr="00161965" w:rsidRDefault="00161965" w:rsidP="00161965">
      <w:pPr>
        <w:ind w:left="1134"/>
        <w:rPr>
          <w:rFonts w:ascii="Times New Roman" w:hAnsi="Times New Roman" w:cs="Times New Roman"/>
          <w:sz w:val="24"/>
          <w:szCs w:val="24"/>
          <w:lang w:eastAsia="en-AU"/>
        </w:rPr>
      </w:pPr>
      <w:proofErr w:type="gramStart"/>
      <w:r>
        <w:rPr>
          <w:rFonts w:ascii="Times New Roman" w:hAnsi="Times New Roman" w:cs="Times New Roman"/>
          <w:b/>
          <w:i/>
          <w:sz w:val="24"/>
          <w:szCs w:val="24"/>
          <w:lang w:eastAsia="en-AU"/>
        </w:rPr>
        <w:t>enhanced</w:t>
      </w:r>
      <w:proofErr w:type="gramEnd"/>
      <w:r>
        <w:rPr>
          <w:rFonts w:ascii="Times New Roman" w:hAnsi="Times New Roman" w:cs="Times New Roman"/>
          <w:b/>
          <w:i/>
          <w:sz w:val="24"/>
          <w:szCs w:val="24"/>
          <w:lang w:eastAsia="en-AU"/>
        </w:rPr>
        <w:t xml:space="preserve"> rights of use </w:t>
      </w:r>
      <w:r>
        <w:rPr>
          <w:rFonts w:ascii="Times New Roman" w:hAnsi="Times New Roman" w:cs="Times New Roman"/>
          <w:sz w:val="24"/>
          <w:szCs w:val="24"/>
          <w:lang w:eastAsia="en-AU"/>
        </w:rPr>
        <w:t>has the same meaning as in the numbering plan.</w:t>
      </w:r>
    </w:p>
    <w:p w14:paraId="2F3742CA" w14:textId="77777777" w:rsidR="00161965" w:rsidRDefault="00161965" w:rsidP="00161965">
      <w:pPr>
        <w:ind w:left="1134"/>
        <w:rPr>
          <w:rFonts w:ascii="Times New Roman" w:hAnsi="Times New Roman" w:cs="Times New Roman"/>
          <w:sz w:val="24"/>
          <w:szCs w:val="24"/>
          <w:lang w:eastAsia="en-AU"/>
        </w:rPr>
      </w:pPr>
      <w:r>
        <w:rPr>
          <w:rFonts w:ascii="Times New Roman" w:hAnsi="Times New Roman" w:cs="Times New Roman"/>
          <w:b/>
          <w:i/>
          <w:sz w:val="24"/>
          <w:szCs w:val="24"/>
          <w:lang w:eastAsia="en-AU"/>
        </w:rPr>
        <w:t xml:space="preserve">EROU applicant </w:t>
      </w:r>
      <w:r>
        <w:rPr>
          <w:rFonts w:ascii="Times New Roman" w:hAnsi="Times New Roman" w:cs="Times New Roman"/>
          <w:sz w:val="24"/>
          <w:szCs w:val="24"/>
          <w:lang w:eastAsia="en-AU"/>
        </w:rPr>
        <w:t>has the same meaning as in subsection 73(1) of the numbering plan.</w:t>
      </w:r>
    </w:p>
    <w:p w14:paraId="7609FEFE" w14:textId="77777777" w:rsidR="00161965" w:rsidRPr="00457002" w:rsidRDefault="00161965" w:rsidP="00161965">
      <w:pPr>
        <w:ind w:left="1134"/>
        <w:rPr>
          <w:lang w:eastAsia="en-AU"/>
        </w:rPr>
      </w:pPr>
      <w:r>
        <w:rPr>
          <w:rFonts w:ascii="Times New Roman" w:hAnsi="Times New Roman" w:cs="Times New Roman"/>
          <w:b/>
          <w:i/>
          <w:sz w:val="24"/>
          <w:szCs w:val="24"/>
          <w:lang w:eastAsia="en-AU"/>
        </w:rPr>
        <w:t xml:space="preserve">EROU-holder </w:t>
      </w:r>
      <w:r>
        <w:rPr>
          <w:rFonts w:ascii="Times New Roman" w:hAnsi="Times New Roman" w:cs="Times New Roman"/>
          <w:sz w:val="24"/>
          <w:szCs w:val="24"/>
          <w:lang w:eastAsia="en-AU"/>
        </w:rPr>
        <w:t>has the same meaning as in the numbering plan.</w:t>
      </w:r>
    </w:p>
    <w:p w14:paraId="37C3C98B" w14:textId="32647513" w:rsidR="00BF761B" w:rsidRDefault="00457002" w:rsidP="00BF761B">
      <w:pPr>
        <w:pStyle w:val="HR"/>
        <w:rPr>
          <w:i/>
        </w:rPr>
      </w:pPr>
      <w:r>
        <w:t>3</w:t>
      </w:r>
      <w:r w:rsidR="00BF761B">
        <w:tab/>
        <w:t xml:space="preserve">Section 4, after definition of </w:t>
      </w:r>
      <w:r w:rsidR="00BF761B">
        <w:rPr>
          <w:i/>
        </w:rPr>
        <w:t>facility installation permit application</w:t>
      </w:r>
    </w:p>
    <w:p w14:paraId="6D17A4DF" w14:textId="77777777" w:rsidR="00BF761B" w:rsidRDefault="00BF761B" w:rsidP="00BF761B">
      <w:pPr>
        <w:pStyle w:val="R1"/>
        <w:tabs>
          <w:tab w:val="left" w:pos="1440"/>
          <w:tab w:val="left" w:pos="2160"/>
          <w:tab w:val="left" w:pos="2880"/>
          <w:tab w:val="left" w:pos="4995"/>
        </w:tabs>
        <w:spacing w:after="120"/>
        <w:rPr>
          <w:i/>
        </w:rPr>
      </w:pPr>
      <w:r>
        <w:tab/>
      </w:r>
      <w:r>
        <w:tab/>
      </w:r>
      <w:proofErr w:type="gramStart"/>
      <w:r>
        <w:rPr>
          <w:i/>
        </w:rPr>
        <w:t>insert</w:t>
      </w:r>
      <w:proofErr w:type="gramEnd"/>
    </w:p>
    <w:p w14:paraId="3F1CF4E0" w14:textId="24527DEB" w:rsidR="00BF761B" w:rsidRPr="00F57FA3" w:rsidRDefault="00BF761B" w:rsidP="00BF761B">
      <w:pPr>
        <w:tabs>
          <w:tab w:val="left" w:pos="1134"/>
        </w:tabs>
        <w:ind w:left="1134"/>
        <w:rPr>
          <w:rFonts w:ascii="Times New Roman" w:hAnsi="Times New Roman" w:cs="Times New Roman"/>
          <w:sz w:val="24"/>
          <w:szCs w:val="24"/>
          <w:lang w:eastAsia="en-AU"/>
        </w:rPr>
      </w:pPr>
      <w:proofErr w:type="gramStart"/>
      <w:r>
        <w:rPr>
          <w:rFonts w:ascii="Times New Roman" w:hAnsi="Times New Roman" w:cs="Times New Roman"/>
          <w:b/>
          <w:i/>
          <w:sz w:val="24"/>
          <w:szCs w:val="24"/>
          <w:lang w:eastAsia="en-AU"/>
        </w:rPr>
        <w:t>geographic</w:t>
      </w:r>
      <w:proofErr w:type="gramEnd"/>
      <w:r>
        <w:rPr>
          <w:rFonts w:ascii="Times New Roman" w:hAnsi="Times New Roman" w:cs="Times New Roman"/>
          <w:b/>
          <w:i/>
          <w:sz w:val="24"/>
          <w:szCs w:val="24"/>
          <w:lang w:eastAsia="en-AU"/>
        </w:rPr>
        <w:t xml:space="preserve"> number </w:t>
      </w:r>
      <w:r>
        <w:rPr>
          <w:rFonts w:ascii="Times New Roman" w:hAnsi="Times New Roman" w:cs="Times New Roman"/>
          <w:sz w:val="24"/>
          <w:szCs w:val="24"/>
          <w:lang w:eastAsia="en-AU"/>
        </w:rPr>
        <w:t>has the sa</w:t>
      </w:r>
      <w:r w:rsidR="008750AE">
        <w:rPr>
          <w:rFonts w:ascii="Times New Roman" w:hAnsi="Times New Roman" w:cs="Times New Roman"/>
          <w:sz w:val="24"/>
          <w:szCs w:val="24"/>
          <w:lang w:eastAsia="en-AU"/>
        </w:rPr>
        <w:t>m</w:t>
      </w:r>
      <w:r>
        <w:rPr>
          <w:rFonts w:ascii="Times New Roman" w:hAnsi="Times New Roman" w:cs="Times New Roman"/>
          <w:sz w:val="24"/>
          <w:szCs w:val="24"/>
          <w:lang w:eastAsia="en-AU"/>
        </w:rPr>
        <w:t>e meaning as in the numbering plan.</w:t>
      </w:r>
    </w:p>
    <w:p w14:paraId="4D00FACD" w14:textId="498FBCF2" w:rsidR="00F57FA3" w:rsidRDefault="00457002" w:rsidP="00F57FA3">
      <w:pPr>
        <w:pStyle w:val="HR"/>
        <w:rPr>
          <w:i/>
        </w:rPr>
      </w:pPr>
      <w:r>
        <w:t>4</w:t>
      </w:r>
      <w:r w:rsidR="00F57FA3">
        <w:tab/>
        <w:t xml:space="preserve">Section 4, after definition of </w:t>
      </w:r>
      <w:r w:rsidR="00F57FA3">
        <w:rPr>
          <w:i/>
        </w:rPr>
        <w:t>non-protection zone installation permit application</w:t>
      </w:r>
    </w:p>
    <w:p w14:paraId="39A277F2" w14:textId="77777777" w:rsidR="00F57FA3" w:rsidRDefault="00F57FA3" w:rsidP="00F57FA3">
      <w:pPr>
        <w:pStyle w:val="R1"/>
        <w:tabs>
          <w:tab w:val="left" w:pos="1440"/>
          <w:tab w:val="left" w:pos="2160"/>
          <w:tab w:val="left" w:pos="2880"/>
          <w:tab w:val="left" w:pos="4995"/>
        </w:tabs>
        <w:spacing w:after="120"/>
        <w:rPr>
          <w:i/>
        </w:rPr>
      </w:pPr>
      <w:r>
        <w:tab/>
      </w:r>
      <w:r>
        <w:tab/>
      </w:r>
      <w:proofErr w:type="gramStart"/>
      <w:r>
        <w:rPr>
          <w:i/>
        </w:rPr>
        <w:t>insert</w:t>
      </w:r>
      <w:proofErr w:type="gramEnd"/>
    </w:p>
    <w:p w14:paraId="28E040DA" w14:textId="282B0E5D" w:rsidR="00F57FA3" w:rsidRPr="00F57FA3" w:rsidRDefault="00F57FA3" w:rsidP="00F57FA3">
      <w:pPr>
        <w:tabs>
          <w:tab w:val="left" w:pos="1134"/>
        </w:tabs>
        <w:ind w:left="1134"/>
        <w:rPr>
          <w:rFonts w:ascii="Times New Roman" w:hAnsi="Times New Roman" w:cs="Times New Roman"/>
          <w:sz w:val="24"/>
          <w:szCs w:val="24"/>
          <w:lang w:eastAsia="en-AU"/>
        </w:rPr>
      </w:pPr>
      <w:proofErr w:type="gramStart"/>
      <w:r>
        <w:rPr>
          <w:rFonts w:ascii="Times New Roman" w:hAnsi="Times New Roman" w:cs="Times New Roman"/>
          <w:b/>
          <w:i/>
          <w:sz w:val="24"/>
          <w:szCs w:val="24"/>
          <w:lang w:eastAsia="en-AU"/>
        </w:rPr>
        <w:t>numbering</w:t>
      </w:r>
      <w:proofErr w:type="gramEnd"/>
      <w:r>
        <w:rPr>
          <w:rFonts w:ascii="Times New Roman" w:hAnsi="Times New Roman" w:cs="Times New Roman"/>
          <w:b/>
          <w:i/>
          <w:sz w:val="24"/>
          <w:szCs w:val="24"/>
          <w:lang w:eastAsia="en-AU"/>
        </w:rPr>
        <w:t xml:space="preserve"> plan </w:t>
      </w:r>
      <w:r>
        <w:rPr>
          <w:rFonts w:ascii="Times New Roman" w:hAnsi="Times New Roman" w:cs="Times New Roman"/>
          <w:sz w:val="24"/>
          <w:szCs w:val="24"/>
          <w:lang w:eastAsia="en-AU"/>
        </w:rPr>
        <w:t xml:space="preserve">means the </w:t>
      </w:r>
      <w:r>
        <w:rPr>
          <w:rFonts w:ascii="Times New Roman" w:hAnsi="Times New Roman" w:cs="Times New Roman"/>
          <w:i/>
          <w:sz w:val="24"/>
          <w:szCs w:val="24"/>
          <w:lang w:eastAsia="en-AU"/>
        </w:rPr>
        <w:t>Telecommunications Numbering Plan 2015</w:t>
      </w:r>
      <w:r>
        <w:rPr>
          <w:rFonts w:ascii="Times New Roman" w:hAnsi="Times New Roman" w:cs="Times New Roman"/>
          <w:sz w:val="24"/>
          <w:szCs w:val="24"/>
          <w:lang w:eastAsia="en-AU"/>
        </w:rPr>
        <w:t>.</w:t>
      </w:r>
    </w:p>
    <w:p w14:paraId="70F6A47E" w14:textId="6BE16CAB" w:rsidR="00B60305" w:rsidRPr="00B60305" w:rsidRDefault="00457002" w:rsidP="00AC7229">
      <w:pPr>
        <w:pStyle w:val="HR"/>
      </w:pPr>
      <w:r>
        <w:t>5</w:t>
      </w:r>
      <w:r w:rsidR="00B60305">
        <w:tab/>
        <w:t xml:space="preserve">Section 4, definition of </w:t>
      </w:r>
      <w:r w:rsidR="00B60305">
        <w:rPr>
          <w:i/>
        </w:rPr>
        <w:t>online application</w:t>
      </w:r>
      <w:r w:rsidR="00B60305">
        <w:t xml:space="preserve"> and note to the definition</w:t>
      </w:r>
    </w:p>
    <w:p w14:paraId="7E43CC23" w14:textId="129E5516" w:rsidR="00B60305" w:rsidRDefault="00B60305" w:rsidP="00B60305">
      <w:pPr>
        <w:pStyle w:val="R1"/>
        <w:tabs>
          <w:tab w:val="left" w:pos="1440"/>
          <w:tab w:val="left" w:pos="2160"/>
          <w:tab w:val="left" w:pos="2880"/>
          <w:tab w:val="left" w:pos="4995"/>
        </w:tabs>
        <w:spacing w:after="120"/>
        <w:rPr>
          <w:i/>
        </w:rPr>
      </w:pPr>
      <w:r>
        <w:tab/>
      </w:r>
      <w:r>
        <w:tab/>
      </w:r>
      <w:proofErr w:type="gramStart"/>
      <w:r w:rsidRPr="00B60305">
        <w:rPr>
          <w:i/>
        </w:rPr>
        <w:t>o</w:t>
      </w:r>
      <w:r>
        <w:rPr>
          <w:i/>
        </w:rPr>
        <w:t>mit</w:t>
      </w:r>
      <w:proofErr w:type="gramEnd"/>
      <w:r>
        <w:rPr>
          <w:i/>
        </w:rPr>
        <w:t xml:space="preserve"> the definition and note</w:t>
      </w:r>
    </w:p>
    <w:p w14:paraId="35D2EAD5" w14:textId="1B892FD2" w:rsidR="002348DF" w:rsidRPr="002348DF" w:rsidRDefault="002348DF" w:rsidP="002348DF">
      <w:pPr>
        <w:pStyle w:val="HR"/>
        <w:rPr>
          <w:i/>
        </w:rPr>
      </w:pPr>
      <w:r>
        <w:t>6</w:t>
      </w:r>
      <w:r>
        <w:tab/>
        <w:t xml:space="preserve">Section 4, after definition of </w:t>
      </w:r>
      <w:r>
        <w:rPr>
          <w:i/>
        </w:rPr>
        <w:t>public inquiry</w:t>
      </w:r>
    </w:p>
    <w:p w14:paraId="7787BA41" w14:textId="77777777" w:rsidR="002348DF" w:rsidRDefault="002348DF" w:rsidP="002348DF">
      <w:pPr>
        <w:pStyle w:val="R1"/>
        <w:tabs>
          <w:tab w:val="left" w:pos="1440"/>
          <w:tab w:val="left" w:pos="2160"/>
          <w:tab w:val="left" w:pos="2880"/>
          <w:tab w:val="left" w:pos="4995"/>
        </w:tabs>
        <w:spacing w:after="120"/>
        <w:rPr>
          <w:i/>
        </w:rPr>
      </w:pPr>
      <w:r>
        <w:tab/>
      </w:r>
      <w:r>
        <w:tab/>
      </w:r>
      <w:proofErr w:type="gramStart"/>
      <w:r>
        <w:rPr>
          <w:i/>
        </w:rPr>
        <w:t>insert</w:t>
      </w:r>
      <w:proofErr w:type="gramEnd"/>
    </w:p>
    <w:p w14:paraId="39B392AD" w14:textId="77777777" w:rsidR="002348DF" w:rsidRPr="00457002" w:rsidRDefault="002348DF" w:rsidP="002348DF">
      <w:pPr>
        <w:tabs>
          <w:tab w:val="left" w:pos="1134"/>
        </w:tabs>
        <w:spacing w:after="120"/>
        <w:ind w:left="1134"/>
        <w:rPr>
          <w:rFonts w:ascii="Times New Roman" w:hAnsi="Times New Roman" w:cs="Times New Roman"/>
          <w:sz w:val="24"/>
          <w:szCs w:val="24"/>
          <w:lang w:eastAsia="en-AU"/>
        </w:rPr>
      </w:pPr>
      <w:proofErr w:type="gramStart"/>
      <w:r>
        <w:rPr>
          <w:rFonts w:ascii="Times New Roman" w:hAnsi="Times New Roman" w:cs="Times New Roman"/>
          <w:b/>
          <w:i/>
          <w:sz w:val="24"/>
          <w:szCs w:val="24"/>
          <w:lang w:eastAsia="en-AU"/>
        </w:rPr>
        <w:t>registered</w:t>
      </w:r>
      <w:proofErr w:type="gramEnd"/>
      <w:r>
        <w:rPr>
          <w:rFonts w:ascii="Times New Roman" w:hAnsi="Times New Roman" w:cs="Times New Roman"/>
          <w:b/>
          <w:i/>
          <w:sz w:val="24"/>
          <w:szCs w:val="24"/>
          <w:lang w:eastAsia="en-AU"/>
        </w:rPr>
        <w:t xml:space="preserve"> carriage service provider </w:t>
      </w:r>
      <w:r>
        <w:rPr>
          <w:rFonts w:ascii="Times New Roman" w:hAnsi="Times New Roman" w:cs="Times New Roman"/>
          <w:sz w:val="24"/>
          <w:szCs w:val="24"/>
          <w:lang w:eastAsia="en-AU"/>
        </w:rPr>
        <w:t>has the same meaning as in the numbering plan.</w:t>
      </w:r>
    </w:p>
    <w:p w14:paraId="2FC05FDA" w14:textId="471D1A0B" w:rsidR="00AC7229" w:rsidRDefault="002348DF" w:rsidP="00AC7229">
      <w:pPr>
        <w:pStyle w:val="HR"/>
        <w:rPr>
          <w:i/>
        </w:rPr>
      </w:pPr>
      <w:r>
        <w:t>7</w:t>
      </w:r>
      <w:r w:rsidR="00AC7229">
        <w:tab/>
      </w:r>
      <w:r w:rsidR="00F57FA3">
        <w:t xml:space="preserve">Section 4, after definition of </w:t>
      </w:r>
      <w:r w:rsidR="00F57FA3">
        <w:rPr>
          <w:i/>
        </w:rPr>
        <w:t>Remuneration Tribunal</w:t>
      </w:r>
    </w:p>
    <w:p w14:paraId="69E3F7E9" w14:textId="7CF827B1" w:rsidR="00F57FA3" w:rsidRDefault="00F57FA3" w:rsidP="00F57FA3">
      <w:pPr>
        <w:pStyle w:val="R1"/>
        <w:tabs>
          <w:tab w:val="left" w:pos="1440"/>
          <w:tab w:val="left" w:pos="2160"/>
          <w:tab w:val="left" w:pos="2880"/>
          <w:tab w:val="left" w:pos="4995"/>
        </w:tabs>
        <w:spacing w:after="120"/>
        <w:rPr>
          <w:i/>
        </w:rPr>
      </w:pPr>
      <w:r>
        <w:tab/>
      </w:r>
      <w:r>
        <w:tab/>
      </w:r>
      <w:proofErr w:type="gramStart"/>
      <w:r>
        <w:rPr>
          <w:i/>
        </w:rPr>
        <w:t>insert</w:t>
      </w:r>
      <w:proofErr w:type="gramEnd"/>
    </w:p>
    <w:p w14:paraId="69AA9C8E" w14:textId="2D874C19" w:rsidR="00F57FA3" w:rsidRDefault="00F57FA3" w:rsidP="00BE4DC0">
      <w:pPr>
        <w:tabs>
          <w:tab w:val="left" w:pos="1134"/>
        </w:tabs>
        <w:spacing w:after="120"/>
        <w:ind w:left="1134"/>
        <w:rPr>
          <w:rFonts w:ascii="Times New Roman" w:hAnsi="Times New Roman" w:cs="Times New Roman"/>
          <w:sz w:val="24"/>
          <w:szCs w:val="24"/>
          <w:lang w:eastAsia="en-AU"/>
        </w:rPr>
      </w:pPr>
      <w:proofErr w:type="gramStart"/>
      <w:r>
        <w:rPr>
          <w:rFonts w:ascii="Times New Roman" w:hAnsi="Times New Roman" w:cs="Times New Roman"/>
          <w:b/>
          <w:i/>
          <w:sz w:val="24"/>
          <w:szCs w:val="24"/>
          <w:lang w:eastAsia="en-AU"/>
        </w:rPr>
        <w:t>standard</w:t>
      </w:r>
      <w:proofErr w:type="gramEnd"/>
      <w:r>
        <w:rPr>
          <w:rFonts w:ascii="Times New Roman" w:hAnsi="Times New Roman" w:cs="Times New Roman"/>
          <w:b/>
          <w:i/>
          <w:sz w:val="24"/>
          <w:szCs w:val="24"/>
          <w:lang w:eastAsia="en-AU"/>
        </w:rPr>
        <w:t xml:space="preserve"> unit </w:t>
      </w:r>
      <w:r>
        <w:rPr>
          <w:rFonts w:ascii="Times New Roman" w:hAnsi="Times New Roman" w:cs="Times New Roman"/>
          <w:sz w:val="24"/>
          <w:szCs w:val="24"/>
          <w:lang w:eastAsia="en-AU"/>
        </w:rPr>
        <w:t>has the same meaning as in the numbering plan.</w:t>
      </w:r>
    </w:p>
    <w:p w14:paraId="436C7631" w14:textId="422C4E9C" w:rsidR="00457002" w:rsidRPr="00457002" w:rsidRDefault="002348DF" w:rsidP="00457002">
      <w:pPr>
        <w:pStyle w:val="HR"/>
        <w:rPr>
          <w:i/>
        </w:rPr>
      </w:pPr>
      <w:r>
        <w:lastRenderedPageBreak/>
        <w:t>8</w:t>
      </w:r>
      <w:r w:rsidR="00457002">
        <w:tab/>
        <w:t xml:space="preserve">Section 4, after definition of </w:t>
      </w:r>
      <w:r w:rsidR="00675206">
        <w:rPr>
          <w:i/>
        </w:rPr>
        <w:t>Telecommunications Act</w:t>
      </w:r>
    </w:p>
    <w:p w14:paraId="32FF08F9" w14:textId="77777777" w:rsidR="00457002" w:rsidRDefault="00457002" w:rsidP="00457002">
      <w:pPr>
        <w:pStyle w:val="R1"/>
        <w:keepNext/>
        <w:tabs>
          <w:tab w:val="left" w:pos="1440"/>
          <w:tab w:val="left" w:pos="2160"/>
          <w:tab w:val="left" w:pos="2880"/>
          <w:tab w:val="left" w:pos="4995"/>
        </w:tabs>
        <w:spacing w:after="120"/>
        <w:rPr>
          <w:i/>
        </w:rPr>
      </w:pPr>
      <w:r>
        <w:tab/>
      </w:r>
      <w:r>
        <w:tab/>
      </w:r>
      <w:proofErr w:type="gramStart"/>
      <w:r>
        <w:rPr>
          <w:i/>
        </w:rPr>
        <w:t>insert</w:t>
      </w:r>
      <w:proofErr w:type="gramEnd"/>
    </w:p>
    <w:p w14:paraId="7D0803C2" w14:textId="1844C336" w:rsidR="00457002" w:rsidRPr="00457002" w:rsidRDefault="00457002" w:rsidP="00457002">
      <w:pPr>
        <w:tabs>
          <w:tab w:val="left" w:pos="1134"/>
        </w:tabs>
        <w:spacing w:after="120"/>
        <w:ind w:left="1134"/>
        <w:rPr>
          <w:rFonts w:ascii="Times New Roman" w:hAnsi="Times New Roman" w:cs="Times New Roman"/>
          <w:sz w:val="24"/>
          <w:szCs w:val="24"/>
          <w:lang w:eastAsia="en-AU"/>
        </w:rPr>
      </w:pPr>
      <w:proofErr w:type="gramStart"/>
      <w:r>
        <w:rPr>
          <w:rFonts w:ascii="Times New Roman" w:hAnsi="Times New Roman" w:cs="Times New Roman"/>
          <w:b/>
          <w:i/>
          <w:sz w:val="24"/>
          <w:szCs w:val="24"/>
          <w:lang w:eastAsia="en-AU"/>
        </w:rPr>
        <w:t>unassigned</w:t>
      </w:r>
      <w:proofErr w:type="gramEnd"/>
      <w:r>
        <w:rPr>
          <w:rFonts w:ascii="Times New Roman" w:hAnsi="Times New Roman" w:cs="Times New Roman"/>
          <w:b/>
          <w:i/>
          <w:sz w:val="24"/>
          <w:szCs w:val="24"/>
          <w:lang w:eastAsia="en-AU"/>
        </w:rPr>
        <w:t xml:space="preserve"> unallocated </w:t>
      </w:r>
      <w:proofErr w:type="spellStart"/>
      <w:r>
        <w:rPr>
          <w:rFonts w:ascii="Times New Roman" w:hAnsi="Times New Roman" w:cs="Times New Roman"/>
          <w:b/>
          <w:i/>
          <w:sz w:val="24"/>
          <w:szCs w:val="24"/>
          <w:lang w:eastAsia="en-AU"/>
        </w:rPr>
        <w:t>smartnumber</w:t>
      </w:r>
      <w:proofErr w:type="spellEnd"/>
      <w:r>
        <w:rPr>
          <w:rFonts w:ascii="Times New Roman" w:hAnsi="Times New Roman" w:cs="Times New Roman"/>
          <w:b/>
          <w:i/>
          <w:sz w:val="24"/>
          <w:szCs w:val="24"/>
          <w:lang w:eastAsia="en-AU"/>
        </w:rPr>
        <w:t xml:space="preserve"> </w:t>
      </w:r>
      <w:r>
        <w:rPr>
          <w:rFonts w:ascii="Times New Roman" w:hAnsi="Times New Roman" w:cs="Times New Roman"/>
          <w:sz w:val="24"/>
          <w:szCs w:val="24"/>
          <w:lang w:eastAsia="en-AU"/>
        </w:rPr>
        <w:t>has the same meaning as in the numbering plan.</w:t>
      </w:r>
    </w:p>
    <w:p w14:paraId="4FC2388B" w14:textId="76C1FCAA" w:rsidR="00370B5E" w:rsidRDefault="002348DF" w:rsidP="00457002">
      <w:pPr>
        <w:pStyle w:val="HR"/>
        <w:rPr>
          <w:i/>
        </w:rPr>
      </w:pPr>
      <w:r>
        <w:t>9</w:t>
      </w:r>
      <w:r w:rsidR="00370B5E">
        <w:tab/>
        <w:t>Section 5</w:t>
      </w:r>
    </w:p>
    <w:p w14:paraId="6CFBB4AD" w14:textId="2C1A2516" w:rsidR="00370B5E" w:rsidRDefault="00370B5E" w:rsidP="00457002">
      <w:pPr>
        <w:pStyle w:val="R1"/>
        <w:keepNext/>
        <w:tabs>
          <w:tab w:val="left" w:pos="1440"/>
          <w:tab w:val="left" w:pos="2160"/>
          <w:tab w:val="left" w:pos="2880"/>
          <w:tab w:val="left" w:pos="4995"/>
        </w:tabs>
        <w:spacing w:after="120"/>
        <w:rPr>
          <w:i/>
        </w:rPr>
      </w:pPr>
      <w:r>
        <w:tab/>
      </w:r>
      <w:r>
        <w:tab/>
      </w:r>
      <w:proofErr w:type="gramStart"/>
      <w:r>
        <w:rPr>
          <w:i/>
        </w:rPr>
        <w:t>substitute</w:t>
      </w:r>
      <w:proofErr w:type="gramEnd"/>
    </w:p>
    <w:p w14:paraId="4B3E579D" w14:textId="77777777" w:rsidR="00867B6A" w:rsidRDefault="00867B6A" w:rsidP="00867B6A">
      <w:pPr>
        <w:pStyle w:val="HR"/>
        <w:ind w:left="1985"/>
        <w:outlineLvl w:val="0"/>
        <w:rPr>
          <w:sz w:val="22"/>
          <w:szCs w:val="22"/>
        </w:rPr>
      </w:pPr>
      <w:r>
        <w:rPr>
          <w:rStyle w:val="CharSectno"/>
          <w:sz w:val="22"/>
          <w:szCs w:val="22"/>
        </w:rPr>
        <w:t>5</w:t>
      </w:r>
      <w:r w:rsidRPr="002F2433">
        <w:rPr>
          <w:sz w:val="22"/>
          <w:szCs w:val="22"/>
        </w:rPr>
        <w:tab/>
      </w:r>
      <w:r>
        <w:rPr>
          <w:sz w:val="22"/>
          <w:szCs w:val="22"/>
        </w:rPr>
        <w:t>Purpose of Determination</w:t>
      </w:r>
    </w:p>
    <w:p w14:paraId="31B40850" w14:textId="608A2726" w:rsidR="00867B6A" w:rsidRPr="006954BF" w:rsidRDefault="00867B6A" w:rsidP="00867B6A">
      <w:pPr>
        <w:pStyle w:val="R1"/>
        <w:tabs>
          <w:tab w:val="clear" w:pos="794"/>
          <w:tab w:val="left" w:pos="1985"/>
        </w:tabs>
        <w:ind w:left="1985"/>
      </w:pPr>
      <w:r>
        <w:rPr>
          <w:sz w:val="22"/>
          <w:szCs w:val="22"/>
        </w:rPr>
        <w:tab/>
      </w:r>
      <w:r w:rsidRPr="006954BF">
        <w:t>Under subsection 60 (1) of the ACMA Act, the ACMA may make determinations fixing charges for:</w:t>
      </w:r>
    </w:p>
    <w:p w14:paraId="62AFBC94" w14:textId="77777777" w:rsidR="00867B6A" w:rsidRPr="006954BF" w:rsidRDefault="00867B6A" w:rsidP="00867B6A">
      <w:pPr>
        <w:pStyle w:val="R1"/>
        <w:numPr>
          <w:ilvl w:val="0"/>
          <w:numId w:val="7"/>
        </w:numPr>
        <w:ind w:left="2268"/>
      </w:pPr>
      <w:r w:rsidRPr="006954BF">
        <w:t>services provided by the ACMA; and</w:t>
      </w:r>
    </w:p>
    <w:p w14:paraId="0AE2599A" w14:textId="2B402978" w:rsidR="00867B6A" w:rsidRPr="006954BF" w:rsidRDefault="00867B6A" w:rsidP="00867B6A">
      <w:pPr>
        <w:pStyle w:val="R1"/>
        <w:numPr>
          <w:ilvl w:val="0"/>
          <w:numId w:val="7"/>
        </w:numPr>
        <w:ind w:left="2268"/>
      </w:pPr>
      <w:r w:rsidRPr="006954BF">
        <w:t xml:space="preserve">any matter in relation to which expenses are incurred by the ACMA under the Acts specified in the subsection (including the Telecommunications Act) or an instrument made under such an Act (including the numbering plan); </w:t>
      </w:r>
    </w:p>
    <w:p w14:paraId="5783B9FB" w14:textId="7B1065AE" w:rsidR="00867B6A" w:rsidRPr="006954BF" w:rsidRDefault="00867B6A" w:rsidP="00867B6A">
      <w:pPr>
        <w:pStyle w:val="R1"/>
        <w:ind w:left="1985"/>
      </w:pPr>
      <w:r w:rsidRPr="006954BF">
        <w:tab/>
      </w:r>
      <w:proofErr w:type="gramStart"/>
      <w:r w:rsidRPr="006954BF">
        <w:t>and</w:t>
      </w:r>
      <w:proofErr w:type="gramEnd"/>
      <w:r w:rsidRPr="006954BF">
        <w:t xml:space="preserve"> specifying the persons by whom, and the times when, the charges are payable.</w:t>
      </w:r>
    </w:p>
    <w:p w14:paraId="289428A3" w14:textId="19226828" w:rsidR="00867B6A" w:rsidRPr="006954BF" w:rsidRDefault="00867B6A" w:rsidP="00867B6A">
      <w:pPr>
        <w:pStyle w:val="R1"/>
        <w:ind w:left="1985"/>
      </w:pPr>
      <w:r w:rsidRPr="006954BF">
        <w:tab/>
        <w:t xml:space="preserve">The purpose of this Determination is to fix </w:t>
      </w:r>
      <w:r w:rsidR="00EA0A80">
        <w:t xml:space="preserve">the </w:t>
      </w:r>
      <w:r w:rsidRPr="006954BF">
        <w:t xml:space="preserve">charges for </w:t>
      </w:r>
      <w:r w:rsidR="00EA0A80">
        <w:t>certain</w:t>
      </w:r>
      <w:r w:rsidR="00EA0A80" w:rsidRPr="006954BF">
        <w:t xml:space="preserve"> </w:t>
      </w:r>
      <w:r w:rsidRPr="006954BF">
        <w:t>matters under the Telecommunications Act</w:t>
      </w:r>
      <w:r w:rsidR="00F72F34" w:rsidRPr="006954BF">
        <w:t>,</w:t>
      </w:r>
      <w:r w:rsidRPr="006954BF">
        <w:t xml:space="preserve"> </w:t>
      </w:r>
      <w:r w:rsidR="00F72F34" w:rsidRPr="006954BF">
        <w:t xml:space="preserve">and </w:t>
      </w:r>
      <w:r w:rsidR="00EA0A80">
        <w:t>certain</w:t>
      </w:r>
      <w:r w:rsidR="00F72F34" w:rsidRPr="006954BF">
        <w:t xml:space="preserve"> instrument</w:t>
      </w:r>
      <w:r w:rsidR="00EA0A80">
        <w:t>s</w:t>
      </w:r>
      <w:r w:rsidR="00F72F34" w:rsidRPr="006954BF">
        <w:t xml:space="preserve"> made under the Telecommunications Act (including the numbering plan), </w:t>
      </w:r>
      <w:r w:rsidR="00EA0A80">
        <w:t>which</w:t>
      </w:r>
      <w:r w:rsidRPr="006954BF">
        <w:t xml:space="preserve"> are set out in Schedule 1.</w:t>
      </w:r>
    </w:p>
    <w:p w14:paraId="32C23346" w14:textId="0383C79D" w:rsidR="003448D9" w:rsidRDefault="003448D9" w:rsidP="003448D9">
      <w:pPr>
        <w:pStyle w:val="HR"/>
        <w:rPr>
          <w:i/>
        </w:rPr>
      </w:pPr>
      <w:r>
        <w:t>10</w:t>
      </w:r>
      <w:r>
        <w:tab/>
        <w:t>After section 7</w:t>
      </w:r>
    </w:p>
    <w:p w14:paraId="5F35D7AC" w14:textId="01AECE7C" w:rsidR="003448D9" w:rsidRDefault="003448D9" w:rsidP="003448D9">
      <w:pPr>
        <w:pStyle w:val="R1"/>
        <w:keepNext/>
        <w:tabs>
          <w:tab w:val="left" w:pos="1440"/>
          <w:tab w:val="left" w:pos="2160"/>
          <w:tab w:val="left" w:pos="2880"/>
          <w:tab w:val="left" w:pos="4995"/>
        </w:tabs>
        <w:spacing w:after="120"/>
        <w:rPr>
          <w:i/>
        </w:rPr>
      </w:pPr>
      <w:r>
        <w:tab/>
      </w:r>
      <w:r>
        <w:tab/>
      </w:r>
      <w:proofErr w:type="gramStart"/>
      <w:r>
        <w:rPr>
          <w:i/>
        </w:rPr>
        <w:t>insert</w:t>
      </w:r>
      <w:proofErr w:type="gramEnd"/>
    </w:p>
    <w:p w14:paraId="2F9FDA1F" w14:textId="1C694DAA" w:rsidR="003448D9" w:rsidRDefault="003448D9" w:rsidP="003448D9">
      <w:pPr>
        <w:pStyle w:val="HR"/>
        <w:ind w:left="1985"/>
        <w:outlineLvl w:val="0"/>
        <w:rPr>
          <w:sz w:val="22"/>
          <w:szCs w:val="22"/>
        </w:rPr>
      </w:pPr>
      <w:r>
        <w:rPr>
          <w:rStyle w:val="CharSectno"/>
          <w:sz w:val="22"/>
          <w:szCs w:val="22"/>
        </w:rPr>
        <w:t>7A</w:t>
      </w:r>
      <w:r w:rsidRPr="002F2433">
        <w:rPr>
          <w:sz w:val="22"/>
          <w:szCs w:val="22"/>
        </w:rPr>
        <w:tab/>
      </w:r>
      <w:r>
        <w:rPr>
          <w:sz w:val="22"/>
          <w:szCs w:val="22"/>
        </w:rPr>
        <w:t xml:space="preserve">Special rules – refund of numbering plan </w:t>
      </w:r>
      <w:r w:rsidR="00A019DC">
        <w:rPr>
          <w:sz w:val="22"/>
          <w:szCs w:val="22"/>
        </w:rPr>
        <w:t>application charge</w:t>
      </w:r>
    </w:p>
    <w:p w14:paraId="204659D8" w14:textId="1D6418AA" w:rsidR="003448D9" w:rsidRPr="006954BF" w:rsidRDefault="003448D9" w:rsidP="003448D9">
      <w:pPr>
        <w:pStyle w:val="R1"/>
        <w:tabs>
          <w:tab w:val="clear" w:pos="794"/>
          <w:tab w:val="left" w:pos="1985"/>
        </w:tabs>
        <w:ind w:left="1985"/>
      </w:pPr>
      <w:r>
        <w:rPr>
          <w:sz w:val="22"/>
          <w:szCs w:val="22"/>
        </w:rPr>
        <w:tab/>
      </w:r>
      <w:r>
        <w:t>If a person</w:t>
      </w:r>
      <w:r w:rsidRPr="006954BF">
        <w:t>:</w:t>
      </w:r>
    </w:p>
    <w:p w14:paraId="336A23B5" w14:textId="7D4B7CEF" w:rsidR="003448D9" w:rsidRDefault="003448D9" w:rsidP="003448D9">
      <w:pPr>
        <w:pStyle w:val="R1"/>
        <w:numPr>
          <w:ilvl w:val="0"/>
          <w:numId w:val="8"/>
        </w:numPr>
        <w:ind w:left="2268"/>
      </w:pPr>
      <w:r>
        <w:t>makes an application mentioned in column 2 of item 3.1 of Part 3 of Schedule 1</w:t>
      </w:r>
      <w:r w:rsidRPr="006954BF">
        <w:t>; and</w:t>
      </w:r>
    </w:p>
    <w:p w14:paraId="5BD00383" w14:textId="2E54001A" w:rsidR="003448D9" w:rsidRPr="006954BF" w:rsidRDefault="003448D9" w:rsidP="003448D9">
      <w:pPr>
        <w:pStyle w:val="R1"/>
        <w:numPr>
          <w:ilvl w:val="0"/>
          <w:numId w:val="8"/>
        </w:numPr>
        <w:ind w:left="2268"/>
      </w:pPr>
      <w:r>
        <w:t xml:space="preserve">the </w:t>
      </w:r>
      <w:r w:rsidR="00A019DC">
        <w:t>ACMA decides not to approve the application</w:t>
      </w:r>
      <w:r w:rsidRPr="006954BF">
        <w:t xml:space="preserve">; </w:t>
      </w:r>
    </w:p>
    <w:p w14:paraId="4663CA0F" w14:textId="5AFCEF0F" w:rsidR="003448D9" w:rsidRPr="003448D9" w:rsidRDefault="003448D9" w:rsidP="000300A4">
      <w:pPr>
        <w:pStyle w:val="R1"/>
        <w:ind w:left="1985"/>
      </w:pPr>
      <w:r>
        <w:tab/>
      </w:r>
      <w:proofErr w:type="gramStart"/>
      <w:r>
        <w:t>the</w:t>
      </w:r>
      <w:proofErr w:type="gramEnd"/>
      <w:r>
        <w:t xml:space="preserve"> ACMA must refund </w:t>
      </w:r>
      <w:r w:rsidR="00CB5DAA">
        <w:t xml:space="preserve">any payment of </w:t>
      </w:r>
      <w:r>
        <w:t>the charge mentioned in column</w:t>
      </w:r>
      <w:r w:rsidR="00BD2465">
        <w:t> </w:t>
      </w:r>
      <w:r>
        <w:t>3 of the item</w:t>
      </w:r>
      <w:r w:rsidRPr="006954BF">
        <w:t>.</w:t>
      </w:r>
    </w:p>
    <w:p w14:paraId="4D085C52" w14:textId="2F2289BD" w:rsidR="00B95854" w:rsidRDefault="00B95854" w:rsidP="00B95854">
      <w:pPr>
        <w:pStyle w:val="HR"/>
        <w:rPr>
          <w:i/>
        </w:rPr>
      </w:pPr>
      <w:r>
        <w:t>1</w:t>
      </w:r>
      <w:r w:rsidR="00743ADA">
        <w:t>1</w:t>
      </w:r>
      <w:r>
        <w:tab/>
        <w:t>Subsection 8(3)</w:t>
      </w:r>
    </w:p>
    <w:p w14:paraId="54CAA069" w14:textId="77777777" w:rsidR="00B95854" w:rsidRPr="00921DAC" w:rsidRDefault="00B95854" w:rsidP="00B95854">
      <w:pPr>
        <w:pStyle w:val="R1"/>
        <w:tabs>
          <w:tab w:val="left" w:pos="1440"/>
          <w:tab w:val="left" w:pos="2160"/>
          <w:tab w:val="left" w:pos="2880"/>
          <w:tab w:val="left" w:pos="4995"/>
        </w:tabs>
        <w:spacing w:after="120"/>
        <w:rPr>
          <w:i/>
        </w:rPr>
      </w:pPr>
      <w:r>
        <w:tab/>
      </w:r>
      <w:r>
        <w:tab/>
      </w:r>
      <w:proofErr w:type="gramStart"/>
      <w:r>
        <w:rPr>
          <w:i/>
        </w:rPr>
        <w:t>omit</w:t>
      </w:r>
      <w:proofErr w:type="gramEnd"/>
    </w:p>
    <w:p w14:paraId="7C78C830" w14:textId="52A36CF7" w:rsidR="00B95854" w:rsidRDefault="00B95854" w:rsidP="00B95854">
      <w:pPr>
        <w:ind w:left="1134"/>
        <w:rPr>
          <w:rFonts w:ascii="Times New Roman" w:hAnsi="Times New Roman" w:cs="Times New Roman"/>
          <w:sz w:val="24"/>
          <w:szCs w:val="24"/>
          <w:lang w:eastAsia="en-AU"/>
        </w:rPr>
      </w:pPr>
      <w:proofErr w:type="gramStart"/>
      <w:r>
        <w:rPr>
          <w:rFonts w:ascii="Times New Roman" w:hAnsi="Times New Roman" w:cs="Times New Roman"/>
          <w:sz w:val="24"/>
          <w:szCs w:val="24"/>
          <w:lang w:eastAsia="en-AU"/>
        </w:rPr>
        <w:t>subparagraph</w:t>
      </w:r>
      <w:proofErr w:type="gramEnd"/>
      <w:r>
        <w:rPr>
          <w:rFonts w:ascii="Times New Roman" w:hAnsi="Times New Roman" w:cs="Times New Roman"/>
          <w:sz w:val="24"/>
          <w:szCs w:val="24"/>
          <w:lang w:eastAsia="en-AU"/>
        </w:rPr>
        <w:t xml:space="preserve"> 12 (c) (</w:t>
      </w:r>
      <w:proofErr w:type="spellStart"/>
      <w:r>
        <w:rPr>
          <w:rFonts w:ascii="Times New Roman" w:hAnsi="Times New Roman" w:cs="Times New Roman"/>
          <w:sz w:val="24"/>
          <w:szCs w:val="24"/>
          <w:lang w:eastAsia="en-AU"/>
        </w:rPr>
        <w:t>i</w:t>
      </w:r>
      <w:proofErr w:type="spellEnd"/>
      <w:r>
        <w:rPr>
          <w:rFonts w:ascii="Times New Roman" w:hAnsi="Times New Roman" w:cs="Times New Roman"/>
          <w:sz w:val="24"/>
          <w:szCs w:val="24"/>
          <w:lang w:eastAsia="en-AU"/>
        </w:rPr>
        <w:t>)</w:t>
      </w:r>
    </w:p>
    <w:p w14:paraId="40A4D6CB" w14:textId="77777777" w:rsidR="00B95854" w:rsidRPr="00921DAC" w:rsidRDefault="00B95854" w:rsidP="00B95854">
      <w:pPr>
        <w:pStyle w:val="R1"/>
        <w:tabs>
          <w:tab w:val="left" w:pos="1440"/>
          <w:tab w:val="left" w:pos="2160"/>
          <w:tab w:val="left" w:pos="2880"/>
          <w:tab w:val="left" w:pos="4995"/>
        </w:tabs>
        <w:spacing w:after="120"/>
        <w:rPr>
          <w:i/>
        </w:rPr>
      </w:pPr>
      <w:r>
        <w:tab/>
      </w:r>
      <w:r>
        <w:tab/>
      </w:r>
      <w:proofErr w:type="gramStart"/>
      <w:r>
        <w:rPr>
          <w:i/>
        </w:rPr>
        <w:t>insert</w:t>
      </w:r>
      <w:proofErr w:type="gramEnd"/>
    </w:p>
    <w:p w14:paraId="0ED0FF3E" w14:textId="716D2C19" w:rsidR="00B95854" w:rsidRDefault="00B95854" w:rsidP="00B95854">
      <w:pPr>
        <w:ind w:left="1134"/>
        <w:rPr>
          <w:rFonts w:ascii="Times New Roman" w:hAnsi="Times New Roman" w:cs="Times New Roman"/>
          <w:sz w:val="24"/>
          <w:szCs w:val="24"/>
          <w:lang w:eastAsia="en-AU"/>
        </w:rPr>
      </w:pPr>
      <w:proofErr w:type="gramStart"/>
      <w:r>
        <w:rPr>
          <w:rFonts w:ascii="Times New Roman" w:hAnsi="Times New Roman" w:cs="Times New Roman"/>
          <w:sz w:val="24"/>
          <w:szCs w:val="24"/>
          <w:lang w:eastAsia="en-AU"/>
        </w:rPr>
        <w:t>subparagraph</w:t>
      </w:r>
      <w:proofErr w:type="gramEnd"/>
      <w:r>
        <w:rPr>
          <w:rFonts w:ascii="Times New Roman" w:hAnsi="Times New Roman" w:cs="Times New Roman"/>
          <w:sz w:val="24"/>
          <w:szCs w:val="24"/>
          <w:lang w:eastAsia="en-AU"/>
        </w:rPr>
        <w:t xml:space="preserve"> 12</w:t>
      </w:r>
      <w:r w:rsidR="00EB367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(1)</w:t>
      </w:r>
      <w:r w:rsidR="00EB367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(c)</w:t>
      </w:r>
      <w:r w:rsidR="00EB367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w:t>
      </w:r>
      <w:proofErr w:type="spellStart"/>
      <w:r>
        <w:rPr>
          <w:rFonts w:ascii="Times New Roman" w:hAnsi="Times New Roman" w:cs="Times New Roman"/>
          <w:sz w:val="24"/>
          <w:szCs w:val="24"/>
          <w:lang w:eastAsia="en-AU"/>
        </w:rPr>
        <w:t>i</w:t>
      </w:r>
      <w:proofErr w:type="spellEnd"/>
      <w:r>
        <w:rPr>
          <w:rFonts w:ascii="Times New Roman" w:hAnsi="Times New Roman" w:cs="Times New Roman"/>
          <w:sz w:val="24"/>
          <w:szCs w:val="24"/>
          <w:lang w:eastAsia="en-AU"/>
        </w:rPr>
        <w:t>)</w:t>
      </w:r>
    </w:p>
    <w:p w14:paraId="02DCAAAB" w14:textId="5B0AD985" w:rsidR="00B95854" w:rsidRDefault="00743ADA" w:rsidP="00B95854">
      <w:pPr>
        <w:pStyle w:val="HR"/>
        <w:rPr>
          <w:i/>
        </w:rPr>
      </w:pPr>
      <w:r>
        <w:lastRenderedPageBreak/>
        <w:t>12</w:t>
      </w:r>
      <w:r w:rsidR="00B95854">
        <w:tab/>
        <w:t>Subsection 9(3)</w:t>
      </w:r>
    </w:p>
    <w:p w14:paraId="668C1DFD" w14:textId="77777777" w:rsidR="00B95854" w:rsidRPr="00921DAC" w:rsidRDefault="00B95854" w:rsidP="00B95854">
      <w:pPr>
        <w:pStyle w:val="R1"/>
        <w:tabs>
          <w:tab w:val="left" w:pos="1440"/>
          <w:tab w:val="left" w:pos="2160"/>
          <w:tab w:val="left" w:pos="2880"/>
          <w:tab w:val="left" w:pos="4995"/>
        </w:tabs>
        <w:spacing w:after="120"/>
        <w:rPr>
          <w:i/>
        </w:rPr>
      </w:pPr>
      <w:r>
        <w:tab/>
      </w:r>
      <w:r>
        <w:tab/>
      </w:r>
      <w:proofErr w:type="gramStart"/>
      <w:r>
        <w:rPr>
          <w:i/>
        </w:rPr>
        <w:t>omit</w:t>
      </w:r>
      <w:proofErr w:type="gramEnd"/>
    </w:p>
    <w:p w14:paraId="286751C6" w14:textId="4C0F531D" w:rsidR="00B95854" w:rsidRDefault="00B95854" w:rsidP="00B95854">
      <w:pPr>
        <w:ind w:left="1134"/>
        <w:rPr>
          <w:rFonts w:ascii="Times New Roman" w:hAnsi="Times New Roman" w:cs="Times New Roman"/>
          <w:sz w:val="24"/>
          <w:szCs w:val="24"/>
          <w:lang w:eastAsia="en-AU"/>
        </w:rPr>
      </w:pPr>
      <w:proofErr w:type="gramStart"/>
      <w:r>
        <w:rPr>
          <w:rFonts w:ascii="Times New Roman" w:hAnsi="Times New Roman" w:cs="Times New Roman"/>
          <w:sz w:val="24"/>
          <w:szCs w:val="24"/>
          <w:lang w:eastAsia="en-AU"/>
        </w:rPr>
        <w:t>subparagraph</w:t>
      </w:r>
      <w:proofErr w:type="gramEnd"/>
      <w:r>
        <w:rPr>
          <w:rFonts w:ascii="Times New Roman" w:hAnsi="Times New Roman" w:cs="Times New Roman"/>
          <w:sz w:val="24"/>
          <w:szCs w:val="24"/>
          <w:lang w:eastAsia="en-AU"/>
        </w:rPr>
        <w:t xml:space="preserve"> 12 (c) (ii)</w:t>
      </w:r>
    </w:p>
    <w:p w14:paraId="1EB8E1C3" w14:textId="77777777" w:rsidR="00B95854" w:rsidRPr="00921DAC" w:rsidRDefault="00B95854" w:rsidP="00B95854">
      <w:pPr>
        <w:pStyle w:val="R1"/>
        <w:tabs>
          <w:tab w:val="left" w:pos="1440"/>
          <w:tab w:val="left" w:pos="2160"/>
          <w:tab w:val="left" w:pos="2880"/>
          <w:tab w:val="left" w:pos="4995"/>
        </w:tabs>
        <w:spacing w:after="120"/>
        <w:rPr>
          <w:i/>
        </w:rPr>
      </w:pPr>
      <w:r>
        <w:tab/>
      </w:r>
      <w:r>
        <w:tab/>
      </w:r>
      <w:proofErr w:type="gramStart"/>
      <w:r>
        <w:rPr>
          <w:i/>
        </w:rPr>
        <w:t>insert</w:t>
      </w:r>
      <w:proofErr w:type="gramEnd"/>
    </w:p>
    <w:p w14:paraId="35B9BE99" w14:textId="3C334D5D" w:rsidR="00B95854" w:rsidRDefault="00B95854" w:rsidP="00B95854">
      <w:pPr>
        <w:ind w:left="1134"/>
        <w:rPr>
          <w:rFonts w:ascii="Times New Roman" w:hAnsi="Times New Roman" w:cs="Times New Roman"/>
          <w:sz w:val="24"/>
          <w:szCs w:val="24"/>
          <w:lang w:eastAsia="en-AU"/>
        </w:rPr>
      </w:pPr>
      <w:proofErr w:type="gramStart"/>
      <w:r>
        <w:rPr>
          <w:rFonts w:ascii="Times New Roman" w:hAnsi="Times New Roman" w:cs="Times New Roman"/>
          <w:sz w:val="24"/>
          <w:szCs w:val="24"/>
          <w:lang w:eastAsia="en-AU"/>
        </w:rPr>
        <w:t>subparagraph</w:t>
      </w:r>
      <w:proofErr w:type="gramEnd"/>
      <w:r>
        <w:rPr>
          <w:rFonts w:ascii="Times New Roman" w:hAnsi="Times New Roman" w:cs="Times New Roman"/>
          <w:sz w:val="24"/>
          <w:szCs w:val="24"/>
          <w:lang w:eastAsia="en-AU"/>
        </w:rPr>
        <w:t xml:space="preserve"> 12</w:t>
      </w:r>
      <w:r w:rsidR="00EB367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(1)</w:t>
      </w:r>
      <w:r w:rsidR="00EB367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(c)</w:t>
      </w:r>
      <w:r w:rsidR="000300A4">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(ii)</w:t>
      </w:r>
    </w:p>
    <w:p w14:paraId="5E0FAFA9" w14:textId="172BB238" w:rsidR="00B95854" w:rsidRDefault="00B95854" w:rsidP="00B95854">
      <w:pPr>
        <w:pStyle w:val="HR"/>
        <w:rPr>
          <w:i/>
        </w:rPr>
      </w:pPr>
      <w:r>
        <w:t>1</w:t>
      </w:r>
      <w:r w:rsidR="00743ADA">
        <w:t>3</w:t>
      </w:r>
      <w:r>
        <w:tab/>
        <w:t>Subsection 10(3)</w:t>
      </w:r>
    </w:p>
    <w:p w14:paraId="1AD2D0B8" w14:textId="77777777" w:rsidR="00B95854" w:rsidRPr="00921DAC" w:rsidRDefault="00B95854" w:rsidP="00B95854">
      <w:pPr>
        <w:pStyle w:val="R1"/>
        <w:tabs>
          <w:tab w:val="left" w:pos="1440"/>
          <w:tab w:val="left" w:pos="2160"/>
          <w:tab w:val="left" w:pos="2880"/>
          <w:tab w:val="left" w:pos="4995"/>
        </w:tabs>
        <w:spacing w:after="120"/>
        <w:rPr>
          <w:i/>
        </w:rPr>
      </w:pPr>
      <w:r>
        <w:tab/>
      </w:r>
      <w:r>
        <w:tab/>
      </w:r>
      <w:proofErr w:type="gramStart"/>
      <w:r>
        <w:rPr>
          <w:i/>
        </w:rPr>
        <w:t>omit</w:t>
      </w:r>
      <w:proofErr w:type="gramEnd"/>
    </w:p>
    <w:p w14:paraId="249DF305" w14:textId="05A18A91" w:rsidR="00B95854" w:rsidRDefault="00B95854" w:rsidP="00B95854">
      <w:pPr>
        <w:ind w:left="1134"/>
        <w:rPr>
          <w:rFonts w:ascii="Times New Roman" w:hAnsi="Times New Roman" w:cs="Times New Roman"/>
          <w:sz w:val="24"/>
          <w:szCs w:val="24"/>
          <w:lang w:eastAsia="en-AU"/>
        </w:rPr>
      </w:pPr>
      <w:proofErr w:type="gramStart"/>
      <w:r>
        <w:rPr>
          <w:rFonts w:ascii="Times New Roman" w:hAnsi="Times New Roman" w:cs="Times New Roman"/>
          <w:sz w:val="24"/>
          <w:szCs w:val="24"/>
          <w:lang w:eastAsia="en-AU"/>
        </w:rPr>
        <w:t>subparagraph</w:t>
      </w:r>
      <w:proofErr w:type="gramEnd"/>
      <w:r>
        <w:rPr>
          <w:rFonts w:ascii="Times New Roman" w:hAnsi="Times New Roman" w:cs="Times New Roman"/>
          <w:sz w:val="24"/>
          <w:szCs w:val="24"/>
          <w:lang w:eastAsia="en-AU"/>
        </w:rPr>
        <w:t xml:space="preserve"> 12 (c) (iii)</w:t>
      </w:r>
    </w:p>
    <w:p w14:paraId="5A80C7EE" w14:textId="77777777" w:rsidR="00B95854" w:rsidRPr="00921DAC" w:rsidRDefault="00B95854" w:rsidP="00B95854">
      <w:pPr>
        <w:pStyle w:val="R1"/>
        <w:tabs>
          <w:tab w:val="left" w:pos="1440"/>
          <w:tab w:val="left" w:pos="2160"/>
          <w:tab w:val="left" w:pos="2880"/>
          <w:tab w:val="left" w:pos="4995"/>
        </w:tabs>
        <w:spacing w:after="120"/>
        <w:rPr>
          <w:i/>
        </w:rPr>
      </w:pPr>
      <w:r>
        <w:tab/>
      </w:r>
      <w:r>
        <w:tab/>
      </w:r>
      <w:proofErr w:type="gramStart"/>
      <w:r>
        <w:rPr>
          <w:i/>
        </w:rPr>
        <w:t>insert</w:t>
      </w:r>
      <w:proofErr w:type="gramEnd"/>
    </w:p>
    <w:p w14:paraId="1982C962" w14:textId="6BD7C937" w:rsidR="00B95854" w:rsidRDefault="00B95854" w:rsidP="00B95854">
      <w:pPr>
        <w:ind w:left="1134"/>
        <w:rPr>
          <w:rFonts w:ascii="Times New Roman" w:hAnsi="Times New Roman" w:cs="Times New Roman"/>
          <w:sz w:val="24"/>
          <w:szCs w:val="24"/>
          <w:lang w:eastAsia="en-AU"/>
        </w:rPr>
      </w:pPr>
      <w:proofErr w:type="gramStart"/>
      <w:r>
        <w:rPr>
          <w:rFonts w:ascii="Times New Roman" w:hAnsi="Times New Roman" w:cs="Times New Roman"/>
          <w:sz w:val="24"/>
          <w:szCs w:val="24"/>
          <w:lang w:eastAsia="en-AU"/>
        </w:rPr>
        <w:t>subparagraph</w:t>
      </w:r>
      <w:proofErr w:type="gramEnd"/>
      <w:r>
        <w:rPr>
          <w:rFonts w:ascii="Times New Roman" w:hAnsi="Times New Roman" w:cs="Times New Roman"/>
          <w:sz w:val="24"/>
          <w:szCs w:val="24"/>
          <w:lang w:eastAsia="en-AU"/>
        </w:rPr>
        <w:t xml:space="preserve"> 12</w:t>
      </w:r>
      <w:r w:rsidR="00EB367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(1)</w:t>
      </w:r>
      <w:r w:rsidR="00EB367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(c)</w:t>
      </w:r>
      <w:r w:rsidR="00EB367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(iii)</w:t>
      </w:r>
    </w:p>
    <w:p w14:paraId="1BED6FEA" w14:textId="0260C220" w:rsidR="00B95854" w:rsidRDefault="00B95854" w:rsidP="00B95854">
      <w:pPr>
        <w:pStyle w:val="HR"/>
        <w:rPr>
          <w:i/>
        </w:rPr>
      </w:pPr>
      <w:r>
        <w:t>1</w:t>
      </w:r>
      <w:r w:rsidR="00743ADA">
        <w:t>4</w:t>
      </w:r>
      <w:r>
        <w:tab/>
        <w:t>Subsection 11(3)</w:t>
      </w:r>
    </w:p>
    <w:p w14:paraId="7EEB21D2" w14:textId="77777777" w:rsidR="00B95854" w:rsidRPr="00921DAC" w:rsidRDefault="00B95854" w:rsidP="00B95854">
      <w:pPr>
        <w:pStyle w:val="R1"/>
        <w:tabs>
          <w:tab w:val="left" w:pos="1440"/>
          <w:tab w:val="left" w:pos="2160"/>
          <w:tab w:val="left" w:pos="2880"/>
          <w:tab w:val="left" w:pos="4995"/>
        </w:tabs>
        <w:spacing w:after="120"/>
        <w:rPr>
          <w:i/>
        </w:rPr>
      </w:pPr>
      <w:r>
        <w:tab/>
      </w:r>
      <w:r>
        <w:tab/>
      </w:r>
      <w:proofErr w:type="gramStart"/>
      <w:r>
        <w:rPr>
          <w:i/>
        </w:rPr>
        <w:t>omit</w:t>
      </w:r>
      <w:proofErr w:type="gramEnd"/>
    </w:p>
    <w:p w14:paraId="1D7D6FE0" w14:textId="77777777" w:rsidR="00B95854" w:rsidRDefault="00B95854" w:rsidP="00B95854">
      <w:pPr>
        <w:ind w:left="1134"/>
        <w:rPr>
          <w:rFonts w:ascii="Times New Roman" w:hAnsi="Times New Roman" w:cs="Times New Roman"/>
          <w:sz w:val="24"/>
          <w:szCs w:val="24"/>
          <w:lang w:eastAsia="en-AU"/>
        </w:rPr>
      </w:pPr>
      <w:proofErr w:type="gramStart"/>
      <w:r>
        <w:rPr>
          <w:rFonts w:ascii="Times New Roman" w:hAnsi="Times New Roman" w:cs="Times New Roman"/>
          <w:sz w:val="24"/>
          <w:szCs w:val="24"/>
          <w:lang w:eastAsia="en-AU"/>
        </w:rPr>
        <w:t>subparagraph</w:t>
      </w:r>
      <w:proofErr w:type="gramEnd"/>
      <w:r>
        <w:rPr>
          <w:rFonts w:ascii="Times New Roman" w:hAnsi="Times New Roman" w:cs="Times New Roman"/>
          <w:sz w:val="24"/>
          <w:szCs w:val="24"/>
          <w:lang w:eastAsia="en-AU"/>
        </w:rPr>
        <w:t xml:space="preserve"> 12 (c) (iv)</w:t>
      </w:r>
    </w:p>
    <w:p w14:paraId="70399E24" w14:textId="77777777" w:rsidR="00B95854" w:rsidRPr="00921DAC" w:rsidRDefault="00B95854" w:rsidP="00B95854">
      <w:pPr>
        <w:pStyle w:val="R1"/>
        <w:tabs>
          <w:tab w:val="left" w:pos="1440"/>
          <w:tab w:val="left" w:pos="2160"/>
          <w:tab w:val="left" w:pos="2880"/>
          <w:tab w:val="left" w:pos="4995"/>
        </w:tabs>
        <w:spacing w:after="120"/>
        <w:rPr>
          <w:i/>
        </w:rPr>
      </w:pPr>
      <w:r>
        <w:tab/>
      </w:r>
      <w:r>
        <w:tab/>
      </w:r>
      <w:proofErr w:type="gramStart"/>
      <w:r>
        <w:rPr>
          <w:i/>
        </w:rPr>
        <w:t>insert</w:t>
      </w:r>
      <w:proofErr w:type="gramEnd"/>
    </w:p>
    <w:p w14:paraId="6D74CD00" w14:textId="7E393CD1" w:rsidR="00B95854" w:rsidRDefault="00B95854" w:rsidP="00B95854">
      <w:pPr>
        <w:ind w:left="1134"/>
        <w:rPr>
          <w:rFonts w:ascii="Times New Roman" w:hAnsi="Times New Roman" w:cs="Times New Roman"/>
          <w:sz w:val="24"/>
          <w:szCs w:val="24"/>
          <w:lang w:eastAsia="en-AU"/>
        </w:rPr>
      </w:pPr>
      <w:proofErr w:type="gramStart"/>
      <w:r>
        <w:rPr>
          <w:rFonts w:ascii="Times New Roman" w:hAnsi="Times New Roman" w:cs="Times New Roman"/>
          <w:sz w:val="24"/>
          <w:szCs w:val="24"/>
          <w:lang w:eastAsia="en-AU"/>
        </w:rPr>
        <w:t>subparagraph</w:t>
      </w:r>
      <w:proofErr w:type="gramEnd"/>
      <w:r>
        <w:rPr>
          <w:rFonts w:ascii="Times New Roman" w:hAnsi="Times New Roman" w:cs="Times New Roman"/>
          <w:sz w:val="24"/>
          <w:szCs w:val="24"/>
          <w:lang w:eastAsia="en-AU"/>
        </w:rPr>
        <w:t xml:space="preserve"> 12</w:t>
      </w:r>
      <w:r w:rsidR="00EB367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(1)</w:t>
      </w:r>
      <w:r w:rsidR="00EB367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(c)</w:t>
      </w:r>
      <w:r w:rsidR="00EB367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(iv)</w:t>
      </w:r>
    </w:p>
    <w:p w14:paraId="330036D4" w14:textId="5503E671" w:rsidR="008E40D2" w:rsidRDefault="00B95854" w:rsidP="008E40D2">
      <w:pPr>
        <w:pStyle w:val="HR"/>
      </w:pPr>
      <w:r>
        <w:t>1</w:t>
      </w:r>
      <w:r w:rsidR="00743ADA">
        <w:t>5</w:t>
      </w:r>
      <w:r w:rsidR="008E40D2">
        <w:tab/>
        <w:t>Section 12</w:t>
      </w:r>
    </w:p>
    <w:p w14:paraId="2A443F7B" w14:textId="77777777" w:rsidR="008E40D2" w:rsidRDefault="008E40D2" w:rsidP="008E40D2">
      <w:pPr>
        <w:pStyle w:val="R1"/>
        <w:keepNext/>
        <w:tabs>
          <w:tab w:val="left" w:pos="1440"/>
          <w:tab w:val="left" w:pos="2160"/>
          <w:tab w:val="left" w:pos="2880"/>
          <w:tab w:val="left" w:pos="4995"/>
        </w:tabs>
        <w:spacing w:after="120"/>
        <w:rPr>
          <w:i/>
        </w:rPr>
      </w:pPr>
      <w:r>
        <w:tab/>
      </w:r>
      <w:r>
        <w:tab/>
      </w:r>
      <w:proofErr w:type="gramStart"/>
      <w:r>
        <w:rPr>
          <w:i/>
        </w:rPr>
        <w:t>omit</w:t>
      </w:r>
      <w:proofErr w:type="gramEnd"/>
    </w:p>
    <w:p w14:paraId="17440AB5" w14:textId="77777777" w:rsidR="008E40D2" w:rsidRPr="00464FBC" w:rsidRDefault="008E40D2" w:rsidP="008E40D2">
      <w:pPr>
        <w:tabs>
          <w:tab w:val="left" w:pos="1134"/>
        </w:tabs>
        <w:rPr>
          <w:rFonts w:ascii="Times New Roman" w:hAnsi="Times New Roman" w:cs="Times New Roman"/>
          <w:sz w:val="24"/>
          <w:szCs w:val="24"/>
          <w:lang w:eastAsia="en-AU"/>
        </w:rPr>
      </w:pPr>
      <w:r w:rsidRPr="00464FBC">
        <w:rPr>
          <w:rFonts w:ascii="Times New Roman" w:hAnsi="Times New Roman" w:cs="Times New Roman"/>
          <w:sz w:val="24"/>
          <w:szCs w:val="24"/>
          <w:lang w:eastAsia="en-AU"/>
        </w:rPr>
        <w:tab/>
      </w:r>
      <w:r>
        <w:rPr>
          <w:rFonts w:ascii="Times New Roman" w:hAnsi="Times New Roman" w:cs="Times New Roman"/>
          <w:sz w:val="24"/>
          <w:szCs w:val="24"/>
          <w:lang w:eastAsia="en-AU"/>
        </w:rPr>
        <w:t>The charges are payable by the applicant:</w:t>
      </w:r>
    </w:p>
    <w:p w14:paraId="285B7DFF" w14:textId="77777777" w:rsidR="008E40D2" w:rsidRDefault="008E40D2" w:rsidP="008E40D2">
      <w:pPr>
        <w:pStyle w:val="R1"/>
        <w:keepNext/>
        <w:tabs>
          <w:tab w:val="left" w:pos="1440"/>
          <w:tab w:val="left" w:pos="2160"/>
          <w:tab w:val="left" w:pos="2880"/>
          <w:tab w:val="left" w:pos="4995"/>
        </w:tabs>
        <w:spacing w:after="120"/>
        <w:rPr>
          <w:i/>
        </w:rPr>
      </w:pPr>
      <w:r>
        <w:tab/>
      </w:r>
      <w:r>
        <w:tab/>
      </w:r>
      <w:proofErr w:type="gramStart"/>
      <w:r>
        <w:rPr>
          <w:i/>
        </w:rPr>
        <w:t>insert</w:t>
      </w:r>
      <w:proofErr w:type="gramEnd"/>
    </w:p>
    <w:p w14:paraId="58FD7AF9" w14:textId="77777777" w:rsidR="008E40D2" w:rsidRPr="00464FBC" w:rsidRDefault="008E40D2" w:rsidP="008E40D2">
      <w:pPr>
        <w:tabs>
          <w:tab w:val="left" w:pos="1134"/>
          <w:tab w:val="left" w:pos="1843"/>
        </w:tabs>
        <w:rPr>
          <w:rFonts w:ascii="Times New Roman" w:hAnsi="Times New Roman" w:cs="Times New Roman"/>
          <w:sz w:val="24"/>
          <w:szCs w:val="24"/>
          <w:lang w:eastAsia="en-AU"/>
        </w:rPr>
      </w:pPr>
      <w:r w:rsidRPr="00464FBC">
        <w:rPr>
          <w:rFonts w:ascii="Times New Roman" w:hAnsi="Times New Roman" w:cs="Times New Roman"/>
          <w:sz w:val="24"/>
          <w:szCs w:val="24"/>
          <w:lang w:eastAsia="en-AU"/>
        </w:rPr>
        <w:tab/>
      </w:r>
      <w:r>
        <w:rPr>
          <w:rFonts w:ascii="Times New Roman" w:hAnsi="Times New Roman" w:cs="Times New Roman"/>
          <w:sz w:val="24"/>
          <w:szCs w:val="24"/>
          <w:lang w:eastAsia="en-AU"/>
        </w:rPr>
        <w:t>(1)</w:t>
      </w:r>
      <w:r>
        <w:rPr>
          <w:rFonts w:ascii="Times New Roman" w:hAnsi="Times New Roman" w:cs="Times New Roman"/>
          <w:sz w:val="24"/>
          <w:szCs w:val="24"/>
          <w:lang w:eastAsia="en-AU"/>
        </w:rPr>
        <w:tab/>
        <w:t>The charges are payable by the applicant:</w:t>
      </w:r>
    </w:p>
    <w:p w14:paraId="10008FB4" w14:textId="11AC6C53" w:rsidR="00464FBC" w:rsidRDefault="002348DF" w:rsidP="00867B6A">
      <w:pPr>
        <w:pStyle w:val="HR"/>
      </w:pPr>
      <w:r>
        <w:t>1</w:t>
      </w:r>
      <w:r w:rsidR="00743ADA">
        <w:t>6</w:t>
      </w:r>
      <w:r w:rsidR="00464FBC">
        <w:tab/>
        <w:t>Paragraph 12</w:t>
      </w:r>
      <w:r w:rsidR="00EC5D5B">
        <w:t>(1</w:t>
      </w:r>
      <w:proofErr w:type="gramStart"/>
      <w:r w:rsidR="00EC5D5B">
        <w:t>)</w:t>
      </w:r>
      <w:r w:rsidR="00464FBC">
        <w:t>(</w:t>
      </w:r>
      <w:proofErr w:type="gramEnd"/>
      <w:r w:rsidR="00464FBC">
        <w:t>a)</w:t>
      </w:r>
    </w:p>
    <w:p w14:paraId="38640E2E" w14:textId="11B7665E" w:rsidR="00464FBC" w:rsidRDefault="00464FBC" w:rsidP="00867B6A">
      <w:pPr>
        <w:pStyle w:val="R1"/>
        <w:keepNext/>
        <w:tabs>
          <w:tab w:val="left" w:pos="1440"/>
          <w:tab w:val="left" w:pos="2160"/>
          <w:tab w:val="left" w:pos="2880"/>
          <w:tab w:val="left" w:pos="4995"/>
        </w:tabs>
        <w:spacing w:after="120"/>
        <w:rPr>
          <w:i/>
        </w:rPr>
      </w:pPr>
      <w:r>
        <w:tab/>
      </w:r>
      <w:r>
        <w:tab/>
      </w:r>
      <w:proofErr w:type="gramStart"/>
      <w:r>
        <w:rPr>
          <w:i/>
        </w:rPr>
        <w:t>omit</w:t>
      </w:r>
      <w:proofErr w:type="gramEnd"/>
    </w:p>
    <w:p w14:paraId="43DED18E" w14:textId="1E03E2A4" w:rsidR="00464FBC" w:rsidRPr="00464FBC" w:rsidRDefault="00464FBC" w:rsidP="00464FBC">
      <w:pPr>
        <w:tabs>
          <w:tab w:val="left" w:pos="1134"/>
        </w:tabs>
        <w:rPr>
          <w:rFonts w:ascii="Times New Roman" w:hAnsi="Times New Roman" w:cs="Times New Roman"/>
          <w:sz w:val="24"/>
          <w:szCs w:val="24"/>
          <w:lang w:eastAsia="en-AU"/>
        </w:rPr>
      </w:pPr>
      <w:r w:rsidRPr="00464FBC">
        <w:rPr>
          <w:rFonts w:ascii="Times New Roman" w:hAnsi="Times New Roman" w:cs="Times New Roman"/>
          <w:sz w:val="24"/>
          <w:szCs w:val="24"/>
          <w:lang w:eastAsia="en-AU"/>
        </w:rPr>
        <w:tab/>
        <w:t>3.1</w:t>
      </w:r>
    </w:p>
    <w:p w14:paraId="60E83043" w14:textId="1B0371BC" w:rsidR="00457002" w:rsidRDefault="00457002" w:rsidP="00457002">
      <w:pPr>
        <w:pStyle w:val="R1"/>
        <w:keepNext/>
        <w:tabs>
          <w:tab w:val="left" w:pos="1440"/>
          <w:tab w:val="left" w:pos="2160"/>
          <w:tab w:val="left" w:pos="2880"/>
          <w:tab w:val="left" w:pos="4995"/>
        </w:tabs>
        <w:spacing w:after="120"/>
        <w:rPr>
          <w:i/>
        </w:rPr>
      </w:pPr>
      <w:r>
        <w:tab/>
      </w:r>
      <w:r>
        <w:tab/>
      </w:r>
      <w:proofErr w:type="gramStart"/>
      <w:r>
        <w:rPr>
          <w:i/>
        </w:rPr>
        <w:t>insert</w:t>
      </w:r>
      <w:proofErr w:type="gramEnd"/>
    </w:p>
    <w:p w14:paraId="46905A8C" w14:textId="3FC8DC5F" w:rsidR="00457002" w:rsidRPr="00464FBC" w:rsidRDefault="00457002" w:rsidP="00457002">
      <w:pPr>
        <w:tabs>
          <w:tab w:val="left" w:pos="1134"/>
        </w:tabs>
        <w:rPr>
          <w:rFonts w:ascii="Times New Roman" w:hAnsi="Times New Roman" w:cs="Times New Roman"/>
          <w:sz w:val="24"/>
          <w:szCs w:val="24"/>
          <w:lang w:eastAsia="en-AU"/>
        </w:rPr>
      </w:pPr>
      <w:r w:rsidRPr="00464FBC">
        <w:rPr>
          <w:rFonts w:ascii="Times New Roman" w:hAnsi="Times New Roman" w:cs="Times New Roman"/>
          <w:sz w:val="24"/>
          <w:szCs w:val="24"/>
          <w:lang w:eastAsia="en-AU"/>
        </w:rPr>
        <w:tab/>
        <w:t>3.</w:t>
      </w:r>
      <w:r>
        <w:rPr>
          <w:rFonts w:ascii="Times New Roman" w:hAnsi="Times New Roman" w:cs="Times New Roman"/>
          <w:sz w:val="24"/>
          <w:szCs w:val="24"/>
          <w:lang w:eastAsia="en-AU"/>
        </w:rPr>
        <w:t>2</w:t>
      </w:r>
    </w:p>
    <w:p w14:paraId="0095B84C" w14:textId="1EC46C85" w:rsidR="00464FBC" w:rsidRDefault="0090312A" w:rsidP="00F538E1">
      <w:pPr>
        <w:pStyle w:val="HR"/>
      </w:pPr>
      <w:r>
        <w:lastRenderedPageBreak/>
        <w:t>1</w:t>
      </w:r>
      <w:r w:rsidR="00743ADA">
        <w:t>7</w:t>
      </w:r>
      <w:r w:rsidR="00464FBC">
        <w:tab/>
        <w:t>After paragraph 12</w:t>
      </w:r>
      <w:r>
        <w:t>(1</w:t>
      </w:r>
      <w:proofErr w:type="gramStart"/>
      <w:r>
        <w:t>)</w:t>
      </w:r>
      <w:r w:rsidR="00464FBC">
        <w:t>(</w:t>
      </w:r>
      <w:proofErr w:type="gramEnd"/>
      <w:r w:rsidR="00464FBC">
        <w:t>a)</w:t>
      </w:r>
    </w:p>
    <w:p w14:paraId="3E63C5BC" w14:textId="5031D52A" w:rsidR="00464FBC" w:rsidRPr="00464FBC" w:rsidRDefault="00464FBC" w:rsidP="00F538E1">
      <w:pPr>
        <w:pStyle w:val="R1"/>
        <w:keepNext/>
        <w:tabs>
          <w:tab w:val="left" w:pos="1440"/>
          <w:tab w:val="left" w:pos="2160"/>
          <w:tab w:val="left" w:pos="2880"/>
          <w:tab w:val="left" w:pos="4995"/>
        </w:tabs>
        <w:spacing w:after="120"/>
        <w:rPr>
          <w:i/>
        </w:rPr>
      </w:pPr>
      <w:r w:rsidRPr="00464FBC">
        <w:rPr>
          <w:i/>
        </w:rPr>
        <w:tab/>
      </w:r>
      <w:r w:rsidRPr="00464FBC">
        <w:rPr>
          <w:i/>
        </w:rPr>
        <w:tab/>
      </w:r>
      <w:proofErr w:type="gramStart"/>
      <w:r w:rsidRPr="00464FBC">
        <w:rPr>
          <w:i/>
        </w:rPr>
        <w:t>insert</w:t>
      </w:r>
      <w:proofErr w:type="gramEnd"/>
    </w:p>
    <w:p w14:paraId="14A581B6" w14:textId="393F37A7" w:rsidR="00464FBC" w:rsidRDefault="00464FBC" w:rsidP="00F538E1">
      <w:pPr>
        <w:keepNext/>
        <w:tabs>
          <w:tab w:val="left" w:pos="1134"/>
        </w:tabs>
        <w:spacing w:after="0"/>
        <w:rPr>
          <w:rFonts w:ascii="Times New Roman" w:hAnsi="Times New Roman" w:cs="Times New Roman"/>
          <w:sz w:val="24"/>
          <w:szCs w:val="24"/>
          <w:lang w:eastAsia="en-AU"/>
        </w:rPr>
      </w:pPr>
      <w:r w:rsidRPr="00464FBC">
        <w:rPr>
          <w:rFonts w:ascii="Times New Roman" w:hAnsi="Times New Roman" w:cs="Times New Roman"/>
          <w:sz w:val="24"/>
          <w:szCs w:val="24"/>
          <w:lang w:eastAsia="en-AU"/>
        </w:rPr>
        <w:tab/>
      </w:r>
      <w:r>
        <w:rPr>
          <w:rFonts w:ascii="Times New Roman" w:hAnsi="Times New Roman" w:cs="Times New Roman"/>
          <w:sz w:val="24"/>
          <w:szCs w:val="24"/>
          <w:lang w:eastAsia="en-AU"/>
        </w:rPr>
        <w:t>(</w:t>
      </w:r>
      <w:proofErr w:type="spellStart"/>
      <w:proofErr w:type="gramStart"/>
      <w:r>
        <w:rPr>
          <w:rFonts w:ascii="Times New Roman" w:hAnsi="Times New Roman" w:cs="Times New Roman"/>
          <w:sz w:val="24"/>
          <w:szCs w:val="24"/>
          <w:lang w:eastAsia="en-AU"/>
        </w:rPr>
        <w:t>aa</w:t>
      </w:r>
      <w:proofErr w:type="spellEnd"/>
      <w:proofErr w:type="gramEnd"/>
      <w:r>
        <w:rPr>
          <w:rFonts w:ascii="Times New Roman" w:hAnsi="Times New Roman" w:cs="Times New Roman"/>
          <w:sz w:val="24"/>
          <w:szCs w:val="24"/>
          <w:lang w:eastAsia="en-AU"/>
        </w:rPr>
        <w:t>)</w:t>
      </w:r>
      <w:r>
        <w:rPr>
          <w:rFonts w:ascii="Times New Roman" w:hAnsi="Times New Roman" w:cs="Times New Roman"/>
          <w:sz w:val="24"/>
          <w:szCs w:val="24"/>
          <w:lang w:eastAsia="en-AU"/>
        </w:rPr>
        <w:tab/>
        <w:t xml:space="preserve">in the case of a charge mentioned in </w:t>
      </w:r>
      <w:r w:rsidR="00A822D3">
        <w:rPr>
          <w:rFonts w:ascii="Times New Roman" w:hAnsi="Times New Roman" w:cs="Times New Roman"/>
          <w:sz w:val="24"/>
          <w:szCs w:val="24"/>
          <w:lang w:eastAsia="en-AU"/>
        </w:rPr>
        <w:t>item 3.1 of Schedule 1</w:t>
      </w:r>
      <w:r w:rsidR="00AC4DF9">
        <w:rPr>
          <w:rFonts w:ascii="Times New Roman" w:hAnsi="Times New Roman" w:cs="Times New Roman"/>
          <w:sz w:val="24"/>
          <w:szCs w:val="24"/>
          <w:lang w:eastAsia="en-AU"/>
        </w:rPr>
        <w:t>:</w:t>
      </w:r>
    </w:p>
    <w:p w14:paraId="359A9CFD" w14:textId="74DF2877" w:rsidR="00AC4DF9" w:rsidRDefault="00AC4DF9" w:rsidP="00AC4DF9">
      <w:pPr>
        <w:pStyle w:val="paragraph"/>
        <w:tabs>
          <w:tab w:val="clear" w:pos="1531"/>
          <w:tab w:val="right" w:pos="2410"/>
        </w:tabs>
        <w:ind w:left="2693" w:hanging="2693"/>
        <w:rPr>
          <w:sz w:val="24"/>
          <w:szCs w:val="24"/>
        </w:rPr>
      </w:pPr>
      <w:r>
        <w:rPr>
          <w:sz w:val="24"/>
          <w:szCs w:val="24"/>
        </w:rPr>
        <w:tab/>
        <w:t>(</w:t>
      </w:r>
      <w:proofErr w:type="spellStart"/>
      <w:r>
        <w:rPr>
          <w:sz w:val="24"/>
          <w:szCs w:val="24"/>
        </w:rPr>
        <w:t>i</w:t>
      </w:r>
      <w:proofErr w:type="spellEnd"/>
      <w:r>
        <w:rPr>
          <w:sz w:val="24"/>
          <w:szCs w:val="24"/>
        </w:rPr>
        <w:t>)</w:t>
      </w:r>
      <w:r>
        <w:rPr>
          <w:sz w:val="24"/>
          <w:szCs w:val="24"/>
        </w:rPr>
        <w:tab/>
      </w:r>
      <w:proofErr w:type="gramStart"/>
      <w:r>
        <w:rPr>
          <w:sz w:val="24"/>
          <w:szCs w:val="24"/>
        </w:rPr>
        <w:t>for</w:t>
      </w:r>
      <w:proofErr w:type="gramEnd"/>
      <w:r>
        <w:rPr>
          <w:sz w:val="24"/>
          <w:szCs w:val="24"/>
        </w:rPr>
        <w:t xml:space="preserve"> an application made under Part 2 of Chapter 6 of the numbering plan</w:t>
      </w:r>
      <w:r w:rsidR="00F538E1">
        <w:rPr>
          <w:sz w:val="24"/>
          <w:szCs w:val="24"/>
        </w:rPr>
        <w:t xml:space="preserve"> </w:t>
      </w:r>
      <w:r>
        <w:rPr>
          <w:sz w:val="24"/>
          <w:szCs w:val="24"/>
        </w:rPr>
        <w:t>– in accordance with subsection 5</w:t>
      </w:r>
      <w:r w:rsidR="00F538E1">
        <w:rPr>
          <w:sz w:val="24"/>
          <w:szCs w:val="24"/>
        </w:rPr>
        <w:t>8</w:t>
      </w:r>
      <w:r w:rsidR="00EB367A">
        <w:rPr>
          <w:sz w:val="24"/>
          <w:szCs w:val="24"/>
        </w:rPr>
        <w:t xml:space="preserve"> </w:t>
      </w:r>
      <w:r w:rsidR="00675206">
        <w:rPr>
          <w:sz w:val="24"/>
          <w:szCs w:val="24"/>
        </w:rPr>
        <w:t>(6</w:t>
      </w:r>
      <w:r>
        <w:rPr>
          <w:sz w:val="24"/>
          <w:szCs w:val="24"/>
        </w:rPr>
        <w:t>) of the numbering plan;</w:t>
      </w:r>
    </w:p>
    <w:p w14:paraId="078555D4" w14:textId="302057E4" w:rsidR="00457002" w:rsidRDefault="00AC4DF9" w:rsidP="0090312A">
      <w:pPr>
        <w:pStyle w:val="paragraph"/>
        <w:tabs>
          <w:tab w:val="clear" w:pos="1531"/>
          <w:tab w:val="right" w:pos="2410"/>
        </w:tabs>
        <w:ind w:left="2693" w:hanging="2693"/>
        <w:rPr>
          <w:sz w:val="24"/>
          <w:szCs w:val="24"/>
        </w:rPr>
      </w:pPr>
      <w:r>
        <w:rPr>
          <w:sz w:val="24"/>
          <w:szCs w:val="24"/>
        </w:rPr>
        <w:tab/>
        <w:t>(ii)</w:t>
      </w:r>
      <w:r>
        <w:rPr>
          <w:sz w:val="24"/>
          <w:szCs w:val="24"/>
        </w:rPr>
        <w:tab/>
      </w:r>
      <w:proofErr w:type="gramStart"/>
      <w:r>
        <w:rPr>
          <w:sz w:val="24"/>
          <w:szCs w:val="24"/>
        </w:rPr>
        <w:t>for</w:t>
      </w:r>
      <w:proofErr w:type="gramEnd"/>
      <w:r>
        <w:rPr>
          <w:sz w:val="24"/>
          <w:szCs w:val="24"/>
        </w:rPr>
        <w:t xml:space="preserve"> an application made under Part 3 of Chapter 6 of the numbering plan </w:t>
      </w:r>
      <w:r w:rsidR="00205635">
        <w:rPr>
          <w:sz w:val="24"/>
          <w:szCs w:val="24"/>
        </w:rPr>
        <w:t>–</w:t>
      </w:r>
      <w:r>
        <w:rPr>
          <w:sz w:val="24"/>
          <w:szCs w:val="24"/>
        </w:rPr>
        <w:t xml:space="preserve"> </w:t>
      </w:r>
      <w:r w:rsidR="00F538E1">
        <w:rPr>
          <w:sz w:val="24"/>
          <w:szCs w:val="24"/>
        </w:rPr>
        <w:t>in accordance with subsection 63</w:t>
      </w:r>
      <w:r w:rsidR="00EB367A">
        <w:rPr>
          <w:sz w:val="24"/>
          <w:szCs w:val="24"/>
        </w:rPr>
        <w:t xml:space="preserve"> </w:t>
      </w:r>
      <w:r w:rsidR="00205635">
        <w:rPr>
          <w:sz w:val="24"/>
          <w:szCs w:val="24"/>
        </w:rPr>
        <w:t>(6) of the numbering plan</w:t>
      </w:r>
      <w:r w:rsidR="008F7850">
        <w:rPr>
          <w:sz w:val="24"/>
          <w:szCs w:val="24"/>
        </w:rPr>
        <w:t>.</w:t>
      </w:r>
    </w:p>
    <w:p w14:paraId="22F95DD2" w14:textId="7083DEEA" w:rsidR="0090312A" w:rsidRDefault="0090312A" w:rsidP="0090312A">
      <w:pPr>
        <w:pStyle w:val="HR"/>
      </w:pPr>
      <w:r>
        <w:t>1</w:t>
      </w:r>
      <w:r w:rsidR="00743ADA">
        <w:t>8</w:t>
      </w:r>
      <w:r>
        <w:tab/>
        <w:t>After subsection 12(1)</w:t>
      </w:r>
    </w:p>
    <w:p w14:paraId="31E636D7" w14:textId="77777777" w:rsidR="0090312A" w:rsidRDefault="0090312A" w:rsidP="0090312A">
      <w:pPr>
        <w:pStyle w:val="R1"/>
        <w:keepNext/>
        <w:tabs>
          <w:tab w:val="left" w:pos="1440"/>
          <w:tab w:val="left" w:pos="2160"/>
          <w:tab w:val="left" w:pos="2880"/>
          <w:tab w:val="left" w:pos="4995"/>
        </w:tabs>
        <w:spacing w:after="120"/>
        <w:rPr>
          <w:i/>
        </w:rPr>
      </w:pPr>
      <w:r>
        <w:tab/>
      </w:r>
      <w:r>
        <w:tab/>
      </w:r>
      <w:proofErr w:type="gramStart"/>
      <w:r>
        <w:rPr>
          <w:i/>
        </w:rPr>
        <w:t>insert</w:t>
      </w:r>
      <w:proofErr w:type="gramEnd"/>
    </w:p>
    <w:p w14:paraId="67D29EB5" w14:textId="4A466B10" w:rsidR="0090312A" w:rsidRPr="00464FBC" w:rsidRDefault="0090312A" w:rsidP="0090312A">
      <w:pPr>
        <w:tabs>
          <w:tab w:val="left" w:pos="1134"/>
          <w:tab w:val="left" w:pos="1843"/>
        </w:tabs>
        <w:spacing w:line="240" w:lineRule="auto"/>
        <w:ind w:left="1843" w:hanging="1843"/>
        <w:rPr>
          <w:rFonts w:ascii="Times New Roman" w:hAnsi="Times New Roman" w:cs="Times New Roman"/>
          <w:sz w:val="24"/>
          <w:szCs w:val="24"/>
          <w:lang w:eastAsia="en-AU"/>
        </w:rPr>
      </w:pPr>
      <w:r w:rsidRPr="00464FBC">
        <w:rPr>
          <w:rFonts w:ascii="Times New Roman" w:hAnsi="Times New Roman" w:cs="Times New Roman"/>
          <w:sz w:val="24"/>
          <w:szCs w:val="24"/>
          <w:lang w:eastAsia="en-AU"/>
        </w:rPr>
        <w:tab/>
      </w:r>
      <w:r>
        <w:rPr>
          <w:rFonts w:ascii="Times New Roman" w:hAnsi="Times New Roman" w:cs="Times New Roman"/>
          <w:sz w:val="24"/>
          <w:szCs w:val="24"/>
          <w:lang w:eastAsia="en-AU"/>
        </w:rPr>
        <w:t>(2)</w:t>
      </w:r>
      <w:r>
        <w:rPr>
          <w:rFonts w:ascii="Times New Roman" w:hAnsi="Times New Roman" w:cs="Times New Roman"/>
          <w:sz w:val="24"/>
          <w:szCs w:val="24"/>
          <w:lang w:eastAsia="en-AU"/>
        </w:rPr>
        <w:tab/>
        <w:t>In the case of a charge mentioned in item 3.3 of Schedule 1, the charge is payable by the person registering to use the electronic system</w:t>
      </w:r>
      <w:r w:rsidR="00733066">
        <w:rPr>
          <w:rFonts w:ascii="Times New Roman" w:hAnsi="Times New Roman" w:cs="Times New Roman"/>
          <w:sz w:val="24"/>
          <w:szCs w:val="24"/>
          <w:lang w:eastAsia="en-AU"/>
        </w:rPr>
        <w:t xml:space="preserve"> immediately before registration</w:t>
      </w:r>
      <w:r>
        <w:rPr>
          <w:rFonts w:ascii="Times New Roman" w:hAnsi="Times New Roman" w:cs="Times New Roman"/>
          <w:sz w:val="24"/>
          <w:szCs w:val="24"/>
          <w:lang w:eastAsia="en-AU"/>
        </w:rPr>
        <w:t>.</w:t>
      </w:r>
    </w:p>
    <w:p w14:paraId="689B0DB0" w14:textId="6FB1C4B1" w:rsidR="00F538E1" w:rsidRDefault="00B95854" w:rsidP="00F538E1">
      <w:pPr>
        <w:pStyle w:val="HR"/>
        <w:rPr>
          <w:i/>
        </w:rPr>
      </w:pPr>
      <w:r>
        <w:t>1</w:t>
      </w:r>
      <w:r w:rsidR="00743ADA">
        <w:t>9</w:t>
      </w:r>
      <w:r w:rsidR="00F538E1">
        <w:tab/>
        <w:t>After section 1</w:t>
      </w:r>
      <w:r w:rsidR="00EB367A">
        <w:t>6</w:t>
      </w:r>
    </w:p>
    <w:p w14:paraId="1F68FBC5" w14:textId="77777777" w:rsidR="00F538E1" w:rsidRDefault="00F538E1" w:rsidP="00F538E1">
      <w:pPr>
        <w:pStyle w:val="R1"/>
        <w:keepNext/>
        <w:tabs>
          <w:tab w:val="left" w:pos="1440"/>
          <w:tab w:val="left" w:pos="2160"/>
          <w:tab w:val="left" w:pos="2880"/>
          <w:tab w:val="left" w:pos="4995"/>
        </w:tabs>
        <w:spacing w:after="120"/>
        <w:rPr>
          <w:i/>
        </w:rPr>
      </w:pPr>
      <w:r>
        <w:tab/>
      </w:r>
      <w:r>
        <w:tab/>
      </w:r>
      <w:proofErr w:type="gramStart"/>
      <w:r>
        <w:rPr>
          <w:i/>
        </w:rPr>
        <w:t>insert</w:t>
      </w:r>
      <w:proofErr w:type="gramEnd"/>
    </w:p>
    <w:p w14:paraId="198F7E73" w14:textId="11D3BB7B" w:rsidR="00F538E1" w:rsidRPr="005A67DD" w:rsidRDefault="00F538E1" w:rsidP="00F538E1">
      <w:pPr>
        <w:pStyle w:val="HR"/>
        <w:ind w:left="1985"/>
        <w:outlineLvl w:val="0"/>
        <w:rPr>
          <w:rStyle w:val="CharSectno"/>
          <w:sz w:val="22"/>
          <w:szCs w:val="22"/>
        </w:rPr>
      </w:pPr>
      <w:r w:rsidRPr="005A67DD">
        <w:rPr>
          <w:rStyle w:val="CharSectno"/>
          <w:sz w:val="22"/>
          <w:szCs w:val="22"/>
        </w:rPr>
        <w:t>1</w:t>
      </w:r>
      <w:r w:rsidR="00EB367A">
        <w:rPr>
          <w:rStyle w:val="CharSectno"/>
          <w:sz w:val="22"/>
          <w:szCs w:val="22"/>
        </w:rPr>
        <w:t>7</w:t>
      </w:r>
      <w:r w:rsidRPr="005A67DD">
        <w:rPr>
          <w:rStyle w:val="CharSectno"/>
          <w:sz w:val="22"/>
          <w:szCs w:val="22"/>
        </w:rPr>
        <w:tab/>
        <w:t>Transitional arrangements</w:t>
      </w:r>
      <w:r>
        <w:rPr>
          <w:rStyle w:val="CharSectno"/>
          <w:sz w:val="22"/>
          <w:szCs w:val="22"/>
        </w:rPr>
        <w:t xml:space="preserve"> – numbering plan</w:t>
      </w:r>
    </w:p>
    <w:p w14:paraId="30F2B900" w14:textId="77777777" w:rsidR="00F538E1" w:rsidRDefault="00F538E1" w:rsidP="00F538E1">
      <w:pPr>
        <w:pStyle w:val="R1"/>
        <w:keepNext/>
        <w:tabs>
          <w:tab w:val="left" w:pos="1440"/>
          <w:tab w:val="left" w:pos="2160"/>
          <w:tab w:val="left" w:pos="2880"/>
          <w:tab w:val="left" w:pos="4995"/>
        </w:tabs>
        <w:ind w:left="2127"/>
      </w:pPr>
      <w:r>
        <w:tab/>
        <w:t>(1)</w:t>
      </w:r>
      <w:r>
        <w:tab/>
        <w:t>If:</w:t>
      </w:r>
    </w:p>
    <w:p w14:paraId="6AB009D1" w14:textId="77777777" w:rsidR="00F538E1" w:rsidRDefault="00F538E1" w:rsidP="00F538E1">
      <w:pPr>
        <w:pStyle w:val="paragraph"/>
        <w:tabs>
          <w:tab w:val="clear" w:pos="1531"/>
          <w:tab w:val="right" w:pos="2410"/>
        </w:tabs>
        <w:ind w:left="2694" w:hanging="2160"/>
        <w:rPr>
          <w:sz w:val="24"/>
          <w:szCs w:val="24"/>
        </w:rPr>
      </w:pPr>
      <w:r>
        <w:rPr>
          <w:sz w:val="24"/>
          <w:szCs w:val="24"/>
        </w:rPr>
        <w:tab/>
      </w:r>
      <w:r w:rsidRPr="00C26A28">
        <w:rPr>
          <w:sz w:val="24"/>
          <w:szCs w:val="24"/>
        </w:rPr>
        <w:t>(a)</w:t>
      </w:r>
      <w:r w:rsidRPr="00C26A28">
        <w:rPr>
          <w:sz w:val="24"/>
          <w:szCs w:val="24"/>
        </w:rPr>
        <w:tab/>
      </w:r>
      <w:proofErr w:type="gramStart"/>
      <w:r>
        <w:rPr>
          <w:sz w:val="24"/>
          <w:szCs w:val="24"/>
        </w:rPr>
        <w:t>an</w:t>
      </w:r>
      <w:proofErr w:type="gramEnd"/>
      <w:r>
        <w:rPr>
          <w:sz w:val="24"/>
          <w:szCs w:val="24"/>
        </w:rPr>
        <w:t xml:space="preserve"> application is made under the </w:t>
      </w:r>
      <w:r>
        <w:rPr>
          <w:i/>
          <w:sz w:val="24"/>
          <w:szCs w:val="24"/>
        </w:rPr>
        <w:t>Telecommunications Numbering Plan 1997</w:t>
      </w:r>
      <w:r>
        <w:rPr>
          <w:sz w:val="24"/>
          <w:szCs w:val="24"/>
        </w:rPr>
        <w:t xml:space="preserve"> before the commencement of this section; and</w:t>
      </w:r>
    </w:p>
    <w:p w14:paraId="7E758870" w14:textId="77777777" w:rsidR="00F538E1" w:rsidRDefault="00F538E1" w:rsidP="00F538E1">
      <w:pPr>
        <w:pStyle w:val="paragraph"/>
        <w:tabs>
          <w:tab w:val="clear" w:pos="1531"/>
          <w:tab w:val="right" w:pos="2410"/>
        </w:tabs>
        <w:ind w:left="2694" w:hanging="2160"/>
        <w:rPr>
          <w:sz w:val="24"/>
          <w:szCs w:val="24"/>
        </w:rPr>
      </w:pPr>
      <w:r>
        <w:rPr>
          <w:sz w:val="24"/>
          <w:szCs w:val="24"/>
        </w:rPr>
        <w:tab/>
        <w:t>(b)</w:t>
      </w:r>
      <w:r>
        <w:rPr>
          <w:sz w:val="24"/>
          <w:szCs w:val="24"/>
        </w:rPr>
        <w:tab/>
      </w:r>
      <w:proofErr w:type="gramStart"/>
      <w:r>
        <w:rPr>
          <w:sz w:val="24"/>
          <w:szCs w:val="24"/>
        </w:rPr>
        <w:t>section</w:t>
      </w:r>
      <w:proofErr w:type="gramEnd"/>
      <w:r>
        <w:rPr>
          <w:sz w:val="24"/>
          <w:szCs w:val="24"/>
        </w:rPr>
        <w:t xml:space="preserve"> 135 of the numbering plan requires the application to be dealt with in accordance with the </w:t>
      </w:r>
      <w:r>
        <w:rPr>
          <w:i/>
          <w:sz w:val="24"/>
          <w:szCs w:val="24"/>
        </w:rPr>
        <w:t xml:space="preserve">Telecommunications Numbering Plan 1997 </w:t>
      </w:r>
      <w:r>
        <w:rPr>
          <w:sz w:val="24"/>
          <w:szCs w:val="24"/>
        </w:rPr>
        <w:t>as if that instrument had not been repealed;</w:t>
      </w:r>
    </w:p>
    <w:p w14:paraId="7E003801" w14:textId="77777777" w:rsidR="00F538E1" w:rsidRDefault="00F538E1" w:rsidP="00F538E1">
      <w:pPr>
        <w:pStyle w:val="paragraph"/>
        <w:tabs>
          <w:tab w:val="clear" w:pos="1531"/>
          <w:tab w:val="right" w:pos="1701"/>
        </w:tabs>
        <w:ind w:left="2127" w:firstLine="0"/>
        <w:rPr>
          <w:sz w:val="24"/>
          <w:szCs w:val="24"/>
        </w:rPr>
      </w:pPr>
      <w:proofErr w:type="gramStart"/>
      <w:r>
        <w:rPr>
          <w:sz w:val="24"/>
          <w:szCs w:val="24"/>
        </w:rPr>
        <w:t>the</w:t>
      </w:r>
      <w:proofErr w:type="gramEnd"/>
      <w:r>
        <w:rPr>
          <w:sz w:val="24"/>
          <w:szCs w:val="24"/>
        </w:rPr>
        <w:t xml:space="preserve"> </w:t>
      </w:r>
      <w:r>
        <w:rPr>
          <w:i/>
          <w:sz w:val="24"/>
          <w:szCs w:val="24"/>
        </w:rPr>
        <w:t xml:space="preserve">Telecommunications (Charges) Determination 2012 </w:t>
      </w:r>
      <w:r>
        <w:rPr>
          <w:sz w:val="24"/>
          <w:szCs w:val="24"/>
        </w:rPr>
        <w:t>as in force immediately before the commencement of this section</w:t>
      </w:r>
      <w:r w:rsidRPr="00FB38DB">
        <w:rPr>
          <w:sz w:val="24"/>
          <w:szCs w:val="24"/>
        </w:rPr>
        <w:t xml:space="preserve"> </w:t>
      </w:r>
      <w:r>
        <w:rPr>
          <w:sz w:val="24"/>
          <w:szCs w:val="24"/>
        </w:rPr>
        <w:t>applies to the application.</w:t>
      </w:r>
    </w:p>
    <w:p w14:paraId="6971805D" w14:textId="57D498AB" w:rsidR="00F538E1" w:rsidRDefault="00F538E1" w:rsidP="00F538E1">
      <w:pPr>
        <w:pStyle w:val="Note"/>
        <w:tabs>
          <w:tab w:val="left" w:pos="3402"/>
        </w:tabs>
        <w:ind w:left="3119" w:hanging="1021"/>
        <w:rPr>
          <w:sz w:val="24"/>
        </w:rPr>
      </w:pPr>
      <w:r w:rsidRPr="00F4166C">
        <w:rPr>
          <w:i/>
        </w:rPr>
        <w:t>N</w:t>
      </w:r>
      <w:r>
        <w:rPr>
          <w:i/>
        </w:rPr>
        <w:t>ote</w:t>
      </w:r>
      <w:r>
        <w:rPr>
          <w:rFonts w:ascii="Arial" w:hAnsi="Arial" w:cs="Arial"/>
        </w:rPr>
        <w:t>   </w:t>
      </w:r>
      <w:r>
        <w:rPr>
          <w:rFonts w:ascii="Arial" w:hAnsi="Arial" w:cs="Arial"/>
        </w:rPr>
        <w:tab/>
      </w:r>
      <w:r>
        <w:t xml:space="preserve">The amendments made by </w:t>
      </w:r>
      <w:r w:rsidR="00675206">
        <w:t xml:space="preserve">Schedule 2 to </w:t>
      </w:r>
      <w:r>
        <w:t xml:space="preserve">the </w:t>
      </w:r>
      <w:r>
        <w:rPr>
          <w:i/>
        </w:rPr>
        <w:t>Telecommunications (Charges) Amendment Determination 2015 (No. 1)</w:t>
      </w:r>
      <w:r>
        <w:t xml:space="preserve"> only apply to applications made after </w:t>
      </w:r>
      <w:r w:rsidR="007F40F1">
        <w:t>sections 5 to 135 of, and Schedules 1 to 8 to, the numbering plan commence</w:t>
      </w:r>
      <w:r>
        <w:t>.</w:t>
      </w:r>
    </w:p>
    <w:p w14:paraId="42564F52" w14:textId="77777777" w:rsidR="00F538E1" w:rsidRDefault="00F538E1" w:rsidP="00F538E1">
      <w:pPr>
        <w:pStyle w:val="R1"/>
        <w:keepNext/>
        <w:tabs>
          <w:tab w:val="left" w:pos="1440"/>
          <w:tab w:val="left" w:pos="2160"/>
          <w:tab w:val="left" w:pos="2880"/>
          <w:tab w:val="left" w:pos="4995"/>
        </w:tabs>
        <w:ind w:left="2127"/>
      </w:pPr>
      <w:r>
        <w:tab/>
        <w:t>(2)</w:t>
      </w:r>
      <w:r>
        <w:tab/>
        <w:t>If:</w:t>
      </w:r>
    </w:p>
    <w:p w14:paraId="042DC6F9" w14:textId="467C25E5" w:rsidR="00F538E1" w:rsidRDefault="00F538E1" w:rsidP="00680477">
      <w:pPr>
        <w:pStyle w:val="paragraph"/>
        <w:tabs>
          <w:tab w:val="clear" w:pos="1531"/>
          <w:tab w:val="right" w:pos="2410"/>
        </w:tabs>
        <w:ind w:left="2694" w:hanging="2160"/>
        <w:rPr>
          <w:sz w:val="24"/>
          <w:szCs w:val="24"/>
        </w:rPr>
      </w:pPr>
      <w:r>
        <w:rPr>
          <w:sz w:val="24"/>
          <w:szCs w:val="24"/>
        </w:rPr>
        <w:tab/>
      </w:r>
      <w:r w:rsidRPr="00C26A28">
        <w:rPr>
          <w:sz w:val="24"/>
          <w:szCs w:val="24"/>
        </w:rPr>
        <w:t>(a)</w:t>
      </w:r>
      <w:r w:rsidRPr="00C26A28">
        <w:rPr>
          <w:sz w:val="24"/>
          <w:szCs w:val="24"/>
        </w:rPr>
        <w:tab/>
      </w:r>
      <w:proofErr w:type="gramStart"/>
      <w:r>
        <w:rPr>
          <w:sz w:val="24"/>
          <w:szCs w:val="24"/>
        </w:rPr>
        <w:t>an</w:t>
      </w:r>
      <w:proofErr w:type="gramEnd"/>
      <w:r>
        <w:rPr>
          <w:sz w:val="24"/>
          <w:szCs w:val="24"/>
        </w:rPr>
        <w:t xml:space="preserve"> application for registration is made under a legislative instrument in force under subsection 463(1) of the </w:t>
      </w:r>
      <w:r w:rsidRPr="00552C41">
        <w:rPr>
          <w:sz w:val="24"/>
          <w:szCs w:val="24"/>
        </w:rPr>
        <w:t>Telecommunications Act</w:t>
      </w:r>
      <w:r>
        <w:rPr>
          <w:sz w:val="24"/>
          <w:szCs w:val="24"/>
        </w:rPr>
        <w:t xml:space="preserve"> before the commencement of this section; and</w:t>
      </w:r>
    </w:p>
    <w:p w14:paraId="6B36EB30" w14:textId="18137135" w:rsidR="00F538E1" w:rsidRDefault="00F538E1" w:rsidP="00680477">
      <w:pPr>
        <w:pStyle w:val="paragraph"/>
        <w:tabs>
          <w:tab w:val="clear" w:pos="1531"/>
          <w:tab w:val="right" w:pos="2410"/>
        </w:tabs>
        <w:ind w:left="2694" w:hanging="2160"/>
        <w:rPr>
          <w:sz w:val="24"/>
          <w:szCs w:val="24"/>
        </w:rPr>
      </w:pPr>
      <w:r>
        <w:rPr>
          <w:sz w:val="24"/>
          <w:szCs w:val="24"/>
        </w:rPr>
        <w:tab/>
        <w:t>(b)</w:t>
      </w:r>
      <w:r>
        <w:rPr>
          <w:sz w:val="24"/>
          <w:szCs w:val="24"/>
        </w:rPr>
        <w:tab/>
      </w:r>
      <w:proofErr w:type="gramStart"/>
      <w:r>
        <w:rPr>
          <w:sz w:val="24"/>
          <w:szCs w:val="24"/>
        </w:rPr>
        <w:t>a</w:t>
      </w:r>
      <w:proofErr w:type="gramEnd"/>
      <w:r>
        <w:rPr>
          <w:sz w:val="24"/>
          <w:szCs w:val="24"/>
        </w:rPr>
        <w:t xml:space="preserve"> decision had not been made on the application when this section commenced;</w:t>
      </w:r>
    </w:p>
    <w:p w14:paraId="34E97B23" w14:textId="77777777" w:rsidR="00F538E1" w:rsidRDefault="00F538E1" w:rsidP="007E1468">
      <w:pPr>
        <w:pStyle w:val="paragraph"/>
        <w:keepNext/>
        <w:tabs>
          <w:tab w:val="clear" w:pos="1531"/>
          <w:tab w:val="right" w:pos="1701"/>
        </w:tabs>
        <w:ind w:left="2126" w:firstLine="0"/>
        <w:rPr>
          <w:sz w:val="24"/>
          <w:szCs w:val="24"/>
        </w:rPr>
      </w:pPr>
      <w:proofErr w:type="gramStart"/>
      <w:r>
        <w:rPr>
          <w:sz w:val="24"/>
          <w:szCs w:val="24"/>
        </w:rPr>
        <w:lastRenderedPageBreak/>
        <w:t>then</w:t>
      </w:r>
      <w:proofErr w:type="gramEnd"/>
      <w:r>
        <w:rPr>
          <w:sz w:val="24"/>
          <w:szCs w:val="24"/>
        </w:rPr>
        <w:t>:</w:t>
      </w:r>
    </w:p>
    <w:p w14:paraId="7C25BA5D" w14:textId="77777777" w:rsidR="00F538E1" w:rsidRDefault="00F538E1" w:rsidP="00680477">
      <w:pPr>
        <w:pStyle w:val="paragraph"/>
        <w:tabs>
          <w:tab w:val="clear" w:pos="1531"/>
          <w:tab w:val="right" w:pos="2410"/>
        </w:tabs>
        <w:ind w:left="2694" w:hanging="2160"/>
        <w:rPr>
          <w:sz w:val="24"/>
          <w:szCs w:val="24"/>
        </w:rPr>
      </w:pPr>
      <w:r>
        <w:rPr>
          <w:sz w:val="24"/>
          <w:szCs w:val="24"/>
        </w:rPr>
        <w:tab/>
        <w:t>(c)</w:t>
      </w:r>
      <w:r>
        <w:rPr>
          <w:sz w:val="24"/>
          <w:szCs w:val="24"/>
        </w:rPr>
        <w:tab/>
      </w:r>
      <w:r w:rsidRPr="009D3367">
        <w:rPr>
          <w:sz w:val="24"/>
          <w:szCs w:val="24"/>
        </w:rPr>
        <w:t xml:space="preserve">the </w:t>
      </w:r>
      <w:r w:rsidRPr="007D3463">
        <w:rPr>
          <w:i/>
          <w:sz w:val="24"/>
          <w:szCs w:val="24"/>
        </w:rPr>
        <w:t>Telecommunications (</w:t>
      </w:r>
      <w:proofErr w:type="spellStart"/>
      <w:r w:rsidRPr="007D3463">
        <w:rPr>
          <w:i/>
          <w:sz w:val="24"/>
          <w:szCs w:val="24"/>
        </w:rPr>
        <w:t>Freephone</w:t>
      </w:r>
      <w:proofErr w:type="spellEnd"/>
      <w:r w:rsidRPr="007D3463">
        <w:rPr>
          <w:i/>
          <w:sz w:val="24"/>
          <w:szCs w:val="24"/>
        </w:rPr>
        <w:t xml:space="preserve"> and Local Rate Numbers Auctions – Registration Charge) Determination 2007</w:t>
      </w:r>
      <w:r w:rsidRPr="007D3463">
        <w:rPr>
          <w:sz w:val="24"/>
          <w:szCs w:val="24"/>
        </w:rPr>
        <w:t xml:space="preserve"> </w:t>
      </w:r>
      <w:r w:rsidRPr="009D3367">
        <w:rPr>
          <w:sz w:val="24"/>
          <w:szCs w:val="24"/>
        </w:rPr>
        <w:t xml:space="preserve">applies </w:t>
      </w:r>
      <w:r>
        <w:rPr>
          <w:sz w:val="24"/>
          <w:szCs w:val="24"/>
        </w:rPr>
        <w:t>to the application as if that instrument had not been repealed; and</w:t>
      </w:r>
    </w:p>
    <w:p w14:paraId="4E6B7B05" w14:textId="46C0DD97" w:rsidR="00F538E1" w:rsidRDefault="00F538E1" w:rsidP="00680477">
      <w:pPr>
        <w:pStyle w:val="paragraph"/>
        <w:keepNext/>
        <w:tabs>
          <w:tab w:val="clear" w:pos="1531"/>
          <w:tab w:val="right" w:pos="2410"/>
        </w:tabs>
        <w:ind w:left="2693" w:hanging="2160"/>
        <w:rPr>
          <w:sz w:val="24"/>
          <w:szCs w:val="24"/>
        </w:rPr>
      </w:pPr>
      <w:r>
        <w:rPr>
          <w:sz w:val="24"/>
          <w:szCs w:val="24"/>
        </w:rPr>
        <w:tab/>
        <w:t>(d)</w:t>
      </w:r>
      <w:r>
        <w:rPr>
          <w:sz w:val="24"/>
          <w:szCs w:val="24"/>
        </w:rPr>
        <w:tab/>
      </w:r>
      <w:proofErr w:type="gramStart"/>
      <w:r w:rsidR="00680477">
        <w:rPr>
          <w:sz w:val="24"/>
          <w:szCs w:val="24"/>
        </w:rPr>
        <w:t>the</w:t>
      </w:r>
      <w:proofErr w:type="gramEnd"/>
      <w:r w:rsidR="00680477">
        <w:rPr>
          <w:sz w:val="24"/>
          <w:szCs w:val="24"/>
        </w:rPr>
        <w:t xml:space="preserve"> charge mentioned in </w:t>
      </w:r>
      <w:r>
        <w:rPr>
          <w:sz w:val="24"/>
          <w:szCs w:val="24"/>
        </w:rPr>
        <w:t>item 3.3 of Schedule 1 does not apply to the application.</w:t>
      </w:r>
    </w:p>
    <w:p w14:paraId="25A31BE2" w14:textId="2C00B29C" w:rsidR="00552C41" w:rsidRPr="00552C41" w:rsidRDefault="00552C41" w:rsidP="00F538E1">
      <w:pPr>
        <w:pStyle w:val="Note"/>
        <w:tabs>
          <w:tab w:val="left" w:pos="3119"/>
        </w:tabs>
        <w:ind w:left="3119" w:hanging="1021"/>
      </w:pPr>
      <w:r>
        <w:rPr>
          <w:i/>
        </w:rPr>
        <w:t>Note 1  </w:t>
      </w:r>
      <w:r>
        <w:rPr>
          <w:i/>
        </w:rPr>
        <w:tab/>
      </w:r>
      <w:r>
        <w:t xml:space="preserve">Before the commencement of this section, the </w:t>
      </w:r>
      <w:r>
        <w:rPr>
          <w:i/>
        </w:rPr>
        <w:t>Telecommunications (Freephone and Local Rate Numbers) Allocation Determination 2007 (No. 1)</w:t>
      </w:r>
      <w:r>
        <w:t xml:space="preserve">, made under subsection 463(1) of the </w:t>
      </w:r>
      <w:r w:rsidRPr="00552C41">
        <w:t>Telecommunications</w:t>
      </w:r>
      <w:r>
        <w:t xml:space="preserve"> Act, </w:t>
      </w:r>
      <w:r w:rsidRPr="00552C41">
        <w:t xml:space="preserve">allowed </w:t>
      </w:r>
      <w:r>
        <w:t>a person to be registered in relation to becoming an EROU applicant.</w:t>
      </w:r>
    </w:p>
    <w:p w14:paraId="0C5B44C3" w14:textId="5017BBFC" w:rsidR="00F538E1" w:rsidRDefault="00F538E1" w:rsidP="00F538E1">
      <w:pPr>
        <w:pStyle w:val="Note"/>
        <w:tabs>
          <w:tab w:val="left" w:pos="3119"/>
        </w:tabs>
        <w:ind w:left="3119" w:hanging="1021"/>
        <w:rPr>
          <w:sz w:val="24"/>
        </w:rPr>
      </w:pPr>
      <w:r w:rsidRPr="00F4166C">
        <w:rPr>
          <w:i/>
        </w:rPr>
        <w:t>N</w:t>
      </w:r>
      <w:r>
        <w:rPr>
          <w:i/>
        </w:rPr>
        <w:t>ote</w:t>
      </w:r>
      <w:r w:rsidR="00552C41">
        <w:rPr>
          <w:i/>
        </w:rPr>
        <w:t> 2</w:t>
      </w:r>
      <w:r>
        <w:rPr>
          <w:rFonts w:ascii="Arial" w:hAnsi="Arial" w:cs="Arial"/>
        </w:rPr>
        <w:t>  </w:t>
      </w:r>
      <w:r>
        <w:rPr>
          <w:rFonts w:ascii="Arial" w:hAnsi="Arial" w:cs="Arial"/>
        </w:rPr>
        <w:tab/>
      </w:r>
      <w:r>
        <w:t>The amendments made by</w:t>
      </w:r>
      <w:r w:rsidR="00675206">
        <w:t xml:space="preserve"> Schedule 2 to</w:t>
      </w:r>
      <w:r>
        <w:t xml:space="preserve"> the </w:t>
      </w:r>
      <w:r>
        <w:rPr>
          <w:i/>
        </w:rPr>
        <w:t>Telecommunications (Charges) Amendment Determination 2015 (No. 1)</w:t>
      </w:r>
      <w:r w:rsidR="00552C41">
        <w:rPr>
          <w:i/>
        </w:rPr>
        <w:t xml:space="preserve"> </w:t>
      </w:r>
      <w:r>
        <w:t xml:space="preserve">only apply to registrations </w:t>
      </w:r>
      <w:r w:rsidR="00552C41">
        <w:t xml:space="preserve">that </w:t>
      </w:r>
      <w:r w:rsidR="00832349">
        <w:t>occur</w:t>
      </w:r>
      <w:r w:rsidR="00EA0A80">
        <w:t xml:space="preserve"> </w:t>
      </w:r>
      <w:r w:rsidR="00363A0B">
        <w:t xml:space="preserve">after sections 5 to 135 of, and </w:t>
      </w:r>
      <w:r w:rsidR="00EA0A80">
        <w:t>Schedules </w:t>
      </w:r>
      <w:r w:rsidR="00363A0B">
        <w:t>1 to 8 to,</w:t>
      </w:r>
      <w:r w:rsidR="00D3728D">
        <w:t xml:space="preserve"> the numbering p</w:t>
      </w:r>
      <w:r w:rsidR="00E24822">
        <w:t>lan</w:t>
      </w:r>
      <w:r w:rsidR="00363A0B">
        <w:t xml:space="preserve"> commence</w:t>
      </w:r>
      <w:r>
        <w:t>.</w:t>
      </w:r>
    </w:p>
    <w:p w14:paraId="083AB8B2" w14:textId="6A9599BC" w:rsidR="00464FBC" w:rsidRDefault="00743ADA" w:rsidP="000300A4">
      <w:pPr>
        <w:pStyle w:val="HR"/>
      </w:pPr>
      <w:r>
        <w:t>20</w:t>
      </w:r>
      <w:r w:rsidR="00464FBC">
        <w:tab/>
        <w:t xml:space="preserve">Schedule </w:t>
      </w:r>
      <w:r w:rsidR="00FC360C">
        <w:t>1</w:t>
      </w:r>
      <w:r w:rsidR="00464FBC">
        <w:t>, Part 3</w:t>
      </w:r>
    </w:p>
    <w:p w14:paraId="4FCC2D33" w14:textId="429587C5" w:rsidR="00464FBC" w:rsidRDefault="00464FBC" w:rsidP="00A35E5E">
      <w:pPr>
        <w:pStyle w:val="R1"/>
        <w:keepNext/>
        <w:tabs>
          <w:tab w:val="left" w:pos="1440"/>
          <w:tab w:val="left" w:pos="2160"/>
          <w:tab w:val="left" w:pos="2880"/>
          <w:tab w:val="left" w:pos="4995"/>
        </w:tabs>
        <w:spacing w:after="120"/>
        <w:rPr>
          <w:i/>
        </w:rPr>
      </w:pPr>
      <w:r>
        <w:tab/>
      </w:r>
      <w:r>
        <w:tab/>
      </w:r>
      <w:proofErr w:type="gramStart"/>
      <w:r>
        <w:rPr>
          <w:i/>
        </w:rPr>
        <w:t>substitute</w:t>
      </w:r>
      <w:proofErr w:type="gramEnd"/>
    </w:p>
    <w:p w14:paraId="7DF95AA1" w14:textId="112C2C12" w:rsidR="00464FBC" w:rsidRDefault="00464FBC" w:rsidP="00A35E5E">
      <w:pPr>
        <w:keepNext/>
        <w:keepLines/>
        <w:ind w:left="1418" w:hanging="1418"/>
        <w:rPr>
          <w:rFonts w:ascii="Arial" w:hAnsi="Arial" w:cs="Arial"/>
          <w:b/>
        </w:rPr>
      </w:pPr>
      <w:r w:rsidRPr="00DF5323">
        <w:rPr>
          <w:rFonts w:ascii="Arial" w:hAnsi="Arial" w:cs="Arial"/>
          <w:b/>
        </w:rPr>
        <w:t xml:space="preserve">Part </w:t>
      </w:r>
      <w:r>
        <w:rPr>
          <w:rFonts w:ascii="Arial" w:hAnsi="Arial" w:cs="Arial"/>
          <w:b/>
        </w:rPr>
        <w:t>3</w:t>
      </w:r>
      <w:r>
        <w:rPr>
          <w:rFonts w:ascii="Arial" w:hAnsi="Arial" w:cs="Arial"/>
          <w:b/>
        </w:rPr>
        <w:tab/>
        <w:t xml:space="preserve">Charges payable in relation to </w:t>
      </w:r>
      <w:r w:rsidR="008309F6">
        <w:rPr>
          <w:rFonts w:ascii="Arial" w:hAnsi="Arial" w:cs="Arial"/>
          <w:b/>
        </w:rPr>
        <w:t>applications for numbers</w:t>
      </w:r>
      <w:r w:rsidR="00867B6A">
        <w:rPr>
          <w:rFonts w:ascii="Arial" w:hAnsi="Arial" w:cs="Arial"/>
          <w:b/>
        </w:rPr>
        <w:t xml:space="preserve"> under the numbering plan</w:t>
      </w:r>
    </w:p>
    <w:tbl>
      <w:tblPr>
        <w:tblpPr w:leftFromText="180" w:rightFromText="180" w:vertAnchor="text" w:horzAnchor="margin" w:tblpXSpec="center" w:tblpY="71"/>
        <w:tblW w:w="0" w:type="auto"/>
        <w:tblLayout w:type="fixed"/>
        <w:tblLook w:val="0000" w:firstRow="0" w:lastRow="0" w:firstColumn="0" w:lastColumn="0" w:noHBand="0" w:noVBand="0"/>
      </w:tblPr>
      <w:tblGrid>
        <w:gridCol w:w="1188"/>
        <w:gridCol w:w="3632"/>
        <w:gridCol w:w="3706"/>
      </w:tblGrid>
      <w:tr w:rsidR="004F6B42" w:rsidRPr="005359D2" w14:paraId="02205E88" w14:textId="77777777" w:rsidTr="004F6B42">
        <w:trPr>
          <w:cantSplit/>
        </w:trPr>
        <w:tc>
          <w:tcPr>
            <w:tcW w:w="1188" w:type="dxa"/>
            <w:tcBorders>
              <w:top w:val="nil"/>
              <w:left w:val="nil"/>
              <w:bottom w:val="single" w:sz="4" w:space="0" w:color="auto"/>
              <w:right w:val="nil"/>
            </w:tcBorders>
          </w:tcPr>
          <w:p w14:paraId="7CA71466" w14:textId="77777777" w:rsidR="004F6B42" w:rsidRDefault="004F6B42" w:rsidP="00A35E5E">
            <w:pPr>
              <w:pStyle w:val="TableColHead"/>
              <w:keepLines/>
            </w:pPr>
            <w:r w:rsidRPr="005359D2">
              <w:t>Column 1</w:t>
            </w:r>
          </w:p>
          <w:p w14:paraId="30C69354" w14:textId="77777777" w:rsidR="004F6B42" w:rsidRPr="005359D2" w:rsidRDefault="004F6B42" w:rsidP="00A35E5E">
            <w:pPr>
              <w:pStyle w:val="TableColHead"/>
              <w:keepLines/>
              <w:spacing w:before="60"/>
            </w:pPr>
            <w:r w:rsidRPr="005359D2">
              <w:t>Item</w:t>
            </w:r>
          </w:p>
        </w:tc>
        <w:tc>
          <w:tcPr>
            <w:tcW w:w="3632" w:type="dxa"/>
            <w:tcBorders>
              <w:top w:val="nil"/>
              <w:left w:val="nil"/>
              <w:bottom w:val="single" w:sz="4" w:space="0" w:color="auto"/>
              <w:right w:val="nil"/>
            </w:tcBorders>
          </w:tcPr>
          <w:p w14:paraId="4D0EC42C" w14:textId="77777777" w:rsidR="004F6B42" w:rsidRDefault="004F6B42" w:rsidP="00A35E5E">
            <w:pPr>
              <w:pStyle w:val="TableColHead"/>
              <w:keepLines/>
            </w:pPr>
            <w:r w:rsidRPr="005359D2">
              <w:t>Column 2</w:t>
            </w:r>
          </w:p>
          <w:p w14:paraId="4A88B0D6" w14:textId="77777777" w:rsidR="004F6B42" w:rsidRPr="005359D2" w:rsidRDefault="004F6B42" w:rsidP="00A35E5E">
            <w:pPr>
              <w:pStyle w:val="TableColHead"/>
              <w:keepLines/>
              <w:spacing w:before="60"/>
            </w:pPr>
            <w:r w:rsidRPr="005359D2">
              <w:t>Matter</w:t>
            </w:r>
          </w:p>
        </w:tc>
        <w:tc>
          <w:tcPr>
            <w:tcW w:w="3706" w:type="dxa"/>
            <w:tcBorders>
              <w:top w:val="nil"/>
              <w:left w:val="nil"/>
              <w:bottom w:val="single" w:sz="4" w:space="0" w:color="auto"/>
              <w:right w:val="nil"/>
            </w:tcBorders>
          </w:tcPr>
          <w:p w14:paraId="78F4EE4F" w14:textId="77777777" w:rsidR="004F6B42" w:rsidRDefault="004F6B42" w:rsidP="00A35E5E">
            <w:pPr>
              <w:pStyle w:val="TableColHead"/>
              <w:keepLines/>
            </w:pPr>
            <w:r w:rsidRPr="005359D2">
              <w:t>Column 3</w:t>
            </w:r>
          </w:p>
          <w:p w14:paraId="67675478" w14:textId="77777777" w:rsidR="004F6B42" w:rsidRPr="005359D2" w:rsidRDefault="004F6B42" w:rsidP="00A35E5E">
            <w:pPr>
              <w:pStyle w:val="TableColHead"/>
              <w:keepLines/>
              <w:spacing w:before="60"/>
            </w:pPr>
            <w:r w:rsidRPr="005359D2">
              <w:t>Charge</w:t>
            </w:r>
          </w:p>
        </w:tc>
      </w:tr>
      <w:tr w:rsidR="004F6B42" w:rsidRPr="005359D2" w14:paraId="3A5DECA8" w14:textId="77777777" w:rsidTr="004F6B42">
        <w:trPr>
          <w:cantSplit/>
        </w:trPr>
        <w:tc>
          <w:tcPr>
            <w:tcW w:w="1188" w:type="dxa"/>
            <w:tcBorders>
              <w:top w:val="single" w:sz="4" w:space="0" w:color="auto"/>
              <w:left w:val="nil"/>
              <w:right w:val="nil"/>
            </w:tcBorders>
          </w:tcPr>
          <w:p w14:paraId="2ED74034" w14:textId="77777777" w:rsidR="004F6B42" w:rsidRPr="005359D2" w:rsidRDefault="004F6B42" w:rsidP="004F6B42">
            <w:pPr>
              <w:pStyle w:val="TableText"/>
              <w:keepNext/>
              <w:keepLines/>
              <w:ind w:left="227"/>
            </w:pPr>
            <w:r>
              <w:t>3.1</w:t>
            </w:r>
          </w:p>
        </w:tc>
        <w:tc>
          <w:tcPr>
            <w:tcW w:w="3632" w:type="dxa"/>
            <w:tcBorders>
              <w:top w:val="single" w:sz="4" w:space="0" w:color="auto"/>
              <w:left w:val="nil"/>
              <w:right w:val="nil"/>
            </w:tcBorders>
          </w:tcPr>
          <w:p w14:paraId="12C6D899" w14:textId="77777777" w:rsidR="004F6B42" w:rsidRPr="005359D2" w:rsidRDefault="004F6B42" w:rsidP="004F6B42">
            <w:pPr>
              <w:pStyle w:val="TableText"/>
              <w:keepNext/>
              <w:keepLines/>
            </w:pPr>
            <w:r w:rsidRPr="005359D2">
              <w:t>Making an application mentioned in paragraph</w:t>
            </w:r>
            <w:r>
              <w:t> </w:t>
            </w:r>
            <w:r w:rsidRPr="005359D2">
              <w:t>457</w:t>
            </w:r>
            <w:r>
              <w:t> </w:t>
            </w:r>
            <w:r w:rsidRPr="005359D2">
              <w:t>(1)</w:t>
            </w:r>
            <w:r>
              <w:t> </w:t>
            </w:r>
            <w:r w:rsidRPr="005359D2">
              <w:t>(a) of the Telecommunications Act for the allocation of a number otherwise than in accordance with an allocation system determined under section 463 of the Telecommunications Act</w:t>
            </w:r>
          </w:p>
        </w:tc>
        <w:tc>
          <w:tcPr>
            <w:tcW w:w="3706" w:type="dxa"/>
            <w:tcBorders>
              <w:top w:val="single" w:sz="4" w:space="0" w:color="auto"/>
              <w:left w:val="nil"/>
              <w:right w:val="nil"/>
            </w:tcBorders>
          </w:tcPr>
          <w:p w14:paraId="425A9CC0" w14:textId="0837BAC3" w:rsidR="005A67DD" w:rsidRDefault="004F6B42" w:rsidP="00274921">
            <w:pPr>
              <w:pStyle w:val="TableP1a"/>
              <w:keepNext/>
              <w:keepLines/>
              <w:spacing w:before="60"/>
            </w:pPr>
            <w:r w:rsidRPr="005359D2">
              <w:tab/>
              <w:t>(1)</w:t>
            </w:r>
            <w:r w:rsidRPr="005359D2">
              <w:tab/>
            </w:r>
            <w:r>
              <w:t xml:space="preserve">For an application made under Part 2 of Chapter 6 of the numbering plan for allocation of one or more standard units of geographic numbers </w:t>
            </w:r>
            <w:r w:rsidRPr="00E91F72">
              <w:rPr>
                <w:szCs w:val="22"/>
              </w:rPr>
              <w:t>—</w:t>
            </w:r>
            <w:r>
              <w:rPr>
                <w:szCs w:val="22"/>
              </w:rPr>
              <w:t xml:space="preserve"> $</w:t>
            </w:r>
            <w:r w:rsidR="00BD2465">
              <w:rPr>
                <w:szCs w:val="22"/>
              </w:rPr>
              <w:t>19.50</w:t>
            </w:r>
          </w:p>
          <w:p w14:paraId="7170178E" w14:textId="5D047FD0" w:rsidR="004F6B42" w:rsidRDefault="005A67DD" w:rsidP="005A67DD">
            <w:pPr>
              <w:pStyle w:val="TableP1a"/>
              <w:keepNext/>
              <w:keepLines/>
              <w:tabs>
                <w:tab w:val="left" w:pos="175"/>
              </w:tabs>
            </w:pPr>
            <w:r w:rsidRPr="005359D2">
              <w:tab/>
            </w:r>
            <w:r w:rsidR="004F6B42" w:rsidRPr="005359D2">
              <w:t>(</w:t>
            </w:r>
            <w:r w:rsidR="004F6B42">
              <w:t>2</w:t>
            </w:r>
            <w:r w:rsidR="004F6B42" w:rsidRPr="005359D2">
              <w:t>)</w:t>
            </w:r>
            <w:r w:rsidR="004F6B42" w:rsidRPr="005359D2">
              <w:tab/>
            </w:r>
            <w:r w:rsidR="004F6B42">
              <w:t xml:space="preserve">For an application made under Part 3 of Chapter 6 of the numbering plan for allocation of one or more geographic numbers </w:t>
            </w:r>
            <w:r w:rsidR="004F6B42" w:rsidRPr="005A67DD">
              <w:rPr>
                <w:szCs w:val="22"/>
              </w:rPr>
              <w:t>— $</w:t>
            </w:r>
            <w:r w:rsidR="00BD2465">
              <w:t>19.50</w:t>
            </w:r>
          </w:p>
          <w:p w14:paraId="7444A8B4" w14:textId="7E3AF078" w:rsidR="004F6B42" w:rsidRDefault="004F6B42" w:rsidP="004F6B42">
            <w:pPr>
              <w:pStyle w:val="TableP1a"/>
              <w:keepNext/>
              <w:keepLines/>
            </w:pPr>
            <w:r w:rsidRPr="005359D2">
              <w:tab/>
              <w:t>(</w:t>
            </w:r>
            <w:r w:rsidR="00274921">
              <w:t>3</w:t>
            </w:r>
            <w:r w:rsidRPr="005359D2">
              <w:t>)</w:t>
            </w:r>
            <w:r w:rsidRPr="005359D2">
              <w:tab/>
            </w:r>
            <w:r>
              <w:t>For any other application made under the numbering plan for allocation of a number</w:t>
            </w:r>
            <w:r w:rsidRPr="00E91F72">
              <w:rPr>
                <w:szCs w:val="22"/>
              </w:rPr>
              <w:t xml:space="preserve"> — </w:t>
            </w:r>
            <w:r>
              <w:t>zero</w:t>
            </w:r>
          </w:p>
          <w:p w14:paraId="090906FE" w14:textId="77777777" w:rsidR="004F6B42" w:rsidRPr="005359D2" w:rsidRDefault="004F6B42" w:rsidP="004F6B42">
            <w:pPr>
              <w:pStyle w:val="TableP1a"/>
              <w:keepNext/>
              <w:keepLines/>
            </w:pPr>
          </w:p>
        </w:tc>
      </w:tr>
      <w:tr w:rsidR="004F6B42" w:rsidRPr="005359D2" w14:paraId="6891B75B" w14:textId="77777777" w:rsidTr="004F6B42">
        <w:trPr>
          <w:cantSplit/>
        </w:trPr>
        <w:tc>
          <w:tcPr>
            <w:tcW w:w="1188" w:type="dxa"/>
            <w:tcBorders>
              <w:left w:val="nil"/>
              <w:right w:val="nil"/>
            </w:tcBorders>
          </w:tcPr>
          <w:p w14:paraId="404CAD37" w14:textId="77777777" w:rsidR="004F6B42" w:rsidRDefault="004F6B42" w:rsidP="004F6B42">
            <w:pPr>
              <w:pStyle w:val="TableText"/>
              <w:keepLines/>
              <w:ind w:left="227"/>
            </w:pPr>
            <w:r>
              <w:t>3.2</w:t>
            </w:r>
          </w:p>
        </w:tc>
        <w:tc>
          <w:tcPr>
            <w:tcW w:w="3632" w:type="dxa"/>
            <w:tcBorders>
              <w:left w:val="nil"/>
              <w:right w:val="nil"/>
            </w:tcBorders>
          </w:tcPr>
          <w:p w14:paraId="589DFC0F" w14:textId="11A30DCE" w:rsidR="004F6B42" w:rsidRPr="005359D2" w:rsidRDefault="004F6B42" w:rsidP="00D3728D">
            <w:pPr>
              <w:pStyle w:val="TableText"/>
              <w:keepLines/>
            </w:pPr>
            <w:r>
              <w:t>Making an application under subsection 1</w:t>
            </w:r>
            <w:r w:rsidR="00D3728D">
              <w:t>21</w:t>
            </w:r>
            <w:r>
              <w:t>(1) of the numbering plan for registration of a carriage se</w:t>
            </w:r>
            <w:r w:rsidR="00D3728D">
              <w:t>rvice provider under section 122</w:t>
            </w:r>
            <w:r>
              <w:t xml:space="preserve"> of the numbering plan</w:t>
            </w:r>
          </w:p>
        </w:tc>
        <w:tc>
          <w:tcPr>
            <w:tcW w:w="3706" w:type="dxa"/>
            <w:tcBorders>
              <w:left w:val="nil"/>
              <w:right w:val="nil"/>
            </w:tcBorders>
          </w:tcPr>
          <w:p w14:paraId="3FDBA690" w14:textId="10A83884" w:rsidR="004F6B42" w:rsidRPr="005359D2" w:rsidRDefault="004F6B42" w:rsidP="00274921">
            <w:pPr>
              <w:pStyle w:val="TableP1a"/>
              <w:keepLines/>
              <w:spacing w:before="60"/>
            </w:pPr>
            <w:r>
              <w:t>$</w:t>
            </w:r>
            <w:r w:rsidR="00BD2465">
              <w:t>19.50</w:t>
            </w:r>
          </w:p>
        </w:tc>
      </w:tr>
      <w:tr w:rsidR="004F6B42" w:rsidRPr="005359D2" w14:paraId="3A2CC3EC" w14:textId="77777777" w:rsidTr="004F6B42">
        <w:trPr>
          <w:cantSplit/>
        </w:trPr>
        <w:tc>
          <w:tcPr>
            <w:tcW w:w="1188" w:type="dxa"/>
            <w:tcBorders>
              <w:left w:val="nil"/>
              <w:bottom w:val="single" w:sz="4" w:space="0" w:color="auto"/>
              <w:right w:val="nil"/>
            </w:tcBorders>
          </w:tcPr>
          <w:p w14:paraId="3933FE1E" w14:textId="77777777" w:rsidR="004F6B42" w:rsidRDefault="004F6B42" w:rsidP="004F6B42">
            <w:pPr>
              <w:pStyle w:val="TableText"/>
              <w:keepNext/>
              <w:keepLines/>
              <w:ind w:left="227"/>
            </w:pPr>
            <w:r>
              <w:t>3.3</w:t>
            </w:r>
          </w:p>
        </w:tc>
        <w:tc>
          <w:tcPr>
            <w:tcW w:w="3632" w:type="dxa"/>
            <w:tcBorders>
              <w:left w:val="nil"/>
              <w:bottom w:val="single" w:sz="4" w:space="0" w:color="auto"/>
              <w:right w:val="nil"/>
            </w:tcBorders>
          </w:tcPr>
          <w:p w14:paraId="1AA8997F" w14:textId="36F6D171" w:rsidR="004F6B42" w:rsidRDefault="004F6B42" w:rsidP="0032298D">
            <w:pPr>
              <w:pStyle w:val="TableText"/>
              <w:keepNext/>
              <w:keepLines/>
            </w:pPr>
            <w:r>
              <w:t>Registering to use the electronic system</w:t>
            </w:r>
            <w:r w:rsidR="00D3728D">
              <w:t>,</w:t>
            </w:r>
            <w:r>
              <w:t xml:space="preserve"> made available by the ACMA</w:t>
            </w:r>
            <w:r w:rsidR="00D3728D">
              <w:t>,</w:t>
            </w:r>
            <w:r>
              <w:t xml:space="preserve"> for EROU</w:t>
            </w:r>
            <w:r w:rsidR="0032298D">
              <w:t xml:space="preserve"> </w:t>
            </w:r>
            <w:r>
              <w:t xml:space="preserve">applicants to apply with a registered carriage service provider under section 73 of the numbering plan for the initial allocation of an unassigned unallocated </w:t>
            </w:r>
            <w:proofErr w:type="spellStart"/>
            <w:r>
              <w:t>smartnumber</w:t>
            </w:r>
            <w:proofErr w:type="spellEnd"/>
            <w:r>
              <w:t xml:space="preserve">, </w:t>
            </w:r>
            <w:r>
              <w:lastRenderedPageBreak/>
              <w:t>and for EROU-holders to manage their enhanced rights of use</w:t>
            </w:r>
          </w:p>
        </w:tc>
        <w:tc>
          <w:tcPr>
            <w:tcW w:w="3706" w:type="dxa"/>
            <w:tcBorders>
              <w:left w:val="nil"/>
              <w:bottom w:val="single" w:sz="4" w:space="0" w:color="auto"/>
              <w:right w:val="nil"/>
            </w:tcBorders>
          </w:tcPr>
          <w:p w14:paraId="51155362" w14:textId="208CCD49" w:rsidR="004F6B42" w:rsidRDefault="004F6B42" w:rsidP="00274921">
            <w:pPr>
              <w:pStyle w:val="TableP1a"/>
              <w:keepNext/>
              <w:keepLines/>
              <w:spacing w:before="60"/>
            </w:pPr>
            <w:r>
              <w:lastRenderedPageBreak/>
              <w:t>$</w:t>
            </w:r>
            <w:r w:rsidR="00BD2465">
              <w:t>19.50</w:t>
            </w:r>
          </w:p>
        </w:tc>
      </w:tr>
    </w:tbl>
    <w:p w14:paraId="759B3A12" w14:textId="10C5EFF7" w:rsidR="005A67DD" w:rsidRDefault="005A67DD" w:rsidP="005A67DD">
      <w:pPr>
        <w:pStyle w:val="Note"/>
        <w:tabs>
          <w:tab w:val="left" w:pos="3402"/>
        </w:tabs>
        <w:ind w:left="3119" w:hanging="1021"/>
        <w:rPr>
          <w:sz w:val="24"/>
        </w:rPr>
      </w:pPr>
      <w:r w:rsidRPr="00F4166C">
        <w:rPr>
          <w:i/>
        </w:rPr>
        <w:lastRenderedPageBreak/>
        <w:t>N</w:t>
      </w:r>
      <w:r>
        <w:rPr>
          <w:i/>
        </w:rPr>
        <w:t>ote</w:t>
      </w:r>
      <w:r>
        <w:rPr>
          <w:rFonts w:ascii="Arial" w:hAnsi="Arial" w:cs="Arial"/>
        </w:rPr>
        <w:t>   </w:t>
      </w:r>
      <w:r>
        <w:rPr>
          <w:rFonts w:ascii="Arial" w:hAnsi="Arial" w:cs="Arial"/>
        </w:rPr>
        <w:tab/>
      </w:r>
      <w:r>
        <w:t xml:space="preserve">An allocation charge may also be imposed on the allocation of a number under the </w:t>
      </w:r>
      <w:r>
        <w:rPr>
          <w:i/>
        </w:rPr>
        <w:t>Telecommunications (Numbering Charges) Act 1997</w:t>
      </w:r>
      <w:r>
        <w:t>.</w:t>
      </w:r>
    </w:p>
    <w:sectPr w:rsidR="005A67DD" w:rsidSect="005A67DD">
      <w:headerReference w:type="even" r:id="rId13"/>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39C2D" w14:textId="77777777" w:rsidR="0010549F" w:rsidRDefault="0010549F" w:rsidP="0071636A">
      <w:pPr>
        <w:spacing w:after="0" w:line="240" w:lineRule="auto"/>
      </w:pPr>
      <w:r>
        <w:separator/>
      </w:r>
    </w:p>
  </w:endnote>
  <w:endnote w:type="continuationSeparator" w:id="0">
    <w:p w14:paraId="616837A0" w14:textId="77777777" w:rsidR="0010549F" w:rsidRDefault="0010549F" w:rsidP="0071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884F19" w14:paraId="4B477A57" w14:textId="77777777" w:rsidTr="00405D30">
      <w:tc>
        <w:tcPr>
          <w:tcW w:w="1134" w:type="dxa"/>
          <w:shd w:val="clear" w:color="auto" w:fill="auto"/>
        </w:tcPr>
        <w:p w14:paraId="1B231188" w14:textId="77777777" w:rsidR="00884F19" w:rsidRDefault="00884F19" w:rsidP="00884F19">
          <w:pPr>
            <w:spacing w:line="240" w:lineRule="exact"/>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DA64D4">
            <w:rPr>
              <w:rStyle w:val="PageNumber"/>
              <w:rFonts w:cs="Arial"/>
              <w:noProof/>
            </w:rPr>
            <w:t>10</w:t>
          </w:r>
          <w:r w:rsidRPr="003D7214">
            <w:rPr>
              <w:rStyle w:val="PageNumber"/>
              <w:rFonts w:cs="Arial"/>
            </w:rPr>
            <w:fldChar w:fldCharType="end"/>
          </w:r>
        </w:p>
      </w:tc>
      <w:tc>
        <w:tcPr>
          <w:tcW w:w="6095" w:type="dxa"/>
          <w:shd w:val="clear" w:color="auto" w:fill="auto"/>
        </w:tcPr>
        <w:p w14:paraId="2B645597" w14:textId="77777777" w:rsidR="00884F19" w:rsidRDefault="00884F19" w:rsidP="00884F19">
          <w:pPr>
            <w:pStyle w:val="FooterCitation"/>
            <w:rPr>
              <w:sz w:val="22"/>
              <w:szCs w:val="22"/>
            </w:rPr>
          </w:pPr>
          <w:r>
            <w:rPr>
              <w:sz w:val="22"/>
              <w:szCs w:val="22"/>
            </w:rPr>
            <w:t>Telecommunications (Charges) Amendment Determination 2015 (No. 1)</w:t>
          </w:r>
        </w:p>
        <w:p w14:paraId="43344AC3" w14:textId="77777777" w:rsidR="00884F19" w:rsidRPr="00866796" w:rsidRDefault="00884F19" w:rsidP="00884F19">
          <w:pPr>
            <w:pStyle w:val="FooterCitation"/>
            <w:rPr>
              <w:b/>
              <w:i w:val="0"/>
              <w:sz w:val="28"/>
              <w:szCs w:val="28"/>
            </w:rPr>
          </w:pPr>
        </w:p>
      </w:tc>
      <w:tc>
        <w:tcPr>
          <w:tcW w:w="1134" w:type="dxa"/>
          <w:shd w:val="clear" w:color="auto" w:fill="auto"/>
        </w:tcPr>
        <w:p w14:paraId="4824EA90" w14:textId="77777777" w:rsidR="00884F19" w:rsidRPr="003D7214" w:rsidRDefault="00884F19" w:rsidP="00884F19">
          <w:pPr>
            <w:spacing w:line="240" w:lineRule="exact"/>
            <w:jc w:val="right"/>
            <w:rPr>
              <w:rStyle w:val="PageNumber"/>
              <w:rFonts w:cs="Arial"/>
            </w:rPr>
          </w:pPr>
        </w:p>
      </w:tc>
    </w:tr>
  </w:tbl>
  <w:p w14:paraId="02A4971F" w14:textId="77777777" w:rsidR="00884F19" w:rsidRDefault="00884F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884F19" w14:paraId="1CB0F863" w14:textId="77777777" w:rsidTr="00405D30">
      <w:tc>
        <w:tcPr>
          <w:tcW w:w="1134" w:type="dxa"/>
          <w:shd w:val="clear" w:color="auto" w:fill="auto"/>
        </w:tcPr>
        <w:p w14:paraId="102D4841" w14:textId="77777777" w:rsidR="00884F19" w:rsidRDefault="00884F19" w:rsidP="00884F19">
          <w:pPr>
            <w:spacing w:line="240" w:lineRule="exact"/>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DA64D4">
            <w:rPr>
              <w:rStyle w:val="PageNumber"/>
              <w:rFonts w:cs="Arial"/>
              <w:noProof/>
            </w:rPr>
            <w:t>9</w:t>
          </w:r>
          <w:r w:rsidRPr="003D7214">
            <w:rPr>
              <w:rStyle w:val="PageNumber"/>
              <w:rFonts w:cs="Arial"/>
            </w:rPr>
            <w:fldChar w:fldCharType="end"/>
          </w:r>
        </w:p>
      </w:tc>
      <w:tc>
        <w:tcPr>
          <w:tcW w:w="6095" w:type="dxa"/>
          <w:shd w:val="clear" w:color="auto" w:fill="auto"/>
        </w:tcPr>
        <w:p w14:paraId="3439A7A0" w14:textId="77777777" w:rsidR="00884F19" w:rsidRDefault="00884F19" w:rsidP="00884F19">
          <w:pPr>
            <w:pStyle w:val="FooterCitation"/>
            <w:rPr>
              <w:sz w:val="22"/>
              <w:szCs w:val="22"/>
            </w:rPr>
          </w:pPr>
          <w:r>
            <w:rPr>
              <w:sz w:val="22"/>
              <w:szCs w:val="22"/>
            </w:rPr>
            <w:t>Telecommunications (Charges) Amendment Determination 2015 (No. 1)</w:t>
          </w:r>
        </w:p>
        <w:p w14:paraId="22E07FF1" w14:textId="77777777" w:rsidR="00884F19" w:rsidRPr="00866796" w:rsidRDefault="00884F19" w:rsidP="00884F19">
          <w:pPr>
            <w:pStyle w:val="FooterCitation"/>
            <w:rPr>
              <w:b/>
              <w:i w:val="0"/>
              <w:sz w:val="28"/>
              <w:szCs w:val="28"/>
            </w:rPr>
          </w:pPr>
        </w:p>
      </w:tc>
      <w:tc>
        <w:tcPr>
          <w:tcW w:w="1134" w:type="dxa"/>
          <w:shd w:val="clear" w:color="auto" w:fill="auto"/>
        </w:tcPr>
        <w:p w14:paraId="1998F9B9" w14:textId="77777777" w:rsidR="00884F19" w:rsidRPr="003D7214" w:rsidRDefault="00884F19" w:rsidP="00884F19">
          <w:pPr>
            <w:spacing w:line="240" w:lineRule="exact"/>
            <w:jc w:val="right"/>
            <w:rPr>
              <w:rStyle w:val="PageNumber"/>
              <w:rFonts w:cs="Arial"/>
            </w:rPr>
          </w:pPr>
        </w:p>
      </w:tc>
    </w:tr>
  </w:tbl>
  <w:p w14:paraId="40CEC745" w14:textId="77777777" w:rsidR="00884F19" w:rsidRDefault="00884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B1A8E" w14:textId="77777777" w:rsidR="0010549F" w:rsidRDefault="0010549F" w:rsidP="0071636A">
      <w:pPr>
        <w:spacing w:after="0" w:line="240" w:lineRule="auto"/>
      </w:pPr>
      <w:r>
        <w:separator/>
      </w:r>
    </w:p>
  </w:footnote>
  <w:footnote w:type="continuationSeparator" w:id="0">
    <w:p w14:paraId="0593A823" w14:textId="77777777" w:rsidR="0010549F" w:rsidRDefault="0010549F" w:rsidP="00716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1EE27" w14:textId="77777777" w:rsidR="00DE5F33" w:rsidRPr="00F538E1" w:rsidRDefault="00DE5F33" w:rsidP="00DE5F33">
    <w:pPr>
      <w:pStyle w:val="HeaderBoldOdd"/>
      <w:pBdr>
        <w:bottom w:val="single" w:sz="4" w:space="1" w:color="auto"/>
      </w:pBdr>
      <w:spacing w:before="240"/>
      <w:rPr>
        <w:b w:val="0"/>
      </w:rPr>
    </w:pPr>
    <w:r w:rsidRPr="00F538E1">
      <w:rPr>
        <w:b w:val="0"/>
      </w:rPr>
      <w:t xml:space="preserve">Section </w:t>
    </w:r>
    <w:r w:rsidRPr="00F538E1">
      <w:rPr>
        <w:b w:val="0"/>
      </w:rPr>
      <w:fldChar w:fldCharType="begin"/>
    </w:r>
    <w:r w:rsidRPr="00F538E1">
      <w:rPr>
        <w:b w:val="0"/>
      </w:rPr>
      <w:instrText xml:space="preserve"> STYLEREF \* CHARFORMAT "HR,Regulation Heading" </w:instrText>
    </w:r>
    <w:r w:rsidRPr="00F538E1">
      <w:rPr>
        <w:b w:val="0"/>
      </w:rPr>
      <w:fldChar w:fldCharType="separate"/>
    </w:r>
    <w:r w:rsidR="0067075F">
      <w:rPr>
        <w:b w:val="0"/>
      </w:rPr>
      <w:t>3</w:t>
    </w:r>
    <w:r w:rsidR="0067075F">
      <w:rPr>
        <w:b w:val="0"/>
      </w:rPr>
      <w:tab/>
      <w:t>Amendments – submarine cables</w:t>
    </w:r>
    <w:r w:rsidRPr="00F538E1">
      <w:rPr>
        <w:b w:val="0"/>
      </w:rPr>
      <w:fldChar w:fldCharType="end"/>
    </w:r>
  </w:p>
  <w:p w14:paraId="5C8A5650" w14:textId="77777777" w:rsidR="00DE5F33" w:rsidRDefault="00DE5F33" w:rsidP="00DE5F33">
    <w:pPr>
      <w:pStyle w:val="HeaderBoldOd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72556" w14:textId="77777777" w:rsidR="002F3A9B" w:rsidRPr="00F538E1" w:rsidRDefault="002F3A9B" w:rsidP="002F3A9B">
    <w:pPr>
      <w:pStyle w:val="HeaderBoldOdd"/>
      <w:pBdr>
        <w:bottom w:val="single" w:sz="4" w:space="1" w:color="auto"/>
      </w:pBdr>
      <w:spacing w:before="240"/>
      <w:jc w:val="left"/>
      <w:rPr>
        <w:b w:val="0"/>
      </w:rPr>
    </w:pPr>
    <w:r w:rsidRPr="00F538E1">
      <w:rPr>
        <w:b w:val="0"/>
      </w:rPr>
      <w:t xml:space="preserve">Section </w:t>
    </w:r>
    <w:r w:rsidRPr="00F538E1">
      <w:rPr>
        <w:b w:val="0"/>
      </w:rPr>
      <w:fldChar w:fldCharType="begin"/>
    </w:r>
    <w:r w:rsidRPr="00F538E1">
      <w:rPr>
        <w:b w:val="0"/>
      </w:rPr>
      <w:instrText xml:space="preserve"> STYLEREF \* CHARFORMAT "HR,Regulation Heading" </w:instrText>
    </w:r>
    <w:r w:rsidRPr="00F538E1">
      <w:rPr>
        <w:b w:val="0"/>
      </w:rPr>
      <w:fldChar w:fldCharType="separate"/>
    </w:r>
    <w:r w:rsidR="00DE5F33">
      <w:rPr>
        <w:b w:val="0"/>
      </w:rPr>
      <w:t>1</w:t>
    </w:r>
    <w:r w:rsidR="00DE5F33">
      <w:rPr>
        <w:b w:val="0"/>
      </w:rPr>
      <w:tab/>
      <w:t>Name of Determination</w:t>
    </w:r>
    <w:r w:rsidRPr="00F538E1">
      <w:rPr>
        <w:b w:val="0"/>
      </w:rPr>
      <w:fldChar w:fldCharType="end"/>
    </w:r>
  </w:p>
  <w:p w14:paraId="2B01F0E1" w14:textId="665BFC33" w:rsidR="00AB6125" w:rsidRPr="002F3A9B" w:rsidRDefault="00AB6125" w:rsidP="002F3A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F23E6" w14:textId="77777777" w:rsidR="005A67DD" w:rsidRPr="00F538E1" w:rsidRDefault="005A67DD" w:rsidP="00293F87">
    <w:pPr>
      <w:pStyle w:val="HeaderBoldOdd"/>
      <w:pBdr>
        <w:bottom w:val="single" w:sz="4" w:space="1" w:color="auto"/>
      </w:pBdr>
      <w:spacing w:before="240" w:after="240"/>
      <w:rPr>
        <w:b w:val="0"/>
      </w:rPr>
    </w:pPr>
    <w:r w:rsidRPr="00F538E1">
      <w:rPr>
        <w:b w:val="0"/>
      </w:rPr>
      <w:fldChar w:fldCharType="begin"/>
    </w:r>
    <w:r w:rsidRPr="00F538E1">
      <w:rPr>
        <w:b w:val="0"/>
      </w:rPr>
      <w:instrText xml:space="preserve"> STYLEREF \* CHARFORMAT "Schedule title" </w:instrText>
    </w:r>
    <w:r w:rsidRPr="00F538E1">
      <w:rPr>
        <w:b w:val="0"/>
      </w:rPr>
      <w:fldChar w:fldCharType="separate"/>
    </w:r>
    <w:r w:rsidR="00DA64D4">
      <w:rPr>
        <w:b w:val="0"/>
      </w:rPr>
      <w:t>Schedule 2</w:t>
    </w:r>
    <w:r w:rsidR="00DA64D4">
      <w:rPr>
        <w:b w:val="0"/>
      </w:rPr>
      <w:tab/>
      <w:t>Amendments to the Telecommunications (Charges) Determination 2012 – numbering applications</w:t>
    </w:r>
    <w:r w:rsidRPr="00F538E1">
      <w:rPr>
        <w:b w:val="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2023A" w14:textId="77777777" w:rsidR="00370B5E" w:rsidRPr="00F538E1" w:rsidRDefault="00370B5E" w:rsidP="00293F87">
    <w:pPr>
      <w:pStyle w:val="HeaderBoldOdd"/>
      <w:pBdr>
        <w:bottom w:val="single" w:sz="4" w:space="1" w:color="auto"/>
      </w:pBdr>
      <w:spacing w:before="240" w:after="240"/>
      <w:rPr>
        <w:b w:val="0"/>
      </w:rPr>
    </w:pPr>
    <w:r w:rsidRPr="00F538E1">
      <w:rPr>
        <w:b w:val="0"/>
      </w:rPr>
      <w:fldChar w:fldCharType="begin"/>
    </w:r>
    <w:r w:rsidRPr="00F538E1">
      <w:rPr>
        <w:b w:val="0"/>
      </w:rPr>
      <w:instrText xml:space="preserve"> STYLEREF \* CHARFORMAT "Schedule title" </w:instrText>
    </w:r>
    <w:r w:rsidRPr="00F538E1">
      <w:rPr>
        <w:b w:val="0"/>
      </w:rPr>
      <w:fldChar w:fldCharType="separate"/>
    </w:r>
    <w:r w:rsidR="00DA64D4">
      <w:rPr>
        <w:b w:val="0"/>
      </w:rPr>
      <w:t>Schedule 2</w:t>
    </w:r>
    <w:r w:rsidR="00DA64D4">
      <w:rPr>
        <w:b w:val="0"/>
      </w:rPr>
      <w:tab/>
      <w:t>Amendments to the Telecommunications (Charges) Determination 2012 – numbering applications</w:t>
    </w:r>
    <w:r w:rsidRPr="00F538E1">
      <w:rPr>
        <w:b w:val="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572BC"/>
    <w:multiLevelType w:val="hybridMultilevel"/>
    <w:tmpl w:val="BB58A63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
    <w:nsid w:val="12A20EF5"/>
    <w:multiLevelType w:val="hybridMultilevel"/>
    <w:tmpl w:val="29E2385C"/>
    <w:lvl w:ilvl="0" w:tplc="DC925A92">
      <w:start w:val="1"/>
      <w:numFmt w:val="lowerLetter"/>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nsid w:val="20E93C0E"/>
    <w:multiLevelType w:val="hybridMultilevel"/>
    <w:tmpl w:val="C0BC6B12"/>
    <w:lvl w:ilvl="0" w:tplc="CDC487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CB72CD5"/>
    <w:multiLevelType w:val="hybridMultilevel"/>
    <w:tmpl w:val="69207FA0"/>
    <w:lvl w:ilvl="0" w:tplc="0C090001">
      <w:start w:val="1"/>
      <w:numFmt w:val="bullet"/>
      <w:lvlText w:val=""/>
      <w:lvlJc w:val="left"/>
      <w:pPr>
        <w:ind w:left="2925" w:hanging="360"/>
      </w:pPr>
      <w:rPr>
        <w:rFonts w:ascii="Symbol" w:hAnsi="Symbol" w:hint="default"/>
      </w:rPr>
    </w:lvl>
    <w:lvl w:ilvl="1" w:tplc="0C090003" w:tentative="1">
      <w:start w:val="1"/>
      <w:numFmt w:val="bullet"/>
      <w:lvlText w:val="o"/>
      <w:lvlJc w:val="left"/>
      <w:pPr>
        <w:ind w:left="3645" w:hanging="360"/>
      </w:pPr>
      <w:rPr>
        <w:rFonts w:ascii="Courier New" w:hAnsi="Courier New" w:cs="Courier New" w:hint="default"/>
      </w:rPr>
    </w:lvl>
    <w:lvl w:ilvl="2" w:tplc="0C090005" w:tentative="1">
      <w:start w:val="1"/>
      <w:numFmt w:val="bullet"/>
      <w:lvlText w:val=""/>
      <w:lvlJc w:val="left"/>
      <w:pPr>
        <w:ind w:left="4365" w:hanging="360"/>
      </w:pPr>
      <w:rPr>
        <w:rFonts w:ascii="Wingdings" w:hAnsi="Wingdings" w:hint="default"/>
      </w:rPr>
    </w:lvl>
    <w:lvl w:ilvl="3" w:tplc="0C090001" w:tentative="1">
      <w:start w:val="1"/>
      <w:numFmt w:val="bullet"/>
      <w:lvlText w:val=""/>
      <w:lvlJc w:val="left"/>
      <w:pPr>
        <w:ind w:left="5085" w:hanging="360"/>
      </w:pPr>
      <w:rPr>
        <w:rFonts w:ascii="Symbol" w:hAnsi="Symbol" w:hint="default"/>
      </w:rPr>
    </w:lvl>
    <w:lvl w:ilvl="4" w:tplc="0C090003" w:tentative="1">
      <w:start w:val="1"/>
      <w:numFmt w:val="bullet"/>
      <w:lvlText w:val="o"/>
      <w:lvlJc w:val="left"/>
      <w:pPr>
        <w:ind w:left="5805" w:hanging="360"/>
      </w:pPr>
      <w:rPr>
        <w:rFonts w:ascii="Courier New" w:hAnsi="Courier New" w:cs="Courier New" w:hint="default"/>
      </w:rPr>
    </w:lvl>
    <w:lvl w:ilvl="5" w:tplc="0C090005" w:tentative="1">
      <w:start w:val="1"/>
      <w:numFmt w:val="bullet"/>
      <w:lvlText w:val=""/>
      <w:lvlJc w:val="left"/>
      <w:pPr>
        <w:ind w:left="6525" w:hanging="360"/>
      </w:pPr>
      <w:rPr>
        <w:rFonts w:ascii="Wingdings" w:hAnsi="Wingdings" w:hint="default"/>
      </w:rPr>
    </w:lvl>
    <w:lvl w:ilvl="6" w:tplc="0C090001" w:tentative="1">
      <w:start w:val="1"/>
      <w:numFmt w:val="bullet"/>
      <w:lvlText w:val=""/>
      <w:lvlJc w:val="left"/>
      <w:pPr>
        <w:ind w:left="7245" w:hanging="360"/>
      </w:pPr>
      <w:rPr>
        <w:rFonts w:ascii="Symbol" w:hAnsi="Symbol" w:hint="default"/>
      </w:rPr>
    </w:lvl>
    <w:lvl w:ilvl="7" w:tplc="0C090003" w:tentative="1">
      <w:start w:val="1"/>
      <w:numFmt w:val="bullet"/>
      <w:lvlText w:val="o"/>
      <w:lvlJc w:val="left"/>
      <w:pPr>
        <w:ind w:left="7965" w:hanging="360"/>
      </w:pPr>
      <w:rPr>
        <w:rFonts w:ascii="Courier New" w:hAnsi="Courier New" w:cs="Courier New" w:hint="default"/>
      </w:rPr>
    </w:lvl>
    <w:lvl w:ilvl="8" w:tplc="0C090005" w:tentative="1">
      <w:start w:val="1"/>
      <w:numFmt w:val="bullet"/>
      <w:lvlText w:val=""/>
      <w:lvlJc w:val="left"/>
      <w:pPr>
        <w:ind w:left="8685" w:hanging="360"/>
      </w:pPr>
      <w:rPr>
        <w:rFonts w:ascii="Wingdings" w:hAnsi="Wingdings" w:hint="default"/>
      </w:rPr>
    </w:lvl>
  </w:abstractNum>
  <w:abstractNum w:abstractNumId="4">
    <w:nsid w:val="4193576F"/>
    <w:multiLevelType w:val="hybridMultilevel"/>
    <w:tmpl w:val="C0BC6B12"/>
    <w:lvl w:ilvl="0" w:tplc="CDC487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DE472FD"/>
    <w:multiLevelType w:val="hybridMultilevel"/>
    <w:tmpl w:val="29E2385C"/>
    <w:lvl w:ilvl="0" w:tplc="DC925A92">
      <w:start w:val="1"/>
      <w:numFmt w:val="lowerLetter"/>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nsid w:val="5295625D"/>
    <w:multiLevelType w:val="hybridMultilevel"/>
    <w:tmpl w:val="C0BC6B12"/>
    <w:lvl w:ilvl="0" w:tplc="CDC487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3E62065"/>
    <w:multiLevelType w:val="hybridMultilevel"/>
    <w:tmpl w:val="C0BC6B12"/>
    <w:lvl w:ilvl="0" w:tplc="CDC487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E98729A"/>
    <w:multiLevelType w:val="hybridMultilevel"/>
    <w:tmpl w:val="29E2385C"/>
    <w:lvl w:ilvl="0" w:tplc="DC925A92">
      <w:start w:val="1"/>
      <w:numFmt w:val="lowerLetter"/>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0"/>
  </w:num>
  <w:num w:numId="2">
    <w:abstractNumId w:val="6"/>
  </w:num>
  <w:num w:numId="3">
    <w:abstractNumId w:val="2"/>
  </w:num>
  <w:num w:numId="4">
    <w:abstractNumId w:val="7"/>
  </w:num>
  <w:num w:numId="5">
    <w:abstractNumId w:val="4"/>
  </w:num>
  <w:num w:numId="6">
    <w:abstractNumId w:val="3"/>
  </w:num>
  <w:num w:numId="7">
    <w:abstractNumId w:val="8"/>
  </w:num>
  <w:num w:numId="8">
    <w:abstractNumId w:val="5"/>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68"/>
    <w:rsid w:val="00012A35"/>
    <w:rsid w:val="00012D6F"/>
    <w:rsid w:val="00017A1A"/>
    <w:rsid w:val="00020B2A"/>
    <w:rsid w:val="0002268C"/>
    <w:rsid w:val="0002370D"/>
    <w:rsid w:val="0002530A"/>
    <w:rsid w:val="000266C7"/>
    <w:rsid w:val="00027D9F"/>
    <w:rsid w:val="000300A4"/>
    <w:rsid w:val="00030D88"/>
    <w:rsid w:val="000333F0"/>
    <w:rsid w:val="00034BDB"/>
    <w:rsid w:val="00043655"/>
    <w:rsid w:val="00043D54"/>
    <w:rsid w:val="0004423E"/>
    <w:rsid w:val="000534D1"/>
    <w:rsid w:val="0005751D"/>
    <w:rsid w:val="000649C7"/>
    <w:rsid w:val="0006741A"/>
    <w:rsid w:val="000678B2"/>
    <w:rsid w:val="00072A64"/>
    <w:rsid w:val="000848FB"/>
    <w:rsid w:val="000A0D5D"/>
    <w:rsid w:val="000B4AAD"/>
    <w:rsid w:val="000C3D08"/>
    <w:rsid w:val="000C3E95"/>
    <w:rsid w:val="000E0181"/>
    <w:rsid w:val="000F7195"/>
    <w:rsid w:val="00100400"/>
    <w:rsid w:val="00101B91"/>
    <w:rsid w:val="0010549F"/>
    <w:rsid w:val="00110939"/>
    <w:rsid w:val="00124F18"/>
    <w:rsid w:val="0012543F"/>
    <w:rsid w:val="00126B17"/>
    <w:rsid w:val="001275AB"/>
    <w:rsid w:val="001329B5"/>
    <w:rsid w:val="00135094"/>
    <w:rsid w:val="00143D0A"/>
    <w:rsid w:val="001614D6"/>
    <w:rsid w:val="00161965"/>
    <w:rsid w:val="00170AC0"/>
    <w:rsid w:val="00171E40"/>
    <w:rsid w:val="00174BB7"/>
    <w:rsid w:val="00176090"/>
    <w:rsid w:val="00181E5F"/>
    <w:rsid w:val="001A0B98"/>
    <w:rsid w:val="001A6853"/>
    <w:rsid w:val="001B0B3C"/>
    <w:rsid w:val="001B1E86"/>
    <w:rsid w:val="001C03A1"/>
    <w:rsid w:val="001C0AB1"/>
    <w:rsid w:val="001C35BB"/>
    <w:rsid w:val="001D14C0"/>
    <w:rsid w:val="001D1A21"/>
    <w:rsid w:val="001D3782"/>
    <w:rsid w:val="001E2FB9"/>
    <w:rsid w:val="001E4147"/>
    <w:rsid w:val="001E7673"/>
    <w:rsid w:val="001F41AA"/>
    <w:rsid w:val="001F66D1"/>
    <w:rsid w:val="00205635"/>
    <w:rsid w:val="002114DA"/>
    <w:rsid w:val="00213C19"/>
    <w:rsid w:val="00214442"/>
    <w:rsid w:val="0021745F"/>
    <w:rsid w:val="00224F5B"/>
    <w:rsid w:val="00225518"/>
    <w:rsid w:val="0022709F"/>
    <w:rsid w:val="0023469B"/>
    <w:rsid w:val="002348DF"/>
    <w:rsid w:val="0024128B"/>
    <w:rsid w:val="0024451E"/>
    <w:rsid w:val="0024538A"/>
    <w:rsid w:val="00254660"/>
    <w:rsid w:val="0026309D"/>
    <w:rsid w:val="00265DC9"/>
    <w:rsid w:val="00266C68"/>
    <w:rsid w:val="00266FDB"/>
    <w:rsid w:val="00274921"/>
    <w:rsid w:val="00291CE7"/>
    <w:rsid w:val="00293F87"/>
    <w:rsid w:val="00294704"/>
    <w:rsid w:val="00294F82"/>
    <w:rsid w:val="002A087D"/>
    <w:rsid w:val="002C3CC4"/>
    <w:rsid w:val="002C6DEC"/>
    <w:rsid w:val="002D14D9"/>
    <w:rsid w:val="002E5C63"/>
    <w:rsid w:val="002F164E"/>
    <w:rsid w:val="002F3A9B"/>
    <w:rsid w:val="00307724"/>
    <w:rsid w:val="00310B3E"/>
    <w:rsid w:val="0031464F"/>
    <w:rsid w:val="00314A1B"/>
    <w:rsid w:val="00317806"/>
    <w:rsid w:val="003215BE"/>
    <w:rsid w:val="00321F03"/>
    <w:rsid w:val="0032298D"/>
    <w:rsid w:val="00330AAF"/>
    <w:rsid w:val="0033633B"/>
    <w:rsid w:val="00336C6B"/>
    <w:rsid w:val="0034422B"/>
    <w:rsid w:val="003448D9"/>
    <w:rsid w:val="003510A8"/>
    <w:rsid w:val="0035655B"/>
    <w:rsid w:val="00356881"/>
    <w:rsid w:val="00363A0B"/>
    <w:rsid w:val="00363E00"/>
    <w:rsid w:val="00370B5E"/>
    <w:rsid w:val="00372D34"/>
    <w:rsid w:val="00373D62"/>
    <w:rsid w:val="00374DCB"/>
    <w:rsid w:val="00380477"/>
    <w:rsid w:val="00382E9E"/>
    <w:rsid w:val="003A54D4"/>
    <w:rsid w:val="003A595F"/>
    <w:rsid w:val="003B0B57"/>
    <w:rsid w:val="003B2E5B"/>
    <w:rsid w:val="003B3319"/>
    <w:rsid w:val="003B559A"/>
    <w:rsid w:val="003B6068"/>
    <w:rsid w:val="003B70B4"/>
    <w:rsid w:val="003D3620"/>
    <w:rsid w:val="003D3B04"/>
    <w:rsid w:val="003D3BA7"/>
    <w:rsid w:val="003E23CE"/>
    <w:rsid w:val="003F4F96"/>
    <w:rsid w:val="003F6CAB"/>
    <w:rsid w:val="004049F8"/>
    <w:rsid w:val="004054D9"/>
    <w:rsid w:val="004108C7"/>
    <w:rsid w:val="004111A3"/>
    <w:rsid w:val="00415767"/>
    <w:rsid w:val="004310F8"/>
    <w:rsid w:val="0043592F"/>
    <w:rsid w:val="00435B93"/>
    <w:rsid w:val="00444B55"/>
    <w:rsid w:val="004476A7"/>
    <w:rsid w:val="004541BD"/>
    <w:rsid w:val="00455E9C"/>
    <w:rsid w:val="00455FF0"/>
    <w:rsid w:val="00457002"/>
    <w:rsid w:val="00460E1E"/>
    <w:rsid w:val="004632C6"/>
    <w:rsid w:val="00464ECD"/>
    <w:rsid w:val="00464FBC"/>
    <w:rsid w:val="004657AB"/>
    <w:rsid w:val="00466A60"/>
    <w:rsid w:val="004700AA"/>
    <w:rsid w:val="00476212"/>
    <w:rsid w:val="00477241"/>
    <w:rsid w:val="00480C0C"/>
    <w:rsid w:val="004839B1"/>
    <w:rsid w:val="004874F2"/>
    <w:rsid w:val="00492817"/>
    <w:rsid w:val="00493E1B"/>
    <w:rsid w:val="00493F2E"/>
    <w:rsid w:val="00494AE0"/>
    <w:rsid w:val="004951C6"/>
    <w:rsid w:val="004A0312"/>
    <w:rsid w:val="004A4AA3"/>
    <w:rsid w:val="004B2B9B"/>
    <w:rsid w:val="004B34CD"/>
    <w:rsid w:val="004B5CAF"/>
    <w:rsid w:val="004C06F6"/>
    <w:rsid w:val="004C08A9"/>
    <w:rsid w:val="004C4DCE"/>
    <w:rsid w:val="004C5CB6"/>
    <w:rsid w:val="004D5172"/>
    <w:rsid w:val="004D6DD7"/>
    <w:rsid w:val="004E1A39"/>
    <w:rsid w:val="004F6B42"/>
    <w:rsid w:val="00501626"/>
    <w:rsid w:val="00502DC4"/>
    <w:rsid w:val="005075A1"/>
    <w:rsid w:val="005119E5"/>
    <w:rsid w:val="005132A8"/>
    <w:rsid w:val="005171E7"/>
    <w:rsid w:val="00524149"/>
    <w:rsid w:val="00524C61"/>
    <w:rsid w:val="00535368"/>
    <w:rsid w:val="00545757"/>
    <w:rsid w:val="00552C41"/>
    <w:rsid w:val="00555BF6"/>
    <w:rsid w:val="005607D3"/>
    <w:rsid w:val="00561578"/>
    <w:rsid w:val="00570CF5"/>
    <w:rsid w:val="00575DB7"/>
    <w:rsid w:val="0058306F"/>
    <w:rsid w:val="005A2155"/>
    <w:rsid w:val="005A6079"/>
    <w:rsid w:val="005A67DD"/>
    <w:rsid w:val="005B09D9"/>
    <w:rsid w:val="005C2187"/>
    <w:rsid w:val="005E6C87"/>
    <w:rsid w:val="005E7AB5"/>
    <w:rsid w:val="006103E0"/>
    <w:rsid w:val="00611C35"/>
    <w:rsid w:val="00622C79"/>
    <w:rsid w:val="00625D8B"/>
    <w:rsid w:val="006267F6"/>
    <w:rsid w:val="00627BEA"/>
    <w:rsid w:val="006317BC"/>
    <w:rsid w:val="00641BE0"/>
    <w:rsid w:val="006438B4"/>
    <w:rsid w:val="00644CFC"/>
    <w:rsid w:val="00645CF6"/>
    <w:rsid w:val="0065037C"/>
    <w:rsid w:val="00651314"/>
    <w:rsid w:val="006570BF"/>
    <w:rsid w:val="0067075F"/>
    <w:rsid w:val="00674B42"/>
    <w:rsid w:val="00675206"/>
    <w:rsid w:val="00676E80"/>
    <w:rsid w:val="00680477"/>
    <w:rsid w:val="006860F3"/>
    <w:rsid w:val="006917C2"/>
    <w:rsid w:val="0069420B"/>
    <w:rsid w:val="006954BF"/>
    <w:rsid w:val="006A3B50"/>
    <w:rsid w:val="006B24D2"/>
    <w:rsid w:val="006D4CCC"/>
    <w:rsid w:val="006E4213"/>
    <w:rsid w:val="006E5994"/>
    <w:rsid w:val="006F1AA2"/>
    <w:rsid w:val="0071636A"/>
    <w:rsid w:val="00720C2F"/>
    <w:rsid w:val="00724906"/>
    <w:rsid w:val="00733066"/>
    <w:rsid w:val="007339F8"/>
    <w:rsid w:val="007340AB"/>
    <w:rsid w:val="00740158"/>
    <w:rsid w:val="00743ADA"/>
    <w:rsid w:val="00750595"/>
    <w:rsid w:val="00751CB4"/>
    <w:rsid w:val="0075266C"/>
    <w:rsid w:val="0076446A"/>
    <w:rsid w:val="00774069"/>
    <w:rsid w:val="00780EEA"/>
    <w:rsid w:val="007832A6"/>
    <w:rsid w:val="0079443C"/>
    <w:rsid w:val="007958D3"/>
    <w:rsid w:val="007A1107"/>
    <w:rsid w:val="007A327E"/>
    <w:rsid w:val="007A7EDA"/>
    <w:rsid w:val="007B0120"/>
    <w:rsid w:val="007B1336"/>
    <w:rsid w:val="007B58AA"/>
    <w:rsid w:val="007B7EB3"/>
    <w:rsid w:val="007C38AF"/>
    <w:rsid w:val="007C5454"/>
    <w:rsid w:val="007C57B1"/>
    <w:rsid w:val="007D3463"/>
    <w:rsid w:val="007D3C31"/>
    <w:rsid w:val="007D6709"/>
    <w:rsid w:val="007E091E"/>
    <w:rsid w:val="007E1468"/>
    <w:rsid w:val="007E439F"/>
    <w:rsid w:val="007F1C3F"/>
    <w:rsid w:val="007F40F1"/>
    <w:rsid w:val="007F77A5"/>
    <w:rsid w:val="00810548"/>
    <w:rsid w:val="0081187B"/>
    <w:rsid w:val="008309F6"/>
    <w:rsid w:val="00831625"/>
    <w:rsid w:val="0083201D"/>
    <w:rsid w:val="00832349"/>
    <w:rsid w:val="00833F7F"/>
    <w:rsid w:val="00834A57"/>
    <w:rsid w:val="0084687F"/>
    <w:rsid w:val="008556B7"/>
    <w:rsid w:val="0085667E"/>
    <w:rsid w:val="00862383"/>
    <w:rsid w:val="00865C61"/>
    <w:rsid w:val="00866796"/>
    <w:rsid w:val="00867B6A"/>
    <w:rsid w:val="008714C0"/>
    <w:rsid w:val="00872905"/>
    <w:rsid w:val="008750AE"/>
    <w:rsid w:val="00877196"/>
    <w:rsid w:val="008816EB"/>
    <w:rsid w:val="00881871"/>
    <w:rsid w:val="00883C2F"/>
    <w:rsid w:val="00884F19"/>
    <w:rsid w:val="00886E58"/>
    <w:rsid w:val="008923CF"/>
    <w:rsid w:val="008A6C3D"/>
    <w:rsid w:val="008C0278"/>
    <w:rsid w:val="008C070A"/>
    <w:rsid w:val="008C12ED"/>
    <w:rsid w:val="008C3557"/>
    <w:rsid w:val="008C4786"/>
    <w:rsid w:val="008C79C5"/>
    <w:rsid w:val="008D111A"/>
    <w:rsid w:val="008D4112"/>
    <w:rsid w:val="008E0682"/>
    <w:rsid w:val="008E40D2"/>
    <w:rsid w:val="008E4358"/>
    <w:rsid w:val="008F2ECA"/>
    <w:rsid w:val="008F7850"/>
    <w:rsid w:val="00902928"/>
    <w:rsid w:val="0090312A"/>
    <w:rsid w:val="009057DD"/>
    <w:rsid w:val="00921DAC"/>
    <w:rsid w:val="00925A5C"/>
    <w:rsid w:val="00930BF3"/>
    <w:rsid w:val="00932692"/>
    <w:rsid w:val="00932E82"/>
    <w:rsid w:val="00934FAE"/>
    <w:rsid w:val="00936DF5"/>
    <w:rsid w:val="00943452"/>
    <w:rsid w:val="009461AF"/>
    <w:rsid w:val="009547D7"/>
    <w:rsid w:val="0096573C"/>
    <w:rsid w:val="00966CC3"/>
    <w:rsid w:val="00970D6C"/>
    <w:rsid w:val="00972DE7"/>
    <w:rsid w:val="00973CE5"/>
    <w:rsid w:val="00974727"/>
    <w:rsid w:val="009749C1"/>
    <w:rsid w:val="009801C0"/>
    <w:rsid w:val="00981275"/>
    <w:rsid w:val="009915AC"/>
    <w:rsid w:val="0099164A"/>
    <w:rsid w:val="009A0C9B"/>
    <w:rsid w:val="009B7FF4"/>
    <w:rsid w:val="009C6BE6"/>
    <w:rsid w:val="009D00CA"/>
    <w:rsid w:val="009D2304"/>
    <w:rsid w:val="009D3367"/>
    <w:rsid w:val="009D3BA8"/>
    <w:rsid w:val="009D45A4"/>
    <w:rsid w:val="009D6109"/>
    <w:rsid w:val="009E421E"/>
    <w:rsid w:val="009E5C12"/>
    <w:rsid w:val="009E6130"/>
    <w:rsid w:val="009E70F3"/>
    <w:rsid w:val="009F2F52"/>
    <w:rsid w:val="009F4DD1"/>
    <w:rsid w:val="009F6DF4"/>
    <w:rsid w:val="00A002B4"/>
    <w:rsid w:val="00A019DC"/>
    <w:rsid w:val="00A02194"/>
    <w:rsid w:val="00A02B50"/>
    <w:rsid w:val="00A17CEB"/>
    <w:rsid w:val="00A35E5E"/>
    <w:rsid w:val="00A35EAD"/>
    <w:rsid w:val="00A410E2"/>
    <w:rsid w:val="00A72A87"/>
    <w:rsid w:val="00A77B97"/>
    <w:rsid w:val="00A80299"/>
    <w:rsid w:val="00A822D3"/>
    <w:rsid w:val="00A9781B"/>
    <w:rsid w:val="00AB08FC"/>
    <w:rsid w:val="00AB6125"/>
    <w:rsid w:val="00AC4DF9"/>
    <w:rsid w:val="00AC7229"/>
    <w:rsid w:val="00AD3AA0"/>
    <w:rsid w:val="00AD4838"/>
    <w:rsid w:val="00AD691C"/>
    <w:rsid w:val="00AE79F9"/>
    <w:rsid w:val="00AF11DB"/>
    <w:rsid w:val="00AF2AEE"/>
    <w:rsid w:val="00B01182"/>
    <w:rsid w:val="00B13C17"/>
    <w:rsid w:val="00B14EEC"/>
    <w:rsid w:val="00B16AAC"/>
    <w:rsid w:val="00B17B4D"/>
    <w:rsid w:val="00B20E09"/>
    <w:rsid w:val="00B264BE"/>
    <w:rsid w:val="00B4385B"/>
    <w:rsid w:val="00B44699"/>
    <w:rsid w:val="00B53577"/>
    <w:rsid w:val="00B5376E"/>
    <w:rsid w:val="00B561EF"/>
    <w:rsid w:val="00B60305"/>
    <w:rsid w:val="00B70FB5"/>
    <w:rsid w:val="00B7279C"/>
    <w:rsid w:val="00B73AD0"/>
    <w:rsid w:val="00B76EE0"/>
    <w:rsid w:val="00B80A87"/>
    <w:rsid w:val="00B80E61"/>
    <w:rsid w:val="00B8779D"/>
    <w:rsid w:val="00B90FD0"/>
    <w:rsid w:val="00B9300B"/>
    <w:rsid w:val="00B940F1"/>
    <w:rsid w:val="00B94138"/>
    <w:rsid w:val="00B95854"/>
    <w:rsid w:val="00B9595C"/>
    <w:rsid w:val="00B97165"/>
    <w:rsid w:val="00BA68F3"/>
    <w:rsid w:val="00BB1EE0"/>
    <w:rsid w:val="00BC6064"/>
    <w:rsid w:val="00BD2465"/>
    <w:rsid w:val="00BD26EA"/>
    <w:rsid w:val="00BD2E5C"/>
    <w:rsid w:val="00BE4AC7"/>
    <w:rsid w:val="00BE4DC0"/>
    <w:rsid w:val="00BF58BF"/>
    <w:rsid w:val="00BF761B"/>
    <w:rsid w:val="00C0271C"/>
    <w:rsid w:val="00C03F9D"/>
    <w:rsid w:val="00C045E6"/>
    <w:rsid w:val="00C07E5D"/>
    <w:rsid w:val="00C07F6E"/>
    <w:rsid w:val="00C11C13"/>
    <w:rsid w:val="00C13C97"/>
    <w:rsid w:val="00C26D35"/>
    <w:rsid w:val="00C31DCB"/>
    <w:rsid w:val="00C34EC3"/>
    <w:rsid w:val="00C40641"/>
    <w:rsid w:val="00C41974"/>
    <w:rsid w:val="00C54BB8"/>
    <w:rsid w:val="00C5673E"/>
    <w:rsid w:val="00C60DF5"/>
    <w:rsid w:val="00C65412"/>
    <w:rsid w:val="00C67600"/>
    <w:rsid w:val="00C71988"/>
    <w:rsid w:val="00C747A7"/>
    <w:rsid w:val="00C754C1"/>
    <w:rsid w:val="00C84B06"/>
    <w:rsid w:val="00C85ADB"/>
    <w:rsid w:val="00C876BE"/>
    <w:rsid w:val="00CA1DA0"/>
    <w:rsid w:val="00CB0386"/>
    <w:rsid w:val="00CB5DAA"/>
    <w:rsid w:val="00CC383B"/>
    <w:rsid w:val="00CE25F3"/>
    <w:rsid w:val="00CE59AE"/>
    <w:rsid w:val="00CE75C0"/>
    <w:rsid w:val="00CF1649"/>
    <w:rsid w:val="00CF293E"/>
    <w:rsid w:val="00CF3F22"/>
    <w:rsid w:val="00CF4C1F"/>
    <w:rsid w:val="00D020D1"/>
    <w:rsid w:val="00D10759"/>
    <w:rsid w:val="00D10C28"/>
    <w:rsid w:val="00D12E10"/>
    <w:rsid w:val="00D1757C"/>
    <w:rsid w:val="00D2222B"/>
    <w:rsid w:val="00D22CB1"/>
    <w:rsid w:val="00D30867"/>
    <w:rsid w:val="00D31361"/>
    <w:rsid w:val="00D3728D"/>
    <w:rsid w:val="00D3753B"/>
    <w:rsid w:val="00D376BD"/>
    <w:rsid w:val="00D47E10"/>
    <w:rsid w:val="00D5009F"/>
    <w:rsid w:val="00D57186"/>
    <w:rsid w:val="00D573AB"/>
    <w:rsid w:val="00D617BC"/>
    <w:rsid w:val="00D6232E"/>
    <w:rsid w:val="00D6545B"/>
    <w:rsid w:val="00D735F9"/>
    <w:rsid w:val="00D74835"/>
    <w:rsid w:val="00D75EBF"/>
    <w:rsid w:val="00D83E91"/>
    <w:rsid w:val="00D85511"/>
    <w:rsid w:val="00D90739"/>
    <w:rsid w:val="00D92B3B"/>
    <w:rsid w:val="00D92BD0"/>
    <w:rsid w:val="00D96B85"/>
    <w:rsid w:val="00DA09E6"/>
    <w:rsid w:val="00DA44FE"/>
    <w:rsid w:val="00DA6438"/>
    <w:rsid w:val="00DA64D4"/>
    <w:rsid w:val="00DD0602"/>
    <w:rsid w:val="00DD0E59"/>
    <w:rsid w:val="00DD175C"/>
    <w:rsid w:val="00DD4B11"/>
    <w:rsid w:val="00DD679A"/>
    <w:rsid w:val="00DD7E47"/>
    <w:rsid w:val="00DE390B"/>
    <w:rsid w:val="00DE5F33"/>
    <w:rsid w:val="00DE6A3E"/>
    <w:rsid w:val="00DE746F"/>
    <w:rsid w:val="00E03FAA"/>
    <w:rsid w:val="00E078C4"/>
    <w:rsid w:val="00E1241E"/>
    <w:rsid w:val="00E129EA"/>
    <w:rsid w:val="00E14822"/>
    <w:rsid w:val="00E14826"/>
    <w:rsid w:val="00E17337"/>
    <w:rsid w:val="00E17AC9"/>
    <w:rsid w:val="00E24822"/>
    <w:rsid w:val="00E24F3F"/>
    <w:rsid w:val="00E51570"/>
    <w:rsid w:val="00E51AB6"/>
    <w:rsid w:val="00E53A43"/>
    <w:rsid w:val="00E62179"/>
    <w:rsid w:val="00E65044"/>
    <w:rsid w:val="00E665CC"/>
    <w:rsid w:val="00E72444"/>
    <w:rsid w:val="00E764AB"/>
    <w:rsid w:val="00E77E80"/>
    <w:rsid w:val="00E80CC3"/>
    <w:rsid w:val="00E82EB2"/>
    <w:rsid w:val="00E858C1"/>
    <w:rsid w:val="00E95EA8"/>
    <w:rsid w:val="00E9627B"/>
    <w:rsid w:val="00E9670B"/>
    <w:rsid w:val="00EA0A80"/>
    <w:rsid w:val="00EA1F5C"/>
    <w:rsid w:val="00EA7C43"/>
    <w:rsid w:val="00EB367A"/>
    <w:rsid w:val="00EC014B"/>
    <w:rsid w:val="00EC1558"/>
    <w:rsid w:val="00EC233A"/>
    <w:rsid w:val="00EC5D5B"/>
    <w:rsid w:val="00EC71C1"/>
    <w:rsid w:val="00ED0EBD"/>
    <w:rsid w:val="00ED7BA2"/>
    <w:rsid w:val="00EF2CF7"/>
    <w:rsid w:val="00EF4B5C"/>
    <w:rsid w:val="00EF4D3F"/>
    <w:rsid w:val="00EF7F42"/>
    <w:rsid w:val="00F108A3"/>
    <w:rsid w:val="00F10E53"/>
    <w:rsid w:val="00F132FC"/>
    <w:rsid w:val="00F1345A"/>
    <w:rsid w:val="00F1596A"/>
    <w:rsid w:val="00F15DF0"/>
    <w:rsid w:val="00F201A4"/>
    <w:rsid w:val="00F213FD"/>
    <w:rsid w:val="00F262FA"/>
    <w:rsid w:val="00F2743B"/>
    <w:rsid w:val="00F30623"/>
    <w:rsid w:val="00F36936"/>
    <w:rsid w:val="00F4302A"/>
    <w:rsid w:val="00F4551C"/>
    <w:rsid w:val="00F479D2"/>
    <w:rsid w:val="00F538E1"/>
    <w:rsid w:val="00F56399"/>
    <w:rsid w:val="00F56A54"/>
    <w:rsid w:val="00F57FA3"/>
    <w:rsid w:val="00F61141"/>
    <w:rsid w:val="00F67014"/>
    <w:rsid w:val="00F7204D"/>
    <w:rsid w:val="00F72F34"/>
    <w:rsid w:val="00F732A6"/>
    <w:rsid w:val="00F734A4"/>
    <w:rsid w:val="00F7540F"/>
    <w:rsid w:val="00F84B10"/>
    <w:rsid w:val="00F95115"/>
    <w:rsid w:val="00F96A09"/>
    <w:rsid w:val="00F96EF0"/>
    <w:rsid w:val="00FA170F"/>
    <w:rsid w:val="00FB38DB"/>
    <w:rsid w:val="00FC360C"/>
    <w:rsid w:val="00FC4474"/>
    <w:rsid w:val="00FC5668"/>
    <w:rsid w:val="00FC5CCA"/>
    <w:rsid w:val="00FD6866"/>
    <w:rsid w:val="00FE17CA"/>
    <w:rsid w:val="00FE274A"/>
    <w:rsid w:val="00FE2D7C"/>
    <w:rsid w:val="00FE4F01"/>
    <w:rsid w:val="00FE7A4C"/>
    <w:rsid w:val="00FF2435"/>
    <w:rsid w:val="00FF50BC"/>
    <w:rsid w:val="00FF65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A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7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368"/>
    <w:rPr>
      <w:rFonts w:ascii="Tahoma" w:hAnsi="Tahoma" w:cs="Tahoma"/>
      <w:sz w:val="16"/>
      <w:szCs w:val="16"/>
    </w:rPr>
  </w:style>
  <w:style w:type="paragraph" w:styleId="Title">
    <w:name w:val="Title"/>
    <w:basedOn w:val="Normal"/>
    <w:next w:val="Normal"/>
    <w:link w:val="TitleChar"/>
    <w:qFormat/>
    <w:rsid w:val="00535368"/>
    <w:pPr>
      <w:spacing w:before="480" w:after="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535368"/>
    <w:rPr>
      <w:rFonts w:ascii="Arial" w:eastAsia="Times New Roman" w:hAnsi="Arial" w:cs="Arial"/>
      <w:b/>
      <w:bCs/>
      <w:sz w:val="40"/>
      <w:szCs w:val="40"/>
      <w:lang w:eastAsia="en-AU"/>
    </w:rPr>
  </w:style>
  <w:style w:type="paragraph" w:styleId="NoSpacing">
    <w:name w:val="No Spacing"/>
    <w:uiPriority w:val="1"/>
    <w:qFormat/>
    <w:rsid w:val="00535368"/>
    <w:pPr>
      <w:spacing w:after="0" w:line="240" w:lineRule="auto"/>
    </w:pPr>
  </w:style>
  <w:style w:type="paragraph" w:customStyle="1" w:styleId="HR">
    <w:name w:val="HR"/>
    <w:aliases w:val="Regulation Heading"/>
    <w:basedOn w:val="Normal"/>
    <w:next w:val="Normal"/>
    <w:rsid w:val="00535368"/>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Normal"/>
    <w:rsid w:val="00CF3F22"/>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Note">
    <w:name w:val="Note"/>
    <w:basedOn w:val="Normal"/>
    <w:rsid w:val="00CF3F22"/>
    <w:pPr>
      <w:spacing w:before="120" w:after="0" w:line="220" w:lineRule="exact"/>
      <w:ind w:left="964"/>
      <w:jc w:val="both"/>
    </w:pPr>
    <w:rPr>
      <w:rFonts w:ascii="Times New Roman" w:eastAsia="Times New Roman" w:hAnsi="Times New Roman" w:cs="Times New Roman"/>
      <w:noProof/>
      <w:sz w:val="20"/>
      <w:szCs w:val="24"/>
    </w:rPr>
  </w:style>
  <w:style w:type="character" w:styleId="CommentReference">
    <w:name w:val="annotation reference"/>
    <w:basedOn w:val="DefaultParagraphFont"/>
    <w:uiPriority w:val="99"/>
    <w:semiHidden/>
    <w:unhideWhenUsed/>
    <w:rsid w:val="00CF3F22"/>
    <w:rPr>
      <w:sz w:val="16"/>
      <w:szCs w:val="16"/>
    </w:rPr>
  </w:style>
  <w:style w:type="paragraph" w:styleId="CommentText">
    <w:name w:val="annotation text"/>
    <w:basedOn w:val="Normal"/>
    <w:link w:val="CommentTextChar"/>
    <w:uiPriority w:val="99"/>
    <w:unhideWhenUsed/>
    <w:rsid w:val="00CF3F22"/>
    <w:pPr>
      <w:spacing w:line="240" w:lineRule="auto"/>
    </w:pPr>
    <w:rPr>
      <w:sz w:val="20"/>
      <w:szCs w:val="20"/>
    </w:rPr>
  </w:style>
  <w:style w:type="character" w:customStyle="1" w:styleId="CommentTextChar">
    <w:name w:val="Comment Text Char"/>
    <w:basedOn w:val="DefaultParagraphFont"/>
    <w:link w:val="CommentText"/>
    <w:uiPriority w:val="99"/>
    <w:rsid w:val="00CF3F22"/>
    <w:rPr>
      <w:sz w:val="20"/>
      <w:szCs w:val="20"/>
    </w:rPr>
  </w:style>
  <w:style w:type="paragraph" w:styleId="CommentSubject">
    <w:name w:val="annotation subject"/>
    <w:basedOn w:val="CommentText"/>
    <w:next w:val="CommentText"/>
    <w:link w:val="CommentSubjectChar"/>
    <w:uiPriority w:val="99"/>
    <w:semiHidden/>
    <w:unhideWhenUsed/>
    <w:rsid w:val="00CF3F22"/>
    <w:rPr>
      <w:b/>
      <w:bCs/>
    </w:rPr>
  </w:style>
  <w:style w:type="character" w:customStyle="1" w:styleId="CommentSubjectChar">
    <w:name w:val="Comment Subject Char"/>
    <w:basedOn w:val="CommentTextChar"/>
    <w:link w:val="CommentSubject"/>
    <w:uiPriority w:val="99"/>
    <w:semiHidden/>
    <w:rsid w:val="00CF3F22"/>
    <w:rPr>
      <w:b/>
      <w:bCs/>
      <w:sz w:val="20"/>
      <w:szCs w:val="20"/>
    </w:rPr>
  </w:style>
  <w:style w:type="paragraph" w:customStyle="1" w:styleId="paragraph">
    <w:name w:val="paragraph"/>
    <w:aliases w:val="a"/>
    <w:basedOn w:val="Normal"/>
    <w:rsid w:val="00E53A4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notetext">
    <w:name w:val="note(text)"/>
    <w:aliases w:val="n"/>
    <w:basedOn w:val="Normal"/>
    <w:rsid w:val="009749C1"/>
    <w:pPr>
      <w:spacing w:before="122" w:after="0" w:line="198" w:lineRule="exact"/>
      <w:ind w:left="1985" w:hanging="851"/>
    </w:pPr>
    <w:rPr>
      <w:rFonts w:ascii="Times New Roman" w:eastAsia="Times New Roman" w:hAnsi="Times New Roman" w:cs="Times New Roman"/>
      <w:sz w:val="18"/>
      <w:szCs w:val="20"/>
      <w:lang w:eastAsia="en-AU"/>
    </w:rPr>
  </w:style>
  <w:style w:type="paragraph" w:styleId="Header">
    <w:name w:val="header"/>
    <w:basedOn w:val="Normal"/>
    <w:link w:val="HeaderChar"/>
    <w:unhideWhenUsed/>
    <w:rsid w:val="0071636A"/>
    <w:pPr>
      <w:tabs>
        <w:tab w:val="center" w:pos="4513"/>
        <w:tab w:val="right" w:pos="9026"/>
      </w:tabs>
      <w:spacing w:after="0" w:line="240" w:lineRule="auto"/>
    </w:pPr>
  </w:style>
  <w:style w:type="character" w:customStyle="1" w:styleId="HeaderChar">
    <w:name w:val="Header Char"/>
    <w:basedOn w:val="DefaultParagraphFont"/>
    <w:link w:val="Header"/>
    <w:rsid w:val="0071636A"/>
  </w:style>
  <w:style w:type="paragraph" w:styleId="Footer">
    <w:name w:val="footer"/>
    <w:basedOn w:val="Normal"/>
    <w:link w:val="FooterChar"/>
    <w:uiPriority w:val="99"/>
    <w:unhideWhenUsed/>
    <w:rsid w:val="0071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36A"/>
  </w:style>
  <w:style w:type="character" w:styleId="PageNumber">
    <w:name w:val="page number"/>
    <w:basedOn w:val="DefaultParagraphFont"/>
    <w:rsid w:val="0071636A"/>
    <w:rPr>
      <w:rFonts w:ascii="Arial" w:hAnsi="Arial"/>
      <w:sz w:val="22"/>
    </w:rPr>
  </w:style>
  <w:style w:type="paragraph" w:customStyle="1" w:styleId="FooterCitation">
    <w:name w:val="FooterCitation"/>
    <w:basedOn w:val="Footer"/>
    <w:rsid w:val="0071636A"/>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paragraph" w:customStyle="1" w:styleId="HeaderBoldOdd">
    <w:name w:val="HeaderBoldOdd"/>
    <w:basedOn w:val="Normal"/>
    <w:rsid w:val="00C07F6E"/>
    <w:pPr>
      <w:spacing w:before="120" w:after="60" w:line="240" w:lineRule="auto"/>
      <w:jc w:val="right"/>
    </w:pPr>
    <w:rPr>
      <w:rFonts w:ascii="Arial" w:eastAsia="Times New Roman" w:hAnsi="Arial" w:cs="Times New Roman"/>
      <w:b/>
      <w:noProof/>
      <w:sz w:val="20"/>
      <w:szCs w:val="24"/>
    </w:rPr>
  </w:style>
  <w:style w:type="character" w:customStyle="1" w:styleId="CharAmSchNo">
    <w:name w:val="CharAmSchNo"/>
    <w:basedOn w:val="DefaultParagraphFont"/>
    <w:rsid w:val="00970D6C"/>
  </w:style>
  <w:style w:type="character" w:customStyle="1" w:styleId="CharAmSchText">
    <w:name w:val="CharAmSchText"/>
    <w:basedOn w:val="DefaultParagraphFont"/>
    <w:rsid w:val="00970D6C"/>
  </w:style>
  <w:style w:type="paragraph" w:customStyle="1" w:styleId="Schedulereference">
    <w:name w:val="Schedule reference"/>
    <w:basedOn w:val="Normal"/>
    <w:next w:val="Normal"/>
    <w:rsid w:val="00970D6C"/>
    <w:pPr>
      <w:keepNext/>
      <w:keepLines/>
      <w:spacing w:before="60" w:after="0" w:line="200" w:lineRule="exact"/>
      <w:ind w:left="2410"/>
    </w:pPr>
    <w:rPr>
      <w:rFonts w:ascii="Arial" w:eastAsia="Times New Roman" w:hAnsi="Arial" w:cs="Times New Roman"/>
      <w:noProof/>
      <w:sz w:val="18"/>
      <w:szCs w:val="24"/>
    </w:rPr>
  </w:style>
  <w:style w:type="paragraph" w:customStyle="1" w:styleId="Scheduletitle">
    <w:name w:val="Schedule title"/>
    <w:basedOn w:val="Normal"/>
    <w:next w:val="Schedulereference"/>
    <w:link w:val="ScheduletitleChar"/>
    <w:rsid w:val="00970D6C"/>
    <w:pPr>
      <w:keepNext/>
      <w:keepLines/>
      <w:spacing w:before="480" w:after="0" w:line="240" w:lineRule="auto"/>
      <w:ind w:left="2410" w:hanging="2410"/>
    </w:pPr>
    <w:rPr>
      <w:rFonts w:ascii="Arial" w:eastAsia="Times New Roman" w:hAnsi="Arial" w:cs="Times New Roman"/>
      <w:b/>
      <w:noProof/>
      <w:sz w:val="32"/>
      <w:szCs w:val="24"/>
    </w:rPr>
  </w:style>
  <w:style w:type="character" w:customStyle="1" w:styleId="ScheduletitleChar">
    <w:name w:val="Schedule title Char"/>
    <w:basedOn w:val="DefaultParagraphFont"/>
    <w:link w:val="Scheduletitle"/>
    <w:rsid w:val="00970D6C"/>
    <w:rPr>
      <w:rFonts w:ascii="Arial" w:eastAsia="Times New Roman" w:hAnsi="Arial" w:cs="Times New Roman"/>
      <w:b/>
      <w:noProof/>
      <w:sz w:val="32"/>
      <w:szCs w:val="24"/>
    </w:rPr>
  </w:style>
  <w:style w:type="character" w:customStyle="1" w:styleId="CharPartNo">
    <w:name w:val="CharPartNo"/>
    <w:basedOn w:val="DefaultParagraphFont"/>
    <w:rsid w:val="001D1A21"/>
  </w:style>
  <w:style w:type="table" w:styleId="TableGrid">
    <w:name w:val="Table Grid"/>
    <w:basedOn w:val="TableNormal"/>
    <w:uiPriority w:val="59"/>
    <w:rsid w:val="001D1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4F3F"/>
    <w:rPr>
      <w:color w:val="0000FF" w:themeColor="hyperlink"/>
      <w:u w:val="single"/>
    </w:rPr>
  </w:style>
  <w:style w:type="character" w:styleId="PlaceholderText">
    <w:name w:val="Placeholder Text"/>
    <w:basedOn w:val="DefaultParagraphFont"/>
    <w:uiPriority w:val="99"/>
    <w:semiHidden/>
    <w:rsid w:val="00B80A87"/>
    <w:rPr>
      <w:color w:val="808080"/>
    </w:rPr>
  </w:style>
  <w:style w:type="paragraph" w:styleId="Revision">
    <w:name w:val="Revision"/>
    <w:hidden/>
    <w:uiPriority w:val="99"/>
    <w:semiHidden/>
    <w:rsid w:val="00B4385B"/>
    <w:pPr>
      <w:spacing w:after="0" w:line="240" w:lineRule="auto"/>
    </w:pPr>
  </w:style>
  <w:style w:type="paragraph" w:customStyle="1" w:styleId="TableColHead">
    <w:name w:val="TableColHead"/>
    <w:basedOn w:val="Normal"/>
    <w:rsid w:val="00464FBC"/>
    <w:pPr>
      <w:keepNext/>
      <w:spacing w:before="120" w:after="60" w:line="200" w:lineRule="exact"/>
    </w:pPr>
    <w:rPr>
      <w:rFonts w:ascii="Arial" w:eastAsia="Times New Roman" w:hAnsi="Arial" w:cs="Times New Roman"/>
      <w:b/>
      <w:sz w:val="18"/>
      <w:szCs w:val="24"/>
      <w:lang w:eastAsia="en-AU"/>
    </w:rPr>
  </w:style>
  <w:style w:type="paragraph" w:customStyle="1" w:styleId="TableP1a">
    <w:name w:val="TableP1(a)"/>
    <w:basedOn w:val="Normal"/>
    <w:rsid w:val="00464FBC"/>
    <w:pPr>
      <w:tabs>
        <w:tab w:val="right" w:pos="408"/>
      </w:tabs>
      <w:spacing w:after="60" w:line="240" w:lineRule="exact"/>
      <w:ind w:left="533" w:hanging="533"/>
    </w:pPr>
    <w:rPr>
      <w:rFonts w:ascii="Times New Roman" w:eastAsia="Times New Roman" w:hAnsi="Times New Roman" w:cs="Times New Roman"/>
      <w:szCs w:val="24"/>
      <w:lang w:eastAsia="en-AU"/>
    </w:rPr>
  </w:style>
  <w:style w:type="paragraph" w:customStyle="1" w:styleId="TableText">
    <w:name w:val="TableText"/>
    <w:basedOn w:val="Normal"/>
    <w:rsid w:val="00464FBC"/>
    <w:pPr>
      <w:spacing w:before="60" w:after="60" w:line="240" w:lineRule="exact"/>
    </w:pPr>
    <w:rPr>
      <w:rFonts w:ascii="Times New Roman" w:eastAsia="Times New Roman" w:hAnsi="Times New Roman" w:cs="Times New Roman"/>
      <w:szCs w:val="24"/>
      <w:lang w:eastAsia="en-AU"/>
    </w:rPr>
  </w:style>
  <w:style w:type="character" w:customStyle="1" w:styleId="CharSectno">
    <w:name w:val="CharSectno"/>
    <w:basedOn w:val="DefaultParagraphFont"/>
    <w:rsid w:val="00867B6A"/>
  </w:style>
  <w:style w:type="paragraph" w:customStyle="1" w:styleId="Tabletext0">
    <w:name w:val="Tabletext"/>
    <w:aliases w:val="tt"/>
    <w:basedOn w:val="Normal"/>
    <w:rsid w:val="0005751D"/>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0"/>
    <w:rsid w:val="0005751D"/>
    <w:pPr>
      <w:keepNext/>
      <w:spacing w:before="60" w:after="0" w:line="240" w:lineRule="atLeast"/>
    </w:pPr>
    <w:rPr>
      <w:rFonts w:ascii="Times New Roman" w:eastAsia="Times New Roman" w:hAnsi="Times New Roman"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0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DA3BF-AC45-4E4D-AFE3-EA2D9875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2015-07-07T23:33:00Z</dcterms:created>
  <dcterms:modified xsi:type="dcterms:W3CDTF">2015-07-13T00:34:00Z</dcterms:modified>
</cp:coreProperties>
</file>